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D2A" w:rsidRPr="003571FD" w:rsidRDefault="00880D2A" w:rsidP="00880D2A">
      <w:pPr>
        <w:pBdr>
          <w:top w:val="single" w:sz="4" w:space="1" w:color="auto"/>
          <w:bottom w:val="single" w:sz="4" w:space="1" w:color="auto"/>
        </w:pBdr>
        <w:spacing w:after="0" w:line="240" w:lineRule="auto"/>
        <w:rPr>
          <w:rFonts w:ascii="Times New Roman" w:eastAsia="Times New Roman" w:hAnsi="Times New Roman" w:cs="Times New Roman"/>
          <w:b/>
          <w:smallCaps/>
          <w:sz w:val="28"/>
          <w:szCs w:val="28"/>
        </w:rPr>
      </w:pPr>
      <w:r w:rsidRPr="003571FD">
        <w:rPr>
          <w:rFonts w:ascii="Times New Roman" w:eastAsia="Times New Roman" w:hAnsi="Times New Roman" w:cs="Times New Roman"/>
          <w:b/>
          <w:smallCaps/>
          <w:sz w:val="28"/>
          <w:szCs w:val="28"/>
        </w:rPr>
        <w:t>CONFIDENTIAL</w:t>
      </w:r>
      <w:bookmarkStart w:id="0" w:name="_GoBack"/>
      <w:bookmarkEnd w:id="0"/>
    </w:p>
    <w:p w:rsidR="00880D2A" w:rsidRPr="003571FD" w:rsidRDefault="00880D2A" w:rsidP="00880D2A">
      <w:pPr>
        <w:pBdr>
          <w:top w:val="single" w:sz="4" w:space="1" w:color="auto"/>
          <w:bottom w:val="single" w:sz="4" w:space="1" w:color="auto"/>
        </w:pBdr>
        <w:spacing w:after="0" w:line="264" w:lineRule="auto"/>
        <w:rPr>
          <w:rFonts w:ascii="Times New Roman" w:eastAsia="Times New Roman" w:hAnsi="Times New Roman" w:cs="Times New Roman"/>
          <w:b/>
          <w:sz w:val="24"/>
          <w:szCs w:val="24"/>
        </w:rPr>
      </w:pPr>
      <w:r w:rsidRPr="003571FD">
        <w:rPr>
          <w:rFonts w:ascii="Times New Roman" w:eastAsia="Times New Roman" w:hAnsi="Times New Roman" w:cs="Times New Roman"/>
          <w:b/>
          <w:smallCaps/>
          <w:sz w:val="24"/>
          <w:szCs w:val="24"/>
        </w:rPr>
        <w:t>For Restricted Use Only (Not for use by third parties)</w:t>
      </w:r>
    </w:p>
    <w:p w:rsidR="008B67D0" w:rsidRDefault="008B67D0" w:rsidP="008B67D0">
      <w:pPr>
        <w:rPr>
          <w:rFonts w:ascii="Times New Roman" w:hAnsi="Times New Roman" w:cs="Times New Roman"/>
          <w:sz w:val="36"/>
          <w:szCs w:val="36"/>
        </w:rPr>
      </w:pPr>
    </w:p>
    <w:p w:rsidR="008B67D0" w:rsidRDefault="008B67D0" w:rsidP="008B67D0">
      <w:pPr>
        <w:rPr>
          <w:rFonts w:ascii="Times New Roman" w:hAnsi="Times New Roman" w:cs="Times New Roman"/>
          <w:sz w:val="36"/>
          <w:szCs w:val="36"/>
        </w:rPr>
      </w:pPr>
    </w:p>
    <w:p w:rsidR="008B67D0" w:rsidRDefault="008B67D0" w:rsidP="008B67D0">
      <w:pPr>
        <w:rPr>
          <w:rFonts w:ascii="Times New Roman" w:hAnsi="Times New Roman" w:cs="Times New Roman"/>
          <w:sz w:val="36"/>
          <w:szCs w:val="36"/>
        </w:rPr>
      </w:pPr>
    </w:p>
    <w:p w:rsidR="008B67D0" w:rsidRDefault="008B67D0" w:rsidP="008B67D0">
      <w:pPr>
        <w:rPr>
          <w:rFonts w:ascii="Times New Roman" w:hAnsi="Times New Roman" w:cs="Times New Roman"/>
          <w:sz w:val="36"/>
          <w:szCs w:val="36"/>
        </w:rPr>
      </w:pPr>
    </w:p>
    <w:p w:rsidR="00880D2A" w:rsidRPr="00A55383" w:rsidRDefault="00A55383" w:rsidP="00A55383">
      <w:pPr>
        <w:rPr>
          <w:rFonts w:ascii="Times New Roman" w:eastAsia="Times New Roman" w:hAnsi="Times New Roman" w:cs="Times New Roman"/>
          <w:b/>
          <w:smallCaps/>
          <w:sz w:val="36"/>
          <w:szCs w:val="36"/>
        </w:rPr>
      </w:pPr>
      <w:r w:rsidRPr="00A55383">
        <w:rPr>
          <w:rFonts w:ascii="Times New Roman" w:eastAsia="Times New Roman" w:hAnsi="Times New Roman" w:cs="Times New Roman"/>
          <w:b/>
          <w:smallCaps/>
          <w:sz w:val="40"/>
          <w:szCs w:val="36"/>
        </w:rPr>
        <w:t>B</w:t>
      </w:r>
      <w:r w:rsidRPr="00A55383">
        <w:rPr>
          <w:rFonts w:ascii="Times New Roman" w:eastAsia="Times New Roman" w:hAnsi="Times New Roman" w:cs="Times New Roman"/>
          <w:b/>
          <w:smallCaps/>
          <w:sz w:val="32"/>
          <w:szCs w:val="36"/>
        </w:rPr>
        <w:t>OLIVIA</w:t>
      </w:r>
    </w:p>
    <w:p w:rsidR="00F93C9A" w:rsidRPr="00A55383" w:rsidRDefault="003A506A" w:rsidP="00A55383">
      <w:pPr>
        <w:rPr>
          <w:rFonts w:ascii="Times New Roman" w:eastAsiaTheme="majorEastAsia" w:hAnsi="Times New Roman" w:cs="Times New Roman"/>
          <w:b/>
          <w:smallCaps/>
          <w:sz w:val="28"/>
          <w:szCs w:val="20"/>
        </w:rPr>
      </w:pPr>
      <w:bookmarkStart w:id="1" w:name="_Toc292020970"/>
      <w:bookmarkStart w:id="2" w:name="_Toc292813463"/>
      <w:bookmarkStart w:id="3" w:name="_Toc292813694"/>
      <w:bookmarkStart w:id="4" w:name="_Toc292814097"/>
      <w:r w:rsidRPr="00A55383">
        <w:rPr>
          <w:rFonts w:ascii="Times New Roman" w:eastAsiaTheme="majorEastAsia" w:hAnsi="Times New Roman" w:cs="Times New Roman"/>
          <w:b/>
          <w:smallCaps/>
          <w:sz w:val="36"/>
          <w:szCs w:val="20"/>
        </w:rPr>
        <w:t>F</w:t>
      </w:r>
      <w:r w:rsidRPr="00A55383">
        <w:rPr>
          <w:rFonts w:ascii="Times New Roman" w:eastAsiaTheme="majorEastAsia" w:hAnsi="Times New Roman" w:cs="Times New Roman"/>
          <w:b/>
          <w:smallCaps/>
          <w:sz w:val="28"/>
          <w:szCs w:val="20"/>
        </w:rPr>
        <w:t xml:space="preserve">INANCIAL </w:t>
      </w:r>
      <w:r w:rsidRPr="00A55383">
        <w:rPr>
          <w:rFonts w:ascii="Times New Roman" w:eastAsiaTheme="majorEastAsia" w:hAnsi="Times New Roman" w:cs="Times New Roman"/>
          <w:b/>
          <w:smallCaps/>
          <w:sz w:val="36"/>
          <w:szCs w:val="20"/>
        </w:rPr>
        <w:t>S</w:t>
      </w:r>
      <w:r w:rsidRPr="00A55383">
        <w:rPr>
          <w:rFonts w:ascii="Times New Roman" w:eastAsiaTheme="majorEastAsia" w:hAnsi="Times New Roman" w:cs="Times New Roman"/>
          <w:b/>
          <w:smallCaps/>
          <w:sz w:val="28"/>
          <w:szCs w:val="20"/>
        </w:rPr>
        <w:t xml:space="preserve">ECTOR </w:t>
      </w:r>
      <w:r w:rsidRPr="00A55383">
        <w:rPr>
          <w:rFonts w:ascii="Times New Roman" w:eastAsiaTheme="majorEastAsia" w:hAnsi="Times New Roman" w:cs="Times New Roman"/>
          <w:b/>
          <w:smallCaps/>
          <w:sz w:val="36"/>
          <w:szCs w:val="20"/>
        </w:rPr>
        <w:t>N</w:t>
      </w:r>
      <w:r w:rsidRPr="00A55383">
        <w:rPr>
          <w:rFonts w:ascii="Times New Roman" w:eastAsiaTheme="majorEastAsia" w:hAnsi="Times New Roman" w:cs="Times New Roman"/>
          <w:b/>
          <w:smallCaps/>
          <w:sz w:val="28"/>
          <w:szCs w:val="20"/>
        </w:rPr>
        <w:t xml:space="preserve">OTES </w:t>
      </w:r>
    </w:p>
    <w:p w:rsidR="00BA7C2A" w:rsidRDefault="003A506A" w:rsidP="00A55383">
      <w:pPr>
        <w:spacing w:line="240" w:lineRule="auto"/>
        <w:rPr>
          <w:rFonts w:ascii="Times New Roman" w:hAnsi="Times New Roman" w:cs="Times New Roman"/>
          <w:sz w:val="28"/>
          <w:szCs w:val="28"/>
        </w:rPr>
      </w:pPr>
      <w:r w:rsidRPr="00A55383">
        <w:rPr>
          <w:rFonts w:ascii="Times New Roman" w:hAnsi="Times New Roman" w:cs="Times New Roman"/>
          <w:sz w:val="36"/>
          <w:szCs w:val="28"/>
        </w:rPr>
        <w:t>A</w:t>
      </w:r>
      <w:r w:rsidRPr="003A506A">
        <w:rPr>
          <w:rFonts w:ascii="Times New Roman" w:hAnsi="Times New Roman" w:cs="Times New Roman"/>
          <w:sz w:val="28"/>
          <w:szCs w:val="28"/>
        </w:rPr>
        <w:t xml:space="preserve">SSESSING THE </w:t>
      </w:r>
      <w:r w:rsidRPr="00A55383">
        <w:rPr>
          <w:rFonts w:ascii="Times New Roman" w:hAnsi="Times New Roman" w:cs="Times New Roman"/>
          <w:sz w:val="36"/>
          <w:szCs w:val="28"/>
        </w:rPr>
        <w:t>S</w:t>
      </w:r>
      <w:r w:rsidRPr="003A506A">
        <w:rPr>
          <w:rFonts w:ascii="Times New Roman" w:hAnsi="Times New Roman" w:cs="Times New Roman"/>
          <w:sz w:val="28"/>
          <w:szCs w:val="28"/>
        </w:rPr>
        <w:t xml:space="preserve">ECTOR’S </w:t>
      </w:r>
      <w:r w:rsidRPr="00A55383">
        <w:rPr>
          <w:rFonts w:ascii="Times New Roman" w:hAnsi="Times New Roman" w:cs="Times New Roman"/>
          <w:sz w:val="36"/>
          <w:szCs w:val="28"/>
        </w:rPr>
        <w:t>P</w:t>
      </w:r>
      <w:r w:rsidRPr="003A506A">
        <w:rPr>
          <w:rFonts w:ascii="Times New Roman" w:hAnsi="Times New Roman" w:cs="Times New Roman"/>
          <w:sz w:val="28"/>
          <w:szCs w:val="28"/>
        </w:rPr>
        <w:t xml:space="preserve">OTENTIAL </w:t>
      </w:r>
      <w:r w:rsidRPr="00A55383">
        <w:rPr>
          <w:rFonts w:ascii="Times New Roman" w:hAnsi="Times New Roman" w:cs="Times New Roman"/>
          <w:sz w:val="36"/>
          <w:szCs w:val="28"/>
        </w:rPr>
        <w:t>R</w:t>
      </w:r>
      <w:r w:rsidRPr="003A506A">
        <w:rPr>
          <w:rFonts w:ascii="Times New Roman" w:hAnsi="Times New Roman" w:cs="Times New Roman"/>
          <w:sz w:val="28"/>
          <w:szCs w:val="28"/>
        </w:rPr>
        <w:t xml:space="preserve">OLE IN </w:t>
      </w:r>
      <w:r w:rsidRPr="00A55383">
        <w:rPr>
          <w:rFonts w:ascii="Times New Roman" w:hAnsi="Times New Roman" w:cs="Times New Roman"/>
          <w:sz w:val="36"/>
          <w:szCs w:val="28"/>
        </w:rPr>
        <w:t>F</w:t>
      </w:r>
      <w:r w:rsidRPr="003A506A">
        <w:rPr>
          <w:rFonts w:ascii="Times New Roman" w:hAnsi="Times New Roman" w:cs="Times New Roman"/>
          <w:sz w:val="28"/>
          <w:szCs w:val="28"/>
        </w:rPr>
        <w:t xml:space="preserve">OSTERING </w:t>
      </w:r>
      <w:r w:rsidRPr="00A55383">
        <w:rPr>
          <w:rFonts w:ascii="Times New Roman" w:hAnsi="Times New Roman" w:cs="Times New Roman"/>
          <w:sz w:val="36"/>
          <w:szCs w:val="28"/>
        </w:rPr>
        <w:t>R</w:t>
      </w:r>
      <w:r w:rsidRPr="003A506A">
        <w:rPr>
          <w:rFonts w:ascii="Times New Roman" w:hAnsi="Times New Roman" w:cs="Times New Roman"/>
          <w:sz w:val="28"/>
          <w:szCs w:val="28"/>
        </w:rPr>
        <w:t xml:space="preserve">URAL </w:t>
      </w:r>
      <w:r w:rsidRPr="00A55383">
        <w:rPr>
          <w:rFonts w:ascii="Times New Roman" w:hAnsi="Times New Roman" w:cs="Times New Roman"/>
          <w:sz w:val="36"/>
          <w:szCs w:val="28"/>
        </w:rPr>
        <w:t>D</w:t>
      </w:r>
      <w:r w:rsidRPr="003A506A">
        <w:rPr>
          <w:rFonts w:ascii="Times New Roman" w:hAnsi="Times New Roman" w:cs="Times New Roman"/>
          <w:sz w:val="28"/>
          <w:szCs w:val="28"/>
        </w:rPr>
        <w:t xml:space="preserve">EVELOPMENT AND </w:t>
      </w:r>
      <w:r w:rsidRPr="00A55383">
        <w:rPr>
          <w:rFonts w:ascii="Times New Roman" w:hAnsi="Times New Roman" w:cs="Times New Roman"/>
          <w:sz w:val="36"/>
          <w:szCs w:val="28"/>
        </w:rPr>
        <w:t>G</w:t>
      </w:r>
      <w:r w:rsidRPr="003A506A">
        <w:rPr>
          <w:rFonts w:ascii="Times New Roman" w:hAnsi="Times New Roman" w:cs="Times New Roman"/>
          <w:sz w:val="28"/>
          <w:szCs w:val="28"/>
        </w:rPr>
        <w:t xml:space="preserve">ROWTH OF THE </w:t>
      </w:r>
      <w:r w:rsidRPr="00A55383">
        <w:rPr>
          <w:rFonts w:ascii="Times New Roman" w:hAnsi="Times New Roman" w:cs="Times New Roman"/>
          <w:sz w:val="36"/>
          <w:szCs w:val="28"/>
        </w:rPr>
        <w:t>P</w:t>
      </w:r>
      <w:r w:rsidRPr="003A506A">
        <w:rPr>
          <w:rFonts w:ascii="Times New Roman" w:hAnsi="Times New Roman" w:cs="Times New Roman"/>
          <w:sz w:val="28"/>
          <w:szCs w:val="28"/>
        </w:rPr>
        <w:t xml:space="preserve">RODUCTIVE </w:t>
      </w:r>
      <w:r w:rsidRPr="00A55383">
        <w:rPr>
          <w:rFonts w:ascii="Times New Roman" w:hAnsi="Times New Roman" w:cs="Times New Roman"/>
          <w:sz w:val="36"/>
          <w:szCs w:val="28"/>
        </w:rPr>
        <w:t>S</w:t>
      </w:r>
      <w:r w:rsidRPr="003A506A">
        <w:rPr>
          <w:rFonts w:ascii="Times New Roman" w:hAnsi="Times New Roman" w:cs="Times New Roman"/>
          <w:sz w:val="28"/>
          <w:szCs w:val="28"/>
        </w:rPr>
        <w:t xml:space="preserve">ECTORS </w:t>
      </w:r>
    </w:p>
    <w:p w:rsidR="00A55383" w:rsidRPr="003A506A" w:rsidRDefault="00A55383" w:rsidP="00A55383">
      <w:pPr>
        <w:spacing w:line="240" w:lineRule="auto"/>
        <w:rPr>
          <w:rFonts w:ascii="Times New Roman" w:hAnsi="Times New Roman" w:cs="Times New Roman"/>
          <w:sz w:val="28"/>
          <w:szCs w:val="28"/>
        </w:rPr>
      </w:pPr>
    </w:p>
    <w:p w:rsidR="00880D2A" w:rsidRPr="00A55383" w:rsidRDefault="00A55383" w:rsidP="00A55383">
      <w:pPr>
        <w:rPr>
          <w:rFonts w:ascii="Times New Roman" w:hAnsi="Times New Roman" w:cs="Times New Roman"/>
          <w:sz w:val="32"/>
          <w:szCs w:val="32"/>
        </w:rPr>
      </w:pPr>
      <w:r w:rsidRPr="00A55383">
        <w:rPr>
          <w:rFonts w:ascii="Times New Roman" w:hAnsi="Times New Roman" w:cs="Times New Roman"/>
          <w:sz w:val="32"/>
          <w:szCs w:val="32"/>
        </w:rPr>
        <w:t>DECEMBER 2011</w:t>
      </w:r>
      <w:bookmarkEnd w:id="1"/>
      <w:bookmarkEnd w:id="2"/>
      <w:bookmarkEnd w:id="3"/>
      <w:bookmarkEnd w:id="4"/>
    </w:p>
    <w:p w:rsidR="00880D2A" w:rsidRPr="003571FD" w:rsidRDefault="00880D2A" w:rsidP="00880D2A">
      <w:pPr>
        <w:spacing w:after="0" w:line="264" w:lineRule="auto"/>
        <w:rPr>
          <w:rFonts w:ascii="Times New Roman" w:eastAsia="Times New Roman" w:hAnsi="Times New Roman" w:cs="Times New Roman"/>
          <w:sz w:val="24"/>
          <w:szCs w:val="24"/>
        </w:rPr>
      </w:pPr>
    </w:p>
    <w:p w:rsidR="00880D2A" w:rsidRPr="003571FD" w:rsidRDefault="00880D2A" w:rsidP="00880D2A">
      <w:pPr>
        <w:spacing w:after="0" w:line="264" w:lineRule="auto"/>
        <w:rPr>
          <w:rFonts w:ascii="Times New Roman" w:eastAsia="Times New Roman" w:hAnsi="Times New Roman" w:cs="Times New Roman"/>
          <w:sz w:val="24"/>
          <w:szCs w:val="24"/>
        </w:rPr>
      </w:pPr>
    </w:p>
    <w:p w:rsidR="00880D2A" w:rsidRPr="003571FD" w:rsidRDefault="00880D2A" w:rsidP="00880D2A">
      <w:pPr>
        <w:spacing w:after="0" w:line="264" w:lineRule="auto"/>
        <w:rPr>
          <w:rFonts w:ascii="Times New Roman" w:eastAsia="Times New Roman" w:hAnsi="Times New Roman" w:cs="Times New Roman"/>
          <w:sz w:val="24"/>
          <w:szCs w:val="24"/>
        </w:rPr>
      </w:pPr>
    </w:p>
    <w:p w:rsidR="00880D2A" w:rsidRPr="003571FD" w:rsidRDefault="00880D2A" w:rsidP="00880D2A">
      <w:pPr>
        <w:spacing w:after="0" w:line="264" w:lineRule="auto"/>
        <w:rPr>
          <w:rFonts w:ascii="Times New Roman" w:eastAsia="Times New Roman" w:hAnsi="Times New Roman" w:cs="Times New Roman"/>
          <w:sz w:val="24"/>
          <w:szCs w:val="24"/>
        </w:rPr>
      </w:pPr>
    </w:p>
    <w:p w:rsidR="00880D2A" w:rsidRPr="003571FD" w:rsidRDefault="00880D2A" w:rsidP="00880D2A">
      <w:pPr>
        <w:spacing w:after="0" w:line="264" w:lineRule="auto"/>
        <w:rPr>
          <w:rFonts w:ascii="Times New Roman" w:eastAsia="Times New Roman" w:hAnsi="Times New Roman" w:cs="Times New Roman"/>
          <w:sz w:val="24"/>
          <w:szCs w:val="24"/>
        </w:rPr>
      </w:pPr>
    </w:p>
    <w:p w:rsidR="00880D2A" w:rsidRPr="003571FD" w:rsidRDefault="00880D2A" w:rsidP="00880D2A">
      <w:pPr>
        <w:spacing w:after="0" w:line="264" w:lineRule="auto"/>
        <w:rPr>
          <w:rFonts w:ascii="Times New Roman" w:eastAsia="Times New Roman" w:hAnsi="Times New Roman" w:cs="Times New Roman"/>
          <w:sz w:val="24"/>
          <w:szCs w:val="24"/>
        </w:rPr>
      </w:pPr>
    </w:p>
    <w:p w:rsidR="00880D2A" w:rsidRPr="003571FD" w:rsidRDefault="00880D2A" w:rsidP="00880D2A">
      <w:pPr>
        <w:spacing w:after="0" w:line="264" w:lineRule="auto"/>
        <w:rPr>
          <w:rFonts w:ascii="Times New Roman" w:eastAsia="Times New Roman" w:hAnsi="Times New Roman" w:cs="Times New Roman"/>
          <w:sz w:val="24"/>
          <w:szCs w:val="24"/>
        </w:rPr>
      </w:pPr>
    </w:p>
    <w:p w:rsidR="00880D2A" w:rsidRPr="003571FD" w:rsidRDefault="00880D2A" w:rsidP="00880D2A">
      <w:pPr>
        <w:spacing w:after="0" w:line="264" w:lineRule="auto"/>
        <w:rPr>
          <w:rFonts w:ascii="Times New Roman" w:eastAsia="Times New Roman" w:hAnsi="Times New Roman" w:cs="Times New Roman"/>
          <w:sz w:val="24"/>
          <w:szCs w:val="24"/>
        </w:rPr>
      </w:pPr>
    </w:p>
    <w:p w:rsidR="00BA7C2A" w:rsidRPr="003571FD" w:rsidRDefault="00BA7C2A" w:rsidP="00880D2A">
      <w:pPr>
        <w:spacing w:after="0" w:line="264" w:lineRule="auto"/>
        <w:rPr>
          <w:rFonts w:ascii="Times New Roman" w:eastAsia="Times New Roman" w:hAnsi="Times New Roman" w:cs="Times New Roman"/>
          <w:sz w:val="24"/>
          <w:szCs w:val="24"/>
        </w:rPr>
      </w:pPr>
    </w:p>
    <w:p w:rsidR="00BA7C2A" w:rsidRPr="003571FD" w:rsidRDefault="00BA7C2A" w:rsidP="00880D2A">
      <w:pPr>
        <w:spacing w:after="0" w:line="264" w:lineRule="auto"/>
        <w:rPr>
          <w:rFonts w:ascii="Times New Roman" w:eastAsia="Times New Roman" w:hAnsi="Times New Roman" w:cs="Times New Roman"/>
          <w:sz w:val="24"/>
          <w:szCs w:val="24"/>
        </w:rPr>
      </w:pPr>
    </w:p>
    <w:p w:rsidR="00BA7C2A" w:rsidRPr="003571FD" w:rsidRDefault="00BA7C2A" w:rsidP="00880D2A">
      <w:pPr>
        <w:spacing w:after="0" w:line="264" w:lineRule="auto"/>
        <w:rPr>
          <w:rFonts w:ascii="Times New Roman" w:eastAsia="Times New Roman" w:hAnsi="Times New Roman" w:cs="Times New Roman"/>
          <w:sz w:val="24"/>
          <w:szCs w:val="24"/>
        </w:rPr>
      </w:pPr>
    </w:p>
    <w:p w:rsidR="00BA7C2A" w:rsidRPr="003571FD" w:rsidRDefault="00BA7C2A" w:rsidP="00880D2A">
      <w:pPr>
        <w:spacing w:after="0" w:line="264" w:lineRule="auto"/>
        <w:rPr>
          <w:rFonts w:ascii="Times New Roman" w:eastAsia="Times New Roman" w:hAnsi="Times New Roman" w:cs="Times New Roman"/>
          <w:sz w:val="24"/>
          <w:szCs w:val="24"/>
        </w:rPr>
      </w:pPr>
    </w:p>
    <w:tbl>
      <w:tblPr>
        <w:tblpPr w:leftFromText="180" w:rightFromText="180" w:vertAnchor="text" w:horzAnchor="margin" w:tblpY="116"/>
        <w:tblW w:w="0" w:type="auto"/>
        <w:tblLayout w:type="fixed"/>
        <w:tblLook w:val="0000" w:firstRow="0" w:lastRow="0" w:firstColumn="0" w:lastColumn="0" w:noHBand="0" w:noVBand="0"/>
      </w:tblPr>
      <w:tblGrid>
        <w:gridCol w:w="4428"/>
        <w:gridCol w:w="4320"/>
      </w:tblGrid>
      <w:tr w:rsidR="00064A1B" w:rsidRPr="003571FD" w:rsidTr="00064A1B">
        <w:tc>
          <w:tcPr>
            <w:tcW w:w="4428" w:type="dxa"/>
          </w:tcPr>
          <w:p w:rsidR="00064A1B" w:rsidRPr="00064A1B" w:rsidRDefault="00064A1B" w:rsidP="00064A1B">
            <w:pPr>
              <w:spacing w:line="240" w:lineRule="auto"/>
              <w:rPr>
                <w:rFonts w:ascii="Times New Roman" w:hAnsi="Times New Roman" w:cs="Times New Roman"/>
              </w:rPr>
            </w:pPr>
            <w:bookmarkStart w:id="5" w:name="_Toc286649622"/>
            <w:bookmarkStart w:id="6" w:name="_Toc286658453"/>
            <w:bookmarkStart w:id="7" w:name="_Toc286660012"/>
            <w:bookmarkStart w:id="8" w:name="_Toc286751572"/>
            <w:bookmarkStart w:id="9" w:name="_Toc292020971"/>
            <w:bookmarkStart w:id="10" w:name="_Toc292813464"/>
            <w:bookmarkStart w:id="11" w:name="_Toc292813695"/>
            <w:bookmarkStart w:id="12" w:name="_Toc292814098"/>
            <w:r w:rsidRPr="00064A1B">
              <w:rPr>
                <w:rFonts w:ascii="Times New Roman" w:hAnsi="Times New Roman" w:cs="Times New Roman"/>
              </w:rPr>
              <w:t>THE WORLD BANK</w:t>
            </w:r>
            <w:bookmarkEnd w:id="5"/>
            <w:bookmarkEnd w:id="6"/>
            <w:bookmarkEnd w:id="7"/>
            <w:bookmarkEnd w:id="8"/>
            <w:bookmarkEnd w:id="9"/>
            <w:bookmarkEnd w:id="10"/>
            <w:bookmarkEnd w:id="11"/>
            <w:bookmarkEnd w:id="12"/>
          </w:p>
        </w:tc>
        <w:tc>
          <w:tcPr>
            <w:tcW w:w="4320" w:type="dxa"/>
          </w:tcPr>
          <w:p w:rsidR="00064A1B" w:rsidRPr="003571FD" w:rsidRDefault="00064A1B" w:rsidP="00064A1B">
            <w:pPr>
              <w:keepNext/>
              <w:spacing w:before="60" w:after="0" w:line="264" w:lineRule="auto"/>
              <w:ind w:left="-90"/>
              <w:outlineLvl w:val="0"/>
              <w:rPr>
                <w:rFonts w:ascii="Times New Roman" w:eastAsia="Times New Roman" w:hAnsi="Times New Roman" w:cs="Times New Roman"/>
                <w:smallCaps/>
                <w:sz w:val="28"/>
                <w:szCs w:val="20"/>
              </w:rPr>
            </w:pPr>
          </w:p>
        </w:tc>
      </w:tr>
      <w:tr w:rsidR="00064A1B" w:rsidRPr="003571FD" w:rsidTr="00064A1B">
        <w:tc>
          <w:tcPr>
            <w:tcW w:w="4428" w:type="dxa"/>
          </w:tcPr>
          <w:p w:rsidR="00064A1B" w:rsidRPr="00064A1B" w:rsidRDefault="00064A1B" w:rsidP="00064A1B">
            <w:pPr>
              <w:spacing w:line="240" w:lineRule="auto"/>
              <w:rPr>
                <w:rFonts w:ascii="Times New Roman" w:hAnsi="Times New Roman" w:cs="Times New Roman"/>
              </w:rPr>
            </w:pPr>
            <w:r w:rsidRPr="00064A1B">
              <w:rPr>
                <w:rFonts w:ascii="Times New Roman" w:hAnsi="Times New Roman" w:cs="Times New Roman"/>
              </w:rPr>
              <w:t>FINANCIAL AND PRIVATE SECTOR DEVELOPMENT VICE PRESIDENCY</w:t>
            </w:r>
          </w:p>
          <w:p w:rsidR="00064A1B" w:rsidRPr="00064A1B" w:rsidRDefault="00064A1B" w:rsidP="00064A1B">
            <w:pPr>
              <w:spacing w:line="240" w:lineRule="auto"/>
            </w:pPr>
            <w:r w:rsidRPr="00064A1B">
              <w:rPr>
                <w:rFonts w:ascii="Times New Roman" w:hAnsi="Times New Roman" w:cs="Times New Roman"/>
              </w:rPr>
              <w:t>LATIN AMERICA AND CARIBBEAN REGIONAL VICE PRESIDENCY</w:t>
            </w:r>
          </w:p>
        </w:tc>
        <w:tc>
          <w:tcPr>
            <w:tcW w:w="4320" w:type="dxa"/>
          </w:tcPr>
          <w:p w:rsidR="00064A1B" w:rsidRPr="003571FD" w:rsidRDefault="00064A1B" w:rsidP="00064A1B">
            <w:pPr>
              <w:spacing w:before="60" w:after="0" w:line="240" w:lineRule="auto"/>
              <w:ind w:left="-90"/>
              <w:rPr>
                <w:rFonts w:ascii="Times New Roman" w:eastAsia="Times New Roman" w:hAnsi="Times New Roman" w:cs="Times New Roman"/>
                <w:smallCaps/>
                <w:sz w:val="24"/>
                <w:szCs w:val="20"/>
              </w:rPr>
            </w:pPr>
          </w:p>
        </w:tc>
      </w:tr>
    </w:tbl>
    <w:p w:rsidR="00BA7C2A" w:rsidRPr="003571FD" w:rsidRDefault="00BA7C2A" w:rsidP="00880D2A">
      <w:pPr>
        <w:spacing w:after="0" w:line="264" w:lineRule="auto"/>
        <w:rPr>
          <w:rFonts w:ascii="Times New Roman" w:eastAsia="Times New Roman" w:hAnsi="Times New Roman" w:cs="Times New Roman"/>
          <w:sz w:val="24"/>
          <w:szCs w:val="24"/>
        </w:rPr>
      </w:pPr>
    </w:p>
    <w:p w:rsidR="00BA7C2A" w:rsidRPr="003571FD" w:rsidRDefault="00BA7C2A" w:rsidP="00880D2A">
      <w:pPr>
        <w:spacing w:after="0" w:line="264" w:lineRule="auto"/>
        <w:rPr>
          <w:rFonts w:ascii="Times New Roman" w:eastAsia="Times New Roman" w:hAnsi="Times New Roman" w:cs="Times New Roman"/>
          <w:sz w:val="24"/>
          <w:szCs w:val="24"/>
        </w:rPr>
      </w:pPr>
    </w:p>
    <w:p w:rsidR="00BA7C2A" w:rsidRPr="003571FD" w:rsidRDefault="00BA7C2A" w:rsidP="00880D2A">
      <w:pPr>
        <w:spacing w:after="0" w:line="264" w:lineRule="auto"/>
        <w:rPr>
          <w:rFonts w:ascii="Times New Roman" w:eastAsia="Times New Roman" w:hAnsi="Times New Roman" w:cs="Times New Roman"/>
          <w:sz w:val="24"/>
          <w:szCs w:val="24"/>
        </w:rPr>
      </w:pPr>
    </w:p>
    <w:p w:rsidR="00880D2A" w:rsidRPr="003571FD" w:rsidRDefault="00880D2A" w:rsidP="00880D2A">
      <w:pPr>
        <w:spacing w:after="0" w:line="264" w:lineRule="auto"/>
        <w:rPr>
          <w:rFonts w:ascii="Times New Roman" w:eastAsia="Times New Roman" w:hAnsi="Times New Roman" w:cs="Times New Roman"/>
          <w:sz w:val="24"/>
          <w:szCs w:val="24"/>
        </w:rPr>
      </w:pPr>
    </w:p>
    <w:p w:rsidR="001B543D" w:rsidRDefault="001B543D" w:rsidP="00880D2A">
      <w:pPr>
        <w:jc w:val="center"/>
        <w:rPr>
          <w:rFonts w:ascii="Times New Roman" w:hAnsi="Times New Roman" w:cs="Times New Roman"/>
          <w:b/>
          <w:sz w:val="28"/>
        </w:rPr>
        <w:sectPr w:rsidR="001B543D" w:rsidSect="00CD27AA">
          <w:footerReference w:type="default" r:id="rId9"/>
          <w:headerReference w:type="first" r:id="rId10"/>
          <w:footerReference w:type="first" r:id="rId11"/>
          <w:pgSz w:w="12240" w:h="15840"/>
          <w:pgMar w:top="1440" w:right="1440" w:bottom="1440" w:left="1440" w:header="720" w:footer="720" w:gutter="0"/>
          <w:pgNumType w:fmt="lowerRoman" w:start="1"/>
          <w:cols w:space="720"/>
          <w:titlePg/>
          <w:docGrid w:linePitch="360"/>
        </w:sectPr>
      </w:pPr>
    </w:p>
    <w:p w:rsidR="001B543D" w:rsidRDefault="001B543D" w:rsidP="00880D2A">
      <w:pPr>
        <w:jc w:val="center"/>
        <w:rPr>
          <w:rFonts w:ascii="Times New Roman" w:hAnsi="Times New Roman" w:cs="Times New Roman"/>
          <w:b/>
          <w:sz w:val="28"/>
        </w:rPr>
      </w:pPr>
    </w:p>
    <w:p w:rsidR="00880D2A" w:rsidRPr="003571FD" w:rsidRDefault="00880D2A" w:rsidP="00880D2A">
      <w:pPr>
        <w:jc w:val="center"/>
        <w:rPr>
          <w:rFonts w:ascii="Times New Roman" w:hAnsi="Times New Roman" w:cs="Times New Roman"/>
          <w:b/>
          <w:sz w:val="28"/>
        </w:rPr>
      </w:pPr>
      <w:r w:rsidRPr="003571FD">
        <w:rPr>
          <w:rFonts w:ascii="Times New Roman" w:hAnsi="Times New Roman" w:cs="Times New Roman"/>
          <w:b/>
          <w:sz w:val="28"/>
        </w:rPr>
        <w:t>Table of Contents</w:t>
      </w:r>
    </w:p>
    <w:p w:rsidR="00C13E1B" w:rsidRDefault="005744EE">
      <w:pPr>
        <w:pStyle w:val="TOC1"/>
        <w:tabs>
          <w:tab w:val="right" w:leader="dot" w:pos="9350"/>
        </w:tabs>
        <w:rPr>
          <w:rFonts w:asciiTheme="minorHAnsi" w:eastAsiaTheme="minorEastAsia" w:hAnsiTheme="minorHAnsi"/>
          <w:noProof/>
        </w:rPr>
      </w:pPr>
      <w:r w:rsidRPr="003571FD">
        <w:rPr>
          <w:rFonts w:cs="Times New Roman"/>
          <w:b/>
          <w:sz w:val="20"/>
          <w:szCs w:val="20"/>
        </w:rPr>
        <w:fldChar w:fldCharType="begin"/>
      </w:r>
      <w:r w:rsidR="001D3343" w:rsidRPr="003571FD">
        <w:rPr>
          <w:rFonts w:cs="Times New Roman"/>
          <w:b/>
          <w:sz w:val="20"/>
          <w:szCs w:val="20"/>
        </w:rPr>
        <w:instrText xml:space="preserve"> TOC \o "1-3" \h \z \u </w:instrText>
      </w:r>
      <w:r w:rsidRPr="003571FD">
        <w:rPr>
          <w:rFonts w:cs="Times New Roman"/>
          <w:b/>
          <w:sz w:val="20"/>
          <w:szCs w:val="20"/>
        </w:rPr>
        <w:fldChar w:fldCharType="separate"/>
      </w:r>
      <w:hyperlink w:anchor="_Toc312319489" w:history="1">
        <w:r w:rsidR="00C13E1B" w:rsidRPr="00D3278F">
          <w:rPr>
            <w:rStyle w:val="Hyperlink"/>
            <w:rFonts w:cs="Times New Roman"/>
            <w:noProof/>
          </w:rPr>
          <w:t>Executive Summary</w:t>
        </w:r>
        <w:r w:rsidR="00C13E1B">
          <w:rPr>
            <w:noProof/>
            <w:webHidden/>
          </w:rPr>
          <w:tab/>
        </w:r>
        <w:r>
          <w:rPr>
            <w:noProof/>
            <w:webHidden/>
          </w:rPr>
          <w:fldChar w:fldCharType="begin"/>
        </w:r>
        <w:r w:rsidR="00C13E1B">
          <w:rPr>
            <w:noProof/>
            <w:webHidden/>
          </w:rPr>
          <w:instrText xml:space="preserve"> PAGEREF _Toc312319489 \h </w:instrText>
        </w:r>
        <w:r>
          <w:rPr>
            <w:noProof/>
            <w:webHidden/>
          </w:rPr>
        </w:r>
        <w:r>
          <w:rPr>
            <w:noProof/>
            <w:webHidden/>
          </w:rPr>
          <w:fldChar w:fldCharType="separate"/>
        </w:r>
        <w:r w:rsidR="00C13E1B">
          <w:rPr>
            <w:noProof/>
            <w:webHidden/>
          </w:rPr>
          <w:t>1</w:t>
        </w:r>
        <w:r>
          <w:rPr>
            <w:noProof/>
            <w:webHidden/>
          </w:rPr>
          <w:fldChar w:fldCharType="end"/>
        </w:r>
      </w:hyperlink>
    </w:p>
    <w:p w:rsidR="00C13E1B" w:rsidRDefault="00CD27AA">
      <w:pPr>
        <w:pStyle w:val="TOC1"/>
        <w:tabs>
          <w:tab w:val="left" w:pos="1296"/>
          <w:tab w:val="right" w:leader="dot" w:pos="9350"/>
        </w:tabs>
        <w:rPr>
          <w:rFonts w:asciiTheme="minorHAnsi" w:eastAsiaTheme="minorEastAsia" w:hAnsiTheme="minorHAnsi"/>
          <w:noProof/>
        </w:rPr>
      </w:pPr>
      <w:hyperlink w:anchor="_Toc312319490" w:history="1">
        <w:r w:rsidR="00C13E1B" w:rsidRPr="00D3278F">
          <w:rPr>
            <w:rStyle w:val="Hyperlink"/>
            <w:rFonts w:ascii="Times New Roman Bold" w:hAnsi="Times New Roman Bold"/>
            <w:noProof/>
          </w:rPr>
          <w:t>Chapter 1</w:t>
        </w:r>
        <w:r w:rsidR="00C13E1B">
          <w:rPr>
            <w:rFonts w:asciiTheme="minorHAnsi" w:eastAsiaTheme="minorEastAsia" w:hAnsiTheme="minorHAnsi"/>
            <w:noProof/>
          </w:rPr>
          <w:tab/>
        </w:r>
        <w:r w:rsidR="00C13E1B" w:rsidRPr="00D3278F">
          <w:rPr>
            <w:rStyle w:val="Hyperlink"/>
            <w:noProof/>
          </w:rPr>
          <w:t>Introduction</w:t>
        </w:r>
        <w:r w:rsidR="00C13E1B">
          <w:rPr>
            <w:noProof/>
            <w:webHidden/>
          </w:rPr>
          <w:tab/>
        </w:r>
        <w:r w:rsidR="005744EE">
          <w:rPr>
            <w:noProof/>
            <w:webHidden/>
          </w:rPr>
          <w:fldChar w:fldCharType="begin"/>
        </w:r>
        <w:r w:rsidR="00C13E1B">
          <w:rPr>
            <w:noProof/>
            <w:webHidden/>
          </w:rPr>
          <w:instrText xml:space="preserve"> PAGEREF _Toc312319490 \h </w:instrText>
        </w:r>
        <w:r w:rsidR="005744EE">
          <w:rPr>
            <w:noProof/>
            <w:webHidden/>
          </w:rPr>
        </w:r>
        <w:r w:rsidR="005744EE">
          <w:rPr>
            <w:noProof/>
            <w:webHidden/>
          </w:rPr>
          <w:fldChar w:fldCharType="separate"/>
        </w:r>
        <w:r w:rsidR="00C13E1B">
          <w:rPr>
            <w:noProof/>
            <w:webHidden/>
          </w:rPr>
          <w:t>12</w:t>
        </w:r>
        <w:r w:rsidR="005744EE">
          <w:rPr>
            <w:noProof/>
            <w:webHidden/>
          </w:rPr>
          <w:fldChar w:fldCharType="end"/>
        </w:r>
      </w:hyperlink>
    </w:p>
    <w:p w:rsidR="00C13E1B" w:rsidRDefault="00CD27AA">
      <w:pPr>
        <w:pStyle w:val="TOC1"/>
        <w:tabs>
          <w:tab w:val="left" w:pos="1296"/>
          <w:tab w:val="right" w:leader="dot" w:pos="9350"/>
        </w:tabs>
        <w:rPr>
          <w:rFonts w:asciiTheme="minorHAnsi" w:eastAsiaTheme="minorEastAsia" w:hAnsiTheme="minorHAnsi"/>
          <w:noProof/>
        </w:rPr>
      </w:pPr>
      <w:hyperlink w:anchor="_Toc312319491" w:history="1">
        <w:r w:rsidR="00C13E1B" w:rsidRPr="00D3278F">
          <w:rPr>
            <w:rStyle w:val="Hyperlink"/>
            <w:rFonts w:ascii="Times New Roman Bold" w:hAnsi="Times New Roman Bold"/>
            <w:noProof/>
          </w:rPr>
          <w:t>Chapter 2</w:t>
        </w:r>
        <w:r w:rsidR="00C13E1B">
          <w:rPr>
            <w:rFonts w:asciiTheme="minorHAnsi" w:eastAsiaTheme="minorEastAsia" w:hAnsiTheme="minorHAnsi"/>
            <w:noProof/>
          </w:rPr>
          <w:tab/>
        </w:r>
        <w:r w:rsidR="00C13E1B" w:rsidRPr="00D3278F">
          <w:rPr>
            <w:rStyle w:val="Hyperlink"/>
            <w:noProof/>
          </w:rPr>
          <w:t>Composition and depth of the financial system</w:t>
        </w:r>
        <w:r w:rsidR="00C13E1B">
          <w:rPr>
            <w:noProof/>
            <w:webHidden/>
          </w:rPr>
          <w:tab/>
        </w:r>
        <w:r w:rsidR="005744EE">
          <w:rPr>
            <w:noProof/>
            <w:webHidden/>
          </w:rPr>
          <w:fldChar w:fldCharType="begin"/>
        </w:r>
        <w:r w:rsidR="00C13E1B">
          <w:rPr>
            <w:noProof/>
            <w:webHidden/>
          </w:rPr>
          <w:instrText xml:space="preserve"> PAGEREF _Toc312319491 \h </w:instrText>
        </w:r>
        <w:r w:rsidR="005744EE">
          <w:rPr>
            <w:noProof/>
            <w:webHidden/>
          </w:rPr>
        </w:r>
        <w:r w:rsidR="005744EE">
          <w:rPr>
            <w:noProof/>
            <w:webHidden/>
          </w:rPr>
          <w:fldChar w:fldCharType="separate"/>
        </w:r>
        <w:r w:rsidR="00C13E1B">
          <w:rPr>
            <w:noProof/>
            <w:webHidden/>
          </w:rPr>
          <w:t>15</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492" w:history="1">
        <w:r w:rsidR="00C13E1B" w:rsidRPr="00D3278F">
          <w:rPr>
            <w:rStyle w:val="Hyperlink"/>
            <w:noProof/>
          </w:rPr>
          <w:t>2.1</w:t>
        </w:r>
        <w:r w:rsidR="00C13E1B">
          <w:rPr>
            <w:rFonts w:asciiTheme="minorHAnsi" w:eastAsiaTheme="minorEastAsia" w:hAnsiTheme="minorHAnsi"/>
            <w:noProof/>
          </w:rPr>
          <w:tab/>
        </w:r>
        <w:r w:rsidR="00C13E1B" w:rsidRPr="00D3278F">
          <w:rPr>
            <w:rStyle w:val="Hyperlink"/>
            <w:noProof/>
          </w:rPr>
          <w:t>A brief overview over the core players</w:t>
        </w:r>
        <w:r w:rsidR="00C13E1B">
          <w:rPr>
            <w:noProof/>
            <w:webHidden/>
          </w:rPr>
          <w:tab/>
        </w:r>
        <w:r w:rsidR="005744EE">
          <w:rPr>
            <w:noProof/>
            <w:webHidden/>
          </w:rPr>
          <w:fldChar w:fldCharType="begin"/>
        </w:r>
        <w:r w:rsidR="00C13E1B">
          <w:rPr>
            <w:noProof/>
            <w:webHidden/>
          </w:rPr>
          <w:instrText xml:space="preserve"> PAGEREF _Toc312319492 \h </w:instrText>
        </w:r>
        <w:r w:rsidR="005744EE">
          <w:rPr>
            <w:noProof/>
            <w:webHidden/>
          </w:rPr>
        </w:r>
        <w:r w:rsidR="005744EE">
          <w:rPr>
            <w:noProof/>
            <w:webHidden/>
          </w:rPr>
          <w:fldChar w:fldCharType="separate"/>
        </w:r>
        <w:r w:rsidR="00C13E1B">
          <w:rPr>
            <w:noProof/>
            <w:webHidden/>
          </w:rPr>
          <w:t>15</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493" w:history="1">
        <w:r w:rsidR="00C13E1B" w:rsidRPr="00D3278F">
          <w:rPr>
            <w:rStyle w:val="Hyperlink"/>
            <w:noProof/>
          </w:rPr>
          <w:t>2.2</w:t>
        </w:r>
        <w:r w:rsidR="00C13E1B">
          <w:rPr>
            <w:rFonts w:asciiTheme="minorHAnsi" w:eastAsiaTheme="minorEastAsia" w:hAnsiTheme="minorHAnsi"/>
            <w:noProof/>
          </w:rPr>
          <w:tab/>
        </w:r>
        <w:r w:rsidR="00C13E1B" w:rsidRPr="00D3278F">
          <w:rPr>
            <w:rStyle w:val="Hyperlink"/>
            <w:noProof/>
          </w:rPr>
          <w:t>Financial depth and level of financial inclusion – an international comparison</w:t>
        </w:r>
        <w:r w:rsidR="00C13E1B">
          <w:rPr>
            <w:noProof/>
            <w:webHidden/>
          </w:rPr>
          <w:tab/>
        </w:r>
        <w:r w:rsidR="005744EE">
          <w:rPr>
            <w:noProof/>
            <w:webHidden/>
          </w:rPr>
          <w:fldChar w:fldCharType="begin"/>
        </w:r>
        <w:r w:rsidR="00C13E1B">
          <w:rPr>
            <w:noProof/>
            <w:webHidden/>
          </w:rPr>
          <w:instrText xml:space="preserve"> PAGEREF _Toc312319493 \h </w:instrText>
        </w:r>
        <w:r w:rsidR="005744EE">
          <w:rPr>
            <w:noProof/>
            <w:webHidden/>
          </w:rPr>
        </w:r>
        <w:r w:rsidR="005744EE">
          <w:rPr>
            <w:noProof/>
            <w:webHidden/>
          </w:rPr>
          <w:fldChar w:fldCharType="separate"/>
        </w:r>
        <w:r w:rsidR="00C13E1B">
          <w:rPr>
            <w:noProof/>
            <w:webHidden/>
          </w:rPr>
          <w:t>17</w:t>
        </w:r>
        <w:r w:rsidR="005744EE">
          <w:rPr>
            <w:noProof/>
            <w:webHidden/>
          </w:rPr>
          <w:fldChar w:fldCharType="end"/>
        </w:r>
      </w:hyperlink>
    </w:p>
    <w:p w:rsidR="00C13E1B" w:rsidRDefault="00CD27AA">
      <w:pPr>
        <w:pStyle w:val="TOC1"/>
        <w:tabs>
          <w:tab w:val="left" w:pos="1296"/>
          <w:tab w:val="right" w:leader="dot" w:pos="9350"/>
        </w:tabs>
        <w:rPr>
          <w:rFonts w:asciiTheme="minorHAnsi" w:eastAsiaTheme="minorEastAsia" w:hAnsiTheme="minorHAnsi"/>
          <w:noProof/>
        </w:rPr>
      </w:pPr>
      <w:hyperlink w:anchor="_Toc312319494" w:history="1">
        <w:r w:rsidR="00C13E1B" w:rsidRPr="00D3278F">
          <w:rPr>
            <w:rStyle w:val="Hyperlink"/>
            <w:rFonts w:ascii="Times New Roman Bold" w:hAnsi="Times New Roman Bold"/>
            <w:noProof/>
          </w:rPr>
          <w:t>Chapter 3</w:t>
        </w:r>
        <w:r w:rsidR="00C13E1B">
          <w:rPr>
            <w:rFonts w:asciiTheme="minorHAnsi" w:eastAsiaTheme="minorEastAsia" w:hAnsiTheme="minorHAnsi"/>
            <w:noProof/>
          </w:rPr>
          <w:tab/>
        </w:r>
        <w:r w:rsidR="00C13E1B" w:rsidRPr="00D3278F">
          <w:rPr>
            <w:rStyle w:val="Hyperlink"/>
            <w:rFonts w:cs="Times New Roman"/>
            <w:noProof/>
          </w:rPr>
          <w:t>Competition and financial soundness of the financial system</w:t>
        </w:r>
        <w:r w:rsidR="00C13E1B">
          <w:rPr>
            <w:noProof/>
            <w:webHidden/>
          </w:rPr>
          <w:tab/>
        </w:r>
        <w:r w:rsidR="005744EE">
          <w:rPr>
            <w:noProof/>
            <w:webHidden/>
          </w:rPr>
          <w:fldChar w:fldCharType="begin"/>
        </w:r>
        <w:r w:rsidR="00C13E1B">
          <w:rPr>
            <w:noProof/>
            <w:webHidden/>
          </w:rPr>
          <w:instrText xml:space="preserve"> PAGEREF _Toc312319494 \h </w:instrText>
        </w:r>
        <w:r w:rsidR="005744EE">
          <w:rPr>
            <w:noProof/>
            <w:webHidden/>
          </w:rPr>
        </w:r>
        <w:r w:rsidR="005744EE">
          <w:rPr>
            <w:noProof/>
            <w:webHidden/>
          </w:rPr>
          <w:fldChar w:fldCharType="separate"/>
        </w:r>
        <w:r w:rsidR="00C13E1B">
          <w:rPr>
            <w:noProof/>
            <w:webHidden/>
          </w:rPr>
          <w:t>25</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495" w:history="1">
        <w:r w:rsidR="00C13E1B" w:rsidRPr="00D3278F">
          <w:rPr>
            <w:rStyle w:val="Hyperlink"/>
            <w:noProof/>
          </w:rPr>
          <w:t>3.1</w:t>
        </w:r>
        <w:r w:rsidR="00C13E1B">
          <w:rPr>
            <w:rFonts w:asciiTheme="minorHAnsi" w:eastAsiaTheme="minorEastAsia" w:hAnsiTheme="minorHAnsi"/>
            <w:noProof/>
          </w:rPr>
          <w:tab/>
        </w:r>
        <w:r w:rsidR="00C13E1B" w:rsidRPr="00D3278F">
          <w:rPr>
            <w:rStyle w:val="Hyperlink"/>
            <w:noProof/>
          </w:rPr>
          <w:t>Concentration and competition</w:t>
        </w:r>
        <w:r w:rsidR="00C13E1B">
          <w:rPr>
            <w:noProof/>
            <w:webHidden/>
          </w:rPr>
          <w:tab/>
        </w:r>
        <w:r w:rsidR="005744EE">
          <w:rPr>
            <w:noProof/>
            <w:webHidden/>
          </w:rPr>
          <w:fldChar w:fldCharType="begin"/>
        </w:r>
        <w:r w:rsidR="00C13E1B">
          <w:rPr>
            <w:noProof/>
            <w:webHidden/>
          </w:rPr>
          <w:instrText xml:space="preserve"> PAGEREF _Toc312319495 \h </w:instrText>
        </w:r>
        <w:r w:rsidR="005744EE">
          <w:rPr>
            <w:noProof/>
            <w:webHidden/>
          </w:rPr>
        </w:r>
        <w:r w:rsidR="005744EE">
          <w:rPr>
            <w:noProof/>
            <w:webHidden/>
          </w:rPr>
          <w:fldChar w:fldCharType="separate"/>
        </w:r>
        <w:r w:rsidR="00C13E1B">
          <w:rPr>
            <w:noProof/>
            <w:webHidden/>
          </w:rPr>
          <w:t>25</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496" w:history="1">
        <w:r w:rsidR="00C13E1B" w:rsidRPr="00D3278F">
          <w:rPr>
            <w:rStyle w:val="Hyperlink"/>
            <w:noProof/>
          </w:rPr>
          <w:t>3.2</w:t>
        </w:r>
        <w:r w:rsidR="00C13E1B">
          <w:rPr>
            <w:rFonts w:asciiTheme="minorHAnsi" w:eastAsiaTheme="minorEastAsia" w:hAnsiTheme="minorHAnsi"/>
            <w:noProof/>
          </w:rPr>
          <w:tab/>
        </w:r>
        <w:r w:rsidR="00C13E1B" w:rsidRPr="00D3278F">
          <w:rPr>
            <w:rStyle w:val="Hyperlink"/>
            <w:noProof/>
          </w:rPr>
          <w:t>Selected financial soundness indicators and potential vulnerabilities</w:t>
        </w:r>
        <w:r w:rsidR="00C13E1B">
          <w:rPr>
            <w:noProof/>
            <w:webHidden/>
          </w:rPr>
          <w:tab/>
        </w:r>
        <w:r w:rsidR="005744EE">
          <w:rPr>
            <w:noProof/>
            <w:webHidden/>
          </w:rPr>
          <w:fldChar w:fldCharType="begin"/>
        </w:r>
        <w:r w:rsidR="00C13E1B">
          <w:rPr>
            <w:noProof/>
            <w:webHidden/>
          </w:rPr>
          <w:instrText xml:space="preserve"> PAGEREF _Toc312319496 \h </w:instrText>
        </w:r>
        <w:r w:rsidR="005744EE">
          <w:rPr>
            <w:noProof/>
            <w:webHidden/>
          </w:rPr>
        </w:r>
        <w:r w:rsidR="005744EE">
          <w:rPr>
            <w:noProof/>
            <w:webHidden/>
          </w:rPr>
          <w:fldChar w:fldCharType="separate"/>
        </w:r>
        <w:r w:rsidR="00C13E1B">
          <w:rPr>
            <w:noProof/>
            <w:webHidden/>
          </w:rPr>
          <w:t>27</w:t>
        </w:r>
        <w:r w:rsidR="005744EE">
          <w:rPr>
            <w:noProof/>
            <w:webHidden/>
          </w:rPr>
          <w:fldChar w:fldCharType="end"/>
        </w:r>
      </w:hyperlink>
    </w:p>
    <w:p w:rsidR="00C13E1B" w:rsidRDefault="00CD27AA">
      <w:pPr>
        <w:pStyle w:val="TOC1"/>
        <w:tabs>
          <w:tab w:val="left" w:pos="1296"/>
          <w:tab w:val="right" w:leader="dot" w:pos="9350"/>
        </w:tabs>
        <w:rPr>
          <w:rFonts w:asciiTheme="minorHAnsi" w:eastAsiaTheme="minorEastAsia" w:hAnsiTheme="minorHAnsi"/>
          <w:noProof/>
        </w:rPr>
      </w:pPr>
      <w:hyperlink w:anchor="_Toc312319497" w:history="1">
        <w:r w:rsidR="00C13E1B" w:rsidRPr="00D3278F">
          <w:rPr>
            <w:rStyle w:val="Hyperlink"/>
            <w:rFonts w:ascii="Times New Roman Bold" w:hAnsi="Times New Roman Bold"/>
            <w:noProof/>
          </w:rPr>
          <w:t>Chapter 4</w:t>
        </w:r>
        <w:r w:rsidR="00C13E1B">
          <w:rPr>
            <w:rFonts w:asciiTheme="minorHAnsi" w:eastAsiaTheme="minorEastAsia" w:hAnsiTheme="minorHAnsi"/>
            <w:noProof/>
          </w:rPr>
          <w:tab/>
        </w:r>
        <w:r w:rsidR="00C13E1B" w:rsidRPr="00D3278F">
          <w:rPr>
            <w:rStyle w:val="Hyperlink"/>
            <w:rFonts w:cs="Times New Roman"/>
            <w:noProof/>
          </w:rPr>
          <w:t>The regulatory and supervisory framework for the financial sector</w:t>
        </w:r>
        <w:r w:rsidR="00C13E1B">
          <w:rPr>
            <w:noProof/>
            <w:webHidden/>
          </w:rPr>
          <w:tab/>
        </w:r>
        <w:r w:rsidR="005744EE">
          <w:rPr>
            <w:noProof/>
            <w:webHidden/>
          </w:rPr>
          <w:fldChar w:fldCharType="begin"/>
        </w:r>
        <w:r w:rsidR="00C13E1B">
          <w:rPr>
            <w:noProof/>
            <w:webHidden/>
          </w:rPr>
          <w:instrText xml:space="preserve"> PAGEREF _Toc312319497 \h </w:instrText>
        </w:r>
        <w:r w:rsidR="005744EE">
          <w:rPr>
            <w:noProof/>
            <w:webHidden/>
          </w:rPr>
        </w:r>
        <w:r w:rsidR="005744EE">
          <w:rPr>
            <w:noProof/>
            <w:webHidden/>
          </w:rPr>
          <w:fldChar w:fldCharType="separate"/>
        </w:r>
        <w:r w:rsidR="00C13E1B">
          <w:rPr>
            <w:noProof/>
            <w:webHidden/>
          </w:rPr>
          <w:t>35</w:t>
        </w:r>
        <w:r w:rsidR="005744EE">
          <w:rPr>
            <w:noProof/>
            <w:webHidden/>
          </w:rPr>
          <w:fldChar w:fldCharType="end"/>
        </w:r>
      </w:hyperlink>
    </w:p>
    <w:p w:rsidR="00C13E1B" w:rsidRDefault="00CD27AA">
      <w:pPr>
        <w:pStyle w:val="TOC1"/>
        <w:tabs>
          <w:tab w:val="left" w:pos="1296"/>
          <w:tab w:val="right" w:leader="dot" w:pos="9350"/>
        </w:tabs>
        <w:rPr>
          <w:rFonts w:asciiTheme="minorHAnsi" w:eastAsiaTheme="minorEastAsia" w:hAnsiTheme="minorHAnsi"/>
          <w:noProof/>
        </w:rPr>
      </w:pPr>
      <w:hyperlink w:anchor="_Toc312319498" w:history="1">
        <w:r w:rsidR="00C13E1B" w:rsidRPr="00D3278F">
          <w:rPr>
            <w:rStyle w:val="Hyperlink"/>
            <w:rFonts w:ascii="Times New Roman Bold" w:hAnsi="Times New Roman Bold"/>
            <w:noProof/>
          </w:rPr>
          <w:t>Chapter 5</w:t>
        </w:r>
        <w:r w:rsidR="00C13E1B">
          <w:rPr>
            <w:rFonts w:asciiTheme="minorHAnsi" w:eastAsiaTheme="minorEastAsia" w:hAnsiTheme="minorHAnsi"/>
            <w:noProof/>
          </w:rPr>
          <w:tab/>
        </w:r>
        <w:r w:rsidR="00C13E1B" w:rsidRPr="00D3278F">
          <w:rPr>
            <w:rStyle w:val="Hyperlink"/>
            <w:rFonts w:cs="Times New Roman"/>
            <w:noProof/>
          </w:rPr>
          <w:t>Barriers to financial inclusion, in particular in rural areas</w:t>
        </w:r>
        <w:r w:rsidR="00C13E1B">
          <w:rPr>
            <w:noProof/>
            <w:webHidden/>
          </w:rPr>
          <w:tab/>
        </w:r>
        <w:r w:rsidR="005744EE">
          <w:rPr>
            <w:noProof/>
            <w:webHidden/>
          </w:rPr>
          <w:fldChar w:fldCharType="begin"/>
        </w:r>
        <w:r w:rsidR="00C13E1B">
          <w:rPr>
            <w:noProof/>
            <w:webHidden/>
          </w:rPr>
          <w:instrText xml:space="preserve"> PAGEREF _Toc312319498 \h </w:instrText>
        </w:r>
        <w:r w:rsidR="005744EE">
          <w:rPr>
            <w:noProof/>
            <w:webHidden/>
          </w:rPr>
        </w:r>
        <w:r w:rsidR="005744EE">
          <w:rPr>
            <w:noProof/>
            <w:webHidden/>
          </w:rPr>
          <w:fldChar w:fldCharType="separate"/>
        </w:r>
        <w:r w:rsidR="00C13E1B">
          <w:rPr>
            <w:noProof/>
            <w:webHidden/>
          </w:rPr>
          <w:t>41</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499" w:history="1">
        <w:r w:rsidR="00C13E1B" w:rsidRPr="00D3278F">
          <w:rPr>
            <w:rStyle w:val="Hyperlink"/>
            <w:noProof/>
          </w:rPr>
          <w:t>5.1</w:t>
        </w:r>
        <w:r w:rsidR="00C13E1B">
          <w:rPr>
            <w:rFonts w:asciiTheme="minorHAnsi" w:eastAsiaTheme="minorEastAsia" w:hAnsiTheme="minorHAnsi"/>
            <w:noProof/>
          </w:rPr>
          <w:tab/>
        </w:r>
        <w:r w:rsidR="00C13E1B" w:rsidRPr="00D3278F">
          <w:rPr>
            <w:rStyle w:val="Hyperlink"/>
            <w:noProof/>
          </w:rPr>
          <w:t>Structural aspects</w:t>
        </w:r>
        <w:r w:rsidR="00C13E1B">
          <w:rPr>
            <w:noProof/>
            <w:webHidden/>
          </w:rPr>
          <w:tab/>
        </w:r>
        <w:r w:rsidR="005744EE">
          <w:rPr>
            <w:noProof/>
            <w:webHidden/>
          </w:rPr>
          <w:fldChar w:fldCharType="begin"/>
        </w:r>
        <w:r w:rsidR="00C13E1B">
          <w:rPr>
            <w:noProof/>
            <w:webHidden/>
          </w:rPr>
          <w:instrText xml:space="preserve"> PAGEREF _Toc312319499 \h </w:instrText>
        </w:r>
        <w:r w:rsidR="005744EE">
          <w:rPr>
            <w:noProof/>
            <w:webHidden/>
          </w:rPr>
        </w:r>
        <w:r w:rsidR="005744EE">
          <w:rPr>
            <w:noProof/>
            <w:webHidden/>
          </w:rPr>
          <w:fldChar w:fldCharType="separate"/>
        </w:r>
        <w:r w:rsidR="00C13E1B">
          <w:rPr>
            <w:noProof/>
            <w:webHidden/>
          </w:rPr>
          <w:t>41</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500" w:history="1">
        <w:r w:rsidR="00C13E1B" w:rsidRPr="00D3278F">
          <w:rPr>
            <w:rStyle w:val="Hyperlink"/>
            <w:noProof/>
          </w:rPr>
          <w:t>5.2</w:t>
        </w:r>
        <w:r w:rsidR="00C13E1B">
          <w:rPr>
            <w:rFonts w:asciiTheme="minorHAnsi" w:eastAsiaTheme="minorEastAsia" w:hAnsiTheme="minorHAnsi"/>
            <w:noProof/>
          </w:rPr>
          <w:tab/>
        </w:r>
        <w:r w:rsidR="00C13E1B" w:rsidRPr="00D3278F">
          <w:rPr>
            <w:rStyle w:val="Hyperlink"/>
            <w:noProof/>
          </w:rPr>
          <w:t>The available financial infrastructure</w:t>
        </w:r>
        <w:r w:rsidR="00C13E1B">
          <w:rPr>
            <w:noProof/>
            <w:webHidden/>
          </w:rPr>
          <w:tab/>
        </w:r>
        <w:r w:rsidR="005744EE">
          <w:rPr>
            <w:noProof/>
            <w:webHidden/>
          </w:rPr>
          <w:fldChar w:fldCharType="begin"/>
        </w:r>
        <w:r w:rsidR="00C13E1B">
          <w:rPr>
            <w:noProof/>
            <w:webHidden/>
          </w:rPr>
          <w:instrText xml:space="preserve"> PAGEREF _Toc312319500 \h </w:instrText>
        </w:r>
        <w:r w:rsidR="005744EE">
          <w:rPr>
            <w:noProof/>
            <w:webHidden/>
          </w:rPr>
        </w:r>
        <w:r w:rsidR="005744EE">
          <w:rPr>
            <w:noProof/>
            <w:webHidden/>
          </w:rPr>
          <w:fldChar w:fldCharType="separate"/>
        </w:r>
        <w:r w:rsidR="00C13E1B">
          <w:rPr>
            <w:noProof/>
            <w:webHidden/>
          </w:rPr>
          <w:t>44</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501" w:history="1">
        <w:r w:rsidR="00C13E1B" w:rsidRPr="00D3278F">
          <w:rPr>
            <w:rStyle w:val="Hyperlink"/>
            <w:noProof/>
          </w:rPr>
          <w:t>5.3</w:t>
        </w:r>
        <w:r w:rsidR="00C13E1B">
          <w:rPr>
            <w:rFonts w:asciiTheme="minorHAnsi" w:eastAsiaTheme="minorEastAsia" w:hAnsiTheme="minorHAnsi"/>
            <w:noProof/>
          </w:rPr>
          <w:tab/>
        </w:r>
        <w:r w:rsidR="00C13E1B" w:rsidRPr="00D3278F">
          <w:rPr>
            <w:rStyle w:val="Hyperlink"/>
            <w:noProof/>
          </w:rPr>
          <w:t>Demand side factors</w:t>
        </w:r>
        <w:r w:rsidR="00C13E1B">
          <w:rPr>
            <w:noProof/>
            <w:webHidden/>
          </w:rPr>
          <w:tab/>
        </w:r>
        <w:r w:rsidR="005744EE">
          <w:rPr>
            <w:noProof/>
            <w:webHidden/>
          </w:rPr>
          <w:fldChar w:fldCharType="begin"/>
        </w:r>
        <w:r w:rsidR="00C13E1B">
          <w:rPr>
            <w:noProof/>
            <w:webHidden/>
          </w:rPr>
          <w:instrText xml:space="preserve"> PAGEREF _Toc312319501 \h </w:instrText>
        </w:r>
        <w:r w:rsidR="005744EE">
          <w:rPr>
            <w:noProof/>
            <w:webHidden/>
          </w:rPr>
        </w:r>
        <w:r w:rsidR="005744EE">
          <w:rPr>
            <w:noProof/>
            <w:webHidden/>
          </w:rPr>
          <w:fldChar w:fldCharType="separate"/>
        </w:r>
        <w:r w:rsidR="00C13E1B">
          <w:rPr>
            <w:noProof/>
            <w:webHidden/>
          </w:rPr>
          <w:t>50</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502" w:history="1">
        <w:r w:rsidR="00C13E1B" w:rsidRPr="00D3278F">
          <w:rPr>
            <w:rStyle w:val="Hyperlink"/>
            <w:noProof/>
          </w:rPr>
          <w:t>5.4</w:t>
        </w:r>
        <w:r w:rsidR="00C13E1B">
          <w:rPr>
            <w:rFonts w:asciiTheme="minorHAnsi" w:eastAsiaTheme="minorEastAsia" w:hAnsiTheme="minorHAnsi"/>
            <w:noProof/>
          </w:rPr>
          <w:tab/>
        </w:r>
        <w:r w:rsidR="00C13E1B" w:rsidRPr="00D3278F">
          <w:rPr>
            <w:rStyle w:val="Hyperlink"/>
            <w:noProof/>
          </w:rPr>
          <w:t>Moving ahead – Possible options for increasing financial inclusion, in particular in rural areas</w:t>
        </w:r>
        <w:r w:rsidR="00C13E1B">
          <w:rPr>
            <w:noProof/>
            <w:webHidden/>
          </w:rPr>
          <w:tab/>
        </w:r>
        <w:r w:rsidR="005744EE">
          <w:rPr>
            <w:noProof/>
            <w:webHidden/>
          </w:rPr>
          <w:fldChar w:fldCharType="begin"/>
        </w:r>
        <w:r w:rsidR="00C13E1B">
          <w:rPr>
            <w:noProof/>
            <w:webHidden/>
          </w:rPr>
          <w:instrText xml:space="preserve"> PAGEREF _Toc312319502 \h </w:instrText>
        </w:r>
        <w:r w:rsidR="005744EE">
          <w:rPr>
            <w:noProof/>
            <w:webHidden/>
          </w:rPr>
        </w:r>
        <w:r w:rsidR="005744EE">
          <w:rPr>
            <w:noProof/>
            <w:webHidden/>
          </w:rPr>
          <w:fldChar w:fldCharType="separate"/>
        </w:r>
        <w:r w:rsidR="00C13E1B">
          <w:rPr>
            <w:noProof/>
            <w:webHidden/>
          </w:rPr>
          <w:t>51</w:t>
        </w:r>
        <w:r w:rsidR="005744EE">
          <w:rPr>
            <w:noProof/>
            <w:webHidden/>
          </w:rPr>
          <w:fldChar w:fldCharType="end"/>
        </w:r>
      </w:hyperlink>
    </w:p>
    <w:p w:rsidR="00C13E1B" w:rsidRDefault="00CD27AA">
      <w:pPr>
        <w:pStyle w:val="TOC1"/>
        <w:tabs>
          <w:tab w:val="left" w:pos="1296"/>
          <w:tab w:val="right" w:leader="dot" w:pos="9350"/>
        </w:tabs>
        <w:rPr>
          <w:rFonts w:asciiTheme="minorHAnsi" w:eastAsiaTheme="minorEastAsia" w:hAnsiTheme="minorHAnsi"/>
          <w:noProof/>
        </w:rPr>
      </w:pPr>
      <w:hyperlink w:anchor="_Toc312319503" w:history="1">
        <w:r w:rsidR="00C13E1B" w:rsidRPr="00D3278F">
          <w:rPr>
            <w:rStyle w:val="Hyperlink"/>
            <w:rFonts w:ascii="Times New Roman Bold" w:hAnsi="Times New Roman Bold"/>
            <w:noProof/>
          </w:rPr>
          <w:t>Chapter 6</w:t>
        </w:r>
        <w:r w:rsidR="00C13E1B">
          <w:rPr>
            <w:rFonts w:asciiTheme="minorHAnsi" w:eastAsiaTheme="minorEastAsia" w:hAnsiTheme="minorHAnsi"/>
            <w:noProof/>
          </w:rPr>
          <w:tab/>
        </w:r>
        <w:r w:rsidR="00C13E1B" w:rsidRPr="00D3278F">
          <w:rPr>
            <w:rStyle w:val="Hyperlink"/>
            <w:rFonts w:cs="Times New Roman"/>
            <w:noProof/>
          </w:rPr>
          <w:t>Fostering credit to MSMEs</w:t>
        </w:r>
        <w:r w:rsidR="00C13E1B">
          <w:rPr>
            <w:noProof/>
            <w:webHidden/>
          </w:rPr>
          <w:tab/>
        </w:r>
        <w:r w:rsidR="005744EE">
          <w:rPr>
            <w:noProof/>
            <w:webHidden/>
          </w:rPr>
          <w:fldChar w:fldCharType="begin"/>
        </w:r>
        <w:r w:rsidR="00C13E1B">
          <w:rPr>
            <w:noProof/>
            <w:webHidden/>
          </w:rPr>
          <w:instrText xml:space="preserve"> PAGEREF _Toc312319503 \h </w:instrText>
        </w:r>
        <w:r w:rsidR="005744EE">
          <w:rPr>
            <w:noProof/>
            <w:webHidden/>
          </w:rPr>
        </w:r>
        <w:r w:rsidR="005744EE">
          <w:rPr>
            <w:noProof/>
            <w:webHidden/>
          </w:rPr>
          <w:fldChar w:fldCharType="separate"/>
        </w:r>
        <w:r w:rsidR="00C13E1B">
          <w:rPr>
            <w:noProof/>
            <w:webHidden/>
          </w:rPr>
          <w:t>59</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504" w:history="1">
        <w:r w:rsidR="00C13E1B" w:rsidRPr="00D3278F">
          <w:rPr>
            <w:rStyle w:val="Hyperlink"/>
            <w:noProof/>
          </w:rPr>
          <w:t>6.1</w:t>
        </w:r>
        <w:r w:rsidR="00C13E1B">
          <w:rPr>
            <w:rFonts w:asciiTheme="minorHAnsi" w:eastAsiaTheme="minorEastAsia" w:hAnsiTheme="minorHAnsi"/>
            <w:noProof/>
          </w:rPr>
          <w:tab/>
        </w:r>
        <w:r w:rsidR="00C13E1B" w:rsidRPr="00D3278F">
          <w:rPr>
            <w:rStyle w:val="Hyperlink"/>
            <w:noProof/>
          </w:rPr>
          <w:t>Access to credit – Actual situation and evolution over time</w:t>
        </w:r>
        <w:r w:rsidR="00C13E1B">
          <w:rPr>
            <w:noProof/>
            <w:webHidden/>
          </w:rPr>
          <w:tab/>
        </w:r>
        <w:r w:rsidR="005744EE">
          <w:rPr>
            <w:noProof/>
            <w:webHidden/>
          </w:rPr>
          <w:fldChar w:fldCharType="begin"/>
        </w:r>
        <w:r w:rsidR="00C13E1B">
          <w:rPr>
            <w:noProof/>
            <w:webHidden/>
          </w:rPr>
          <w:instrText xml:space="preserve"> PAGEREF _Toc312319504 \h </w:instrText>
        </w:r>
        <w:r w:rsidR="005744EE">
          <w:rPr>
            <w:noProof/>
            <w:webHidden/>
          </w:rPr>
        </w:r>
        <w:r w:rsidR="005744EE">
          <w:rPr>
            <w:noProof/>
            <w:webHidden/>
          </w:rPr>
          <w:fldChar w:fldCharType="separate"/>
        </w:r>
        <w:r w:rsidR="00C13E1B">
          <w:rPr>
            <w:noProof/>
            <w:webHidden/>
          </w:rPr>
          <w:t>60</w:t>
        </w:r>
        <w:r w:rsidR="005744EE">
          <w:rPr>
            <w:noProof/>
            <w:webHidden/>
          </w:rPr>
          <w:fldChar w:fldCharType="end"/>
        </w:r>
      </w:hyperlink>
    </w:p>
    <w:p w:rsidR="00C13E1B" w:rsidRDefault="00CD27AA">
      <w:pPr>
        <w:pStyle w:val="TOC3"/>
        <w:rPr>
          <w:rFonts w:asciiTheme="minorHAnsi" w:eastAsiaTheme="minorEastAsia" w:hAnsiTheme="minorHAnsi"/>
          <w:noProof/>
        </w:rPr>
      </w:pPr>
      <w:hyperlink w:anchor="_Toc312319505" w:history="1">
        <w:r w:rsidR="00C13E1B" w:rsidRPr="00D3278F">
          <w:rPr>
            <w:rStyle w:val="Hyperlink"/>
            <w:noProof/>
          </w:rPr>
          <w:t>6.1.1</w:t>
        </w:r>
        <w:r w:rsidR="00C13E1B">
          <w:rPr>
            <w:rFonts w:asciiTheme="minorHAnsi" w:eastAsiaTheme="minorEastAsia" w:hAnsiTheme="minorHAnsi"/>
            <w:noProof/>
          </w:rPr>
          <w:tab/>
        </w:r>
        <w:r w:rsidR="00C13E1B" w:rsidRPr="00D3278F">
          <w:rPr>
            <w:rStyle w:val="Hyperlink"/>
            <w:noProof/>
          </w:rPr>
          <w:t>Demand for credit</w:t>
        </w:r>
        <w:r w:rsidR="00C13E1B">
          <w:rPr>
            <w:noProof/>
            <w:webHidden/>
          </w:rPr>
          <w:tab/>
        </w:r>
        <w:r w:rsidR="005744EE">
          <w:rPr>
            <w:noProof/>
            <w:webHidden/>
          </w:rPr>
          <w:fldChar w:fldCharType="begin"/>
        </w:r>
        <w:r w:rsidR="00C13E1B">
          <w:rPr>
            <w:noProof/>
            <w:webHidden/>
          </w:rPr>
          <w:instrText xml:space="preserve"> PAGEREF _Toc312319505 \h </w:instrText>
        </w:r>
        <w:r w:rsidR="005744EE">
          <w:rPr>
            <w:noProof/>
            <w:webHidden/>
          </w:rPr>
        </w:r>
        <w:r w:rsidR="005744EE">
          <w:rPr>
            <w:noProof/>
            <w:webHidden/>
          </w:rPr>
          <w:fldChar w:fldCharType="separate"/>
        </w:r>
        <w:r w:rsidR="00C13E1B">
          <w:rPr>
            <w:noProof/>
            <w:webHidden/>
          </w:rPr>
          <w:t>60</w:t>
        </w:r>
        <w:r w:rsidR="005744EE">
          <w:rPr>
            <w:noProof/>
            <w:webHidden/>
          </w:rPr>
          <w:fldChar w:fldCharType="end"/>
        </w:r>
      </w:hyperlink>
    </w:p>
    <w:p w:rsidR="00C13E1B" w:rsidRDefault="00CD27AA">
      <w:pPr>
        <w:pStyle w:val="TOC3"/>
        <w:rPr>
          <w:rFonts w:asciiTheme="minorHAnsi" w:eastAsiaTheme="minorEastAsia" w:hAnsiTheme="minorHAnsi"/>
          <w:noProof/>
        </w:rPr>
      </w:pPr>
      <w:hyperlink w:anchor="_Toc312319506" w:history="1">
        <w:r w:rsidR="00C13E1B" w:rsidRPr="00D3278F">
          <w:rPr>
            <w:rStyle w:val="Hyperlink"/>
            <w:noProof/>
          </w:rPr>
          <w:t>6.1.2</w:t>
        </w:r>
        <w:r w:rsidR="00C13E1B">
          <w:rPr>
            <w:rFonts w:asciiTheme="minorHAnsi" w:eastAsiaTheme="minorEastAsia" w:hAnsiTheme="minorHAnsi"/>
            <w:noProof/>
          </w:rPr>
          <w:tab/>
        </w:r>
        <w:r w:rsidR="00C13E1B" w:rsidRPr="00D3278F">
          <w:rPr>
            <w:rStyle w:val="Hyperlink"/>
            <w:noProof/>
          </w:rPr>
          <w:t>Supply of credit</w:t>
        </w:r>
        <w:r w:rsidR="00C13E1B">
          <w:rPr>
            <w:noProof/>
            <w:webHidden/>
          </w:rPr>
          <w:tab/>
        </w:r>
        <w:r w:rsidR="005744EE">
          <w:rPr>
            <w:noProof/>
            <w:webHidden/>
          </w:rPr>
          <w:fldChar w:fldCharType="begin"/>
        </w:r>
        <w:r w:rsidR="00C13E1B">
          <w:rPr>
            <w:noProof/>
            <w:webHidden/>
          </w:rPr>
          <w:instrText xml:space="preserve"> PAGEREF _Toc312319506 \h </w:instrText>
        </w:r>
        <w:r w:rsidR="005744EE">
          <w:rPr>
            <w:noProof/>
            <w:webHidden/>
          </w:rPr>
        </w:r>
        <w:r w:rsidR="005744EE">
          <w:rPr>
            <w:noProof/>
            <w:webHidden/>
          </w:rPr>
          <w:fldChar w:fldCharType="separate"/>
        </w:r>
        <w:r w:rsidR="00C13E1B">
          <w:rPr>
            <w:noProof/>
            <w:webHidden/>
          </w:rPr>
          <w:t>62</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507" w:history="1">
        <w:r w:rsidR="00C13E1B" w:rsidRPr="00D3278F">
          <w:rPr>
            <w:rStyle w:val="Hyperlink"/>
            <w:noProof/>
          </w:rPr>
          <w:t>6.2</w:t>
        </w:r>
        <w:r w:rsidR="00C13E1B">
          <w:rPr>
            <w:rFonts w:asciiTheme="minorHAnsi" w:eastAsiaTheme="minorEastAsia" w:hAnsiTheme="minorHAnsi"/>
            <w:noProof/>
          </w:rPr>
          <w:tab/>
        </w:r>
        <w:r w:rsidR="00C13E1B" w:rsidRPr="00D3278F">
          <w:rPr>
            <w:rStyle w:val="Hyperlink"/>
            <w:noProof/>
          </w:rPr>
          <w:t>Barriers to credit growth</w:t>
        </w:r>
        <w:r w:rsidR="00C13E1B">
          <w:rPr>
            <w:noProof/>
            <w:webHidden/>
          </w:rPr>
          <w:tab/>
        </w:r>
        <w:r w:rsidR="005744EE">
          <w:rPr>
            <w:noProof/>
            <w:webHidden/>
          </w:rPr>
          <w:fldChar w:fldCharType="begin"/>
        </w:r>
        <w:r w:rsidR="00C13E1B">
          <w:rPr>
            <w:noProof/>
            <w:webHidden/>
          </w:rPr>
          <w:instrText xml:space="preserve"> PAGEREF _Toc312319507 \h </w:instrText>
        </w:r>
        <w:r w:rsidR="005744EE">
          <w:rPr>
            <w:noProof/>
            <w:webHidden/>
          </w:rPr>
        </w:r>
        <w:r w:rsidR="005744EE">
          <w:rPr>
            <w:noProof/>
            <w:webHidden/>
          </w:rPr>
          <w:fldChar w:fldCharType="separate"/>
        </w:r>
        <w:r w:rsidR="00C13E1B">
          <w:rPr>
            <w:noProof/>
            <w:webHidden/>
          </w:rPr>
          <w:t>65</w:t>
        </w:r>
        <w:r w:rsidR="005744EE">
          <w:rPr>
            <w:noProof/>
            <w:webHidden/>
          </w:rPr>
          <w:fldChar w:fldCharType="end"/>
        </w:r>
      </w:hyperlink>
    </w:p>
    <w:p w:rsidR="00C13E1B" w:rsidRDefault="00CD27AA">
      <w:pPr>
        <w:pStyle w:val="TOC3"/>
        <w:rPr>
          <w:rFonts w:asciiTheme="minorHAnsi" w:eastAsiaTheme="minorEastAsia" w:hAnsiTheme="minorHAnsi"/>
          <w:noProof/>
        </w:rPr>
      </w:pPr>
      <w:hyperlink w:anchor="_Toc312319508" w:history="1">
        <w:r w:rsidR="00C13E1B" w:rsidRPr="00D3278F">
          <w:rPr>
            <w:rStyle w:val="Hyperlink"/>
            <w:noProof/>
          </w:rPr>
          <w:t>6.2.1</w:t>
        </w:r>
        <w:r w:rsidR="00C13E1B">
          <w:rPr>
            <w:rFonts w:asciiTheme="minorHAnsi" w:eastAsiaTheme="minorEastAsia" w:hAnsiTheme="minorHAnsi"/>
            <w:noProof/>
          </w:rPr>
          <w:tab/>
        </w:r>
        <w:r w:rsidR="00C13E1B" w:rsidRPr="00D3278F">
          <w:rPr>
            <w:rStyle w:val="Hyperlink"/>
            <w:noProof/>
          </w:rPr>
          <w:t>Core characteristics of the enterprise sector in Bolivia and factors affecting its growth potential</w:t>
        </w:r>
        <w:r w:rsidR="00C13E1B">
          <w:rPr>
            <w:noProof/>
            <w:webHidden/>
          </w:rPr>
          <w:tab/>
        </w:r>
        <w:r w:rsidR="005744EE">
          <w:rPr>
            <w:noProof/>
            <w:webHidden/>
          </w:rPr>
          <w:fldChar w:fldCharType="begin"/>
        </w:r>
        <w:r w:rsidR="00C13E1B">
          <w:rPr>
            <w:noProof/>
            <w:webHidden/>
          </w:rPr>
          <w:instrText xml:space="preserve"> PAGEREF _Toc312319508 \h </w:instrText>
        </w:r>
        <w:r w:rsidR="005744EE">
          <w:rPr>
            <w:noProof/>
            <w:webHidden/>
          </w:rPr>
        </w:r>
        <w:r w:rsidR="005744EE">
          <w:rPr>
            <w:noProof/>
            <w:webHidden/>
          </w:rPr>
          <w:fldChar w:fldCharType="separate"/>
        </w:r>
        <w:r w:rsidR="00C13E1B">
          <w:rPr>
            <w:noProof/>
            <w:webHidden/>
          </w:rPr>
          <w:t>65</w:t>
        </w:r>
        <w:r w:rsidR="005744EE">
          <w:rPr>
            <w:noProof/>
            <w:webHidden/>
          </w:rPr>
          <w:fldChar w:fldCharType="end"/>
        </w:r>
      </w:hyperlink>
    </w:p>
    <w:p w:rsidR="00C13E1B" w:rsidRDefault="00CD27AA">
      <w:pPr>
        <w:pStyle w:val="TOC3"/>
        <w:rPr>
          <w:rFonts w:asciiTheme="minorHAnsi" w:eastAsiaTheme="minorEastAsia" w:hAnsiTheme="minorHAnsi"/>
          <w:noProof/>
        </w:rPr>
      </w:pPr>
      <w:hyperlink w:anchor="_Toc312319509" w:history="1">
        <w:r w:rsidR="00C13E1B" w:rsidRPr="00D3278F">
          <w:rPr>
            <w:rStyle w:val="Hyperlink"/>
            <w:noProof/>
          </w:rPr>
          <w:t>6.2.2</w:t>
        </w:r>
        <w:r w:rsidR="00C13E1B">
          <w:rPr>
            <w:rFonts w:asciiTheme="minorHAnsi" w:eastAsiaTheme="minorEastAsia" w:hAnsiTheme="minorHAnsi"/>
            <w:noProof/>
          </w:rPr>
          <w:tab/>
        </w:r>
        <w:r w:rsidR="00C13E1B" w:rsidRPr="00D3278F">
          <w:rPr>
            <w:rStyle w:val="Hyperlink"/>
            <w:noProof/>
          </w:rPr>
          <w:t>Eligibility and affordability barriers</w:t>
        </w:r>
        <w:r w:rsidR="00C13E1B">
          <w:rPr>
            <w:noProof/>
            <w:webHidden/>
          </w:rPr>
          <w:tab/>
        </w:r>
        <w:r w:rsidR="005744EE">
          <w:rPr>
            <w:noProof/>
            <w:webHidden/>
          </w:rPr>
          <w:fldChar w:fldCharType="begin"/>
        </w:r>
        <w:r w:rsidR="00C13E1B">
          <w:rPr>
            <w:noProof/>
            <w:webHidden/>
          </w:rPr>
          <w:instrText xml:space="preserve"> PAGEREF _Toc312319509 \h </w:instrText>
        </w:r>
        <w:r w:rsidR="005744EE">
          <w:rPr>
            <w:noProof/>
            <w:webHidden/>
          </w:rPr>
        </w:r>
        <w:r w:rsidR="005744EE">
          <w:rPr>
            <w:noProof/>
            <w:webHidden/>
          </w:rPr>
          <w:fldChar w:fldCharType="separate"/>
        </w:r>
        <w:r w:rsidR="00C13E1B">
          <w:rPr>
            <w:noProof/>
            <w:webHidden/>
          </w:rPr>
          <w:t>70</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510" w:history="1">
        <w:r w:rsidR="00C13E1B" w:rsidRPr="00D3278F">
          <w:rPr>
            <w:rStyle w:val="Hyperlink"/>
            <w:noProof/>
          </w:rPr>
          <w:t>6.3</w:t>
        </w:r>
        <w:r w:rsidR="00C13E1B">
          <w:rPr>
            <w:rFonts w:asciiTheme="minorHAnsi" w:eastAsiaTheme="minorEastAsia" w:hAnsiTheme="minorHAnsi"/>
            <w:noProof/>
          </w:rPr>
          <w:tab/>
        </w:r>
        <w:r w:rsidR="00C13E1B" w:rsidRPr="00D3278F">
          <w:rPr>
            <w:rStyle w:val="Hyperlink"/>
            <w:noProof/>
          </w:rPr>
          <w:t>Ongoing and planned government programs</w:t>
        </w:r>
        <w:r w:rsidR="00C13E1B">
          <w:rPr>
            <w:noProof/>
            <w:webHidden/>
          </w:rPr>
          <w:tab/>
        </w:r>
        <w:r w:rsidR="005744EE">
          <w:rPr>
            <w:noProof/>
            <w:webHidden/>
          </w:rPr>
          <w:fldChar w:fldCharType="begin"/>
        </w:r>
        <w:r w:rsidR="00C13E1B">
          <w:rPr>
            <w:noProof/>
            <w:webHidden/>
          </w:rPr>
          <w:instrText xml:space="preserve"> PAGEREF _Toc312319510 \h </w:instrText>
        </w:r>
        <w:r w:rsidR="005744EE">
          <w:rPr>
            <w:noProof/>
            <w:webHidden/>
          </w:rPr>
        </w:r>
        <w:r w:rsidR="005744EE">
          <w:rPr>
            <w:noProof/>
            <w:webHidden/>
          </w:rPr>
          <w:fldChar w:fldCharType="separate"/>
        </w:r>
        <w:r w:rsidR="00C13E1B">
          <w:rPr>
            <w:noProof/>
            <w:webHidden/>
          </w:rPr>
          <w:t>81</w:t>
        </w:r>
        <w:r w:rsidR="005744EE">
          <w:rPr>
            <w:noProof/>
            <w:webHidden/>
          </w:rPr>
          <w:fldChar w:fldCharType="end"/>
        </w:r>
      </w:hyperlink>
    </w:p>
    <w:p w:rsidR="00C13E1B" w:rsidRDefault="00CD27AA">
      <w:pPr>
        <w:pStyle w:val="TOC2"/>
        <w:rPr>
          <w:rFonts w:asciiTheme="minorHAnsi" w:eastAsiaTheme="minorEastAsia" w:hAnsiTheme="minorHAnsi"/>
          <w:noProof/>
        </w:rPr>
      </w:pPr>
      <w:hyperlink w:anchor="_Toc312319511" w:history="1">
        <w:r w:rsidR="00C13E1B" w:rsidRPr="00D3278F">
          <w:rPr>
            <w:rStyle w:val="Hyperlink"/>
            <w:noProof/>
          </w:rPr>
          <w:t>6.4</w:t>
        </w:r>
        <w:r w:rsidR="00C13E1B">
          <w:rPr>
            <w:rFonts w:asciiTheme="minorHAnsi" w:eastAsiaTheme="minorEastAsia" w:hAnsiTheme="minorHAnsi"/>
            <w:noProof/>
          </w:rPr>
          <w:tab/>
        </w:r>
        <w:r w:rsidR="00C13E1B" w:rsidRPr="00D3278F">
          <w:rPr>
            <w:rStyle w:val="Hyperlink"/>
            <w:noProof/>
          </w:rPr>
          <w:t>Moving ahead - options to increase the supply of loans to MSMEs</w:t>
        </w:r>
        <w:r w:rsidR="00C13E1B">
          <w:rPr>
            <w:noProof/>
            <w:webHidden/>
          </w:rPr>
          <w:tab/>
        </w:r>
        <w:r w:rsidR="005744EE">
          <w:rPr>
            <w:noProof/>
            <w:webHidden/>
          </w:rPr>
          <w:fldChar w:fldCharType="begin"/>
        </w:r>
        <w:r w:rsidR="00C13E1B">
          <w:rPr>
            <w:noProof/>
            <w:webHidden/>
          </w:rPr>
          <w:instrText xml:space="preserve"> PAGEREF _Toc312319511 \h </w:instrText>
        </w:r>
        <w:r w:rsidR="005744EE">
          <w:rPr>
            <w:noProof/>
            <w:webHidden/>
          </w:rPr>
        </w:r>
        <w:r w:rsidR="005744EE">
          <w:rPr>
            <w:noProof/>
            <w:webHidden/>
          </w:rPr>
          <w:fldChar w:fldCharType="separate"/>
        </w:r>
        <w:r w:rsidR="00C13E1B">
          <w:rPr>
            <w:noProof/>
            <w:webHidden/>
          </w:rPr>
          <w:t>84</w:t>
        </w:r>
        <w:r w:rsidR="005744EE">
          <w:rPr>
            <w:noProof/>
            <w:webHidden/>
          </w:rPr>
          <w:fldChar w:fldCharType="end"/>
        </w:r>
      </w:hyperlink>
    </w:p>
    <w:p w:rsidR="0034591D" w:rsidRPr="003571FD" w:rsidRDefault="005744EE" w:rsidP="0098603F">
      <w:pPr>
        <w:pStyle w:val="TOC1"/>
        <w:rPr>
          <w:rFonts w:cs="Times New Roman"/>
          <w:b/>
          <w:szCs w:val="24"/>
        </w:rPr>
      </w:pPr>
      <w:r w:rsidRPr="003571FD">
        <w:rPr>
          <w:rFonts w:cs="Times New Roman"/>
          <w:b/>
          <w:sz w:val="20"/>
          <w:szCs w:val="20"/>
        </w:rPr>
        <w:fldChar w:fldCharType="end"/>
      </w:r>
    </w:p>
    <w:p w:rsidR="00064A1B" w:rsidRDefault="00064A1B" w:rsidP="00880D2A">
      <w:pPr>
        <w:jc w:val="center"/>
        <w:rPr>
          <w:rFonts w:ascii="Times New Roman" w:hAnsi="Times New Roman" w:cs="Times New Roman"/>
          <w:b/>
          <w:szCs w:val="24"/>
        </w:rPr>
        <w:sectPr w:rsidR="00064A1B" w:rsidSect="001B543D">
          <w:footerReference w:type="default" r:id="rId12"/>
          <w:footerReference w:type="first" r:id="rId13"/>
          <w:pgSz w:w="12240" w:h="15840"/>
          <w:pgMar w:top="1440" w:right="1440" w:bottom="1440" w:left="1440" w:header="720" w:footer="720" w:gutter="0"/>
          <w:pgNumType w:fmt="lowerRoman" w:start="1"/>
          <w:cols w:space="720"/>
          <w:titlePg/>
          <w:docGrid w:linePitch="360"/>
        </w:sectPr>
      </w:pPr>
    </w:p>
    <w:p w:rsidR="001D3343" w:rsidRPr="003571FD" w:rsidRDefault="001D3343" w:rsidP="001D3343">
      <w:pPr>
        <w:jc w:val="center"/>
        <w:rPr>
          <w:rFonts w:ascii="Times New Roman" w:hAnsi="Times New Roman" w:cs="Times New Roman"/>
          <w:b/>
          <w:sz w:val="28"/>
        </w:rPr>
      </w:pPr>
      <w:r w:rsidRPr="003571FD">
        <w:rPr>
          <w:rFonts w:ascii="Times New Roman" w:hAnsi="Times New Roman" w:cs="Times New Roman"/>
          <w:b/>
          <w:sz w:val="28"/>
        </w:rPr>
        <w:lastRenderedPageBreak/>
        <w:t>List of Charts</w:t>
      </w:r>
    </w:p>
    <w:p w:rsidR="008B67D0" w:rsidRDefault="005744EE">
      <w:pPr>
        <w:pStyle w:val="TableofFigures"/>
        <w:tabs>
          <w:tab w:val="right" w:leader="dot" w:pos="9350"/>
        </w:tabs>
        <w:rPr>
          <w:rFonts w:eastAsiaTheme="minorEastAsia"/>
          <w:noProof/>
        </w:rPr>
      </w:pPr>
      <w:r w:rsidRPr="003571FD">
        <w:rPr>
          <w:rFonts w:cs="Times New Roman"/>
          <w:sz w:val="20"/>
        </w:rPr>
        <w:fldChar w:fldCharType="begin"/>
      </w:r>
      <w:r w:rsidR="001D3343" w:rsidRPr="003571FD">
        <w:rPr>
          <w:rFonts w:cs="Times New Roman"/>
          <w:sz w:val="20"/>
        </w:rPr>
        <w:instrText xml:space="preserve"> TOC \h \z \c "Chart" </w:instrText>
      </w:r>
      <w:r w:rsidRPr="003571FD">
        <w:rPr>
          <w:rFonts w:cs="Times New Roman"/>
          <w:sz w:val="20"/>
        </w:rPr>
        <w:fldChar w:fldCharType="separate"/>
      </w:r>
      <w:hyperlink w:anchor="_Toc312317267" w:history="1">
        <w:r w:rsidR="008B67D0" w:rsidRPr="005332B3">
          <w:rPr>
            <w:rStyle w:val="Hyperlink"/>
            <w:rFonts w:cs="Times New Roman"/>
            <w:noProof/>
          </w:rPr>
          <w:t>Chart 1: Deposits and credit to the private sector (as % of GDP) – an international comparison</w:t>
        </w:r>
        <w:r w:rsidR="008B67D0">
          <w:rPr>
            <w:noProof/>
            <w:webHidden/>
          </w:rPr>
          <w:tab/>
        </w:r>
        <w:r>
          <w:rPr>
            <w:noProof/>
            <w:webHidden/>
          </w:rPr>
          <w:fldChar w:fldCharType="begin"/>
        </w:r>
        <w:r w:rsidR="008B67D0">
          <w:rPr>
            <w:noProof/>
            <w:webHidden/>
          </w:rPr>
          <w:instrText xml:space="preserve"> PAGEREF _Toc312317267 \h </w:instrText>
        </w:r>
        <w:r>
          <w:rPr>
            <w:noProof/>
            <w:webHidden/>
          </w:rPr>
        </w:r>
        <w:r>
          <w:rPr>
            <w:noProof/>
            <w:webHidden/>
          </w:rPr>
          <w:fldChar w:fldCharType="separate"/>
        </w:r>
        <w:r w:rsidR="00064A1B">
          <w:rPr>
            <w:noProof/>
            <w:webHidden/>
          </w:rPr>
          <w:t>3</w:t>
        </w:r>
        <w:r>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68" w:history="1">
        <w:r w:rsidR="008B67D0" w:rsidRPr="005332B3">
          <w:rPr>
            <w:rStyle w:val="Hyperlink"/>
            <w:rFonts w:cs="Times New Roman"/>
            <w:noProof/>
          </w:rPr>
          <w:t>Chart 2: Deposits – international comparison of growth rates and number of accounts</w:t>
        </w:r>
        <w:r w:rsidR="008B67D0">
          <w:rPr>
            <w:noProof/>
            <w:webHidden/>
          </w:rPr>
          <w:tab/>
        </w:r>
        <w:r w:rsidR="005744EE">
          <w:rPr>
            <w:noProof/>
            <w:webHidden/>
          </w:rPr>
          <w:fldChar w:fldCharType="begin"/>
        </w:r>
        <w:r w:rsidR="008B67D0">
          <w:rPr>
            <w:noProof/>
            <w:webHidden/>
          </w:rPr>
          <w:instrText xml:space="preserve"> PAGEREF _Toc312317268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69" w:history="1">
        <w:r w:rsidR="008B67D0" w:rsidRPr="005332B3">
          <w:rPr>
            <w:rStyle w:val="Hyperlink"/>
            <w:rFonts w:cs="Times New Roman"/>
            <w:noProof/>
          </w:rPr>
          <w:t>Chart 3: Credit, deposits and GDP (in billion Bs.)</w:t>
        </w:r>
        <w:r w:rsidR="008B67D0">
          <w:rPr>
            <w:noProof/>
            <w:webHidden/>
          </w:rPr>
          <w:tab/>
        </w:r>
        <w:r w:rsidR="005744EE">
          <w:rPr>
            <w:noProof/>
            <w:webHidden/>
          </w:rPr>
          <w:fldChar w:fldCharType="begin"/>
        </w:r>
        <w:r w:rsidR="008B67D0">
          <w:rPr>
            <w:noProof/>
            <w:webHidden/>
          </w:rPr>
          <w:instrText xml:space="preserve"> PAGEREF _Toc312317269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0" w:history="1">
        <w:r w:rsidR="008B67D0" w:rsidRPr="005332B3">
          <w:rPr>
            <w:rStyle w:val="Hyperlink"/>
            <w:rFonts w:cs="Times New Roman"/>
            <w:noProof/>
          </w:rPr>
          <w:t>Chart 4: Credit – international comparison of growth rates and number of loans</w:t>
        </w:r>
        <w:r w:rsidR="008B67D0">
          <w:rPr>
            <w:noProof/>
            <w:webHidden/>
          </w:rPr>
          <w:tab/>
        </w:r>
        <w:r w:rsidR="005744EE">
          <w:rPr>
            <w:noProof/>
            <w:webHidden/>
          </w:rPr>
          <w:fldChar w:fldCharType="begin"/>
        </w:r>
        <w:r w:rsidR="008B67D0">
          <w:rPr>
            <w:noProof/>
            <w:webHidden/>
          </w:rPr>
          <w:instrText xml:space="preserve"> PAGEREF _Toc312317270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1" w:history="1">
        <w:r w:rsidR="008B67D0" w:rsidRPr="005332B3">
          <w:rPr>
            <w:rStyle w:val="Hyperlink"/>
            <w:rFonts w:cs="Times New Roman"/>
            <w:noProof/>
          </w:rPr>
          <w:t>Chart 5: Branch penetration rates – an international comparison</w:t>
        </w:r>
        <w:r w:rsidR="008B67D0">
          <w:rPr>
            <w:noProof/>
            <w:webHidden/>
          </w:rPr>
          <w:tab/>
        </w:r>
        <w:r w:rsidR="005744EE">
          <w:rPr>
            <w:noProof/>
            <w:webHidden/>
          </w:rPr>
          <w:fldChar w:fldCharType="begin"/>
        </w:r>
        <w:r w:rsidR="008B67D0">
          <w:rPr>
            <w:noProof/>
            <w:webHidden/>
          </w:rPr>
          <w:instrText xml:space="preserve"> PAGEREF _Toc312317271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2" w:history="1">
        <w:r w:rsidR="008B67D0" w:rsidRPr="005332B3">
          <w:rPr>
            <w:rStyle w:val="Hyperlink"/>
            <w:rFonts w:cs="Times New Roman"/>
            <w:noProof/>
          </w:rPr>
          <w:t>Chart 6: ATM and POS – an international comparison</w:t>
        </w:r>
        <w:r w:rsidR="008B67D0">
          <w:rPr>
            <w:noProof/>
            <w:webHidden/>
          </w:rPr>
          <w:tab/>
        </w:r>
        <w:r w:rsidR="005744EE">
          <w:rPr>
            <w:noProof/>
            <w:webHidden/>
          </w:rPr>
          <w:fldChar w:fldCharType="begin"/>
        </w:r>
        <w:r w:rsidR="008B67D0">
          <w:rPr>
            <w:noProof/>
            <w:webHidden/>
          </w:rPr>
          <w:instrText xml:space="preserve"> PAGEREF _Toc312317272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3" w:history="1">
        <w:r w:rsidR="008B67D0" w:rsidRPr="005332B3">
          <w:rPr>
            <w:rStyle w:val="Hyperlink"/>
            <w:rFonts w:cs="Times New Roman"/>
            <w:noProof/>
          </w:rPr>
          <w:t>Chart 7: 3 largest banks’ assets to total assets of formal system</w:t>
        </w:r>
        <w:r w:rsidR="008B67D0">
          <w:rPr>
            <w:noProof/>
            <w:webHidden/>
          </w:rPr>
          <w:tab/>
        </w:r>
        <w:r w:rsidR="005744EE">
          <w:rPr>
            <w:noProof/>
            <w:webHidden/>
          </w:rPr>
          <w:fldChar w:fldCharType="begin"/>
        </w:r>
        <w:r w:rsidR="008B67D0">
          <w:rPr>
            <w:noProof/>
            <w:webHidden/>
          </w:rPr>
          <w:instrText xml:space="preserve"> PAGEREF _Toc312317273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4" w:history="1">
        <w:r w:rsidR="008B67D0" w:rsidRPr="005332B3">
          <w:rPr>
            <w:rStyle w:val="Hyperlink"/>
            <w:rFonts w:cs="Times New Roman"/>
            <w:noProof/>
          </w:rPr>
          <w:t>Chart 8: Capital adequacy – an international comparison and evolution (2005-2010, banks only)</w:t>
        </w:r>
        <w:r w:rsidR="008B67D0">
          <w:rPr>
            <w:noProof/>
            <w:webHidden/>
          </w:rPr>
          <w:tab/>
        </w:r>
        <w:r w:rsidR="005744EE">
          <w:rPr>
            <w:noProof/>
            <w:webHidden/>
          </w:rPr>
          <w:fldChar w:fldCharType="begin"/>
        </w:r>
        <w:r w:rsidR="008B67D0">
          <w:rPr>
            <w:noProof/>
            <w:webHidden/>
          </w:rPr>
          <w:instrText xml:space="preserve"> PAGEREF _Toc312317274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5" w:history="1">
        <w:r w:rsidR="008B67D0" w:rsidRPr="005332B3">
          <w:rPr>
            <w:rStyle w:val="Hyperlink"/>
            <w:rFonts w:cs="Times New Roman"/>
            <w:noProof/>
          </w:rPr>
          <w:t>Chart 9: Return on equity in 2010</w:t>
        </w:r>
        <w:r w:rsidR="008B67D0">
          <w:rPr>
            <w:noProof/>
            <w:webHidden/>
          </w:rPr>
          <w:tab/>
        </w:r>
        <w:r w:rsidR="005744EE">
          <w:rPr>
            <w:noProof/>
            <w:webHidden/>
          </w:rPr>
          <w:fldChar w:fldCharType="begin"/>
        </w:r>
        <w:r w:rsidR="008B67D0">
          <w:rPr>
            <w:noProof/>
            <w:webHidden/>
          </w:rPr>
          <w:instrText xml:space="preserve"> PAGEREF _Toc312317275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6" w:history="1">
        <w:r w:rsidR="008B67D0" w:rsidRPr="005332B3">
          <w:rPr>
            <w:rStyle w:val="Hyperlink"/>
            <w:rFonts w:cs="Times New Roman"/>
            <w:noProof/>
          </w:rPr>
          <w:t>Chart 10: Operating expenses to total assets – an international and domestic comparison</w:t>
        </w:r>
        <w:r w:rsidR="008B67D0">
          <w:rPr>
            <w:noProof/>
            <w:webHidden/>
          </w:rPr>
          <w:tab/>
        </w:r>
        <w:r w:rsidR="005744EE">
          <w:rPr>
            <w:noProof/>
            <w:webHidden/>
          </w:rPr>
          <w:fldChar w:fldCharType="begin"/>
        </w:r>
        <w:r w:rsidR="008B67D0">
          <w:rPr>
            <w:noProof/>
            <w:webHidden/>
          </w:rPr>
          <w:instrText xml:space="preserve"> PAGEREF _Toc312317276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7" w:history="1">
        <w:r w:rsidR="008B67D0" w:rsidRPr="005332B3">
          <w:rPr>
            <w:rStyle w:val="Hyperlink"/>
            <w:rFonts w:cs="Times New Roman"/>
            <w:noProof/>
          </w:rPr>
          <w:t>Chart 11: Liquid assets to total assets – an international and domestic comparison of liquidity of the formal system</w:t>
        </w:r>
        <w:r w:rsidR="008B67D0">
          <w:rPr>
            <w:noProof/>
            <w:webHidden/>
          </w:rPr>
          <w:tab/>
        </w:r>
        <w:r w:rsidR="005744EE">
          <w:rPr>
            <w:noProof/>
            <w:webHidden/>
          </w:rPr>
          <w:fldChar w:fldCharType="begin"/>
        </w:r>
        <w:r w:rsidR="008B67D0">
          <w:rPr>
            <w:noProof/>
            <w:webHidden/>
          </w:rPr>
          <w:instrText xml:space="preserve"> PAGEREF _Toc312317277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8" w:history="1">
        <w:r w:rsidR="008B67D0" w:rsidRPr="005332B3">
          <w:rPr>
            <w:rStyle w:val="Hyperlink"/>
            <w:rFonts w:cs="Times New Roman"/>
            <w:noProof/>
          </w:rPr>
          <w:t>Chart 12: Foreign exchange exposure of balance sheet – by type of financial entity and international comparison</w:t>
        </w:r>
        <w:r w:rsidR="008B67D0">
          <w:rPr>
            <w:noProof/>
            <w:webHidden/>
          </w:rPr>
          <w:tab/>
        </w:r>
        <w:r w:rsidR="005744EE">
          <w:rPr>
            <w:noProof/>
            <w:webHidden/>
          </w:rPr>
          <w:fldChar w:fldCharType="begin"/>
        </w:r>
        <w:r w:rsidR="008B67D0">
          <w:rPr>
            <w:noProof/>
            <w:webHidden/>
          </w:rPr>
          <w:instrText xml:space="preserve"> PAGEREF _Toc312317278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79" w:history="1">
        <w:r w:rsidR="008B67D0" w:rsidRPr="005332B3">
          <w:rPr>
            <w:rStyle w:val="Hyperlink"/>
            <w:rFonts w:cs="Times New Roman"/>
            <w:noProof/>
          </w:rPr>
          <w:t>Chart 13: Non-performing loans and provisioning levels by type of institutions and international comparison</w:t>
        </w:r>
        <w:r w:rsidR="008B67D0">
          <w:rPr>
            <w:noProof/>
            <w:webHidden/>
          </w:rPr>
          <w:tab/>
        </w:r>
        <w:r w:rsidR="005744EE">
          <w:rPr>
            <w:noProof/>
            <w:webHidden/>
          </w:rPr>
          <w:fldChar w:fldCharType="begin"/>
        </w:r>
        <w:r w:rsidR="008B67D0">
          <w:rPr>
            <w:noProof/>
            <w:webHidden/>
          </w:rPr>
          <w:instrText xml:space="preserve"> PAGEREF _Toc312317279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0" w:history="1">
        <w:r w:rsidR="008B67D0" w:rsidRPr="005332B3">
          <w:rPr>
            <w:rStyle w:val="Hyperlink"/>
            <w:rFonts w:cs="Times New Roman"/>
            <w:noProof/>
          </w:rPr>
          <w:t>Chart 14: Overview over long-term indicators that can impede financial access in a country</w:t>
        </w:r>
        <w:r w:rsidR="008B67D0">
          <w:rPr>
            <w:noProof/>
            <w:webHidden/>
          </w:rPr>
          <w:tab/>
        </w:r>
        <w:r w:rsidR="005744EE">
          <w:rPr>
            <w:noProof/>
            <w:webHidden/>
          </w:rPr>
          <w:fldChar w:fldCharType="begin"/>
        </w:r>
        <w:r w:rsidR="008B67D0">
          <w:rPr>
            <w:noProof/>
            <w:webHidden/>
          </w:rPr>
          <w:instrText xml:space="preserve"> PAGEREF _Toc312317280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1" w:history="1">
        <w:r w:rsidR="008B67D0" w:rsidRPr="005332B3">
          <w:rPr>
            <w:rStyle w:val="Hyperlink"/>
            <w:rFonts w:cs="Times New Roman"/>
            <w:noProof/>
          </w:rPr>
          <w:t>Chart 15: Sources of funding of enterprises</w:t>
        </w:r>
        <w:r w:rsidR="008B67D0">
          <w:rPr>
            <w:noProof/>
            <w:webHidden/>
          </w:rPr>
          <w:tab/>
        </w:r>
        <w:r w:rsidR="005744EE">
          <w:rPr>
            <w:noProof/>
            <w:webHidden/>
          </w:rPr>
          <w:fldChar w:fldCharType="begin"/>
        </w:r>
        <w:r w:rsidR="008B67D0">
          <w:rPr>
            <w:noProof/>
            <w:webHidden/>
          </w:rPr>
          <w:instrText xml:space="preserve"> PAGEREF _Toc312317281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2" w:history="1">
        <w:r w:rsidR="008B67D0" w:rsidRPr="005332B3">
          <w:rPr>
            <w:rStyle w:val="Hyperlink"/>
            <w:rFonts w:cs="Times New Roman"/>
            <w:noProof/>
          </w:rPr>
          <w:t>Chart 16: Gross fixed capital formation of the private sector (as % of GDP).</w:t>
        </w:r>
        <w:r w:rsidR="008B67D0">
          <w:rPr>
            <w:noProof/>
            <w:webHidden/>
          </w:rPr>
          <w:tab/>
        </w:r>
        <w:r w:rsidR="005744EE">
          <w:rPr>
            <w:noProof/>
            <w:webHidden/>
          </w:rPr>
          <w:fldChar w:fldCharType="begin"/>
        </w:r>
        <w:r w:rsidR="008B67D0">
          <w:rPr>
            <w:noProof/>
            <w:webHidden/>
          </w:rPr>
          <w:instrText xml:space="preserve"> PAGEREF _Toc312317282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3" w:history="1">
        <w:r w:rsidR="008B67D0" w:rsidRPr="005332B3">
          <w:rPr>
            <w:rStyle w:val="Hyperlink"/>
            <w:rFonts w:cs="Times New Roman"/>
            <w:noProof/>
          </w:rPr>
          <w:t>Chart 17: Evolution of credit by loan size</w:t>
        </w:r>
        <w:r w:rsidR="008B67D0">
          <w:rPr>
            <w:noProof/>
            <w:webHidden/>
          </w:rPr>
          <w:tab/>
        </w:r>
        <w:r w:rsidR="005744EE">
          <w:rPr>
            <w:noProof/>
            <w:webHidden/>
          </w:rPr>
          <w:fldChar w:fldCharType="begin"/>
        </w:r>
        <w:r w:rsidR="008B67D0">
          <w:rPr>
            <w:noProof/>
            <w:webHidden/>
          </w:rPr>
          <w:instrText xml:space="preserve"> PAGEREF _Toc312317283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4" w:history="1">
        <w:r w:rsidR="008B67D0" w:rsidRPr="005332B3">
          <w:rPr>
            <w:rStyle w:val="Hyperlink"/>
            <w:rFonts w:cs="Times New Roman"/>
            <w:noProof/>
          </w:rPr>
          <w:t>Chart 18: Credit growth by type of entity and by department</w:t>
        </w:r>
        <w:r w:rsidR="008B67D0">
          <w:rPr>
            <w:noProof/>
            <w:webHidden/>
          </w:rPr>
          <w:tab/>
        </w:r>
        <w:r w:rsidR="005744EE">
          <w:rPr>
            <w:noProof/>
            <w:webHidden/>
          </w:rPr>
          <w:fldChar w:fldCharType="begin"/>
        </w:r>
        <w:r w:rsidR="008B67D0">
          <w:rPr>
            <w:noProof/>
            <w:webHidden/>
          </w:rPr>
          <w:instrText xml:space="preserve"> PAGEREF _Toc312317284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5" w:history="1">
        <w:r w:rsidR="008B67D0" w:rsidRPr="005332B3">
          <w:rPr>
            <w:rStyle w:val="Hyperlink"/>
            <w:rFonts w:cs="Times New Roman"/>
            <w:noProof/>
          </w:rPr>
          <w:t>Chart 19: Credit by type of loan and sector.</w:t>
        </w:r>
        <w:r w:rsidR="008B67D0">
          <w:rPr>
            <w:noProof/>
            <w:webHidden/>
          </w:rPr>
          <w:tab/>
        </w:r>
        <w:r w:rsidR="005744EE">
          <w:rPr>
            <w:noProof/>
            <w:webHidden/>
          </w:rPr>
          <w:fldChar w:fldCharType="begin"/>
        </w:r>
        <w:r w:rsidR="008B67D0">
          <w:rPr>
            <w:noProof/>
            <w:webHidden/>
          </w:rPr>
          <w:instrText xml:space="preserve"> PAGEREF _Toc312317285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6" w:history="1">
        <w:r w:rsidR="008B67D0" w:rsidRPr="005332B3">
          <w:rPr>
            <w:rStyle w:val="Hyperlink"/>
            <w:rFonts w:cs="Times New Roman"/>
            <w:noProof/>
          </w:rPr>
          <w:t>Chart 20: Firms required to pledge collateral in a percentage of firms that applied for credit</w:t>
        </w:r>
        <w:r w:rsidR="008B67D0">
          <w:rPr>
            <w:noProof/>
            <w:webHidden/>
          </w:rPr>
          <w:tab/>
        </w:r>
        <w:r w:rsidR="005744EE">
          <w:rPr>
            <w:noProof/>
            <w:webHidden/>
          </w:rPr>
          <w:fldChar w:fldCharType="begin"/>
        </w:r>
        <w:r w:rsidR="008B67D0">
          <w:rPr>
            <w:noProof/>
            <w:webHidden/>
          </w:rPr>
          <w:instrText xml:space="preserve"> PAGEREF _Toc312317286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7" w:history="1">
        <w:r w:rsidR="008B67D0" w:rsidRPr="005332B3">
          <w:rPr>
            <w:rStyle w:val="Hyperlink"/>
            <w:rFonts w:cs="Times New Roman"/>
            <w:noProof/>
          </w:rPr>
          <w:t>Chart 21: An overview over the credit bureau infrastructure in Bolivia</w:t>
        </w:r>
        <w:r w:rsidR="008B67D0">
          <w:rPr>
            <w:noProof/>
            <w:webHidden/>
          </w:rPr>
          <w:tab/>
        </w:r>
        <w:r w:rsidR="005744EE">
          <w:rPr>
            <w:noProof/>
            <w:webHidden/>
          </w:rPr>
          <w:fldChar w:fldCharType="begin"/>
        </w:r>
        <w:r w:rsidR="008B67D0">
          <w:rPr>
            <w:noProof/>
            <w:webHidden/>
          </w:rPr>
          <w:instrText xml:space="preserve"> PAGEREF _Toc312317287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8" w:history="1">
        <w:r w:rsidR="008B67D0" w:rsidRPr="005332B3">
          <w:rPr>
            <w:rStyle w:val="Hyperlink"/>
            <w:rFonts w:cs="Times New Roman"/>
            <w:noProof/>
          </w:rPr>
          <w:t>Chart 22: Effective spreads in local currency</w:t>
        </w:r>
        <w:r w:rsidR="008B67D0">
          <w:rPr>
            <w:noProof/>
            <w:webHidden/>
          </w:rPr>
          <w:tab/>
        </w:r>
        <w:r w:rsidR="005744EE">
          <w:rPr>
            <w:noProof/>
            <w:webHidden/>
          </w:rPr>
          <w:fldChar w:fldCharType="begin"/>
        </w:r>
        <w:r w:rsidR="008B67D0">
          <w:rPr>
            <w:noProof/>
            <w:webHidden/>
          </w:rPr>
          <w:instrText xml:space="preserve"> PAGEREF _Toc312317288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289" w:history="1">
        <w:r w:rsidR="008B67D0" w:rsidRPr="005332B3">
          <w:rPr>
            <w:rStyle w:val="Hyperlink"/>
            <w:rFonts w:cs="Times New Roman"/>
            <w:noProof/>
          </w:rPr>
          <w:t>Chart 23: Interest rate – an international comparison</w:t>
        </w:r>
        <w:r w:rsidR="008B67D0">
          <w:rPr>
            <w:noProof/>
            <w:webHidden/>
          </w:rPr>
          <w:tab/>
        </w:r>
        <w:r w:rsidR="005744EE">
          <w:rPr>
            <w:noProof/>
            <w:webHidden/>
          </w:rPr>
          <w:fldChar w:fldCharType="begin"/>
        </w:r>
        <w:r w:rsidR="008B67D0">
          <w:rPr>
            <w:noProof/>
            <w:webHidden/>
          </w:rPr>
          <w:instrText xml:space="preserve"> PAGEREF _Toc312317289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064A1B" w:rsidRDefault="005744EE" w:rsidP="00FB67D0">
      <w:pPr>
        <w:pStyle w:val="TableofFigures"/>
        <w:tabs>
          <w:tab w:val="right" w:leader="dot" w:pos="9350"/>
        </w:tabs>
        <w:spacing w:line="360" w:lineRule="auto"/>
        <w:jc w:val="center"/>
        <w:rPr>
          <w:rFonts w:cs="Times New Roman"/>
          <w:sz w:val="20"/>
        </w:rPr>
      </w:pPr>
      <w:r w:rsidRPr="003571FD">
        <w:rPr>
          <w:rFonts w:cs="Times New Roman"/>
          <w:sz w:val="20"/>
        </w:rPr>
        <w:fldChar w:fldCharType="end"/>
      </w:r>
    </w:p>
    <w:p w:rsidR="001D3343" w:rsidRPr="003571FD" w:rsidRDefault="001D3343" w:rsidP="00FB67D0">
      <w:pPr>
        <w:pStyle w:val="TableofFigures"/>
        <w:tabs>
          <w:tab w:val="right" w:leader="dot" w:pos="9350"/>
        </w:tabs>
        <w:spacing w:line="360" w:lineRule="auto"/>
        <w:jc w:val="center"/>
        <w:rPr>
          <w:rFonts w:cs="Times New Roman"/>
          <w:b/>
          <w:sz w:val="28"/>
        </w:rPr>
      </w:pPr>
      <w:r w:rsidRPr="003571FD">
        <w:rPr>
          <w:rFonts w:cs="Times New Roman"/>
          <w:b/>
          <w:sz w:val="28"/>
        </w:rPr>
        <w:t>List of Tables</w:t>
      </w:r>
    </w:p>
    <w:p w:rsidR="008B67D0" w:rsidRDefault="005744EE">
      <w:pPr>
        <w:pStyle w:val="TableofFigures"/>
        <w:tabs>
          <w:tab w:val="right" w:leader="dot" w:pos="9350"/>
        </w:tabs>
        <w:rPr>
          <w:rFonts w:eastAsiaTheme="minorEastAsia"/>
          <w:noProof/>
        </w:rPr>
      </w:pPr>
      <w:r w:rsidRPr="003571FD">
        <w:rPr>
          <w:rFonts w:cs="Times New Roman"/>
          <w:sz w:val="20"/>
        </w:rPr>
        <w:fldChar w:fldCharType="begin"/>
      </w:r>
      <w:r w:rsidR="001D3343" w:rsidRPr="003571FD">
        <w:rPr>
          <w:rFonts w:cs="Times New Roman"/>
          <w:sz w:val="20"/>
        </w:rPr>
        <w:instrText xml:space="preserve"> TOC \h \z \c "Table" </w:instrText>
      </w:r>
      <w:r w:rsidRPr="003571FD">
        <w:rPr>
          <w:rFonts w:cs="Times New Roman"/>
          <w:sz w:val="20"/>
        </w:rPr>
        <w:fldChar w:fldCharType="separate"/>
      </w:r>
      <w:hyperlink w:anchor="_Toc312317348" w:history="1">
        <w:r w:rsidR="008B67D0" w:rsidRPr="002B5A97">
          <w:rPr>
            <w:rStyle w:val="Hyperlink"/>
            <w:rFonts w:cs="Times New Roman"/>
            <w:noProof/>
          </w:rPr>
          <w:t>Table 1: Composition of Bolivia's financial system (November 2010, excluding insurance, pensions capital market and the second tier public bank)</w:t>
        </w:r>
        <w:r w:rsidR="008B67D0">
          <w:rPr>
            <w:noProof/>
            <w:webHidden/>
          </w:rPr>
          <w:tab/>
        </w:r>
        <w:r>
          <w:rPr>
            <w:noProof/>
            <w:webHidden/>
          </w:rPr>
          <w:fldChar w:fldCharType="begin"/>
        </w:r>
        <w:r w:rsidR="008B67D0">
          <w:rPr>
            <w:noProof/>
            <w:webHidden/>
          </w:rPr>
          <w:instrText xml:space="preserve"> PAGEREF _Toc312317348 \h </w:instrText>
        </w:r>
        <w:r>
          <w:rPr>
            <w:noProof/>
            <w:webHidden/>
          </w:rPr>
        </w:r>
        <w:r>
          <w:rPr>
            <w:noProof/>
            <w:webHidden/>
          </w:rPr>
          <w:fldChar w:fldCharType="separate"/>
        </w:r>
        <w:r w:rsidR="00064A1B">
          <w:rPr>
            <w:noProof/>
            <w:webHidden/>
          </w:rPr>
          <w:t>3</w:t>
        </w:r>
        <w:r>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49" w:history="1">
        <w:r w:rsidR="008B67D0" w:rsidRPr="002B5A97">
          <w:rPr>
            <w:rStyle w:val="Hyperlink"/>
            <w:rFonts w:cs="Times New Roman"/>
            <w:noProof/>
          </w:rPr>
          <w:t>Table 2: Survey results for formal enterprise’s access to credit from formal financial institutions</w:t>
        </w:r>
        <w:r w:rsidR="008B67D0">
          <w:rPr>
            <w:noProof/>
            <w:webHidden/>
          </w:rPr>
          <w:tab/>
        </w:r>
        <w:r w:rsidR="005744EE">
          <w:rPr>
            <w:noProof/>
            <w:webHidden/>
          </w:rPr>
          <w:fldChar w:fldCharType="begin"/>
        </w:r>
        <w:r w:rsidR="008B67D0">
          <w:rPr>
            <w:noProof/>
            <w:webHidden/>
          </w:rPr>
          <w:instrText xml:space="preserve"> PAGEREF _Toc312317349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0" w:history="1">
        <w:r w:rsidR="008B67D0" w:rsidRPr="002B5A97">
          <w:rPr>
            <w:rStyle w:val="Hyperlink"/>
            <w:rFonts w:cs="Times New Roman"/>
            <w:noProof/>
          </w:rPr>
          <w:t>Table 3: Evolution of branches in the formal financial system by department</w:t>
        </w:r>
        <w:r w:rsidR="008B67D0">
          <w:rPr>
            <w:noProof/>
            <w:webHidden/>
          </w:rPr>
          <w:tab/>
        </w:r>
        <w:r w:rsidR="005744EE">
          <w:rPr>
            <w:noProof/>
            <w:webHidden/>
          </w:rPr>
          <w:fldChar w:fldCharType="begin"/>
        </w:r>
        <w:r w:rsidR="008B67D0">
          <w:rPr>
            <w:noProof/>
            <w:webHidden/>
          </w:rPr>
          <w:instrText xml:space="preserve"> PAGEREF _Toc312317350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1" w:history="1">
        <w:r w:rsidR="008B67D0" w:rsidRPr="002B5A97">
          <w:rPr>
            <w:rStyle w:val="Hyperlink"/>
            <w:rFonts w:cs="Times New Roman"/>
            <w:noProof/>
          </w:rPr>
          <w:t>Table 4: Evolution of payment system infrastructure in Bolivia (2004-2009)</w:t>
        </w:r>
        <w:r w:rsidR="008B67D0">
          <w:rPr>
            <w:noProof/>
            <w:webHidden/>
          </w:rPr>
          <w:tab/>
        </w:r>
        <w:r w:rsidR="005744EE">
          <w:rPr>
            <w:noProof/>
            <w:webHidden/>
          </w:rPr>
          <w:fldChar w:fldCharType="begin"/>
        </w:r>
        <w:r w:rsidR="008B67D0">
          <w:rPr>
            <w:noProof/>
            <w:webHidden/>
          </w:rPr>
          <w:instrText xml:space="preserve"> PAGEREF _Toc312317351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2" w:history="1">
        <w:r w:rsidR="008B67D0" w:rsidRPr="002B5A97">
          <w:rPr>
            <w:rStyle w:val="Hyperlink"/>
            <w:rFonts w:cs="Times New Roman"/>
            <w:noProof/>
          </w:rPr>
          <w:t>Table 5: Market shares (for credit) of financial entities by department</w:t>
        </w:r>
        <w:r w:rsidR="008B67D0">
          <w:rPr>
            <w:noProof/>
            <w:webHidden/>
          </w:rPr>
          <w:tab/>
        </w:r>
        <w:r w:rsidR="005744EE">
          <w:rPr>
            <w:noProof/>
            <w:webHidden/>
          </w:rPr>
          <w:fldChar w:fldCharType="begin"/>
        </w:r>
        <w:r w:rsidR="008B67D0">
          <w:rPr>
            <w:noProof/>
            <w:webHidden/>
          </w:rPr>
          <w:instrText xml:space="preserve"> PAGEREF _Toc312317352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3" w:history="1">
        <w:r w:rsidR="008B67D0" w:rsidRPr="002B5A97">
          <w:rPr>
            <w:rStyle w:val="Hyperlink"/>
            <w:rFonts w:cs="Times New Roman"/>
            <w:noProof/>
          </w:rPr>
          <w:t>Table 6: Market segmentation</w:t>
        </w:r>
        <w:r w:rsidR="008B67D0">
          <w:rPr>
            <w:noProof/>
            <w:webHidden/>
          </w:rPr>
          <w:tab/>
        </w:r>
        <w:r w:rsidR="005744EE">
          <w:rPr>
            <w:noProof/>
            <w:webHidden/>
          </w:rPr>
          <w:fldChar w:fldCharType="begin"/>
        </w:r>
        <w:r w:rsidR="008B67D0">
          <w:rPr>
            <w:noProof/>
            <w:webHidden/>
          </w:rPr>
          <w:instrText xml:space="preserve"> PAGEREF _Toc312317353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4" w:history="1">
        <w:r w:rsidR="008B67D0" w:rsidRPr="002B5A97">
          <w:rPr>
            <w:rStyle w:val="Hyperlink"/>
            <w:rFonts w:cs="Times New Roman"/>
            <w:noProof/>
          </w:rPr>
          <w:t>Table 7: Municipalities in Bolivia by inhabitants</w:t>
        </w:r>
        <w:r w:rsidR="008B67D0">
          <w:rPr>
            <w:noProof/>
            <w:webHidden/>
          </w:rPr>
          <w:tab/>
        </w:r>
        <w:r w:rsidR="005744EE">
          <w:rPr>
            <w:noProof/>
            <w:webHidden/>
          </w:rPr>
          <w:fldChar w:fldCharType="begin"/>
        </w:r>
        <w:r w:rsidR="008B67D0">
          <w:rPr>
            <w:noProof/>
            <w:webHidden/>
          </w:rPr>
          <w:instrText xml:space="preserve"> PAGEREF _Toc312317354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5" w:history="1">
        <w:r w:rsidR="008B67D0" w:rsidRPr="002B5A97">
          <w:rPr>
            <w:rStyle w:val="Hyperlink"/>
            <w:rFonts w:cs="Times New Roman"/>
            <w:noProof/>
          </w:rPr>
          <w:t>Table 8: Evolution of service points in the formal financial system</w:t>
        </w:r>
        <w:r w:rsidR="008B67D0">
          <w:rPr>
            <w:noProof/>
            <w:webHidden/>
          </w:rPr>
          <w:tab/>
        </w:r>
        <w:r w:rsidR="005744EE">
          <w:rPr>
            <w:noProof/>
            <w:webHidden/>
          </w:rPr>
          <w:fldChar w:fldCharType="begin"/>
        </w:r>
        <w:r w:rsidR="008B67D0">
          <w:rPr>
            <w:noProof/>
            <w:webHidden/>
          </w:rPr>
          <w:instrText xml:space="preserve"> PAGEREF _Toc312317355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6" w:history="1">
        <w:r w:rsidR="008B67D0" w:rsidRPr="002B5A97">
          <w:rPr>
            <w:rStyle w:val="Hyperlink"/>
            <w:rFonts w:cs="Times New Roman"/>
            <w:noProof/>
          </w:rPr>
          <w:t>Table 9: Evolution of ATMs by type of financial entity</w:t>
        </w:r>
        <w:r w:rsidR="008B67D0">
          <w:rPr>
            <w:noProof/>
            <w:webHidden/>
          </w:rPr>
          <w:tab/>
        </w:r>
        <w:r w:rsidR="005744EE">
          <w:rPr>
            <w:noProof/>
            <w:webHidden/>
          </w:rPr>
          <w:fldChar w:fldCharType="begin"/>
        </w:r>
        <w:r w:rsidR="008B67D0">
          <w:rPr>
            <w:noProof/>
            <w:webHidden/>
          </w:rPr>
          <w:instrText xml:space="preserve"> PAGEREF _Toc312317356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7" w:history="1">
        <w:r w:rsidR="008B67D0" w:rsidRPr="002B5A97">
          <w:rPr>
            <w:rStyle w:val="Hyperlink"/>
            <w:rFonts w:cs="Times New Roman"/>
            <w:noProof/>
          </w:rPr>
          <w:t>Table 10: Evolution of non-performing loans (NPLs) by sector</w:t>
        </w:r>
        <w:r w:rsidR="008B67D0">
          <w:rPr>
            <w:noProof/>
            <w:webHidden/>
          </w:rPr>
          <w:tab/>
        </w:r>
        <w:r w:rsidR="005744EE">
          <w:rPr>
            <w:noProof/>
            <w:webHidden/>
          </w:rPr>
          <w:fldChar w:fldCharType="begin"/>
        </w:r>
        <w:r w:rsidR="008B67D0">
          <w:rPr>
            <w:noProof/>
            <w:webHidden/>
          </w:rPr>
          <w:instrText xml:space="preserve"> PAGEREF _Toc312317357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8" w:history="1">
        <w:r w:rsidR="008B67D0" w:rsidRPr="002B5A97">
          <w:rPr>
            <w:rStyle w:val="Hyperlink"/>
            <w:rFonts w:cs="Times New Roman"/>
            <w:noProof/>
          </w:rPr>
          <w:t>Table 11: Formal enterprises by type</w:t>
        </w:r>
        <w:r w:rsidR="008B67D0">
          <w:rPr>
            <w:noProof/>
            <w:webHidden/>
          </w:rPr>
          <w:tab/>
        </w:r>
        <w:r w:rsidR="005744EE">
          <w:rPr>
            <w:noProof/>
            <w:webHidden/>
          </w:rPr>
          <w:fldChar w:fldCharType="begin"/>
        </w:r>
        <w:r w:rsidR="008B67D0">
          <w:rPr>
            <w:noProof/>
            <w:webHidden/>
          </w:rPr>
          <w:instrText xml:space="preserve"> PAGEREF _Toc312317358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59" w:history="1">
        <w:r w:rsidR="008B67D0" w:rsidRPr="002B5A97">
          <w:rPr>
            <w:rStyle w:val="Hyperlink"/>
            <w:rFonts w:cs="Times New Roman"/>
            <w:noProof/>
          </w:rPr>
          <w:t>Table 12: Core results of a survey on levels of information in enterprises in six sectors of the economy (in percent)</w:t>
        </w:r>
        <w:r w:rsidR="008B67D0">
          <w:rPr>
            <w:noProof/>
            <w:webHidden/>
          </w:rPr>
          <w:tab/>
        </w:r>
        <w:r w:rsidR="005744EE">
          <w:rPr>
            <w:noProof/>
            <w:webHidden/>
          </w:rPr>
          <w:fldChar w:fldCharType="begin"/>
        </w:r>
        <w:r w:rsidR="008B67D0">
          <w:rPr>
            <w:noProof/>
            <w:webHidden/>
          </w:rPr>
          <w:instrText xml:space="preserve"> PAGEREF _Toc312317359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pPr>
        <w:pStyle w:val="TableofFigures"/>
        <w:tabs>
          <w:tab w:val="right" w:leader="dot" w:pos="9350"/>
        </w:tabs>
        <w:rPr>
          <w:rFonts w:eastAsiaTheme="minorEastAsia"/>
          <w:noProof/>
        </w:rPr>
      </w:pPr>
      <w:hyperlink w:anchor="_Toc312317360" w:history="1">
        <w:r w:rsidR="008B67D0" w:rsidRPr="002B5A97">
          <w:rPr>
            <w:rStyle w:val="Hyperlink"/>
            <w:rFonts w:cs="Times New Roman"/>
            <w:noProof/>
          </w:rPr>
          <w:t>Table 13: Share of collateral in loan portfolio (November 2010)</w:t>
        </w:r>
        <w:r w:rsidR="008B67D0">
          <w:rPr>
            <w:noProof/>
            <w:webHidden/>
          </w:rPr>
          <w:tab/>
        </w:r>
        <w:r w:rsidR="005744EE">
          <w:rPr>
            <w:noProof/>
            <w:webHidden/>
          </w:rPr>
          <w:fldChar w:fldCharType="begin"/>
        </w:r>
        <w:r w:rsidR="008B67D0">
          <w:rPr>
            <w:noProof/>
            <w:webHidden/>
          </w:rPr>
          <w:instrText xml:space="preserve"> PAGEREF _Toc312317360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064A1B" w:rsidRDefault="005744EE" w:rsidP="00064A1B">
      <w:pPr>
        <w:pStyle w:val="TableofFigures"/>
        <w:tabs>
          <w:tab w:val="right" w:leader="dot" w:pos="9350"/>
        </w:tabs>
        <w:spacing w:line="360" w:lineRule="auto"/>
        <w:rPr>
          <w:rFonts w:cs="Times New Roman"/>
          <w:sz w:val="20"/>
        </w:rPr>
      </w:pPr>
      <w:r w:rsidRPr="003571FD">
        <w:rPr>
          <w:rFonts w:cs="Times New Roman"/>
          <w:sz w:val="20"/>
        </w:rPr>
        <w:fldChar w:fldCharType="end"/>
      </w:r>
    </w:p>
    <w:p w:rsidR="001D3343" w:rsidRPr="003571FD" w:rsidRDefault="001D3343" w:rsidP="00064A1B">
      <w:pPr>
        <w:pStyle w:val="TableofFigures"/>
        <w:tabs>
          <w:tab w:val="right" w:leader="dot" w:pos="9350"/>
        </w:tabs>
        <w:spacing w:line="360" w:lineRule="auto"/>
        <w:jc w:val="center"/>
        <w:rPr>
          <w:rFonts w:cs="Times New Roman"/>
          <w:b/>
          <w:sz w:val="28"/>
        </w:rPr>
      </w:pPr>
      <w:r w:rsidRPr="003571FD">
        <w:rPr>
          <w:rFonts w:cs="Times New Roman"/>
          <w:b/>
          <w:sz w:val="28"/>
        </w:rPr>
        <w:t>List of Text Boxes</w:t>
      </w:r>
    </w:p>
    <w:p w:rsidR="008B67D0" w:rsidRDefault="005744EE" w:rsidP="008B67D0">
      <w:pPr>
        <w:pStyle w:val="TableofFigures"/>
        <w:keepNext/>
        <w:tabs>
          <w:tab w:val="right" w:leader="dot" w:pos="9350"/>
        </w:tabs>
        <w:rPr>
          <w:rFonts w:eastAsiaTheme="minorEastAsia"/>
          <w:noProof/>
        </w:rPr>
      </w:pPr>
      <w:r w:rsidRPr="003571FD">
        <w:rPr>
          <w:rFonts w:cs="Times New Roman"/>
          <w:noProof/>
          <w:sz w:val="20"/>
        </w:rPr>
        <w:fldChar w:fldCharType="begin"/>
      </w:r>
      <w:r w:rsidR="001D3343" w:rsidRPr="003571FD">
        <w:rPr>
          <w:rFonts w:cs="Times New Roman"/>
          <w:noProof/>
          <w:sz w:val="20"/>
        </w:rPr>
        <w:instrText xml:space="preserve"> TOC \h \z \c "Text Box" </w:instrText>
      </w:r>
      <w:r w:rsidRPr="003571FD">
        <w:rPr>
          <w:rFonts w:cs="Times New Roman"/>
          <w:noProof/>
          <w:sz w:val="20"/>
        </w:rPr>
        <w:fldChar w:fldCharType="separate"/>
      </w:r>
      <w:hyperlink w:anchor="_Toc312317341" w:history="1">
        <w:r w:rsidR="008B67D0" w:rsidRPr="00341B55">
          <w:rPr>
            <w:rStyle w:val="Hyperlink"/>
            <w:rFonts w:cs="Times New Roman"/>
            <w:noProof/>
          </w:rPr>
          <w:t>Text Box 1: Recent experiences with bank runs in Bolivia</w:t>
        </w:r>
        <w:r w:rsidR="008B67D0">
          <w:rPr>
            <w:noProof/>
            <w:webHidden/>
          </w:rPr>
          <w:tab/>
        </w:r>
        <w:r>
          <w:rPr>
            <w:noProof/>
            <w:webHidden/>
          </w:rPr>
          <w:fldChar w:fldCharType="begin"/>
        </w:r>
        <w:r w:rsidR="008B67D0">
          <w:rPr>
            <w:noProof/>
            <w:webHidden/>
          </w:rPr>
          <w:instrText xml:space="preserve"> PAGEREF _Toc312317341 \h </w:instrText>
        </w:r>
        <w:r>
          <w:rPr>
            <w:noProof/>
            <w:webHidden/>
          </w:rPr>
        </w:r>
        <w:r>
          <w:rPr>
            <w:noProof/>
            <w:webHidden/>
          </w:rPr>
          <w:fldChar w:fldCharType="separate"/>
        </w:r>
        <w:r w:rsidR="00064A1B">
          <w:rPr>
            <w:noProof/>
            <w:webHidden/>
          </w:rPr>
          <w:t>3</w:t>
        </w:r>
        <w:r>
          <w:rPr>
            <w:noProof/>
            <w:webHidden/>
          </w:rPr>
          <w:fldChar w:fldCharType="end"/>
        </w:r>
      </w:hyperlink>
    </w:p>
    <w:p w:rsidR="008B67D0" w:rsidRDefault="00CD27AA" w:rsidP="008B67D0">
      <w:pPr>
        <w:pStyle w:val="TableofFigures"/>
        <w:keepNext/>
        <w:tabs>
          <w:tab w:val="right" w:leader="dot" w:pos="9350"/>
        </w:tabs>
        <w:rPr>
          <w:rFonts w:eastAsiaTheme="minorEastAsia"/>
          <w:noProof/>
        </w:rPr>
      </w:pPr>
      <w:hyperlink w:anchor="_Toc312317342" w:history="1">
        <w:r w:rsidR="008B67D0" w:rsidRPr="00341B55">
          <w:rPr>
            <w:rStyle w:val="Hyperlink"/>
            <w:rFonts w:cs="Times New Roman"/>
            <w:noProof/>
          </w:rPr>
          <w:t xml:space="preserve">Text Box 2: </w:t>
        </w:r>
        <w:r w:rsidR="008B67D0" w:rsidRPr="00341B55">
          <w:rPr>
            <w:rStyle w:val="Hyperlink"/>
            <w:rFonts w:cs="Times New Roman"/>
            <w:i/>
            <w:noProof/>
          </w:rPr>
          <w:t>Banco Union</w:t>
        </w:r>
        <w:r w:rsidR="008B67D0">
          <w:rPr>
            <w:noProof/>
            <w:webHidden/>
          </w:rPr>
          <w:tab/>
        </w:r>
        <w:r w:rsidR="005744EE">
          <w:rPr>
            <w:noProof/>
            <w:webHidden/>
          </w:rPr>
          <w:fldChar w:fldCharType="begin"/>
        </w:r>
        <w:r w:rsidR="008B67D0">
          <w:rPr>
            <w:noProof/>
            <w:webHidden/>
          </w:rPr>
          <w:instrText xml:space="preserve"> PAGEREF _Toc312317342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rsidP="008B67D0">
      <w:pPr>
        <w:pStyle w:val="TableofFigures"/>
        <w:keepNext/>
        <w:tabs>
          <w:tab w:val="right" w:leader="dot" w:pos="9350"/>
        </w:tabs>
        <w:rPr>
          <w:rFonts w:eastAsiaTheme="minorEastAsia"/>
          <w:noProof/>
        </w:rPr>
      </w:pPr>
      <w:hyperlink w:anchor="_Toc312317343" w:history="1">
        <w:r w:rsidR="008B67D0" w:rsidRPr="00341B55">
          <w:rPr>
            <w:rStyle w:val="Hyperlink"/>
            <w:rFonts w:cs="Times New Roman"/>
            <w:noProof/>
          </w:rPr>
          <w:t>Text Box 3: Reform measures in India to increase financial inclusion</w:t>
        </w:r>
        <w:r w:rsidR="008B67D0">
          <w:rPr>
            <w:noProof/>
            <w:webHidden/>
          </w:rPr>
          <w:tab/>
        </w:r>
        <w:r w:rsidR="005744EE">
          <w:rPr>
            <w:noProof/>
            <w:webHidden/>
          </w:rPr>
          <w:fldChar w:fldCharType="begin"/>
        </w:r>
        <w:r w:rsidR="008B67D0">
          <w:rPr>
            <w:noProof/>
            <w:webHidden/>
          </w:rPr>
          <w:instrText xml:space="preserve"> PAGEREF _Toc312317343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rsidP="008B67D0">
      <w:pPr>
        <w:pStyle w:val="TableofFigures"/>
        <w:keepNext/>
        <w:tabs>
          <w:tab w:val="right" w:leader="dot" w:pos="9350"/>
        </w:tabs>
        <w:rPr>
          <w:rFonts w:eastAsiaTheme="minorEastAsia"/>
          <w:noProof/>
        </w:rPr>
      </w:pPr>
      <w:hyperlink w:anchor="_Toc312317344" w:history="1">
        <w:r w:rsidR="008B67D0" w:rsidRPr="00341B55">
          <w:rPr>
            <w:rStyle w:val="Hyperlink"/>
            <w:rFonts w:cs="Times New Roman"/>
            <w:noProof/>
          </w:rPr>
          <w:t>Text Box 4: Access to financial services within value chains</w:t>
        </w:r>
        <w:r w:rsidR="008B67D0">
          <w:rPr>
            <w:noProof/>
            <w:webHidden/>
          </w:rPr>
          <w:tab/>
        </w:r>
        <w:r w:rsidR="005744EE">
          <w:rPr>
            <w:noProof/>
            <w:webHidden/>
          </w:rPr>
          <w:fldChar w:fldCharType="begin"/>
        </w:r>
        <w:r w:rsidR="008B67D0">
          <w:rPr>
            <w:noProof/>
            <w:webHidden/>
          </w:rPr>
          <w:instrText xml:space="preserve"> PAGEREF _Toc312317344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rsidP="008B67D0">
      <w:pPr>
        <w:pStyle w:val="TableofFigures"/>
        <w:keepNext/>
        <w:tabs>
          <w:tab w:val="right" w:leader="dot" w:pos="9350"/>
        </w:tabs>
        <w:rPr>
          <w:rFonts w:eastAsiaTheme="minorEastAsia"/>
          <w:noProof/>
        </w:rPr>
      </w:pPr>
      <w:hyperlink w:anchor="_Toc312317345" w:history="1">
        <w:r w:rsidR="008B67D0" w:rsidRPr="00341B55">
          <w:rPr>
            <w:rStyle w:val="Hyperlink"/>
            <w:rFonts w:cs="Times New Roman"/>
            <w:noProof/>
          </w:rPr>
          <w:t>Text Box 5: Example of reforms to use of movable assets as collateral</w:t>
        </w:r>
        <w:r w:rsidR="008B67D0">
          <w:rPr>
            <w:noProof/>
            <w:webHidden/>
          </w:rPr>
          <w:tab/>
        </w:r>
        <w:r w:rsidR="005744EE">
          <w:rPr>
            <w:noProof/>
            <w:webHidden/>
          </w:rPr>
          <w:fldChar w:fldCharType="begin"/>
        </w:r>
        <w:r w:rsidR="008B67D0">
          <w:rPr>
            <w:noProof/>
            <w:webHidden/>
          </w:rPr>
          <w:instrText xml:space="preserve"> PAGEREF _Toc312317345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rsidP="008B67D0">
      <w:pPr>
        <w:pStyle w:val="TableofFigures"/>
        <w:keepNext/>
        <w:tabs>
          <w:tab w:val="right" w:leader="dot" w:pos="9350"/>
        </w:tabs>
        <w:rPr>
          <w:rFonts w:eastAsiaTheme="minorEastAsia"/>
          <w:noProof/>
        </w:rPr>
      </w:pPr>
      <w:hyperlink w:anchor="_Toc312317346" w:history="1">
        <w:r w:rsidR="008B67D0" w:rsidRPr="00341B55">
          <w:rPr>
            <w:rStyle w:val="Hyperlink"/>
            <w:rFonts w:cs="Times New Roman"/>
            <w:noProof/>
          </w:rPr>
          <w:t>Text Box 6: Leasing reforms in Ghana</w:t>
        </w:r>
        <w:r w:rsidR="008B67D0">
          <w:rPr>
            <w:noProof/>
            <w:webHidden/>
          </w:rPr>
          <w:tab/>
        </w:r>
        <w:r w:rsidR="005744EE">
          <w:rPr>
            <w:noProof/>
            <w:webHidden/>
          </w:rPr>
          <w:fldChar w:fldCharType="begin"/>
        </w:r>
        <w:r w:rsidR="008B67D0">
          <w:rPr>
            <w:noProof/>
            <w:webHidden/>
          </w:rPr>
          <w:instrText xml:space="preserve"> PAGEREF _Toc312317346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8B67D0" w:rsidRDefault="00CD27AA" w:rsidP="008B67D0">
      <w:pPr>
        <w:pStyle w:val="TableofFigures"/>
        <w:keepNext/>
        <w:tabs>
          <w:tab w:val="right" w:leader="dot" w:pos="9350"/>
        </w:tabs>
        <w:rPr>
          <w:rFonts w:eastAsiaTheme="minorEastAsia"/>
          <w:noProof/>
        </w:rPr>
      </w:pPr>
      <w:hyperlink w:anchor="_Toc312317347" w:history="1">
        <w:r w:rsidR="008B67D0" w:rsidRPr="00341B55">
          <w:rPr>
            <w:rStyle w:val="Hyperlink"/>
            <w:rFonts w:cs="Times New Roman"/>
            <w:noProof/>
          </w:rPr>
          <w:t>Text Box 7: Core support that the government can provide for the development of agricultural insurance</w:t>
        </w:r>
        <w:r w:rsidR="008B67D0">
          <w:rPr>
            <w:noProof/>
            <w:webHidden/>
          </w:rPr>
          <w:tab/>
        </w:r>
        <w:r w:rsidR="005744EE">
          <w:rPr>
            <w:noProof/>
            <w:webHidden/>
          </w:rPr>
          <w:fldChar w:fldCharType="begin"/>
        </w:r>
        <w:r w:rsidR="008B67D0">
          <w:rPr>
            <w:noProof/>
            <w:webHidden/>
          </w:rPr>
          <w:instrText xml:space="preserve"> PAGEREF _Toc312317347 \h </w:instrText>
        </w:r>
        <w:r w:rsidR="005744EE">
          <w:rPr>
            <w:noProof/>
            <w:webHidden/>
          </w:rPr>
        </w:r>
        <w:r w:rsidR="005744EE">
          <w:rPr>
            <w:noProof/>
            <w:webHidden/>
          </w:rPr>
          <w:fldChar w:fldCharType="separate"/>
        </w:r>
        <w:r w:rsidR="00064A1B">
          <w:rPr>
            <w:noProof/>
            <w:webHidden/>
          </w:rPr>
          <w:t>3</w:t>
        </w:r>
        <w:r w:rsidR="005744EE">
          <w:rPr>
            <w:noProof/>
            <w:webHidden/>
          </w:rPr>
          <w:fldChar w:fldCharType="end"/>
        </w:r>
      </w:hyperlink>
    </w:p>
    <w:p w:rsidR="003010CF" w:rsidRPr="003571FD" w:rsidRDefault="005744EE" w:rsidP="008B67D0">
      <w:pPr>
        <w:pStyle w:val="TableofFigures"/>
        <w:keepNext/>
        <w:tabs>
          <w:tab w:val="right" w:leader="dot" w:pos="9350"/>
        </w:tabs>
        <w:spacing w:line="360" w:lineRule="auto"/>
        <w:rPr>
          <w:rFonts w:cs="Times New Roman"/>
          <w:b/>
        </w:rPr>
      </w:pPr>
      <w:r w:rsidRPr="003571FD">
        <w:rPr>
          <w:rFonts w:cs="Times New Roman"/>
          <w:noProof/>
          <w:sz w:val="20"/>
        </w:rPr>
        <w:fldChar w:fldCharType="end"/>
      </w:r>
    </w:p>
    <w:p w:rsidR="00DC6FF1" w:rsidRDefault="003010CF">
      <w:pPr>
        <w:rPr>
          <w:rFonts w:ascii="Times New Roman" w:hAnsi="Times New Roman" w:cs="Times New Roman"/>
          <w:b/>
          <w:lang w:val="de-DE"/>
        </w:rPr>
      </w:pPr>
      <w:r w:rsidRPr="003571FD">
        <w:rPr>
          <w:rFonts w:ascii="Times New Roman" w:hAnsi="Times New Roman" w:cs="Times New Roman"/>
          <w:b/>
          <w:lang w:val="de-DE"/>
        </w:rPr>
        <w:br w:type="page"/>
      </w:r>
    </w:p>
    <w:p w:rsidR="00EF773C" w:rsidRPr="003571FD" w:rsidRDefault="001C22BF" w:rsidP="00EF773C">
      <w:pPr>
        <w:jc w:val="center"/>
        <w:rPr>
          <w:rFonts w:ascii="Times New Roman" w:hAnsi="Times New Roman" w:cs="Times New Roman"/>
          <w:b/>
          <w:sz w:val="28"/>
        </w:rPr>
      </w:pPr>
      <w:r w:rsidRPr="003571FD">
        <w:rPr>
          <w:rFonts w:ascii="Times New Roman" w:hAnsi="Times New Roman" w:cs="Times New Roman"/>
          <w:b/>
          <w:sz w:val="28"/>
        </w:rPr>
        <w:lastRenderedPageBreak/>
        <w:t>Abbreviations and acronyms</w:t>
      </w:r>
    </w:p>
    <w:tbl>
      <w:tblPr>
        <w:tblStyle w:val="TableGrid"/>
        <w:tblW w:w="8617" w:type="dxa"/>
        <w:jc w:val="center"/>
        <w:tblInd w:w="653"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1830"/>
        <w:gridCol w:w="6787"/>
      </w:tblGrid>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ACCL</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Administración De Cámaras de Compensación Y Liquidación</w:t>
            </w:r>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AML-CFT</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Anti-Money Laundering and Combating the Financing of Terrorism</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ANED</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Asociación Nacional Ecuménica de Desarrollo</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ASFI</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Autoridad de Supervisión del Sistema Financiero</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ASOBAN</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Asociación de Bancos Privados de Bolivia</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ASOFIN</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Asociación de Entidades Financieras Especializadas en Micro Finanzas de Bolivia</w:t>
            </w:r>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ATM</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Automated Teller Machine</w:t>
            </w:r>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BCP</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Basel Core Principles</w:t>
            </w:r>
          </w:p>
        </w:tc>
      </w:tr>
      <w:tr w:rsidR="00B80C55" w:rsidRPr="001B543D" w:rsidTr="0051056E">
        <w:trPr>
          <w:jc w:val="center"/>
        </w:trPr>
        <w:tc>
          <w:tcPr>
            <w:tcW w:w="1830" w:type="dxa"/>
          </w:tcPr>
          <w:p w:rsidR="00B80C55" w:rsidRPr="001B543D" w:rsidRDefault="00B80C55" w:rsidP="00EF773C">
            <w:pPr>
              <w:jc w:val="both"/>
              <w:rPr>
                <w:rFonts w:ascii="Times New Roman" w:hAnsi="Times New Roman" w:cs="Times New Roman"/>
              </w:rPr>
            </w:pPr>
            <w:r w:rsidRPr="001B543D">
              <w:rPr>
                <w:rFonts w:ascii="Times New Roman" w:hAnsi="Times New Roman" w:cs="Times New Roman"/>
              </w:rPr>
              <w:t>BDP</w:t>
            </w:r>
          </w:p>
        </w:tc>
        <w:tc>
          <w:tcPr>
            <w:tcW w:w="6787" w:type="dxa"/>
          </w:tcPr>
          <w:p w:rsidR="00B80C55" w:rsidRPr="001B543D" w:rsidRDefault="00B80C55" w:rsidP="00EF773C">
            <w:pPr>
              <w:jc w:val="both"/>
              <w:rPr>
                <w:rFonts w:ascii="Times New Roman" w:hAnsi="Times New Roman" w:cs="Times New Roman"/>
                <w:i/>
              </w:rPr>
            </w:pPr>
            <w:r w:rsidRPr="001B543D">
              <w:rPr>
                <w:rFonts w:ascii="Times New Roman" w:hAnsi="Times New Roman" w:cs="Times New Roman"/>
                <w:i/>
              </w:rPr>
              <w:t>Banco de Desarrollo Productivo</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CAC</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Cooperativas de Ahorro y Crédito</w:t>
            </w:r>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CB</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Central Bank</w:t>
            </w:r>
          </w:p>
        </w:tc>
      </w:tr>
      <w:tr w:rsidR="00E633BF" w:rsidRPr="001B543D" w:rsidTr="0051056E">
        <w:trPr>
          <w:jc w:val="center"/>
        </w:trPr>
        <w:tc>
          <w:tcPr>
            <w:tcW w:w="1830" w:type="dxa"/>
          </w:tcPr>
          <w:p w:rsidR="00E633BF" w:rsidRPr="001B543D" w:rsidRDefault="00E633BF" w:rsidP="00EF773C">
            <w:pPr>
              <w:jc w:val="both"/>
              <w:rPr>
                <w:rFonts w:ascii="Times New Roman" w:hAnsi="Times New Roman" w:cs="Times New Roman"/>
              </w:rPr>
            </w:pPr>
            <w:r w:rsidRPr="001B543D">
              <w:rPr>
                <w:rFonts w:ascii="Times New Roman" w:hAnsi="Times New Roman" w:cs="Times New Roman"/>
              </w:rPr>
              <w:t>CCT</w:t>
            </w:r>
          </w:p>
        </w:tc>
        <w:tc>
          <w:tcPr>
            <w:tcW w:w="6787" w:type="dxa"/>
          </w:tcPr>
          <w:p w:rsidR="00E633BF" w:rsidRPr="001B543D" w:rsidRDefault="00E633BF" w:rsidP="00EF773C">
            <w:pPr>
              <w:jc w:val="both"/>
              <w:rPr>
                <w:rFonts w:ascii="Times New Roman" w:hAnsi="Times New Roman" w:cs="Times New Roman"/>
              </w:rPr>
            </w:pPr>
            <w:r w:rsidRPr="001B543D">
              <w:rPr>
                <w:rFonts w:ascii="Times New Roman" w:hAnsi="Times New Roman" w:cs="Times New Roman"/>
              </w:rPr>
              <w:t>Conditional Cash Transfer</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CEMLA</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Centro de Estudios Monetarios Latinoamericanos</w:t>
            </w:r>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CGAP</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Consultative Group to Assist the Poor</w:t>
            </w:r>
          </w:p>
        </w:tc>
      </w:tr>
      <w:tr w:rsidR="00C54716" w:rsidRPr="001B543D" w:rsidTr="00A03F15">
        <w:trPr>
          <w:trHeight w:val="242"/>
          <w:jc w:val="center"/>
        </w:trPr>
        <w:tc>
          <w:tcPr>
            <w:tcW w:w="1830" w:type="dxa"/>
          </w:tcPr>
          <w:p w:rsidR="00C54716" w:rsidRPr="001B543D" w:rsidRDefault="00C54716" w:rsidP="00A03F15">
            <w:pPr>
              <w:spacing w:line="276" w:lineRule="auto"/>
              <w:jc w:val="both"/>
              <w:rPr>
                <w:rFonts w:ascii="Times New Roman" w:hAnsi="Times New Roman" w:cs="Times New Roman"/>
              </w:rPr>
            </w:pPr>
            <w:r w:rsidRPr="001B543D">
              <w:rPr>
                <w:rFonts w:ascii="Times New Roman" w:hAnsi="Times New Roman" w:cs="Times New Roman"/>
              </w:rPr>
              <w:t>DEG</w:t>
            </w:r>
          </w:p>
        </w:tc>
        <w:tc>
          <w:tcPr>
            <w:tcW w:w="6787" w:type="dxa"/>
          </w:tcPr>
          <w:p w:rsidR="00C54716" w:rsidRPr="001B543D" w:rsidRDefault="00147F9F" w:rsidP="00A03F15">
            <w:pPr>
              <w:spacing w:line="276" w:lineRule="auto"/>
              <w:jc w:val="both"/>
              <w:rPr>
                <w:rFonts w:ascii="Times New Roman" w:hAnsi="Times New Roman" w:cs="Times New Roman"/>
                <w:i/>
              </w:rPr>
            </w:pPr>
            <w:proofErr w:type="spellStart"/>
            <w:r w:rsidRPr="001B543D">
              <w:rPr>
                <w:rFonts w:ascii="Times New Roman" w:hAnsi="Times New Roman" w:cs="Times New Roman"/>
                <w:i/>
              </w:rPr>
              <w:t>Derechos</w:t>
            </w:r>
            <w:proofErr w:type="spellEnd"/>
            <w:r w:rsidRPr="001B543D">
              <w:rPr>
                <w:rFonts w:ascii="Times New Roman" w:hAnsi="Times New Roman" w:cs="Times New Roman"/>
                <w:i/>
              </w:rPr>
              <w:t xml:space="preserve"> </w:t>
            </w:r>
            <w:proofErr w:type="spellStart"/>
            <w:r w:rsidRPr="001B543D">
              <w:rPr>
                <w:rFonts w:ascii="Times New Roman" w:hAnsi="Times New Roman" w:cs="Times New Roman"/>
                <w:i/>
              </w:rPr>
              <w:t>Especiales</w:t>
            </w:r>
            <w:proofErr w:type="spellEnd"/>
            <w:r w:rsidRPr="001B543D">
              <w:rPr>
                <w:rFonts w:ascii="Times New Roman" w:hAnsi="Times New Roman" w:cs="Times New Roman"/>
                <w:i/>
              </w:rPr>
              <w:t xml:space="preserve"> de </w:t>
            </w:r>
            <w:proofErr w:type="spellStart"/>
            <w:r w:rsidRPr="001B543D">
              <w:rPr>
                <w:rFonts w:ascii="Times New Roman" w:hAnsi="Times New Roman" w:cs="Times New Roman"/>
                <w:i/>
              </w:rPr>
              <w:t>Giro</w:t>
            </w:r>
            <w:proofErr w:type="spellEnd"/>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EBT</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Ele</w:t>
            </w:r>
            <w:r w:rsidR="00B74995" w:rsidRPr="001B543D">
              <w:rPr>
                <w:rFonts w:ascii="Times New Roman" w:hAnsi="Times New Roman" w:cs="Times New Roman"/>
              </w:rPr>
              <w:t>c</w:t>
            </w:r>
            <w:r w:rsidRPr="001B543D">
              <w:rPr>
                <w:rFonts w:ascii="Times New Roman" w:hAnsi="Times New Roman" w:cs="Times New Roman"/>
              </w:rPr>
              <w:t>tronic Benefit Transfer</w:t>
            </w:r>
          </w:p>
        </w:tc>
      </w:tr>
      <w:tr w:rsidR="002E1C1D" w:rsidRPr="001B543D" w:rsidTr="0051056E">
        <w:trPr>
          <w:jc w:val="center"/>
        </w:trPr>
        <w:tc>
          <w:tcPr>
            <w:tcW w:w="1830" w:type="dxa"/>
          </w:tcPr>
          <w:p w:rsidR="002E1C1D" w:rsidRPr="001B543D" w:rsidRDefault="002E1C1D" w:rsidP="00EF773C">
            <w:pPr>
              <w:jc w:val="both"/>
              <w:rPr>
                <w:rFonts w:ascii="Times New Roman" w:hAnsi="Times New Roman" w:cs="Times New Roman"/>
              </w:rPr>
            </w:pPr>
            <w:r w:rsidRPr="001B543D">
              <w:rPr>
                <w:rFonts w:ascii="Times New Roman" w:hAnsi="Times New Roman" w:cs="Times New Roman"/>
              </w:rPr>
              <w:t>ESW</w:t>
            </w:r>
          </w:p>
        </w:tc>
        <w:tc>
          <w:tcPr>
            <w:tcW w:w="6787" w:type="dxa"/>
          </w:tcPr>
          <w:p w:rsidR="002E1C1D" w:rsidRPr="001B543D" w:rsidRDefault="002E1C1D" w:rsidP="00EF773C">
            <w:pPr>
              <w:jc w:val="both"/>
              <w:rPr>
                <w:rFonts w:ascii="Times New Roman" w:hAnsi="Times New Roman" w:cs="Times New Roman"/>
              </w:rPr>
            </w:pPr>
            <w:r w:rsidRPr="001B543D">
              <w:rPr>
                <w:rFonts w:ascii="Times New Roman" w:hAnsi="Times New Roman" w:cs="Times New Roman"/>
              </w:rPr>
              <w:t>Economic Sector Work</w:t>
            </w:r>
          </w:p>
        </w:tc>
      </w:tr>
      <w:tr w:rsidR="00B80C55" w:rsidRPr="00CA190B" w:rsidTr="0051056E">
        <w:trPr>
          <w:jc w:val="center"/>
        </w:trPr>
        <w:tc>
          <w:tcPr>
            <w:tcW w:w="1830" w:type="dxa"/>
          </w:tcPr>
          <w:p w:rsidR="00B80C55" w:rsidRPr="001B543D" w:rsidRDefault="00B80C55" w:rsidP="00EF773C">
            <w:pPr>
              <w:jc w:val="both"/>
              <w:rPr>
                <w:rFonts w:ascii="Times New Roman" w:hAnsi="Times New Roman" w:cs="Times New Roman"/>
              </w:rPr>
            </w:pPr>
            <w:r w:rsidRPr="001B543D">
              <w:rPr>
                <w:rFonts w:ascii="Times New Roman" w:hAnsi="Times New Roman" w:cs="Times New Roman"/>
              </w:rPr>
              <w:t>FDP</w:t>
            </w:r>
          </w:p>
        </w:tc>
        <w:tc>
          <w:tcPr>
            <w:tcW w:w="6787" w:type="dxa"/>
          </w:tcPr>
          <w:p w:rsidR="00B80C55" w:rsidRPr="001B543D" w:rsidRDefault="00B80C55" w:rsidP="00EF773C">
            <w:pPr>
              <w:jc w:val="both"/>
              <w:rPr>
                <w:rFonts w:ascii="Times New Roman" w:hAnsi="Times New Roman" w:cs="Times New Roman"/>
                <w:i/>
                <w:lang w:val="es-US"/>
              </w:rPr>
            </w:pPr>
            <w:r w:rsidRPr="001B543D">
              <w:rPr>
                <w:rFonts w:ascii="Times New Roman" w:hAnsi="Times New Roman" w:cs="Times New Roman"/>
                <w:i/>
                <w:lang w:val="es-US"/>
              </w:rPr>
              <w:t>Fideicomiso para el Desarrollo Productivo</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FFP</w:t>
            </w:r>
          </w:p>
        </w:tc>
        <w:tc>
          <w:tcPr>
            <w:tcW w:w="6787" w:type="dxa"/>
          </w:tcPr>
          <w:p w:rsidR="00EF773C" w:rsidRPr="001B543D" w:rsidRDefault="001C22BF" w:rsidP="00EF773C">
            <w:pPr>
              <w:spacing w:line="276" w:lineRule="auto"/>
              <w:jc w:val="both"/>
              <w:rPr>
                <w:rFonts w:ascii="Times New Roman" w:hAnsi="Times New Roman" w:cs="Times New Roman"/>
                <w:i/>
                <w:lang w:val="es-BO"/>
              </w:rPr>
            </w:pPr>
            <w:r w:rsidRPr="001B543D">
              <w:rPr>
                <w:rFonts w:ascii="Times New Roman" w:hAnsi="Times New Roman" w:cs="Times New Roman"/>
                <w:i/>
                <w:lang w:val="es-BO"/>
              </w:rPr>
              <w:t>Fondos Financieros Privados (</w:t>
            </w:r>
            <w:proofErr w:type="spellStart"/>
            <w:r w:rsidRPr="001B543D">
              <w:rPr>
                <w:rFonts w:ascii="Times New Roman" w:hAnsi="Times New Roman" w:cs="Times New Roman"/>
                <w:i/>
                <w:lang w:val="es-BO"/>
              </w:rPr>
              <w:t>Finance</w:t>
            </w:r>
            <w:proofErr w:type="spellEnd"/>
            <w:r w:rsidRPr="001B543D">
              <w:rPr>
                <w:rFonts w:ascii="Times New Roman" w:hAnsi="Times New Roman" w:cs="Times New Roman"/>
                <w:i/>
                <w:lang w:val="es-BO"/>
              </w:rPr>
              <w:t xml:space="preserve"> </w:t>
            </w:r>
            <w:proofErr w:type="spellStart"/>
            <w:r w:rsidRPr="001B543D">
              <w:rPr>
                <w:rFonts w:ascii="Times New Roman" w:hAnsi="Times New Roman" w:cs="Times New Roman"/>
                <w:i/>
                <w:lang w:val="es-BO"/>
              </w:rPr>
              <w:t>Companies</w:t>
            </w:r>
            <w:proofErr w:type="spellEnd"/>
            <w:r w:rsidRPr="001B543D">
              <w:rPr>
                <w:rFonts w:ascii="Times New Roman" w:hAnsi="Times New Roman" w:cs="Times New Roman"/>
                <w:i/>
                <w:lang w:val="es-BO"/>
              </w:rPr>
              <w:t>)</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FINRURAL</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Federación Nacional de Instituciones Financieras de Desarrollo</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FOMIN</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Fondo Multilateral de Inversiones (Grupo BID)</w:t>
            </w:r>
          </w:p>
        </w:tc>
      </w:tr>
      <w:tr w:rsidR="00A03F15" w:rsidRPr="001B543D" w:rsidTr="0051056E">
        <w:trPr>
          <w:jc w:val="center"/>
        </w:trPr>
        <w:tc>
          <w:tcPr>
            <w:tcW w:w="1830" w:type="dxa"/>
          </w:tcPr>
          <w:p w:rsidR="00A03F15" w:rsidRPr="001B543D" w:rsidRDefault="00A03F15" w:rsidP="00EF773C">
            <w:pPr>
              <w:jc w:val="both"/>
              <w:rPr>
                <w:rFonts w:ascii="Times New Roman" w:hAnsi="Times New Roman" w:cs="Times New Roman"/>
              </w:rPr>
            </w:pPr>
            <w:r w:rsidRPr="001B543D">
              <w:rPr>
                <w:rFonts w:ascii="Times New Roman" w:hAnsi="Times New Roman" w:cs="Times New Roman"/>
              </w:rPr>
              <w:t>FSAP</w:t>
            </w:r>
          </w:p>
        </w:tc>
        <w:tc>
          <w:tcPr>
            <w:tcW w:w="6787" w:type="dxa"/>
          </w:tcPr>
          <w:p w:rsidR="00A03F15" w:rsidRPr="001B543D" w:rsidRDefault="00A03F15" w:rsidP="00EF773C">
            <w:pPr>
              <w:jc w:val="both"/>
              <w:rPr>
                <w:rFonts w:ascii="Times New Roman" w:hAnsi="Times New Roman" w:cs="Times New Roman"/>
              </w:rPr>
            </w:pPr>
            <w:r w:rsidRPr="001B543D">
              <w:rPr>
                <w:rFonts w:ascii="Times New Roman" w:hAnsi="Times New Roman" w:cs="Times New Roman"/>
              </w:rPr>
              <w:t>Financial Sector Assessment Program</w:t>
            </w:r>
          </w:p>
        </w:tc>
      </w:tr>
      <w:tr w:rsidR="00EF773C" w:rsidRPr="00CA190B"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FUNDEMPRESA</w:t>
            </w:r>
          </w:p>
        </w:tc>
        <w:tc>
          <w:tcPr>
            <w:tcW w:w="6787" w:type="dxa"/>
          </w:tcPr>
          <w:p w:rsidR="00EF773C" w:rsidRPr="001B543D" w:rsidRDefault="001C22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Fundación para el Desarrollo Empresarial</w:t>
            </w:r>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FX</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Foreign</w:t>
            </w:r>
            <w:r w:rsidR="00B07DFB" w:rsidRPr="001B543D">
              <w:rPr>
                <w:rFonts w:ascii="Times New Roman" w:hAnsi="Times New Roman" w:cs="Times New Roman"/>
              </w:rPr>
              <w:t xml:space="preserve"> </w:t>
            </w:r>
            <w:r w:rsidRPr="001B543D">
              <w:rPr>
                <w:rFonts w:ascii="Times New Roman" w:hAnsi="Times New Roman" w:cs="Times New Roman"/>
              </w:rPr>
              <w:t>Currency</w:t>
            </w:r>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GDP</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Gross Domestic Product</w:t>
            </w:r>
          </w:p>
        </w:tc>
      </w:tr>
      <w:tr w:rsidR="00EF773C" w:rsidRPr="001B543D" w:rsidTr="0051056E">
        <w:trPr>
          <w:jc w:val="center"/>
        </w:trPr>
        <w:tc>
          <w:tcPr>
            <w:tcW w:w="1830"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GNI</w:t>
            </w:r>
          </w:p>
        </w:tc>
        <w:tc>
          <w:tcPr>
            <w:tcW w:w="6787" w:type="dxa"/>
          </w:tcPr>
          <w:p w:rsidR="00EF773C" w:rsidRPr="001B543D" w:rsidRDefault="001C22BF" w:rsidP="00EF773C">
            <w:pPr>
              <w:spacing w:line="276" w:lineRule="auto"/>
              <w:jc w:val="both"/>
              <w:rPr>
                <w:rFonts w:ascii="Times New Roman" w:hAnsi="Times New Roman" w:cs="Times New Roman"/>
              </w:rPr>
            </w:pPr>
            <w:r w:rsidRPr="001B543D">
              <w:rPr>
                <w:rFonts w:ascii="Times New Roman" w:hAnsi="Times New Roman" w:cs="Times New Roman"/>
              </w:rPr>
              <w:t>Gross National Income</w:t>
            </w:r>
          </w:p>
        </w:tc>
      </w:tr>
      <w:tr w:rsidR="00E633BF" w:rsidRPr="001B543D" w:rsidTr="0051056E">
        <w:trPr>
          <w:jc w:val="center"/>
        </w:trPr>
        <w:tc>
          <w:tcPr>
            <w:tcW w:w="1830" w:type="dxa"/>
          </w:tcPr>
          <w:p w:rsidR="00E633BF" w:rsidRPr="001B543D" w:rsidRDefault="00E633BF" w:rsidP="004C39A6">
            <w:pPr>
              <w:spacing w:line="276" w:lineRule="auto"/>
              <w:jc w:val="both"/>
              <w:rPr>
                <w:rFonts w:ascii="Times New Roman" w:hAnsi="Times New Roman" w:cs="Times New Roman"/>
              </w:rPr>
            </w:pPr>
            <w:r w:rsidRPr="001B543D">
              <w:rPr>
                <w:rFonts w:ascii="Times New Roman" w:hAnsi="Times New Roman" w:cs="Times New Roman"/>
              </w:rPr>
              <w:t>IADB</w:t>
            </w:r>
          </w:p>
        </w:tc>
        <w:tc>
          <w:tcPr>
            <w:tcW w:w="6787" w:type="dxa"/>
          </w:tcPr>
          <w:p w:rsidR="00E633BF" w:rsidRPr="001B543D" w:rsidRDefault="00E633BF" w:rsidP="004C39A6">
            <w:pPr>
              <w:spacing w:line="276" w:lineRule="auto"/>
              <w:jc w:val="both"/>
              <w:rPr>
                <w:rFonts w:ascii="Times New Roman" w:hAnsi="Times New Roman" w:cs="Times New Roman"/>
              </w:rPr>
            </w:pPr>
            <w:r w:rsidRPr="001B543D">
              <w:rPr>
                <w:rFonts w:ascii="Times New Roman" w:hAnsi="Times New Roman" w:cs="Times New Roman"/>
              </w:rPr>
              <w:t xml:space="preserve">Inter-American </w:t>
            </w:r>
            <w:r w:rsidRPr="001B543D">
              <w:rPr>
                <w:rFonts w:ascii="Times New Roman" w:hAnsi="Times New Roman" w:cs="Times New Roman"/>
                <w:lang w:val="en-GB"/>
              </w:rPr>
              <w:t>Development</w:t>
            </w:r>
            <w:r w:rsidRPr="001B543D">
              <w:rPr>
                <w:rFonts w:ascii="Times New Roman" w:hAnsi="Times New Roman" w:cs="Times New Roman"/>
              </w:rPr>
              <w:t xml:space="preserve"> Bank</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ICT</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Information and Communications Technology</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IFC</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International Finance Corporation (World Bank Group)</w:t>
            </w:r>
          </w:p>
        </w:tc>
      </w:tr>
      <w:tr w:rsidR="00E633BF" w:rsidRPr="00CA190B"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IFD</w:t>
            </w:r>
          </w:p>
        </w:tc>
        <w:tc>
          <w:tcPr>
            <w:tcW w:w="6787" w:type="dxa"/>
          </w:tcPr>
          <w:p w:rsidR="00E633BF" w:rsidRPr="001B543D" w:rsidRDefault="00E633BF" w:rsidP="00A03F15">
            <w:pPr>
              <w:spacing w:line="276" w:lineRule="auto"/>
              <w:jc w:val="both"/>
              <w:rPr>
                <w:rFonts w:ascii="Times New Roman" w:hAnsi="Times New Roman" w:cs="Times New Roman"/>
                <w:i/>
                <w:lang w:val="es-US"/>
              </w:rPr>
            </w:pPr>
            <w:r w:rsidRPr="001B543D">
              <w:rPr>
                <w:rFonts w:ascii="Times New Roman" w:hAnsi="Times New Roman" w:cs="Times New Roman"/>
                <w:i/>
                <w:lang w:val="es-US"/>
              </w:rPr>
              <w:t xml:space="preserve">Instituciones Financieras para el Desarrollo Rural </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IMF</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International Monetary Fund</w:t>
            </w:r>
          </w:p>
        </w:tc>
      </w:tr>
      <w:tr w:rsidR="00E633BF" w:rsidRPr="00CA190B"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INE</w:t>
            </w:r>
          </w:p>
        </w:tc>
        <w:tc>
          <w:tcPr>
            <w:tcW w:w="6787" w:type="dxa"/>
          </w:tcPr>
          <w:p w:rsidR="00E633BF" w:rsidRPr="001B543D" w:rsidRDefault="00E633BF" w:rsidP="00EF773C">
            <w:pPr>
              <w:spacing w:line="276" w:lineRule="auto"/>
              <w:jc w:val="both"/>
              <w:rPr>
                <w:rFonts w:ascii="Times New Roman" w:hAnsi="Times New Roman" w:cs="Times New Roman"/>
                <w:i/>
                <w:lang w:val="es-BO"/>
              </w:rPr>
            </w:pPr>
            <w:r w:rsidRPr="001B543D">
              <w:rPr>
                <w:rFonts w:ascii="Times New Roman" w:hAnsi="Times New Roman" w:cs="Times New Roman"/>
                <w:i/>
                <w:lang w:val="es-BO"/>
              </w:rPr>
              <w:t>Instituto Nacional de Estadística de Bolivia</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MFI</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Microfinance</w:t>
            </w:r>
            <w:r w:rsidR="00E8511E" w:rsidRPr="001B543D">
              <w:rPr>
                <w:rFonts w:ascii="Times New Roman" w:hAnsi="Times New Roman" w:cs="Times New Roman"/>
              </w:rPr>
              <w:t xml:space="preserve"> Institutions</w:t>
            </w:r>
          </w:p>
        </w:tc>
      </w:tr>
      <w:tr w:rsidR="008924F3" w:rsidRPr="001B543D" w:rsidTr="0051056E">
        <w:trPr>
          <w:jc w:val="center"/>
        </w:trPr>
        <w:tc>
          <w:tcPr>
            <w:tcW w:w="1830" w:type="dxa"/>
          </w:tcPr>
          <w:p w:rsidR="008924F3" w:rsidRPr="001B543D" w:rsidRDefault="008924F3" w:rsidP="00EF773C">
            <w:pPr>
              <w:jc w:val="both"/>
              <w:rPr>
                <w:rFonts w:ascii="Times New Roman" w:hAnsi="Times New Roman" w:cs="Times New Roman"/>
              </w:rPr>
            </w:pPr>
            <w:r w:rsidRPr="001B543D">
              <w:rPr>
                <w:rFonts w:ascii="Times New Roman" w:hAnsi="Times New Roman" w:cs="Times New Roman"/>
              </w:rPr>
              <w:t>MIX</w:t>
            </w:r>
          </w:p>
        </w:tc>
        <w:tc>
          <w:tcPr>
            <w:tcW w:w="6787" w:type="dxa"/>
          </w:tcPr>
          <w:p w:rsidR="008924F3" w:rsidRPr="001B543D" w:rsidRDefault="008924F3" w:rsidP="00EF773C">
            <w:pPr>
              <w:jc w:val="both"/>
              <w:rPr>
                <w:rFonts w:ascii="Times New Roman" w:hAnsi="Times New Roman" w:cs="Times New Roman"/>
              </w:rPr>
            </w:pPr>
            <w:r w:rsidRPr="001B543D">
              <w:rPr>
                <w:rFonts w:ascii="Times New Roman" w:hAnsi="Times New Roman" w:cs="Times New Roman"/>
              </w:rPr>
              <w:t>Microfinance Information Exchange</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MSME</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Micro, Small and Medium Enterprises</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NGO</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Non-Governmental</w:t>
            </w:r>
            <w:r w:rsidR="00B07DFB" w:rsidRPr="001B543D">
              <w:rPr>
                <w:rFonts w:ascii="Times New Roman" w:hAnsi="Times New Roman" w:cs="Times New Roman"/>
              </w:rPr>
              <w:t xml:space="preserve"> </w:t>
            </w:r>
            <w:r w:rsidRPr="001B543D">
              <w:rPr>
                <w:rFonts w:ascii="Times New Roman" w:hAnsi="Times New Roman" w:cs="Times New Roman"/>
              </w:rPr>
              <w:t>Organization</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NIT</w:t>
            </w:r>
          </w:p>
        </w:tc>
        <w:tc>
          <w:tcPr>
            <w:tcW w:w="6787" w:type="dxa"/>
          </w:tcPr>
          <w:p w:rsidR="00E633BF" w:rsidRPr="001B543D" w:rsidRDefault="00E633BF" w:rsidP="00EF773C">
            <w:pPr>
              <w:spacing w:line="276" w:lineRule="auto"/>
              <w:jc w:val="both"/>
              <w:rPr>
                <w:rFonts w:ascii="Times New Roman" w:hAnsi="Times New Roman" w:cs="Times New Roman"/>
                <w:i/>
              </w:rPr>
            </w:pPr>
            <w:proofErr w:type="spellStart"/>
            <w:r w:rsidRPr="001B543D">
              <w:rPr>
                <w:rFonts w:ascii="Times New Roman" w:hAnsi="Times New Roman" w:cs="Times New Roman"/>
                <w:i/>
              </w:rPr>
              <w:t>Número</w:t>
            </w:r>
            <w:proofErr w:type="spellEnd"/>
            <w:r w:rsidRPr="001B543D">
              <w:rPr>
                <w:rFonts w:ascii="Times New Roman" w:hAnsi="Times New Roman" w:cs="Times New Roman"/>
                <w:i/>
              </w:rPr>
              <w:t xml:space="preserve"> de </w:t>
            </w:r>
            <w:proofErr w:type="spellStart"/>
            <w:r w:rsidRPr="001B543D">
              <w:rPr>
                <w:rFonts w:ascii="Times New Roman" w:hAnsi="Times New Roman" w:cs="Times New Roman"/>
                <w:i/>
              </w:rPr>
              <w:t>Identificación</w:t>
            </w:r>
            <w:proofErr w:type="spellEnd"/>
            <w:r w:rsidRPr="001B543D">
              <w:rPr>
                <w:rFonts w:ascii="Times New Roman" w:hAnsi="Times New Roman" w:cs="Times New Roman"/>
                <w:i/>
              </w:rPr>
              <w:t xml:space="preserve"> </w:t>
            </w:r>
            <w:proofErr w:type="spellStart"/>
            <w:r w:rsidRPr="001B543D">
              <w:rPr>
                <w:rFonts w:ascii="Times New Roman" w:hAnsi="Times New Roman" w:cs="Times New Roman"/>
                <w:i/>
              </w:rPr>
              <w:t>Tributaria</w:t>
            </w:r>
            <w:proofErr w:type="spellEnd"/>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NPL</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Non-performing loan</w:t>
            </w:r>
          </w:p>
        </w:tc>
      </w:tr>
      <w:tr w:rsidR="00B80C55" w:rsidRPr="00CA190B" w:rsidTr="0051056E">
        <w:trPr>
          <w:jc w:val="center"/>
        </w:trPr>
        <w:tc>
          <w:tcPr>
            <w:tcW w:w="1830" w:type="dxa"/>
          </w:tcPr>
          <w:p w:rsidR="00B80C55" w:rsidRPr="001B543D" w:rsidRDefault="00B80C55" w:rsidP="00EF773C">
            <w:pPr>
              <w:jc w:val="both"/>
              <w:rPr>
                <w:rFonts w:ascii="Times New Roman" w:hAnsi="Times New Roman" w:cs="Times New Roman"/>
              </w:rPr>
            </w:pPr>
            <w:r w:rsidRPr="001B543D">
              <w:rPr>
                <w:rFonts w:ascii="Times New Roman" w:hAnsi="Times New Roman" w:cs="Times New Roman"/>
              </w:rPr>
              <w:t>PACPUCS</w:t>
            </w:r>
          </w:p>
        </w:tc>
        <w:tc>
          <w:tcPr>
            <w:tcW w:w="6787" w:type="dxa"/>
          </w:tcPr>
          <w:p w:rsidR="00B80C55" w:rsidRPr="001B543D" w:rsidRDefault="00B80C55" w:rsidP="00EF773C">
            <w:pPr>
              <w:jc w:val="both"/>
              <w:rPr>
                <w:rFonts w:ascii="Times New Roman" w:hAnsi="Times New Roman" w:cs="Times New Roman"/>
                <w:i/>
                <w:lang w:val="es-US"/>
              </w:rPr>
            </w:pPr>
            <w:r w:rsidRPr="001B543D">
              <w:rPr>
                <w:rFonts w:ascii="Times New Roman" w:hAnsi="Times New Roman" w:cs="Times New Roman"/>
                <w:i/>
                <w:lang w:val="es-US"/>
              </w:rPr>
              <w:t>Progr</w:t>
            </w:r>
            <w:r w:rsidR="00466185" w:rsidRPr="001B543D">
              <w:rPr>
                <w:rFonts w:ascii="Times New Roman" w:hAnsi="Times New Roman" w:cs="Times New Roman"/>
                <w:i/>
                <w:lang w:val="es-US"/>
              </w:rPr>
              <w:t>ama de Apoyo Crediticio a Pequeñ</w:t>
            </w:r>
            <w:r w:rsidRPr="001B543D">
              <w:rPr>
                <w:rFonts w:ascii="Times New Roman" w:hAnsi="Times New Roman" w:cs="Times New Roman"/>
                <w:i/>
                <w:lang w:val="es-US"/>
              </w:rPr>
              <w:t>as Unidades de Comercio y Servicio</w:t>
            </w:r>
          </w:p>
        </w:tc>
      </w:tr>
      <w:tr w:rsidR="00E633BF" w:rsidRPr="00CA190B"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PND</w:t>
            </w:r>
          </w:p>
        </w:tc>
        <w:tc>
          <w:tcPr>
            <w:tcW w:w="6787" w:type="dxa"/>
          </w:tcPr>
          <w:p w:rsidR="00E633BF" w:rsidRPr="001B543D" w:rsidRDefault="00E633BF" w:rsidP="00EF773C">
            <w:pPr>
              <w:spacing w:line="276" w:lineRule="auto"/>
              <w:jc w:val="both"/>
              <w:rPr>
                <w:rFonts w:ascii="Times New Roman" w:hAnsi="Times New Roman" w:cs="Times New Roman"/>
                <w:lang w:val="es-US"/>
              </w:rPr>
            </w:pPr>
            <w:r w:rsidRPr="001B543D">
              <w:rPr>
                <w:rFonts w:ascii="Times New Roman" w:hAnsi="Times New Roman" w:cs="Times New Roman"/>
                <w:i/>
                <w:lang w:val="es-US"/>
              </w:rPr>
              <w:t>Plan Nacional de Desarrollo</w:t>
            </w:r>
            <w:r w:rsidRPr="001B543D">
              <w:rPr>
                <w:rFonts w:ascii="Times New Roman" w:hAnsi="Times New Roman" w:cs="Times New Roman"/>
                <w:lang w:val="es-US"/>
              </w:rPr>
              <w:t xml:space="preserve"> (</w:t>
            </w:r>
            <w:proofErr w:type="spellStart"/>
            <w:r w:rsidRPr="001B543D">
              <w:rPr>
                <w:rFonts w:ascii="Times New Roman" w:hAnsi="Times New Roman" w:cs="Times New Roman"/>
                <w:lang w:val="es-US"/>
              </w:rPr>
              <w:t>National</w:t>
            </w:r>
            <w:proofErr w:type="spellEnd"/>
            <w:r w:rsidRPr="001B543D">
              <w:rPr>
                <w:rFonts w:ascii="Times New Roman" w:hAnsi="Times New Roman" w:cs="Times New Roman"/>
                <w:lang w:val="es-US"/>
              </w:rPr>
              <w:t xml:space="preserve"> </w:t>
            </w:r>
            <w:proofErr w:type="spellStart"/>
            <w:r w:rsidRPr="001B543D">
              <w:rPr>
                <w:rFonts w:ascii="Times New Roman" w:hAnsi="Times New Roman" w:cs="Times New Roman"/>
                <w:lang w:val="es-US"/>
              </w:rPr>
              <w:t>Development</w:t>
            </w:r>
            <w:proofErr w:type="spellEnd"/>
            <w:r w:rsidRPr="001B543D">
              <w:rPr>
                <w:rFonts w:ascii="Times New Roman" w:hAnsi="Times New Roman" w:cs="Times New Roman"/>
                <w:lang w:val="es-US"/>
              </w:rPr>
              <w:t xml:space="preserve"> Plan)</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lastRenderedPageBreak/>
              <w:t>POS</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Point of Sale</w:t>
            </w:r>
          </w:p>
        </w:tc>
      </w:tr>
      <w:tr w:rsidR="00E633BF" w:rsidRPr="00CA190B"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PROFIN</w:t>
            </w:r>
          </w:p>
        </w:tc>
        <w:tc>
          <w:tcPr>
            <w:tcW w:w="6787" w:type="dxa"/>
          </w:tcPr>
          <w:p w:rsidR="00E633BF" w:rsidRPr="001B543D" w:rsidRDefault="00E633BF" w:rsidP="00EF773C">
            <w:pPr>
              <w:spacing w:line="276" w:lineRule="auto"/>
              <w:jc w:val="both"/>
              <w:rPr>
                <w:rFonts w:ascii="Times New Roman" w:hAnsi="Times New Roman" w:cs="Times New Roman"/>
                <w:i/>
                <w:lang w:val="es-US"/>
              </w:rPr>
            </w:pPr>
            <w:r w:rsidRPr="001B543D">
              <w:rPr>
                <w:rFonts w:ascii="Times New Roman" w:hAnsi="Times New Roman" w:cs="Times New Roman"/>
                <w:i/>
                <w:lang w:val="es-US"/>
              </w:rPr>
              <w:t>Fundación para el Desarrollo Productivo y Financiero</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ROA</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Return on Assets</w:t>
            </w:r>
          </w:p>
        </w:tc>
      </w:tr>
      <w:tr w:rsidR="004F3BD0" w:rsidRPr="001B543D" w:rsidTr="0051056E">
        <w:trPr>
          <w:jc w:val="center"/>
        </w:trPr>
        <w:tc>
          <w:tcPr>
            <w:tcW w:w="1830" w:type="dxa"/>
          </w:tcPr>
          <w:p w:rsidR="004F3BD0" w:rsidRPr="001B543D" w:rsidRDefault="004F3BD0" w:rsidP="00EF773C">
            <w:pPr>
              <w:jc w:val="both"/>
              <w:rPr>
                <w:rFonts w:ascii="Times New Roman" w:hAnsi="Times New Roman" w:cs="Times New Roman"/>
              </w:rPr>
            </w:pPr>
            <w:r w:rsidRPr="001B543D">
              <w:rPr>
                <w:rFonts w:ascii="Times New Roman" w:hAnsi="Times New Roman" w:cs="Times New Roman"/>
              </w:rPr>
              <w:t>ROSC</w:t>
            </w:r>
          </w:p>
        </w:tc>
        <w:tc>
          <w:tcPr>
            <w:tcW w:w="6787" w:type="dxa"/>
          </w:tcPr>
          <w:p w:rsidR="004F3BD0" w:rsidRPr="001B543D" w:rsidRDefault="004F3BD0" w:rsidP="00EF773C">
            <w:pPr>
              <w:jc w:val="both"/>
              <w:rPr>
                <w:rFonts w:ascii="Times New Roman" w:hAnsi="Times New Roman" w:cs="Times New Roman"/>
              </w:rPr>
            </w:pPr>
            <w:r w:rsidRPr="001B543D">
              <w:rPr>
                <w:rFonts w:ascii="Times New Roman" w:hAnsi="Times New Roman" w:cs="Times New Roman"/>
              </w:rPr>
              <w:t>Report on the Observance of Standards and Codes</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ROE</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Return on Equity</w:t>
            </w:r>
          </w:p>
        </w:tc>
      </w:tr>
      <w:tr w:rsidR="00E633BF" w:rsidRPr="001B543D" w:rsidTr="0051056E">
        <w:trPr>
          <w:jc w:val="center"/>
        </w:trPr>
        <w:tc>
          <w:tcPr>
            <w:tcW w:w="1830"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RTGS</w:t>
            </w:r>
          </w:p>
        </w:tc>
        <w:tc>
          <w:tcPr>
            <w:tcW w:w="6787" w:type="dxa"/>
          </w:tcPr>
          <w:p w:rsidR="00E633BF" w:rsidRPr="001B543D" w:rsidRDefault="00E633BF" w:rsidP="00EF773C">
            <w:pPr>
              <w:spacing w:line="276" w:lineRule="auto"/>
              <w:jc w:val="both"/>
              <w:rPr>
                <w:rFonts w:ascii="Times New Roman" w:hAnsi="Times New Roman" w:cs="Times New Roman"/>
              </w:rPr>
            </w:pPr>
            <w:r w:rsidRPr="001B543D">
              <w:rPr>
                <w:rFonts w:ascii="Times New Roman" w:hAnsi="Times New Roman" w:cs="Times New Roman"/>
              </w:rPr>
              <w:t>Real-Time Gross Settlement</w:t>
            </w:r>
          </w:p>
        </w:tc>
      </w:tr>
      <w:tr w:rsidR="00E633BF" w:rsidRPr="00CA190B" w:rsidTr="0051056E">
        <w:trPr>
          <w:jc w:val="center"/>
        </w:trPr>
        <w:tc>
          <w:tcPr>
            <w:tcW w:w="1830" w:type="dxa"/>
          </w:tcPr>
          <w:p w:rsidR="00E633BF" w:rsidRPr="001B543D" w:rsidRDefault="00E633BF" w:rsidP="00EF773C">
            <w:pPr>
              <w:jc w:val="both"/>
              <w:rPr>
                <w:rFonts w:ascii="Times New Roman" w:hAnsi="Times New Roman" w:cs="Times New Roman"/>
              </w:rPr>
            </w:pPr>
            <w:r w:rsidRPr="001B543D">
              <w:rPr>
                <w:rFonts w:ascii="Times New Roman" w:hAnsi="Times New Roman" w:cs="Times New Roman"/>
              </w:rPr>
              <w:t>SARC</w:t>
            </w:r>
          </w:p>
        </w:tc>
        <w:tc>
          <w:tcPr>
            <w:tcW w:w="6787" w:type="dxa"/>
          </w:tcPr>
          <w:p w:rsidR="00E633BF" w:rsidRPr="001B543D" w:rsidRDefault="00E633BF" w:rsidP="00F73BAA">
            <w:pPr>
              <w:jc w:val="both"/>
              <w:rPr>
                <w:rFonts w:ascii="Times New Roman" w:hAnsi="Times New Roman" w:cs="Times New Roman"/>
                <w:lang w:val="es-US"/>
              </w:rPr>
            </w:pPr>
            <w:r w:rsidRPr="001B543D">
              <w:rPr>
                <w:rFonts w:ascii="Times New Roman" w:hAnsi="Times New Roman" w:cs="Times New Roman"/>
                <w:i/>
                <w:lang w:val="es-US"/>
              </w:rPr>
              <w:t xml:space="preserve">Servicio de Atención de Reclamos de los Clientes </w:t>
            </w:r>
            <w:r w:rsidRPr="001B543D">
              <w:rPr>
                <w:rFonts w:ascii="Times New Roman" w:hAnsi="Times New Roman" w:cs="Times New Roman"/>
                <w:lang w:val="es-US"/>
              </w:rPr>
              <w:t>(</w:t>
            </w:r>
            <w:proofErr w:type="spellStart"/>
            <w:r w:rsidRPr="001B543D">
              <w:rPr>
                <w:rFonts w:ascii="Times New Roman" w:hAnsi="Times New Roman" w:cs="Times New Roman"/>
                <w:lang w:val="es-US"/>
              </w:rPr>
              <w:t>Customer</w:t>
            </w:r>
            <w:proofErr w:type="spellEnd"/>
            <w:r w:rsidRPr="001B543D">
              <w:rPr>
                <w:rFonts w:ascii="Times New Roman" w:hAnsi="Times New Roman" w:cs="Times New Roman"/>
                <w:lang w:val="es-US"/>
              </w:rPr>
              <w:t xml:space="preserve"> </w:t>
            </w:r>
            <w:proofErr w:type="spellStart"/>
            <w:r w:rsidRPr="001B543D">
              <w:rPr>
                <w:rFonts w:ascii="Times New Roman" w:hAnsi="Times New Roman" w:cs="Times New Roman"/>
                <w:lang w:val="es-US"/>
              </w:rPr>
              <w:t>Support</w:t>
            </w:r>
            <w:proofErr w:type="spellEnd"/>
            <w:r w:rsidRPr="001B543D">
              <w:rPr>
                <w:rFonts w:ascii="Times New Roman" w:hAnsi="Times New Roman" w:cs="Times New Roman"/>
                <w:lang w:val="es-US"/>
              </w:rPr>
              <w:t>)</w:t>
            </w:r>
          </w:p>
        </w:tc>
      </w:tr>
      <w:tr w:rsidR="00E633BF" w:rsidRPr="001B543D" w:rsidTr="0051056E">
        <w:trPr>
          <w:jc w:val="center"/>
        </w:trPr>
        <w:tc>
          <w:tcPr>
            <w:tcW w:w="1830" w:type="dxa"/>
          </w:tcPr>
          <w:p w:rsidR="00E633BF" w:rsidRPr="001B543D" w:rsidRDefault="00E633BF" w:rsidP="00EF773C">
            <w:pPr>
              <w:jc w:val="both"/>
              <w:rPr>
                <w:rFonts w:ascii="Times New Roman" w:hAnsi="Times New Roman" w:cs="Times New Roman"/>
              </w:rPr>
            </w:pPr>
            <w:r w:rsidRPr="001B543D">
              <w:rPr>
                <w:rFonts w:ascii="Times New Roman" w:hAnsi="Times New Roman" w:cs="Times New Roman"/>
              </w:rPr>
              <w:t>SLA</w:t>
            </w:r>
          </w:p>
        </w:tc>
        <w:tc>
          <w:tcPr>
            <w:tcW w:w="6787" w:type="dxa"/>
          </w:tcPr>
          <w:p w:rsidR="00E633BF" w:rsidRPr="001B543D" w:rsidRDefault="00E633BF" w:rsidP="00EF773C">
            <w:pPr>
              <w:jc w:val="both"/>
              <w:rPr>
                <w:rFonts w:ascii="Times New Roman" w:hAnsi="Times New Roman" w:cs="Times New Roman"/>
              </w:rPr>
            </w:pPr>
            <w:r w:rsidRPr="001B543D">
              <w:rPr>
                <w:rFonts w:ascii="Times New Roman" w:hAnsi="Times New Roman" w:cs="Times New Roman"/>
              </w:rPr>
              <w:t>Savings and Loans Associations (</w:t>
            </w:r>
            <w:proofErr w:type="spellStart"/>
            <w:r w:rsidRPr="001B543D">
              <w:rPr>
                <w:rFonts w:ascii="Times New Roman" w:hAnsi="Times New Roman" w:cs="Times New Roman"/>
                <w:i/>
              </w:rPr>
              <w:t>Mutuales</w:t>
            </w:r>
            <w:proofErr w:type="spellEnd"/>
            <w:r w:rsidRPr="001B543D">
              <w:rPr>
                <w:rFonts w:ascii="Times New Roman" w:hAnsi="Times New Roman" w:cs="Times New Roman"/>
                <w:i/>
              </w:rPr>
              <w:t>)</w:t>
            </w:r>
          </w:p>
        </w:tc>
      </w:tr>
      <w:tr w:rsidR="00AD2FC5" w:rsidRPr="001B543D" w:rsidTr="0051056E">
        <w:trPr>
          <w:jc w:val="center"/>
        </w:trPr>
        <w:tc>
          <w:tcPr>
            <w:tcW w:w="1830" w:type="dxa"/>
          </w:tcPr>
          <w:p w:rsidR="00AD2FC5" w:rsidRPr="001B543D" w:rsidRDefault="00AD2FC5" w:rsidP="00EF773C">
            <w:pPr>
              <w:jc w:val="both"/>
              <w:rPr>
                <w:rFonts w:ascii="Times New Roman" w:hAnsi="Times New Roman" w:cs="Times New Roman"/>
              </w:rPr>
            </w:pPr>
            <w:r w:rsidRPr="001B543D">
              <w:rPr>
                <w:rFonts w:ascii="Times New Roman" w:hAnsi="Times New Roman" w:cs="Times New Roman"/>
              </w:rPr>
              <w:t>WOCCU</w:t>
            </w:r>
          </w:p>
        </w:tc>
        <w:tc>
          <w:tcPr>
            <w:tcW w:w="6787" w:type="dxa"/>
          </w:tcPr>
          <w:p w:rsidR="00AD2FC5" w:rsidRPr="001B543D" w:rsidRDefault="00AD2FC5" w:rsidP="00EF773C">
            <w:pPr>
              <w:jc w:val="both"/>
              <w:rPr>
                <w:rFonts w:ascii="Times New Roman" w:hAnsi="Times New Roman" w:cs="Times New Roman"/>
              </w:rPr>
            </w:pPr>
            <w:r w:rsidRPr="001B543D">
              <w:rPr>
                <w:rFonts w:ascii="Times New Roman" w:hAnsi="Times New Roman" w:cs="Times New Roman"/>
              </w:rPr>
              <w:t>World Council of Credit Unions</w:t>
            </w:r>
          </w:p>
        </w:tc>
      </w:tr>
    </w:tbl>
    <w:p w:rsidR="002E1C1D" w:rsidRDefault="002E1C1D" w:rsidP="00EF773C">
      <w:pPr>
        <w:pStyle w:val="Heading1"/>
        <w:numPr>
          <w:ilvl w:val="0"/>
          <w:numId w:val="0"/>
        </w:numPr>
        <w:rPr>
          <w:rFonts w:cs="Times New Roman"/>
          <w:sz w:val="22"/>
          <w:szCs w:val="22"/>
        </w:rPr>
      </w:pPr>
    </w:p>
    <w:p w:rsidR="00C71D80" w:rsidRPr="00C71D80" w:rsidRDefault="00C71D80" w:rsidP="00C71D80"/>
    <w:p w:rsidR="00C71D80" w:rsidRPr="00C71D80" w:rsidRDefault="00C71D80" w:rsidP="00C71D80">
      <w:pPr>
        <w:spacing w:after="0"/>
        <w:jc w:val="center"/>
        <w:rPr>
          <w:rFonts w:ascii="Times New Roman" w:hAnsi="Times New Roman" w:cs="Times New Roman"/>
          <w:b/>
          <w:sz w:val="24"/>
          <w:szCs w:val="24"/>
        </w:rPr>
      </w:pPr>
      <w:r w:rsidRPr="00C71D80">
        <w:rPr>
          <w:rFonts w:ascii="Times New Roman" w:hAnsi="Times New Roman" w:cs="Times New Roman"/>
          <w:b/>
          <w:sz w:val="24"/>
          <w:szCs w:val="24"/>
        </w:rPr>
        <w:t>Currency Equivalents</w:t>
      </w:r>
    </w:p>
    <w:p w:rsidR="00C71D80" w:rsidRPr="00C71D80" w:rsidRDefault="00C71D80" w:rsidP="00C71D80">
      <w:pPr>
        <w:spacing w:after="0"/>
        <w:jc w:val="center"/>
        <w:rPr>
          <w:rFonts w:ascii="Times New Roman" w:hAnsi="Times New Roman" w:cs="Times New Roman"/>
          <w:sz w:val="24"/>
          <w:szCs w:val="24"/>
        </w:rPr>
      </w:pPr>
    </w:p>
    <w:p w:rsidR="00C71D80" w:rsidRPr="00C71D80" w:rsidRDefault="00C71D80" w:rsidP="00C71D80">
      <w:pPr>
        <w:spacing w:after="0"/>
        <w:jc w:val="center"/>
        <w:rPr>
          <w:rFonts w:ascii="Times New Roman" w:hAnsi="Times New Roman" w:cs="Times New Roman"/>
          <w:sz w:val="24"/>
          <w:szCs w:val="24"/>
        </w:rPr>
      </w:pPr>
      <w:r w:rsidRPr="00C71D80">
        <w:rPr>
          <w:rFonts w:ascii="Times New Roman" w:hAnsi="Times New Roman" w:cs="Times New Roman"/>
          <w:sz w:val="24"/>
          <w:szCs w:val="24"/>
        </w:rPr>
        <w:t>Exchange Rate Effective May 1, 2011</w:t>
      </w:r>
    </w:p>
    <w:p w:rsidR="00C71D80" w:rsidRPr="00CA190B" w:rsidRDefault="00C71D80" w:rsidP="00C71D80">
      <w:pPr>
        <w:spacing w:after="0"/>
        <w:jc w:val="center"/>
        <w:rPr>
          <w:rFonts w:ascii="Times New Roman" w:hAnsi="Times New Roman" w:cs="Times New Roman"/>
          <w:sz w:val="24"/>
          <w:szCs w:val="24"/>
          <w:lang w:val="es-BO"/>
        </w:rPr>
      </w:pPr>
      <w:proofErr w:type="spellStart"/>
      <w:r w:rsidRPr="00CA190B">
        <w:rPr>
          <w:rFonts w:ascii="Times New Roman" w:hAnsi="Times New Roman" w:cs="Times New Roman"/>
          <w:sz w:val="24"/>
          <w:szCs w:val="24"/>
          <w:lang w:val="es-BO"/>
        </w:rPr>
        <w:t>Currency</w:t>
      </w:r>
      <w:proofErr w:type="spellEnd"/>
      <w:r w:rsidRPr="00CA190B">
        <w:rPr>
          <w:rFonts w:ascii="Times New Roman" w:hAnsi="Times New Roman" w:cs="Times New Roman"/>
          <w:sz w:val="24"/>
          <w:szCs w:val="24"/>
          <w:lang w:val="es-BO"/>
        </w:rPr>
        <w:t xml:space="preserve"> </w:t>
      </w:r>
      <w:proofErr w:type="spellStart"/>
      <w:r w:rsidRPr="00CA190B">
        <w:rPr>
          <w:rFonts w:ascii="Times New Roman" w:hAnsi="Times New Roman" w:cs="Times New Roman"/>
          <w:sz w:val="24"/>
          <w:szCs w:val="24"/>
          <w:lang w:val="es-BO"/>
        </w:rPr>
        <w:t>Unit</w:t>
      </w:r>
      <w:proofErr w:type="spellEnd"/>
      <w:r w:rsidRPr="00CA190B">
        <w:rPr>
          <w:rFonts w:ascii="Times New Roman" w:hAnsi="Times New Roman" w:cs="Times New Roman"/>
          <w:sz w:val="24"/>
          <w:szCs w:val="24"/>
          <w:lang w:val="es-BO"/>
        </w:rPr>
        <w:t xml:space="preserve"> = </w:t>
      </w:r>
      <w:proofErr w:type="spellStart"/>
      <w:r w:rsidRPr="00CA190B">
        <w:rPr>
          <w:rFonts w:ascii="Times New Roman" w:hAnsi="Times New Roman" w:cs="Times New Roman"/>
          <w:sz w:val="24"/>
          <w:szCs w:val="24"/>
          <w:lang w:val="es-BO"/>
        </w:rPr>
        <w:t>Bolivian</w:t>
      </w:r>
      <w:proofErr w:type="spellEnd"/>
      <w:r w:rsidRPr="00CA190B">
        <w:rPr>
          <w:rFonts w:ascii="Times New Roman" w:hAnsi="Times New Roman" w:cs="Times New Roman"/>
          <w:sz w:val="24"/>
          <w:szCs w:val="24"/>
          <w:lang w:val="es-BO"/>
        </w:rPr>
        <w:t xml:space="preserve"> Boliviano (Bs.)</w:t>
      </w:r>
    </w:p>
    <w:p w:rsidR="00C71D80" w:rsidRPr="00C71D80" w:rsidRDefault="00C71D80" w:rsidP="00C71D80">
      <w:pPr>
        <w:spacing w:after="0"/>
        <w:jc w:val="center"/>
        <w:rPr>
          <w:rFonts w:ascii="Times New Roman" w:hAnsi="Times New Roman" w:cs="Times New Roman"/>
          <w:sz w:val="24"/>
          <w:szCs w:val="24"/>
        </w:rPr>
      </w:pPr>
      <w:r w:rsidRPr="00C71D80">
        <w:rPr>
          <w:rFonts w:ascii="Times New Roman" w:hAnsi="Times New Roman" w:cs="Times New Roman"/>
          <w:sz w:val="24"/>
          <w:szCs w:val="24"/>
        </w:rPr>
        <w:t>USD 1.00 = Bs. 6.99</w:t>
      </w:r>
    </w:p>
    <w:p w:rsidR="00C71D80" w:rsidRPr="00C71D80" w:rsidRDefault="00C71D80" w:rsidP="00C71D80">
      <w:pPr>
        <w:spacing w:after="0"/>
        <w:jc w:val="center"/>
        <w:rPr>
          <w:rFonts w:ascii="Times New Roman" w:hAnsi="Times New Roman" w:cs="Times New Roman"/>
          <w:sz w:val="24"/>
          <w:szCs w:val="24"/>
        </w:rPr>
      </w:pPr>
    </w:p>
    <w:p w:rsidR="00C71D80" w:rsidRPr="00C71D80" w:rsidRDefault="00C71D80" w:rsidP="00C71D80">
      <w:pPr>
        <w:spacing w:after="0"/>
        <w:jc w:val="center"/>
        <w:rPr>
          <w:rFonts w:ascii="Times New Roman" w:hAnsi="Times New Roman" w:cs="Times New Roman"/>
          <w:b/>
          <w:sz w:val="24"/>
          <w:szCs w:val="24"/>
        </w:rPr>
      </w:pPr>
      <w:r w:rsidRPr="00C71D80">
        <w:rPr>
          <w:rFonts w:ascii="Times New Roman" w:hAnsi="Times New Roman" w:cs="Times New Roman"/>
          <w:b/>
          <w:sz w:val="24"/>
          <w:szCs w:val="24"/>
        </w:rPr>
        <w:t>Government Fiscal Year</w:t>
      </w:r>
    </w:p>
    <w:p w:rsidR="00C71D80" w:rsidRPr="00C71D80" w:rsidRDefault="00C71D80" w:rsidP="00C71D80">
      <w:pPr>
        <w:spacing w:after="0"/>
        <w:jc w:val="center"/>
        <w:rPr>
          <w:rFonts w:ascii="Times New Roman" w:hAnsi="Times New Roman" w:cs="Times New Roman"/>
          <w:sz w:val="24"/>
          <w:szCs w:val="24"/>
        </w:rPr>
      </w:pPr>
    </w:p>
    <w:p w:rsidR="00C71D80" w:rsidRPr="00C71D80" w:rsidRDefault="00C71D80" w:rsidP="00C71D80">
      <w:pPr>
        <w:spacing w:after="0"/>
        <w:jc w:val="center"/>
        <w:rPr>
          <w:rFonts w:ascii="Times New Roman" w:hAnsi="Times New Roman" w:cs="Times New Roman"/>
          <w:sz w:val="24"/>
          <w:szCs w:val="24"/>
        </w:rPr>
      </w:pPr>
      <w:r w:rsidRPr="00C71D80">
        <w:rPr>
          <w:rFonts w:ascii="Times New Roman" w:hAnsi="Times New Roman" w:cs="Times New Roman"/>
          <w:sz w:val="24"/>
          <w:szCs w:val="24"/>
        </w:rPr>
        <w:t>January 1 – December 31</w:t>
      </w:r>
    </w:p>
    <w:p w:rsidR="00C71D80" w:rsidRPr="00C71D80" w:rsidRDefault="00C71D80" w:rsidP="00C71D80">
      <w:pPr>
        <w:spacing w:after="0"/>
        <w:jc w:val="center"/>
      </w:pPr>
    </w:p>
    <w:p w:rsidR="00064A1B" w:rsidRDefault="00064A1B" w:rsidP="002E1C1D"/>
    <w:p w:rsidR="00064A1B" w:rsidRDefault="00064A1B" w:rsidP="002E1C1D"/>
    <w:p w:rsidR="00064A1B" w:rsidRDefault="00064A1B" w:rsidP="002E1C1D"/>
    <w:p w:rsidR="00064A1B" w:rsidRDefault="00064A1B" w:rsidP="002E1C1D"/>
    <w:p w:rsidR="00064A1B" w:rsidRDefault="00064A1B" w:rsidP="002E1C1D"/>
    <w:p w:rsidR="00064A1B" w:rsidRDefault="00064A1B" w:rsidP="002E1C1D"/>
    <w:p w:rsidR="00064A1B" w:rsidRDefault="00064A1B" w:rsidP="002E1C1D"/>
    <w:p w:rsidR="00064A1B" w:rsidRDefault="00064A1B" w:rsidP="002E1C1D"/>
    <w:p w:rsidR="00064A1B" w:rsidRDefault="00064A1B" w:rsidP="002E1C1D"/>
    <w:tbl>
      <w:tblPr>
        <w:tblpPr w:leftFromText="180" w:rightFromText="180" w:vertAnchor="page" w:horzAnchor="margin" w:tblpXSpec="center" w:tblpY="1230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60"/>
        <w:gridCol w:w="1908"/>
      </w:tblGrid>
      <w:tr w:rsidR="00064A1B" w:rsidRPr="00064A1B" w:rsidTr="00064A1B">
        <w:trPr>
          <w:trHeight w:val="350"/>
        </w:trPr>
        <w:tc>
          <w:tcPr>
            <w:tcW w:w="2160" w:type="dxa"/>
          </w:tcPr>
          <w:p w:rsidR="00064A1B" w:rsidRPr="00064A1B" w:rsidRDefault="00064A1B" w:rsidP="00064A1B">
            <w:pPr>
              <w:spacing w:after="0"/>
              <w:rPr>
                <w:rFonts w:ascii="Times New Roman" w:hAnsi="Times New Roman" w:cs="Times New Roman"/>
                <w:sz w:val="20"/>
                <w:szCs w:val="20"/>
              </w:rPr>
            </w:pPr>
            <w:r w:rsidRPr="00064A1B">
              <w:rPr>
                <w:rFonts w:ascii="Times New Roman" w:hAnsi="Times New Roman" w:cs="Times New Roman"/>
                <w:sz w:val="20"/>
                <w:szCs w:val="20"/>
              </w:rPr>
              <w:t>Vice President</w:t>
            </w:r>
          </w:p>
          <w:p w:rsidR="00064A1B" w:rsidRPr="00064A1B" w:rsidRDefault="00064A1B" w:rsidP="00064A1B">
            <w:pPr>
              <w:spacing w:after="0"/>
              <w:rPr>
                <w:rFonts w:ascii="Times New Roman" w:hAnsi="Times New Roman" w:cs="Times New Roman"/>
                <w:sz w:val="20"/>
                <w:szCs w:val="20"/>
              </w:rPr>
            </w:pPr>
            <w:r w:rsidRPr="00064A1B">
              <w:rPr>
                <w:rFonts w:ascii="Times New Roman" w:hAnsi="Times New Roman" w:cs="Times New Roman"/>
                <w:sz w:val="20"/>
                <w:szCs w:val="20"/>
              </w:rPr>
              <w:t>Country Director</w:t>
            </w:r>
          </w:p>
          <w:p w:rsidR="00064A1B" w:rsidRPr="00064A1B" w:rsidRDefault="00064A1B" w:rsidP="00064A1B">
            <w:pPr>
              <w:spacing w:after="0"/>
              <w:rPr>
                <w:rFonts w:ascii="Times New Roman" w:hAnsi="Times New Roman" w:cs="Times New Roman"/>
                <w:sz w:val="20"/>
                <w:szCs w:val="20"/>
              </w:rPr>
            </w:pPr>
            <w:r w:rsidRPr="00064A1B">
              <w:rPr>
                <w:rFonts w:ascii="Times New Roman" w:hAnsi="Times New Roman" w:cs="Times New Roman"/>
                <w:sz w:val="20"/>
                <w:szCs w:val="20"/>
              </w:rPr>
              <w:t>Sector Director</w:t>
            </w:r>
          </w:p>
          <w:p w:rsidR="00064A1B" w:rsidRPr="00064A1B" w:rsidRDefault="00064A1B" w:rsidP="00064A1B">
            <w:pPr>
              <w:spacing w:after="0"/>
              <w:rPr>
                <w:rFonts w:ascii="Times New Roman" w:hAnsi="Times New Roman" w:cs="Times New Roman"/>
                <w:sz w:val="20"/>
                <w:szCs w:val="20"/>
              </w:rPr>
            </w:pPr>
            <w:r w:rsidRPr="00064A1B">
              <w:rPr>
                <w:rFonts w:ascii="Times New Roman" w:hAnsi="Times New Roman" w:cs="Times New Roman"/>
                <w:sz w:val="20"/>
                <w:szCs w:val="20"/>
              </w:rPr>
              <w:t>Sector Manager</w:t>
            </w:r>
          </w:p>
          <w:p w:rsidR="00064A1B" w:rsidRPr="00064A1B" w:rsidRDefault="00064A1B" w:rsidP="00064A1B">
            <w:pPr>
              <w:spacing w:after="0"/>
              <w:rPr>
                <w:rFonts w:ascii="Times New Roman" w:hAnsi="Times New Roman" w:cs="Times New Roman"/>
                <w:sz w:val="20"/>
                <w:szCs w:val="20"/>
              </w:rPr>
            </w:pPr>
            <w:r w:rsidRPr="00064A1B">
              <w:rPr>
                <w:rFonts w:ascii="Times New Roman" w:hAnsi="Times New Roman" w:cs="Times New Roman"/>
                <w:sz w:val="20"/>
                <w:szCs w:val="20"/>
              </w:rPr>
              <w:t>Task Manager</w:t>
            </w:r>
          </w:p>
        </w:tc>
        <w:tc>
          <w:tcPr>
            <w:tcW w:w="1908" w:type="dxa"/>
          </w:tcPr>
          <w:p w:rsidR="00064A1B" w:rsidRPr="00064A1B" w:rsidRDefault="00064A1B" w:rsidP="00064A1B">
            <w:pPr>
              <w:spacing w:after="0"/>
              <w:rPr>
                <w:rFonts w:ascii="Times New Roman" w:hAnsi="Times New Roman" w:cs="Times New Roman"/>
                <w:sz w:val="20"/>
                <w:szCs w:val="20"/>
                <w:lang w:val="it-IT"/>
              </w:rPr>
            </w:pPr>
            <w:r w:rsidRPr="00064A1B">
              <w:rPr>
                <w:rFonts w:ascii="Times New Roman" w:hAnsi="Times New Roman" w:cs="Times New Roman"/>
                <w:sz w:val="20"/>
                <w:szCs w:val="20"/>
                <w:lang w:val="it-IT"/>
              </w:rPr>
              <w:t xml:space="preserve">: Pamela Cox </w:t>
            </w:r>
          </w:p>
          <w:p w:rsidR="00064A1B" w:rsidRPr="00064A1B" w:rsidRDefault="00064A1B" w:rsidP="00064A1B">
            <w:pPr>
              <w:spacing w:after="0"/>
              <w:rPr>
                <w:rFonts w:ascii="Times New Roman" w:hAnsi="Times New Roman" w:cs="Times New Roman"/>
                <w:sz w:val="20"/>
                <w:szCs w:val="20"/>
                <w:lang w:val="it-IT"/>
              </w:rPr>
            </w:pPr>
            <w:r w:rsidRPr="00064A1B">
              <w:rPr>
                <w:rFonts w:ascii="Times New Roman" w:hAnsi="Times New Roman" w:cs="Times New Roman"/>
                <w:sz w:val="20"/>
                <w:szCs w:val="20"/>
                <w:lang w:val="it-IT"/>
              </w:rPr>
              <w:t>: Laura Frigenti</w:t>
            </w:r>
          </w:p>
          <w:p w:rsidR="00064A1B" w:rsidRPr="00064A1B" w:rsidRDefault="00064A1B" w:rsidP="00064A1B">
            <w:pPr>
              <w:spacing w:after="0"/>
              <w:rPr>
                <w:rFonts w:ascii="Times New Roman" w:hAnsi="Times New Roman" w:cs="Times New Roman"/>
                <w:sz w:val="20"/>
                <w:szCs w:val="20"/>
                <w:lang w:val="it-IT"/>
              </w:rPr>
            </w:pPr>
            <w:r w:rsidRPr="00064A1B">
              <w:rPr>
                <w:rFonts w:ascii="Times New Roman" w:hAnsi="Times New Roman" w:cs="Times New Roman"/>
                <w:sz w:val="20"/>
                <w:szCs w:val="20"/>
                <w:lang w:val="it-IT"/>
              </w:rPr>
              <w:t>: Rodrigo Chaves</w:t>
            </w:r>
          </w:p>
          <w:p w:rsidR="00064A1B" w:rsidRPr="00CA190B" w:rsidRDefault="00064A1B" w:rsidP="00064A1B">
            <w:pPr>
              <w:spacing w:after="0"/>
              <w:rPr>
                <w:rFonts w:ascii="Times New Roman" w:hAnsi="Times New Roman" w:cs="Times New Roman"/>
                <w:sz w:val="20"/>
                <w:szCs w:val="20"/>
              </w:rPr>
            </w:pPr>
            <w:r w:rsidRPr="00CA190B">
              <w:rPr>
                <w:rFonts w:ascii="Times New Roman" w:hAnsi="Times New Roman" w:cs="Times New Roman"/>
                <w:sz w:val="20"/>
                <w:szCs w:val="20"/>
              </w:rPr>
              <w:t>: Lily L. Chu</w:t>
            </w:r>
          </w:p>
          <w:p w:rsidR="00064A1B" w:rsidRPr="00CA190B" w:rsidRDefault="00064A1B" w:rsidP="00064A1B">
            <w:pPr>
              <w:spacing w:after="0"/>
              <w:rPr>
                <w:rFonts w:ascii="Times New Roman" w:hAnsi="Times New Roman" w:cs="Times New Roman"/>
                <w:sz w:val="20"/>
                <w:szCs w:val="20"/>
              </w:rPr>
            </w:pPr>
            <w:r w:rsidRPr="00CA190B">
              <w:rPr>
                <w:rFonts w:ascii="Times New Roman" w:hAnsi="Times New Roman" w:cs="Times New Roman"/>
                <w:sz w:val="20"/>
                <w:szCs w:val="20"/>
              </w:rPr>
              <w:t>: Juan Buchenau</w:t>
            </w:r>
          </w:p>
        </w:tc>
      </w:tr>
    </w:tbl>
    <w:p w:rsidR="002E1C1D" w:rsidRPr="003571FD" w:rsidRDefault="002E1C1D" w:rsidP="00064A1B">
      <w:pPr>
        <w:spacing w:after="0"/>
        <w:rPr>
          <w:rFonts w:eastAsiaTheme="majorEastAsia"/>
          <w:sz w:val="28"/>
          <w:szCs w:val="28"/>
        </w:rPr>
      </w:pPr>
      <w:r w:rsidRPr="003571FD">
        <w:br w:type="page"/>
      </w:r>
    </w:p>
    <w:p w:rsidR="00880D2A" w:rsidRPr="003571FD" w:rsidRDefault="0051056E" w:rsidP="002E1C1D">
      <w:pPr>
        <w:jc w:val="center"/>
        <w:rPr>
          <w:rFonts w:eastAsiaTheme="majorEastAsia"/>
          <w:b/>
          <w:sz w:val="36"/>
          <w:szCs w:val="28"/>
        </w:rPr>
      </w:pPr>
      <w:r w:rsidRPr="003571FD">
        <w:rPr>
          <w:rFonts w:ascii="Times New Roman" w:hAnsi="Times New Roman" w:cs="Times New Roman"/>
          <w:b/>
          <w:sz w:val="28"/>
        </w:rPr>
        <w:lastRenderedPageBreak/>
        <w:t>Acknowledgements</w:t>
      </w:r>
    </w:p>
    <w:p w:rsidR="0051056E" w:rsidRPr="003571FD" w:rsidRDefault="0051056E" w:rsidP="0051056E">
      <w:pPr>
        <w:rPr>
          <w:rFonts w:ascii="Times New Roman" w:hAnsi="Times New Roman" w:cs="Times New Roman"/>
          <w:sz w:val="18"/>
        </w:rPr>
      </w:pPr>
    </w:p>
    <w:p w:rsidR="00525F02" w:rsidRPr="001B543D" w:rsidRDefault="00525F02" w:rsidP="00525F02">
      <w:pPr>
        <w:jc w:val="both"/>
        <w:rPr>
          <w:rFonts w:ascii="Times New Roman" w:hAnsi="Times New Roman" w:cs="Times New Roman"/>
          <w:sz w:val="24"/>
          <w:szCs w:val="24"/>
        </w:rPr>
      </w:pPr>
      <w:r w:rsidRPr="001B543D">
        <w:rPr>
          <w:rFonts w:ascii="Times New Roman" w:hAnsi="Times New Roman" w:cs="Times New Roman"/>
          <w:sz w:val="24"/>
          <w:szCs w:val="24"/>
        </w:rPr>
        <w:t>Task team leader for this report was Juan Buchenau, with Ilka Funke as co-task team leader and main author</w:t>
      </w:r>
      <w:r w:rsidR="00190090" w:rsidRPr="001B543D">
        <w:rPr>
          <w:rFonts w:ascii="Times New Roman" w:hAnsi="Times New Roman" w:cs="Times New Roman"/>
          <w:sz w:val="24"/>
          <w:szCs w:val="24"/>
        </w:rPr>
        <w:t>,</w:t>
      </w:r>
      <w:r w:rsidRPr="001B543D">
        <w:rPr>
          <w:rFonts w:ascii="Times New Roman" w:hAnsi="Times New Roman" w:cs="Times New Roman"/>
          <w:sz w:val="24"/>
          <w:szCs w:val="24"/>
        </w:rPr>
        <w:t xml:space="preserve"> and Karina Baba (all three LCSPF) providing valuable research support. </w:t>
      </w:r>
      <w:r w:rsidR="00781E2F" w:rsidRPr="00CA190B">
        <w:rPr>
          <w:rFonts w:ascii="Times New Roman" w:hAnsi="Times New Roman" w:cs="Times New Roman"/>
          <w:sz w:val="24"/>
          <w:szCs w:val="24"/>
        </w:rPr>
        <w:t>Mission travel and research for this report were carried out between February 2010 and April 2011</w:t>
      </w:r>
      <w:r w:rsidR="000E680D" w:rsidRPr="00CA190B">
        <w:rPr>
          <w:rFonts w:ascii="Times New Roman" w:hAnsi="Times New Roman" w:cs="Times New Roman"/>
          <w:sz w:val="24"/>
          <w:szCs w:val="24"/>
        </w:rPr>
        <w:t>. I</w:t>
      </w:r>
      <w:r w:rsidR="00781E2F" w:rsidRPr="00CA190B">
        <w:rPr>
          <w:rFonts w:ascii="Times New Roman" w:hAnsi="Times New Roman" w:cs="Times New Roman"/>
          <w:sz w:val="24"/>
          <w:szCs w:val="24"/>
        </w:rPr>
        <w:t xml:space="preserve">nformation on the developments in the regulatory framework </w:t>
      </w:r>
      <w:r w:rsidR="000E680D" w:rsidRPr="00CA190B">
        <w:rPr>
          <w:rFonts w:ascii="Times New Roman" w:hAnsi="Times New Roman" w:cs="Times New Roman"/>
          <w:sz w:val="24"/>
          <w:szCs w:val="24"/>
        </w:rPr>
        <w:t xml:space="preserve">thereafter and until November 2011 </w:t>
      </w:r>
      <w:proofErr w:type="gramStart"/>
      <w:r w:rsidR="00781E2F" w:rsidRPr="00CA190B">
        <w:rPr>
          <w:rFonts w:ascii="Times New Roman" w:hAnsi="Times New Roman" w:cs="Times New Roman"/>
          <w:sz w:val="24"/>
          <w:szCs w:val="24"/>
        </w:rPr>
        <w:t>were</w:t>
      </w:r>
      <w:proofErr w:type="gramEnd"/>
      <w:r w:rsidR="00781E2F" w:rsidRPr="00CA190B">
        <w:rPr>
          <w:rFonts w:ascii="Times New Roman" w:hAnsi="Times New Roman" w:cs="Times New Roman"/>
          <w:sz w:val="24"/>
          <w:szCs w:val="24"/>
        </w:rPr>
        <w:t xml:space="preserve"> incorporated </w:t>
      </w:r>
      <w:r w:rsidR="00C373EC" w:rsidRPr="00CA190B">
        <w:rPr>
          <w:rFonts w:ascii="Times New Roman" w:hAnsi="Times New Roman" w:cs="Times New Roman"/>
          <w:sz w:val="24"/>
          <w:szCs w:val="24"/>
        </w:rPr>
        <w:t xml:space="preserve">mostly </w:t>
      </w:r>
      <w:r w:rsidR="00781E2F" w:rsidRPr="00CA190B">
        <w:rPr>
          <w:rFonts w:ascii="Times New Roman" w:hAnsi="Times New Roman" w:cs="Times New Roman"/>
          <w:sz w:val="24"/>
          <w:szCs w:val="24"/>
        </w:rPr>
        <w:t xml:space="preserve">in the form of </w:t>
      </w:r>
      <w:r w:rsidR="00C71D80" w:rsidRPr="00CA190B">
        <w:rPr>
          <w:rFonts w:ascii="Times New Roman" w:hAnsi="Times New Roman" w:cs="Times New Roman"/>
          <w:sz w:val="24"/>
          <w:szCs w:val="24"/>
        </w:rPr>
        <w:t xml:space="preserve">footnotes. </w:t>
      </w:r>
      <w:r w:rsidRPr="00CA190B">
        <w:rPr>
          <w:rFonts w:ascii="Times New Roman" w:hAnsi="Times New Roman" w:cs="Times New Roman"/>
          <w:sz w:val="24"/>
          <w:szCs w:val="24"/>
        </w:rPr>
        <w:t>The report bene</w:t>
      </w:r>
      <w:r w:rsidRPr="001B543D">
        <w:rPr>
          <w:rFonts w:ascii="Times New Roman" w:hAnsi="Times New Roman" w:cs="Times New Roman"/>
          <w:sz w:val="24"/>
          <w:szCs w:val="24"/>
        </w:rPr>
        <w:t>fited from (</w:t>
      </w:r>
      <w:proofErr w:type="spellStart"/>
      <w:r w:rsidRPr="001B543D">
        <w:rPr>
          <w:rFonts w:ascii="Times New Roman" w:hAnsi="Times New Roman" w:cs="Times New Roman"/>
          <w:sz w:val="24"/>
          <w:szCs w:val="24"/>
        </w:rPr>
        <w:t>i</w:t>
      </w:r>
      <w:proofErr w:type="spellEnd"/>
      <w:r w:rsidRPr="001B543D">
        <w:rPr>
          <w:rFonts w:ascii="Times New Roman" w:hAnsi="Times New Roman" w:cs="Times New Roman"/>
          <w:sz w:val="24"/>
          <w:szCs w:val="24"/>
        </w:rPr>
        <w:t xml:space="preserve">) a background note prepared by Jose Antonio </w:t>
      </w:r>
      <w:proofErr w:type="spellStart"/>
      <w:r w:rsidRPr="001B543D">
        <w:rPr>
          <w:rFonts w:ascii="Times New Roman" w:hAnsi="Times New Roman" w:cs="Times New Roman"/>
          <w:sz w:val="24"/>
          <w:szCs w:val="24"/>
        </w:rPr>
        <w:t>Sivilá</w:t>
      </w:r>
      <w:proofErr w:type="spellEnd"/>
      <w:r w:rsidRPr="001B543D">
        <w:rPr>
          <w:rFonts w:ascii="Times New Roman" w:hAnsi="Times New Roman" w:cs="Times New Roman"/>
          <w:sz w:val="24"/>
          <w:szCs w:val="24"/>
        </w:rPr>
        <w:t xml:space="preserve"> </w:t>
      </w:r>
      <w:proofErr w:type="spellStart"/>
      <w:r w:rsidRPr="001B543D">
        <w:rPr>
          <w:rFonts w:ascii="Times New Roman" w:hAnsi="Times New Roman" w:cs="Times New Roman"/>
          <w:sz w:val="24"/>
          <w:szCs w:val="24"/>
        </w:rPr>
        <w:t>Peñaranda</w:t>
      </w:r>
      <w:proofErr w:type="spellEnd"/>
      <w:r w:rsidRPr="001B543D">
        <w:rPr>
          <w:rFonts w:ascii="Times New Roman" w:hAnsi="Times New Roman" w:cs="Times New Roman"/>
          <w:sz w:val="24"/>
          <w:szCs w:val="24"/>
        </w:rPr>
        <w:t xml:space="preserve"> (Consultant, Bolivia) on the evolution of the financial </w:t>
      </w:r>
      <w:r w:rsidR="00781E2F" w:rsidRPr="001B543D">
        <w:rPr>
          <w:rFonts w:ascii="Times New Roman" w:hAnsi="Times New Roman" w:cs="Times New Roman"/>
          <w:sz w:val="24"/>
          <w:szCs w:val="24"/>
        </w:rPr>
        <w:t>system,</w:t>
      </w:r>
      <w:r w:rsidRPr="001B543D">
        <w:rPr>
          <w:rFonts w:ascii="Times New Roman" w:hAnsi="Times New Roman" w:cs="Times New Roman"/>
          <w:sz w:val="24"/>
          <w:szCs w:val="24"/>
        </w:rPr>
        <w:t xml:space="preserve"> (ii) a technical note prepared by Alvaro Duran (</w:t>
      </w:r>
      <w:proofErr w:type="spellStart"/>
      <w:r w:rsidRPr="001B543D">
        <w:rPr>
          <w:rFonts w:ascii="Times New Roman" w:hAnsi="Times New Roman" w:cs="Times New Roman"/>
          <w:sz w:val="24"/>
          <w:szCs w:val="24"/>
        </w:rPr>
        <w:t>Copenae</w:t>
      </w:r>
      <w:proofErr w:type="spellEnd"/>
      <w:r w:rsidRPr="001B543D">
        <w:rPr>
          <w:rFonts w:ascii="Times New Roman" w:hAnsi="Times New Roman" w:cs="Times New Roman"/>
          <w:sz w:val="24"/>
          <w:szCs w:val="24"/>
        </w:rPr>
        <w:t xml:space="preserve">, Costa Rica), Ronald </w:t>
      </w:r>
      <w:proofErr w:type="spellStart"/>
      <w:r w:rsidRPr="001B543D">
        <w:rPr>
          <w:rFonts w:ascii="Times New Roman" w:hAnsi="Times New Roman" w:cs="Times New Roman"/>
          <w:sz w:val="24"/>
          <w:szCs w:val="24"/>
        </w:rPr>
        <w:t>Arze</w:t>
      </w:r>
      <w:proofErr w:type="spellEnd"/>
      <w:r w:rsidRPr="001B543D">
        <w:rPr>
          <w:rFonts w:ascii="Times New Roman" w:hAnsi="Times New Roman" w:cs="Times New Roman"/>
          <w:sz w:val="24"/>
          <w:szCs w:val="24"/>
        </w:rPr>
        <w:t xml:space="preserve"> (Assist, Bolivia) and Ilka Funke on the transition of closed cooperatives into the regulatory sphere, which included an in-depth assessment of the applicable regulatory framework, and (iii) an assessment of the credit bureau infrastructure by the WHCRI initiative</w:t>
      </w:r>
      <w:r w:rsidR="009E70CB" w:rsidRPr="001B543D">
        <w:rPr>
          <w:rFonts w:ascii="Times New Roman" w:hAnsi="Times New Roman" w:cs="Times New Roman"/>
          <w:sz w:val="24"/>
          <w:szCs w:val="24"/>
        </w:rPr>
        <w:t xml:space="preserve"> </w:t>
      </w:r>
      <w:r w:rsidRPr="001B543D">
        <w:rPr>
          <w:rFonts w:ascii="Times New Roman" w:hAnsi="Times New Roman" w:cs="Times New Roman"/>
          <w:sz w:val="24"/>
          <w:szCs w:val="24"/>
        </w:rPr>
        <w:t xml:space="preserve">- all of which were fully or partially funded through this ESW. Furthermore, the report also </w:t>
      </w:r>
      <w:r w:rsidR="000E680D" w:rsidRPr="001B543D">
        <w:rPr>
          <w:rFonts w:ascii="Times New Roman" w:hAnsi="Times New Roman" w:cs="Times New Roman"/>
          <w:sz w:val="24"/>
          <w:szCs w:val="24"/>
        </w:rPr>
        <w:t xml:space="preserve">benefitted </w:t>
      </w:r>
      <w:r w:rsidRPr="001B543D">
        <w:rPr>
          <w:rFonts w:ascii="Times New Roman" w:hAnsi="Times New Roman" w:cs="Times New Roman"/>
          <w:sz w:val="24"/>
          <w:szCs w:val="24"/>
        </w:rPr>
        <w:t xml:space="preserve">from earlier World Bank reports on strategic alliances in urban areas, partial credit guarantee schemes and the level of informality in the Bolivian economy. </w:t>
      </w:r>
      <w:r w:rsidR="00DB5190" w:rsidRPr="001B543D">
        <w:rPr>
          <w:rFonts w:ascii="Times New Roman" w:hAnsi="Times New Roman" w:cs="Times New Roman"/>
          <w:sz w:val="24"/>
          <w:szCs w:val="24"/>
        </w:rPr>
        <w:t>Juan Buchenau and Ilka Funke</w:t>
      </w:r>
      <w:r w:rsidRPr="001B543D">
        <w:rPr>
          <w:rFonts w:ascii="Times New Roman" w:hAnsi="Times New Roman" w:cs="Times New Roman"/>
          <w:sz w:val="24"/>
          <w:szCs w:val="24"/>
        </w:rPr>
        <w:t xml:space="preserve"> also participated in the recent FSAP update</w:t>
      </w:r>
      <w:r w:rsidRPr="001B543D">
        <w:rPr>
          <w:rStyle w:val="FootnoteReference"/>
          <w:rFonts w:ascii="Times New Roman" w:hAnsi="Times New Roman" w:cs="Times New Roman"/>
          <w:sz w:val="24"/>
          <w:szCs w:val="24"/>
        </w:rPr>
        <w:footnoteReference w:id="1"/>
      </w:r>
      <w:r w:rsidRPr="001B543D">
        <w:rPr>
          <w:rFonts w:ascii="Times New Roman" w:hAnsi="Times New Roman" w:cs="Times New Roman"/>
          <w:sz w:val="24"/>
          <w:szCs w:val="24"/>
        </w:rPr>
        <w:t>.</w:t>
      </w:r>
    </w:p>
    <w:p w:rsidR="00525F02" w:rsidRPr="008B67D0" w:rsidRDefault="00525F02" w:rsidP="008B67D0">
      <w:pPr>
        <w:jc w:val="both"/>
        <w:rPr>
          <w:rFonts w:ascii="Times New Roman" w:hAnsi="Times New Roman" w:cs="Times New Roman"/>
          <w:sz w:val="24"/>
          <w:szCs w:val="24"/>
        </w:rPr>
      </w:pPr>
      <w:r w:rsidRPr="008B67D0">
        <w:rPr>
          <w:rFonts w:ascii="Times New Roman" w:hAnsi="Times New Roman" w:cs="Times New Roman"/>
          <w:sz w:val="24"/>
          <w:szCs w:val="24"/>
        </w:rPr>
        <w:t xml:space="preserve">During the missions staffed for this report, the team met with the Minister for Development Planning, the Vice-minister for Pensions and Financial Services, the Central Bank Governor, the Executive Director of the Financial System's Authority, their respective senior staff, and representatives of banks, specialized credit entities, as well as representatives of the non-financial private sector. The team would like to express its </w:t>
      </w:r>
      <w:r w:rsidR="00781E2F" w:rsidRPr="008B67D0">
        <w:rPr>
          <w:rFonts w:ascii="Times New Roman" w:hAnsi="Times New Roman" w:cs="Times New Roman"/>
          <w:sz w:val="24"/>
          <w:szCs w:val="24"/>
        </w:rPr>
        <w:t>gratitude to the government and private sector stakeholders for their time and valuable input, and in particular to the Ministry of Economy and Finance and ASFI for their excellent support throughout this analysis and for their comments on the report</w:t>
      </w:r>
      <w:proofErr w:type="gramStart"/>
      <w:r w:rsidR="000202D7" w:rsidRPr="008B67D0">
        <w:rPr>
          <w:rFonts w:ascii="Times New Roman" w:hAnsi="Times New Roman" w:cs="Times New Roman"/>
          <w:sz w:val="24"/>
          <w:szCs w:val="24"/>
        </w:rPr>
        <w:t>.</w:t>
      </w:r>
      <w:r w:rsidR="00781E2F" w:rsidRPr="008B67D0">
        <w:rPr>
          <w:rFonts w:ascii="Times New Roman" w:hAnsi="Times New Roman" w:cs="Times New Roman"/>
          <w:sz w:val="24"/>
          <w:szCs w:val="24"/>
        </w:rPr>
        <w:t>.</w:t>
      </w:r>
      <w:proofErr w:type="gramEnd"/>
      <w:r w:rsidR="000E680D" w:rsidRPr="008B67D0">
        <w:rPr>
          <w:rFonts w:ascii="Times New Roman" w:hAnsi="Times New Roman" w:cs="Times New Roman"/>
          <w:sz w:val="24"/>
          <w:szCs w:val="24"/>
        </w:rPr>
        <w:t xml:space="preserve"> The opinions presented in this report are only attributable to the authors as are any errors and omissions.</w:t>
      </w:r>
    </w:p>
    <w:p w:rsidR="008B67D0" w:rsidRDefault="00525F02" w:rsidP="00525F02">
      <w:pPr>
        <w:jc w:val="both"/>
        <w:rPr>
          <w:rFonts w:ascii="Times New Roman" w:hAnsi="Times New Roman" w:cs="Times New Roman"/>
          <w:bCs/>
          <w:sz w:val="24"/>
          <w:szCs w:val="24"/>
        </w:rPr>
      </w:pPr>
      <w:r w:rsidRPr="001B543D">
        <w:rPr>
          <w:rFonts w:ascii="Times New Roman" w:hAnsi="Times New Roman" w:cs="Times New Roman"/>
          <w:sz w:val="24"/>
          <w:szCs w:val="24"/>
        </w:rPr>
        <w:t>The team would also like to thank Lily Chu, Carlos Silva-</w:t>
      </w:r>
      <w:proofErr w:type="spellStart"/>
      <w:r w:rsidRPr="001B543D">
        <w:rPr>
          <w:rFonts w:ascii="Times New Roman" w:hAnsi="Times New Roman" w:cs="Times New Roman"/>
          <w:sz w:val="24"/>
          <w:szCs w:val="24"/>
        </w:rPr>
        <w:t>Jauregui</w:t>
      </w:r>
      <w:proofErr w:type="spellEnd"/>
      <w:r w:rsidRPr="001B543D">
        <w:rPr>
          <w:rFonts w:ascii="Times New Roman" w:hAnsi="Times New Roman" w:cs="Times New Roman"/>
          <w:sz w:val="24"/>
          <w:szCs w:val="24"/>
        </w:rPr>
        <w:t xml:space="preserve">, Oscar </w:t>
      </w:r>
      <w:proofErr w:type="spellStart"/>
      <w:r w:rsidRPr="001B543D">
        <w:rPr>
          <w:rFonts w:ascii="Times New Roman" w:hAnsi="Times New Roman" w:cs="Times New Roman"/>
          <w:sz w:val="24"/>
          <w:szCs w:val="24"/>
        </w:rPr>
        <w:t>Avalle</w:t>
      </w:r>
      <w:proofErr w:type="spellEnd"/>
      <w:r w:rsidR="00602EB8" w:rsidRPr="001B543D">
        <w:rPr>
          <w:rFonts w:ascii="Times New Roman" w:hAnsi="Times New Roman" w:cs="Times New Roman"/>
          <w:sz w:val="24"/>
          <w:szCs w:val="24"/>
        </w:rPr>
        <w:t xml:space="preserve">, </w:t>
      </w:r>
      <w:r w:rsidRPr="001B543D">
        <w:rPr>
          <w:rFonts w:ascii="Times New Roman" w:hAnsi="Times New Roman" w:cs="Times New Roman"/>
          <w:sz w:val="24"/>
          <w:szCs w:val="24"/>
        </w:rPr>
        <w:t xml:space="preserve">Julio </w:t>
      </w:r>
      <w:proofErr w:type="spellStart"/>
      <w:r w:rsidRPr="001B543D">
        <w:rPr>
          <w:rFonts w:ascii="Times New Roman" w:hAnsi="Times New Roman" w:cs="Times New Roman"/>
          <w:sz w:val="24"/>
          <w:szCs w:val="24"/>
        </w:rPr>
        <w:t>Loayza</w:t>
      </w:r>
      <w:proofErr w:type="spellEnd"/>
      <w:r w:rsidRPr="001B543D">
        <w:rPr>
          <w:rFonts w:ascii="Times New Roman" w:hAnsi="Times New Roman" w:cs="Times New Roman"/>
          <w:sz w:val="24"/>
          <w:szCs w:val="24"/>
        </w:rPr>
        <w:t xml:space="preserve"> </w:t>
      </w:r>
      <w:r w:rsidR="00602EB8" w:rsidRPr="001B543D">
        <w:rPr>
          <w:rFonts w:ascii="Times New Roman" w:hAnsi="Times New Roman" w:cs="Times New Roman"/>
          <w:sz w:val="24"/>
          <w:szCs w:val="24"/>
        </w:rPr>
        <w:t xml:space="preserve">and Mike Goldberg </w:t>
      </w:r>
      <w:r w:rsidRPr="001B543D">
        <w:rPr>
          <w:rFonts w:ascii="Times New Roman" w:hAnsi="Times New Roman" w:cs="Times New Roman"/>
          <w:sz w:val="24"/>
          <w:szCs w:val="24"/>
        </w:rPr>
        <w:t xml:space="preserve">for their guidance and support. Peer reviewers </w:t>
      </w:r>
      <w:r w:rsidRPr="001B543D">
        <w:rPr>
          <w:rFonts w:ascii="Times New Roman" w:hAnsi="Times New Roman" w:cs="Times New Roman"/>
          <w:bCs/>
          <w:sz w:val="24"/>
          <w:szCs w:val="24"/>
        </w:rPr>
        <w:t xml:space="preserve">were </w:t>
      </w:r>
      <w:r w:rsidR="001B543D" w:rsidRPr="001B543D">
        <w:rPr>
          <w:rFonts w:ascii="Times New Roman" w:hAnsi="Times New Roman" w:cs="Times New Roman"/>
          <w:bCs/>
          <w:sz w:val="24"/>
          <w:szCs w:val="24"/>
        </w:rPr>
        <w:t>Aquifers</w:t>
      </w:r>
      <w:r w:rsidRPr="001B543D">
        <w:rPr>
          <w:rFonts w:ascii="Times New Roman" w:hAnsi="Times New Roman" w:cs="Times New Roman"/>
          <w:bCs/>
          <w:sz w:val="24"/>
          <w:szCs w:val="24"/>
        </w:rPr>
        <w:t xml:space="preserve"> </w:t>
      </w:r>
      <w:proofErr w:type="spellStart"/>
      <w:r w:rsidRPr="001B543D">
        <w:rPr>
          <w:rFonts w:ascii="Times New Roman" w:hAnsi="Times New Roman" w:cs="Times New Roman"/>
          <w:bCs/>
          <w:sz w:val="24"/>
          <w:szCs w:val="24"/>
        </w:rPr>
        <w:t>Almansi</w:t>
      </w:r>
      <w:proofErr w:type="spellEnd"/>
      <w:r w:rsidRPr="001B543D">
        <w:rPr>
          <w:rFonts w:ascii="Times New Roman" w:hAnsi="Times New Roman" w:cs="Times New Roman"/>
          <w:bCs/>
          <w:sz w:val="24"/>
          <w:szCs w:val="24"/>
        </w:rPr>
        <w:t xml:space="preserve"> (FPDDO), Luisa </w:t>
      </w:r>
      <w:proofErr w:type="spellStart"/>
      <w:r w:rsidRPr="001B543D">
        <w:rPr>
          <w:rFonts w:ascii="Times New Roman" w:hAnsi="Times New Roman" w:cs="Times New Roman"/>
          <w:bCs/>
          <w:sz w:val="24"/>
          <w:szCs w:val="24"/>
        </w:rPr>
        <w:t>Zanforlin</w:t>
      </w:r>
      <w:proofErr w:type="spellEnd"/>
      <w:r w:rsidRPr="001B543D">
        <w:rPr>
          <w:rFonts w:ascii="Times New Roman" w:hAnsi="Times New Roman" w:cs="Times New Roman"/>
          <w:bCs/>
          <w:sz w:val="24"/>
          <w:szCs w:val="24"/>
        </w:rPr>
        <w:t xml:space="preserve"> (IMF), Julio </w:t>
      </w:r>
      <w:proofErr w:type="spellStart"/>
      <w:r w:rsidRPr="001B543D">
        <w:rPr>
          <w:rFonts w:ascii="Times New Roman" w:hAnsi="Times New Roman" w:cs="Times New Roman"/>
          <w:bCs/>
          <w:sz w:val="24"/>
          <w:szCs w:val="24"/>
        </w:rPr>
        <w:t>Loayza</w:t>
      </w:r>
      <w:proofErr w:type="spellEnd"/>
      <w:r w:rsidRPr="001B543D">
        <w:rPr>
          <w:rFonts w:ascii="Times New Roman" w:hAnsi="Times New Roman" w:cs="Times New Roman"/>
          <w:bCs/>
          <w:sz w:val="24"/>
          <w:szCs w:val="24"/>
        </w:rPr>
        <w:t xml:space="preserve"> (LCSPE) and Xavier </w:t>
      </w:r>
      <w:proofErr w:type="spellStart"/>
      <w:r w:rsidRPr="001B543D">
        <w:rPr>
          <w:rFonts w:ascii="Times New Roman" w:hAnsi="Times New Roman" w:cs="Times New Roman"/>
          <w:bCs/>
          <w:sz w:val="24"/>
          <w:szCs w:val="24"/>
        </w:rPr>
        <w:t>Faz</w:t>
      </w:r>
      <w:proofErr w:type="spellEnd"/>
      <w:r w:rsidRPr="001B543D">
        <w:rPr>
          <w:rFonts w:ascii="Times New Roman" w:hAnsi="Times New Roman" w:cs="Times New Roman"/>
          <w:bCs/>
          <w:sz w:val="24"/>
          <w:szCs w:val="24"/>
        </w:rPr>
        <w:t xml:space="preserve"> (CGP). The team also wishes to thank </w:t>
      </w:r>
      <w:r w:rsidR="00BA278F" w:rsidRPr="001B543D">
        <w:rPr>
          <w:rFonts w:ascii="Times New Roman" w:hAnsi="Times New Roman" w:cs="Times New Roman"/>
          <w:bCs/>
          <w:sz w:val="24"/>
          <w:szCs w:val="24"/>
        </w:rPr>
        <w:t>Gaston Blanco (LCSHS)</w:t>
      </w:r>
      <w:r w:rsidR="00DB5190" w:rsidRPr="001B543D">
        <w:rPr>
          <w:rFonts w:ascii="Times New Roman" w:hAnsi="Times New Roman" w:cs="Times New Roman"/>
          <w:bCs/>
          <w:sz w:val="24"/>
          <w:szCs w:val="24"/>
        </w:rPr>
        <w:t>,</w:t>
      </w:r>
      <w:r w:rsidR="00BA278F" w:rsidRPr="001B543D">
        <w:rPr>
          <w:rFonts w:ascii="Times New Roman" w:hAnsi="Times New Roman" w:cs="Times New Roman"/>
          <w:bCs/>
          <w:sz w:val="24"/>
          <w:szCs w:val="24"/>
        </w:rPr>
        <w:t xml:space="preserve"> David </w:t>
      </w:r>
      <w:proofErr w:type="spellStart"/>
      <w:r w:rsidR="00BA278F" w:rsidRPr="001B543D">
        <w:rPr>
          <w:rFonts w:ascii="Times New Roman" w:hAnsi="Times New Roman" w:cs="Times New Roman"/>
          <w:bCs/>
          <w:sz w:val="24"/>
          <w:szCs w:val="24"/>
        </w:rPr>
        <w:t>Tuchschneider</w:t>
      </w:r>
      <w:proofErr w:type="spellEnd"/>
      <w:r w:rsidR="00BA278F" w:rsidRPr="001B543D">
        <w:rPr>
          <w:rFonts w:ascii="Times New Roman" w:hAnsi="Times New Roman" w:cs="Times New Roman"/>
          <w:bCs/>
          <w:sz w:val="24"/>
          <w:szCs w:val="24"/>
        </w:rPr>
        <w:t xml:space="preserve"> (LCSAR)</w:t>
      </w:r>
      <w:r w:rsidR="000C1331" w:rsidRPr="001B543D">
        <w:rPr>
          <w:rFonts w:ascii="Times New Roman" w:hAnsi="Times New Roman" w:cs="Times New Roman"/>
          <w:bCs/>
          <w:sz w:val="24"/>
          <w:szCs w:val="24"/>
        </w:rPr>
        <w:t>, Eva Gutierre</w:t>
      </w:r>
      <w:r w:rsidR="00190090" w:rsidRPr="001B543D">
        <w:rPr>
          <w:rFonts w:ascii="Times New Roman" w:hAnsi="Times New Roman" w:cs="Times New Roman"/>
          <w:bCs/>
          <w:sz w:val="24"/>
          <w:szCs w:val="24"/>
        </w:rPr>
        <w:t>z</w:t>
      </w:r>
      <w:r w:rsidR="000C1331" w:rsidRPr="001B543D">
        <w:rPr>
          <w:rFonts w:ascii="Times New Roman" w:hAnsi="Times New Roman" w:cs="Times New Roman"/>
          <w:bCs/>
          <w:sz w:val="24"/>
          <w:szCs w:val="24"/>
        </w:rPr>
        <w:t xml:space="preserve"> </w:t>
      </w:r>
      <w:r w:rsidR="00DB5190" w:rsidRPr="001B543D">
        <w:rPr>
          <w:rFonts w:ascii="Times New Roman" w:hAnsi="Times New Roman" w:cs="Times New Roman"/>
          <w:bCs/>
          <w:sz w:val="24"/>
          <w:szCs w:val="24"/>
        </w:rPr>
        <w:t>and Jane Hwang (</w:t>
      </w:r>
      <w:r w:rsidR="000C1331" w:rsidRPr="001B543D">
        <w:rPr>
          <w:rFonts w:ascii="Times New Roman" w:hAnsi="Times New Roman" w:cs="Times New Roman"/>
          <w:bCs/>
          <w:sz w:val="24"/>
          <w:szCs w:val="24"/>
        </w:rPr>
        <w:t xml:space="preserve">both </w:t>
      </w:r>
      <w:r w:rsidR="00DB5190" w:rsidRPr="001B543D">
        <w:rPr>
          <w:rFonts w:ascii="Times New Roman" w:hAnsi="Times New Roman" w:cs="Times New Roman"/>
          <w:bCs/>
          <w:sz w:val="24"/>
          <w:szCs w:val="24"/>
        </w:rPr>
        <w:t>LCSPF)</w:t>
      </w:r>
      <w:r w:rsidR="00BA278F" w:rsidRPr="001B543D">
        <w:rPr>
          <w:rFonts w:ascii="Times New Roman" w:hAnsi="Times New Roman" w:cs="Times New Roman"/>
          <w:bCs/>
          <w:sz w:val="24"/>
          <w:szCs w:val="24"/>
        </w:rPr>
        <w:t xml:space="preserve"> for their input into selected topics, </w:t>
      </w:r>
      <w:r w:rsidR="00DB5190" w:rsidRPr="001B543D">
        <w:rPr>
          <w:rFonts w:ascii="Times New Roman" w:hAnsi="Times New Roman" w:cs="Times New Roman"/>
          <w:bCs/>
          <w:sz w:val="24"/>
          <w:szCs w:val="24"/>
        </w:rPr>
        <w:t xml:space="preserve">Monica </w:t>
      </w:r>
      <w:proofErr w:type="spellStart"/>
      <w:r w:rsidR="00DB5190" w:rsidRPr="001B543D">
        <w:rPr>
          <w:rFonts w:ascii="Times New Roman" w:hAnsi="Times New Roman" w:cs="Times New Roman"/>
          <w:bCs/>
          <w:sz w:val="24"/>
          <w:szCs w:val="24"/>
        </w:rPr>
        <w:t>Rivero</w:t>
      </w:r>
      <w:proofErr w:type="spellEnd"/>
      <w:r w:rsidR="00DB5190" w:rsidRPr="001B543D">
        <w:rPr>
          <w:rFonts w:ascii="Times New Roman" w:hAnsi="Times New Roman" w:cs="Times New Roman"/>
          <w:bCs/>
          <w:sz w:val="24"/>
          <w:szCs w:val="24"/>
        </w:rPr>
        <w:t xml:space="preserve"> (LSCPF) for her excellent support throughout the year, Eric </w:t>
      </w:r>
      <w:proofErr w:type="spellStart"/>
      <w:r w:rsidR="00DB5190" w:rsidRPr="001B543D">
        <w:rPr>
          <w:rFonts w:ascii="Times New Roman" w:hAnsi="Times New Roman" w:cs="Times New Roman"/>
          <w:bCs/>
          <w:sz w:val="24"/>
          <w:szCs w:val="24"/>
        </w:rPr>
        <w:t>Palladini</w:t>
      </w:r>
      <w:proofErr w:type="spellEnd"/>
      <w:r w:rsidR="00DB5190" w:rsidRPr="001B543D">
        <w:rPr>
          <w:rFonts w:ascii="Times New Roman" w:hAnsi="Times New Roman" w:cs="Times New Roman"/>
          <w:bCs/>
          <w:sz w:val="24"/>
          <w:szCs w:val="24"/>
        </w:rPr>
        <w:t xml:space="preserve"> (LCSPF) for editing the document, </w:t>
      </w:r>
      <w:r w:rsidR="00BA278F" w:rsidRPr="001B543D">
        <w:rPr>
          <w:rFonts w:ascii="Times New Roman" w:hAnsi="Times New Roman" w:cs="Times New Roman"/>
          <w:bCs/>
          <w:sz w:val="24"/>
          <w:szCs w:val="24"/>
        </w:rPr>
        <w:t xml:space="preserve">and </w:t>
      </w:r>
      <w:r w:rsidRPr="001B543D">
        <w:rPr>
          <w:rFonts w:ascii="Times New Roman" w:hAnsi="Times New Roman" w:cs="Times New Roman"/>
          <w:bCs/>
          <w:sz w:val="24"/>
          <w:szCs w:val="24"/>
        </w:rPr>
        <w:t xml:space="preserve">Patricia Velasco, Kelly </w:t>
      </w:r>
      <w:proofErr w:type="spellStart"/>
      <w:r w:rsidRPr="001B543D">
        <w:rPr>
          <w:rFonts w:ascii="Times New Roman" w:hAnsi="Times New Roman" w:cs="Times New Roman"/>
          <w:bCs/>
          <w:sz w:val="24"/>
          <w:szCs w:val="24"/>
        </w:rPr>
        <w:t>Keirnan</w:t>
      </w:r>
      <w:proofErr w:type="spellEnd"/>
      <w:r w:rsidRPr="001B543D">
        <w:rPr>
          <w:rFonts w:ascii="Times New Roman" w:hAnsi="Times New Roman" w:cs="Times New Roman"/>
          <w:bCs/>
          <w:sz w:val="24"/>
          <w:szCs w:val="24"/>
        </w:rPr>
        <w:t xml:space="preserve"> and </w:t>
      </w:r>
      <w:proofErr w:type="spellStart"/>
      <w:r w:rsidRPr="001B543D">
        <w:rPr>
          <w:rFonts w:ascii="Times New Roman" w:hAnsi="Times New Roman" w:cs="Times New Roman"/>
          <w:bCs/>
          <w:sz w:val="24"/>
          <w:szCs w:val="24"/>
        </w:rPr>
        <w:t>Ximena</w:t>
      </w:r>
      <w:proofErr w:type="spellEnd"/>
      <w:r w:rsidRPr="001B543D">
        <w:rPr>
          <w:rFonts w:ascii="Times New Roman" w:hAnsi="Times New Roman" w:cs="Times New Roman"/>
          <w:bCs/>
          <w:sz w:val="24"/>
          <w:szCs w:val="24"/>
        </w:rPr>
        <w:t xml:space="preserve"> </w:t>
      </w:r>
      <w:proofErr w:type="spellStart"/>
      <w:r w:rsidRPr="001B543D">
        <w:rPr>
          <w:rFonts w:ascii="Times New Roman" w:hAnsi="Times New Roman" w:cs="Times New Roman"/>
          <w:bCs/>
          <w:sz w:val="24"/>
          <w:szCs w:val="24"/>
        </w:rPr>
        <w:t>Resnikowski</w:t>
      </w:r>
      <w:proofErr w:type="spellEnd"/>
      <w:r w:rsidRPr="001B543D">
        <w:rPr>
          <w:rFonts w:ascii="Times New Roman" w:hAnsi="Times New Roman" w:cs="Times New Roman"/>
          <w:bCs/>
          <w:sz w:val="24"/>
          <w:szCs w:val="24"/>
        </w:rPr>
        <w:t xml:space="preserve"> for the invaluable support provided during the missions.</w:t>
      </w:r>
    </w:p>
    <w:p w:rsidR="008B67D0" w:rsidRDefault="008B67D0">
      <w:pPr>
        <w:rPr>
          <w:rFonts w:ascii="Times New Roman" w:hAnsi="Times New Roman" w:cs="Times New Roman"/>
          <w:bCs/>
          <w:sz w:val="24"/>
          <w:szCs w:val="24"/>
        </w:rPr>
      </w:pPr>
      <w:r>
        <w:rPr>
          <w:rFonts w:ascii="Times New Roman" w:hAnsi="Times New Roman" w:cs="Times New Roman"/>
          <w:bCs/>
          <w:sz w:val="24"/>
          <w:szCs w:val="24"/>
        </w:rPr>
        <w:br w:type="page"/>
      </w:r>
    </w:p>
    <w:p w:rsidR="00813E9B" w:rsidRPr="003571FD" w:rsidRDefault="00813E9B">
      <w:pPr>
        <w:rPr>
          <w:rFonts w:ascii="Times New Roman" w:hAnsi="Times New Roman" w:cs="Times New Roman"/>
          <w:sz w:val="20"/>
        </w:rPr>
        <w:sectPr w:rsidR="00813E9B" w:rsidRPr="003571FD" w:rsidSect="00662420">
          <w:footerReference w:type="default" r:id="rId14"/>
          <w:type w:val="continuous"/>
          <w:pgSz w:w="12240" w:h="15840"/>
          <w:pgMar w:top="1440" w:right="1440" w:bottom="1440" w:left="1440" w:header="720" w:footer="720" w:gutter="0"/>
          <w:pgNumType w:fmt="lowerRoman" w:start="2"/>
          <w:cols w:space="720"/>
          <w:docGrid w:linePitch="360"/>
        </w:sectPr>
      </w:pPr>
    </w:p>
    <w:p w:rsidR="00CF59E9" w:rsidRPr="003571FD" w:rsidRDefault="00CF59E9" w:rsidP="00C865D6">
      <w:pPr>
        <w:jc w:val="center"/>
        <w:rPr>
          <w:rFonts w:ascii="Times New Roman" w:hAnsi="Times New Roman" w:cs="Times New Roman"/>
          <w:b/>
        </w:rPr>
      </w:pPr>
      <w:r w:rsidRPr="003571FD">
        <w:rPr>
          <w:rFonts w:ascii="Times New Roman" w:hAnsi="Times New Roman" w:cs="Times New Roman"/>
          <w:b/>
          <w:bCs/>
          <w:sz w:val="28"/>
        </w:rPr>
        <w:lastRenderedPageBreak/>
        <w:t>The financial sector in Bolivia</w:t>
      </w:r>
      <w:r w:rsidR="00F93C9A" w:rsidRPr="003571FD">
        <w:rPr>
          <w:rFonts w:ascii="Times New Roman" w:hAnsi="Times New Roman" w:cs="Times New Roman"/>
          <w:b/>
          <w:bCs/>
          <w:sz w:val="28"/>
        </w:rPr>
        <w:t xml:space="preserve"> </w:t>
      </w:r>
      <w:r w:rsidRPr="003571FD">
        <w:rPr>
          <w:rFonts w:ascii="Times New Roman" w:hAnsi="Times New Roman" w:cs="Times New Roman"/>
          <w:b/>
          <w:bCs/>
          <w:sz w:val="28"/>
        </w:rPr>
        <w:t>– Assessing the sector’s potential role in fostering rural development and growth of the productive sectors</w:t>
      </w:r>
      <w:r w:rsidRPr="003571FD">
        <w:rPr>
          <w:rFonts w:ascii="Times New Roman" w:hAnsi="Times New Roman" w:cs="Times New Roman"/>
          <w:b/>
          <w:bCs/>
          <w:sz w:val="28"/>
          <w:vertAlign w:val="superscript"/>
        </w:rPr>
        <w:footnoteReference w:id="2"/>
      </w:r>
    </w:p>
    <w:p w:rsidR="00CF59E9" w:rsidRPr="003571FD" w:rsidRDefault="00CF59E9" w:rsidP="00FB67D0">
      <w:pPr>
        <w:pStyle w:val="Heading1"/>
        <w:numPr>
          <w:ilvl w:val="0"/>
          <w:numId w:val="0"/>
        </w:numPr>
        <w:ind w:left="432" w:hanging="432"/>
        <w:rPr>
          <w:rFonts w:cs="Times New Roman"/>
        </w:rPr>
      </w:pPr>
      <w:bookmarkStart w:id="13" w:name="_Toc312319489"/>
      <w:r w:rsidRPr="003571FD">
        <w:rPr>
          <w:rFonts w:cs="Times New Roman"/>
        </w:rPr>
        <w:t>Executive Summary</w:t>
      </w:r>
      <w:bookmarkEnd w:id="13"/>
    </w:p>
    <w:p w:rsidR="00CF59E9" w:rsidRPr="003571FD" w:rsidRDefault="00CF59E9" w:rsidP="00CF59E9">
      <w:pPr>
        <w:rPr>
          <w:rFonts w:ascii="Times New Roman" w:hAnsi="Times New Roman" w:cs="Times New Roman"/>
        </w:rPr>
      </w:pPr>
    </w:p>
    <w:p w:rsidR="00C91422" w:rsidRPr="003571FD" w:rsidRDefault="00C91422" w:rsidP="00C91422">
      <w:pPr>
        <w:jc w:val="both"/>
        <w:rPr>
          <w:rFonts w:ascii="Times New Roman" w:hAnsi="Times New Roman" w:cs="Times New Roman"/>
          <w:sz w:val="24"/>
        </w:rPr>
      </w:pPr>
      <w:r w:rsidRPr="003571FD">
        <w:rPr>
          <w:rFonts w:ascii="Times New Roman" w:hAnsi="Times New Roman" w:cs="Times New Roman"/>
          <w:sz w:val="24"/>
        </w:rPr>
        <w:t>Bolivia</w:t>
      </w:r>
      <w:r w:rsidR="00F43D6E" w:rsidRPr="003571FD">
        <w:rPr>
          <w:rFonts w:ascii="Times New Roman" w:hAnsi="Times New Roman" w:cs="Times New Roman"/>
          <w:sz w:val="24"/>
        </w:rPr>
        <w:t xml:space="preserve"> </w:t>
      </w:r>
      <w:r w:rsidRPr="003571FD">
        <w:rPr>
          <w:rFonts w:ascii="Times New Roman" w:hAnsi="Times New Roman" w:cs="Times New Roman"/>
          <w:sz w:val="24"/>
        </w:rPr>
        <w:t>benefited from an overall favorable economic evolution in the last few years, supported by sound macro-economic indicators. Yet, economic growth was unevenly distributed between the sectors, with particularly extractive industries, construction and financial services showing higher real growth rates, while agriculture and manufacturing fell behind. This is an area of concern for the government which – as manifested in the new Constitution - aims to foster a more balanced and equitable growth. In its reform measures, it places a particular focus on developing the rural areas, in which a large share of the indigenous population lives, and on the productive sector</w:t>
      </w:r>
      <w:r w:rsidR="00B50B86" w:rsidRPr="003571FD">
        <w:rPr>
          <w:rFonts w:ascii="Times New Roman" w:hAnsi="Times New Roman" w:cs="Times New Roman"/>
          <w:sz w:val="24"/>
        </w:rPr>
        <w:t xml:space="preserve"> (agriculture, forestry, manufacturing and extractive)</w:t>
      </w:r>
      <w:r w:rsidRPr="003571FD">
        <w:rPr>
          <w:rFonts w:ascii="Times New Roman" w:hAnsi="Times New Roman" w:cs="Times New Roman"/>
          <w:sz w:val="24"/>
        </w:rPr>
        <w:t>, which provides the livelihood for a substantial number of poor people.</w:t>
      </w:r>
      <w:r w:rsidR="00B07DFB" w:rsidRPr="003571FD">
        <w:rPr>
          <w:rFonts w:ascii="Times New Roman" w:hAnsi="Times New Roman" w:cs="Times New Roman"/>
          <w:sz w:val="24"/>
        </w:rPr>
        <w:t xml:space="preserve"> </w:t>
      </w:r>
    </w:p>
    <w:p w:rsidR="00C91422" w:rsidRPr="003571FD" w:rsidRDefault="00C91422" w:rsidP="00C91422">
      <w:pPr>
        <w:jc w:val="both"/>
        <w:rPr>
          <w:rFonts w:ascii="Times New Roman" w:hAnsi="Times New Roman" w:cs="Times New Roman"/>
          <w:sz w:val="24"/>
        </w:rPr>
      </w:pPr>
      <w:r w:rsidRPr="003571FD">
        <w:rPr>
          <w:rFonts w:ascii="Times New Roman" w:hAnsi="Times New Roman" w:cs="Times New Roman"/>
          <w:sz w:val="24"/>
        </w:rPr>
        <w:t xml:space="preserve">This paper aims to contribute to the discussion and on-going reform efforts by providing an evaluation of the role the financial system could play for enhancing growth in rural areas and the productive sector without threatening the sector’s stability. It also endeavors to update the Bank’s knowledge on the financial sector, assess its current role and recent developments, and determine possible vulnerabilities as well as core bottlenecks for the outreach to underserved segments of the population and economy. </w:t>
      </w:r>
    </w:p>
    <w:p w:rsidR="00CF59E9" w:rsidRPr="003571FD" w:rsidRDefault="00CF59E9" w:rsidP="00CF59E9">
      <w:pPr>
        <w:rPr>
          <w:rFonts w:ascii="Times New Roman" w:hAnsi="Times New Roman" w:cs="Times New Roman"/>
          <w:i/>
          <w:sz w:val="24"/>
        </w:rPr>
      </w:pPr>
      <w:r w:rsidRPr="003571FD">
        <w:rPr>
          <w:rFonts w:ascii="Times New Roman" w:hAnsi="Times New Roman" w:cs="Times New Roman"/>
          <w:i/>
          <w:sz w:val="24"/>
        </w:rPr>
        <w:t>Overview over the evolution of the system and core financial soundness indicators</w:t>
      </w:r>
    </w:p>
    <w:p w:rsidR="00C91422" w:rsidRPr="003571FD" w:rsidRDefault="00C91422" w:rsidP="00C91422">
      <w:pPr>
        <w:jc w:val="both"/>
        <w:rPr>
          <w:rFonts w:ascii="Times New Roman" w:hAnsi="Times New Roman" w:cs="Times New Roman"/>
          <w:sz w:val="24"/>
        </w:rPr>
      </w:pPr>
      <w:r w:rsidRPr="003571FD">
        <w:rPr>
          <w:rFonts w:ascii="Times New Roman" w:hAnsi="Times New Roman" w:cs="Times New Roman"/>
          <w:b/>
          <w:sz w:val="24"/>
        </w:rPr>
        <w:t>As in most countries worldwide, the actual level of access and use of financial services in Bolivia cannot be determined with some certainty</w:t>
      </w:r>
      <w:r w:rsidRPr="003571FD">
        <w:rPr>
          <w:rFonts w:ascii="Times New Roman" w:hAnsi="Times New Roman" w:cs="Times New Roman"/>
          <w:sz w:val="24"/>
        </w:rPr>
        <w:t>. A number of surveys are regularly conducted in Bolivia, but generally do not include questions on the actual access and use of financial services in the country</w:t>
      </w:r>
      <w:r w:rsidRPr="003571FD">
        <w:rPr>
          <w:rFonts w:ascii="Times New Roman" w:hAnsi="Times New Roman" w:cs="Times New Roman"/>
          <w:sz w:val="24"/>
          <w:vertAlign w:val="superscript"/>
        </w:rPr>
        <w:footnoteReference w:id="3"/>
      </w:r>
      <w:r w:rsidRPr="003571FD">
        <w:rPr>
          <w:rFonts w:ascii="Times New Roman" w:hAnsi="Times New Roman" w:cs="Times New Roman"/>
          <w:sz w:val="24"/>
        </w:rPr>
        <w:t xml:space="preserve">. The lack of solid demand side data makes a gap assessment difficult, and can lead to significant inefficiencies in the programming and targeting of government interventions. </w:t>
      </w:r>
      <w:r w:rsidR="002660C5" w:rsidRPr="003571FD">
        <w:rPr>
          <w:rFonts w:ascii="Times New Roman" w:hAnsi="Times New Roman" w:cs="Times New Roman"/>
          <w:sz w:val="24"/>
        </w:rPr>
        <w:t xml:space="preserve">Supply side data however suggests that </w:t>
      </w:r>
      <w:r w:rsidRPr="003571FD">
        <w:rPr>
          <w:rFonts w:ascii="Times New Roman" w:hAnsi="Times New Roman" w:cs="Times New Roman"/>
          <w:sz w:val="24"/>
        </w:rPr>
        <w:t xml:space="preserve">the Bolivian financial system </w:t>
      </w:r>
      <w:r w:rsidR="002660C5" w:rsidRPr="003571FD">
        <w:rPr>
          <w:rFonts w:ascii="Times New Roman" w:hAnsi="Times New Roman" w:cs="Times New Roman"/>
          <w:sz w:val="24"/>
        </w:rPr>
        <w:t xml:space="preserve">has reached </w:t>
      </w:r>
      <w:r w:rsidRPr="003571FD">
        <w:rPr>
          <w:rFonts w:ascii="Times New Roman" w:hAnsi="Times New Roman" w:cs="Times New Roman"/>
          <w:sz w:val="24"/>
        </w:rPr>
        <w:t>solid levels of financial depth.</w:t>
      </w:r>
      <w:r w:rsidRPr="003571FD">
        <w:rPr>
          <w:rFonts w:ascii="Times New Roman" w:hAnsi="Times New Roman" w:cs="Times New Roman"/>
          <w:b/>
          <w:sz w:val="24"/>
        </w:rPr>
        <w:t xml:space="preserve"> </w:t>
      </w:r>
      <w:r w:rsidRPr="003571FD">
        <w:rPr>
          <w:rFonts w:ascii="Times New Roman" w:hAnsi="Times New Roman" w:cs="Times New Roman"/>
          <w:sz w:val="24"/>
        </w:rPr>
        <w:t xml:space="preserve">Compared to other countries in the region and of similar income levels, the penetration with savings is high, but a larger share of the population still uses cash as sole means of payment and the number of deposit accounts in the system indicates further room for growth. Lending volumes and number of clients are in line with countries of similar income level and structural characteristics, but the dynamic of the market has </w:t>
      </w:r>
      <w:r w:rsidRPr="003571FD">
        <w:rPr>
          <w:rFonts w:ascii="Times New Roman" w:hAnsi="Times New Roman" w:cs="Times New Roman"/>
          <w:sz w:val="24"/>
        </w:rPr>
        <w:lastRenderedPageBreak/>
        <w:t xml:space="preserve">not been sufficient to keep up with GDP growth, particularly with regard to credit to the agricultural and industry sectors. </w:t>
      </w:r>
    </w:p>
    <w:p w:rsidR="00176E36"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Non-bank deposit-taking institutions play a relatively important role in the financial system, with Bolivia being known for its vibrant and mature microfinance market</w:t>
      </w:r>
      <w:r w:rsidRPr="003571FD">
        <w:rPr>
          <w:rFonts w:ascii="Times New Roman" w:hAnsi="Times New Roman" w:cs="Times New Roman"/>
          <w:sz w:val="24"/>
        </w:rPr>
        <w:t>. The formal microfinance sector</w:t>
      </w:r>
      <w:r w:rsidRPr="003571FD">
        <w:rPr>
          <w:rFonts w:ascii="Times New Roman" w:hAnsi="Times New Roman" w:cs="Times New Roman"/>
          <w:sz w:val="24"/>
          <w:vertAlign w:val="superscript"/>
        </w:rPr>
        <w:footnoteReference w:id="4"/>
      </w:r>
      <w:r w:rsidRPr="003571FD">
        <w:rPr>
          <w:rFonts w:ascii="Times New Roman" w:hAnsi="Times New Roman" w:cs="Times New Roman"/>
          <w:sz w:val="24"/>
        </w:rPr>
        <w:t xml:space="preserve"> now accounts for one-fourth of all assets, 32 percent of loans by volume and 46 percent of all borrowers. In addition to the formal financial system, </w:t>
      </w:r>
      <w:r w:rsidR="00CB26EC">
        <w:rPr>
          <w:rFonts w:ascii="Times New Roman" w:hAnsi="Times New Roman" w:cs="Times New Roman"/>
          <w:sz w:val="24"/>
        </w:rPr>
        <w:t>Finrural</w:t>
      </w:r>
      <w:r w:rsidR="00CB26EC" w:rsidRPr="003571FD">
        <w:rPr>
          <w:rFonts w:ascii="Times New Roman" w:hAnsi="Times New Roman" w:cs="Times New Roman"/>
          <w:sz w:val="24"/>
          <w:vertAlign w:val="superscript"/>
        </w:rPr>
        <w:footnoteReference w:id="5"/>
      </w:r>
      <w:r w:rsidR="00CB26EC">
        <w:rPr>
          <w:rFonts w:ascii="Times New Roman" w:hAnsi="Times New Roman" w:cs="Times New Roman"/>
          <w:sz w:val="24"/>
        </w:rPr>
        <w:t xml:space="preserve"> and </w:t>
      </w:r>
      <w:r w:rsidR="00CB26EC" w:rsidRPr="003571FD">
        <w:rPr>
          <w:rFonts w:ascii="Times New Roman" w:hAnsi="Times New Roman" w:cs="Times New Roman"/>
          <w:sz w:val="24"/>
        </w:rPr>
        <w:t>ASFI (</w:t>
      </w:r>
      <w:proofErr w:type="spellStart"/>
      <w:r w:rsidR="00CB26EC" w:rsidRPr="003571FD">
        <w:rPr>
          <w:rFonts w:ascii="Times New Roman" w:hAnsi="Times New Roman" w:cs="Times New Roman"/>
          <w:i/>
          <w:sz w:val="24"/>
          <w:szCs w:val="20"/>
        </w:rPr>
        <w:t>Autoridad</w:t>
      </w:r>
      <w:proofErr w:type="spellEnd"/>
      <w:r w:rsidR="00CB26EC" w:rsidRPr="003571FD">
        <w:rPr>
          <w:rFonts w:ascii="Times New Roman" w:hAnsi="Times New Roman" w:cs="Times New Roman"/>
          <w:i/>
          <w:sz w:val="24"/>
          <w:szCs w:val="20"/>
        </w:rPr>
        <w:t xml:space="preserve"> de </w:t>
      </w:r>
      <w:proofErr w:type="spellStart"/>
      <w:r w:rsidR="00CB26EC" w:rsidRPr="003571FD">
        <w:rPr>
          <w:rFonts w:ascii="Times New Roman" w:hAnsi="Times New Roman" w:cs="Times New Roman"/>
          <w:i/>
          <w:sz w:val="24"/>
          <w:szCs w:val="20"/>
        </w:rPr>
        <w:t>Supervisión</w:t>
      </w:r>
      <w:proofErr w:type="spellEnd"/>
      <w:r w:rsidR="00CB26EC" w:rsidRPr="003571FD">
        <w:rPr>
          <w:rFonts w:ascii="Times New Roman" w:hAnsi="Times New Roman" w:cs="Times New Roman"/>
          <w:i/>
          <w:sz w:val="24"/>
          <w:szCs w:val="20"/>
        </w:rPr>
        <w:t xml:space="preserve"> del Sistema Financiero</w:t>
      </w:r>
      <w:r w:rsidR="00CB26EC" w:rsidRPr="003571FD">
        <w:rPr>
          <w:rFonts w:ascii="Times New Roman" w:hAnsi="Times New Roman" w:cs="Times New Roman"/>
          <w:sz w:val="24"/>
        </w:rPr>
        <w:t>)</w:t>
      </w:r>
      <w:r w:rsidR="00CB26EC">
        <w:rPr>
          <w:rFonts w:ascii="Times New Roman" w:hAnsi="Times New Roman" w:cs="Times New Roman"/>
          <w:sz w:val="24"/>
        </w:rPr>
        <w:t xml:space="preserve"> estimate </w:t>
      </w:r>
      <w:r w:rsidRPr="003571FD">
        <w:rPr>
          <w:rFonts w:ascii="Times New Roman" w:hAnsi="Times New Roman" w:cs="Times New Roman"/>
          <w:sz w:val="24"/>
        </w:rPr>
        <w:t xml:space="preserve">that 55 </w:t>
      </w:r>
      <w:r w:rsidR="002660C5" w:rsidRPr="003571FD">
        <w:rPr>
          <w:rFonts w:ascii="Times New Roman" w:hAnsi="Times New Roman" w:cs="Times New Roman"/>
          <w:sz w:val="24"/>
        </w:rPr>
        <w:t xml:space="preserve">IFDs </w:t>
      </w:r>
      <w:r w:rsidRPr="003571FD">
        <w:rPr>
          <w:rFonts w:ascii="Times New Roman" w:hAnsi="Times New Roman" w:cs="Times New Roman"/>
          <w:sz w:val="24"/>
        </w:rPr>
        <w:t>(</w:t>
      </w:r>
      <w:r w:rsidRPr="003571FD">
        <w:rPr>
          <w:rFonts w:ascii="Times New Roman" w:hAnsi="Times New Roman" w:cs="Times New Roman"/>
          <w:i/>
          <w:sz w:val="24"/>
        </w:rPr>
        <w:t>Instituciones Financieras de Desarrollo</w:t>
      </w:r>
      <w:r w:rsidR="002660C5" w:rsidRPr="003571FD">
        <w:rPr>
          <w:rFonts w:ascii="Times New Roman" w:hAnsi="Times New Roman" w:cs="Times New Roman"/>
          <w:i/>
          <w:sz w:val="24"/>
        </w:rPr>
        <w:t xml:space="preserve">, </w:t>
      </w:r>
      <w:r w:rsidR="002660C5" w:rsidRPr="003571FD">
        <w:rPr>
          <w:rFonts w:ascii="Times New Roman" w:hAnsi="Times New Roman" w:cs="Times New Roman"/>
          <w:sz w:val="24"/>
        </w:rPr>
        <w:t>which are non profit micro-finance associations</w:t>
      </w:r>
      <w:r w:rsidRPr="003571FD">
        <w:rPr>
          <w:rFonts w:ascii="Times New Roman" w:hAnsi="Times New Roman" w:cs="Times New Roman"/>
          <w:sz w:val="24"/>
        </w:rPr>
        <w:t xml:space="preserve">) and 411 closed cooperatives (so-called </w:t>
      </w:r>
      <w:r w:rsidRPr="003571FD">
        <w:rPr>
          <w:rFonts w:ascii="Times New Roman" w:hAnsi="Times New Roman" w:cs="Times New Roman"/>
          <w:i/>
          <w:sz w:val="24"/>
        </w:rPr>
        <w:t>Cooperativas Societarias</w:t>
      </w:r>
      <w:r w:rsidRPr="003571FD">
        <w:rPr>
          <w:rFonts w:ascii="Times New Roman" w:hAnsi="Times New Roman" w:cs="Times New Roman"/>
          <w:sz w:val="24"/>
        </w:rPr>
        <w:t xml:space="preserve">) existed in October 2010, which – if actually active - in many instances cater to clients in rural and peri-urban areas. With the exception of 13 </w:t>
      </w:r>
      <w:r w:rsidR="002A140A" w:rsidRPr="003571FD">
        <w:rPr>
          <w:rFonts w:ascii="Times New Roman" w:hAnsi="Times New Roman" w:cs="Times New Roman"/>
          <w:sz w:val="24"/>
        </w:rPr>
        <w:t>IFD</w:t>
      </w:r>
      <w:r w:rsidRPr="003571FD">
        <w:rPr>
          <w:rFonts w:ascii="Times New Roman" w:hAnsi="Times New Roman" w:cs="Times New Roman"/>
          <w:sz w:val="24"/>
        </w:rPr>
        <w:t xml:space="preserve">s organized in FINRURAL, there is limited data available on these entities, their assets, activities as well as actual status of operation, as none of the government entity in charge of licensing these institutions has collected their financial data. </w:t>
      </w:r>
    </w:p>
    <w:p w:rsidR="00176E36"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Financial soundness indicators and competition measures do not indicate larger inefficiencies in the system.</w:t>
      </w:r>
      <w:r w:rsidRPr="003571FD">
        <w:rPr>
          <w:rFonts w:ascii="Times New Roman" w:hAnsi="Times New Roman" w:cs="Times New Roman"/>
          <w:sz w:val="24"/>
        </w:rPr>
        <w:t xml:space="preserve"> Common measures of competition point to an open financial system, in which market forces are generally at play. With regard to financial soundness indicators, much progress was made in the last few years in reducing the share of foreign exchange denominated assets and liabilities, and in bringing the level of non-performing loans down. With solid levels of capital and profitability, and a high level of overall liquidity, the system appears at least on the short term resilient to the most common systemic shocks. However, the government needs to strike a fine balance in its policy measures to foster outreach and credit in order to not unduly lower the profitability in the financial sector, jeopardize the quality of the loan portfolio and as a result introduce vulnerability in an otherwise sound system. </w:t>
      </w:r>
      <w:r w:rsidR="006D7B28" w:rsidRPr="003571FD">
        <w:rPr>
          <w:rFonts w:ascii="Times New Roman" w:hAnsi="Times New Roman" w:cs="Times New Roman"/>
          <w:sz w:val="24"/>
        </w:rPr>
        <w:t xml:space="preserve">In particular, the strong push towards financing of the productive sector </w:t>
      </w:r>
      <w:r w:rsidR="00EF014E" w:rsidRPr="003571FD">
        <w:rPr>
          <w:rFonts w:ascii="Times New Roman" w:hAnsi="Times New Roman" w:cs="Times New Roman"/>
          <w:sz w:val="24"/>
        </w:rPr>
        <w:t xml:space="preserve">at comparatively low interest rates, </w:t>
      </w:r>
      <w:r w:rsidR="006D7B28" w:rsidRPr="003571FD">
        <w:rPr>
          <w:rFonts w:ascii="Times New Roman" w:hAnsi="Times New Roman" w:cs="Times New Roman"/>
          <w:sz w:val="24"/>
        </w:rPr>
        <w:t>can lead to over-indebtedness of the clients or a deterioration of the repayment culture</w:t>
      </w:r>
      <w:r w:rsidR="00DF11FF" w:rsidRPr="003571FD">
        <w:rPr>
          <w:rFonts w:ascii="Times New Roman" w:hAnsi="Times New Roman" w:cs="Times New Roman"/>
          <w:sz w:val="24"/>
        </w:rPr>
        <w:t>, if lending institutions expanding their loan portfolios do not maintain (or introduce) prudent lending practices</w:t>
      </w:r>
      <w:r w:rsidR="00DF11FF" w:rsidRPr="003571FD">
        <w:rPr>
          <w:rStyle w:val="FootnoteReference"/>
          <w:rFonts w:ascii="Times New Roman" w:hAnsi="Times New Roman" w:cs="Times New Roman"/>
          <w:sz w:val="24"/>
        </w:rPr>
        <w:footnoteReference w:id="6"/>
      </w:r>
      <w:r w:rsidR="006D7B28" w:rsidRPr="003571FD">
        <w:rPr>
          <w:rFonts w:ascii="Times New Roman" w:hAnsi="Times New Roman" w:cs="Times New Roman"/>
          <w:sz w:val="24"/>
        </w:rPr>
        <w:t xml:space="preserve">. Both would be detrimental to achieving the declared government objective on the longer term. </w:t>
      </w:r>
    </w:p>
    <w:p w:rsidR="00CF59E9" w:rsidRPr="003571FD" w:rsidRDefault="00CF59E9" w:rsidP="003010CF">
      <w:pPr>
        <w:jc w:val="both"/>
        <w:rPr>
          <w:rFonts w:ascii="Times New Roman" w:hAnsi="Times New Roman" w:cs="Times New Roman"/>
          <w:i/>
          <w:sz w:val="24"/>
        </w:rPr>
      </w:pPr>
      <w:r w:rsidRPr="003571FD">
        <w:rPr>
          <w:rFonts w:ascii="Times New Roman" w:hAnsi="Times New Roman" w:cs="Times New Roman"/>
          <w:i/>
          <w:sz w:val="24"/>
        </w:rPr>
        <w:t>Regulatory framework</w:t>
      </w:r>
    </w:p>
    <w:p w:rsidR="00EF014E"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 xml:space="preserve">ASFI has started to bring the hitherto unregulated closed cooperatives and </w:t>
      </w:r>
      <w:r w:rsidR="002A140A" w:rsidRPr="003571FD">
        <w:rPr>
          <w:rFonts w:ascii="Times New Roman" w:hAnsi="Times New Roman" w:cs="Times New Roman"/>
          <w:b/>
          <w:sz w:val="24"/>
        </w:rPr>
        <w:t>IFD</w:t>
      </w:r>
      <w:r w:rsidRPr="003571FD">
        <w:rPr>
          <w:rFonts w:ascii="Times New Roman" w:hAnsi="Times New Roman" w:cs="Times New Roman"/>
          <w:b/>
          <w:sz w:val="24"/>
        </w:rPr>
        <w:t>s under its prudential oversight, and should be commended for this effort.</w:t>
      </w:r>
      <w:r w:rsidRPr="003571FD">
        <w:rPr>
          <w:rFonts w:ascii="Times New Roman" w:hAnsi="Times New Roman" w:cs="Times New Roman"/>
          <w:sz w:val="24"/>
        </w:rPr>
        <w:t xml:space="preserve"> So far 14 </w:t>
      </w:r>
      <w:r w:rsidR="002A140A" w:rsidRPr="003571FD">
        <w:rPr>
          <w:rFonts w:ascii="Times New Roman" w:hAnsi="Times New Roman" w:cs="Times New Roman"/>
          <w:sz w:val="24"/>
        </w:rPr>
        <w:t>IFD</w:t>
      </w:r>
      <w:r w:rsidRPr="003571FD">
        <w:rPr>
          <w:rFonts w:ascii="Times New Roman" w:hAnsi="Times New Roman" w:cs="Times New Roman"/>
          <w:sz w:val="24"/>
        </w:rPr>
        <w:t xml:space="preserve">s and 63 closed cooperatives complied and initiated the transition process. Together, those 77 institutions </w:t>
      </w:r>
      <w:r w:rsidRPr="003571FD">
        <w:rPr>
          <w:rFonts w:ascii="Times New Roman" w:hAnsi="Times New Roman" w:cs="Times New Roman"/>
          <w:sz w:val="24"/>
        </w:rPr>
        <w:lastRenderedPageBreak/>
        <w:t>account for an equivalent of 6 percent of assets and for 34 percent of all borrowers</w:t>
      </w:r>
      <w:r w:rsidRPr="003571FD">
        <w:rPr>
          <w:rFonts w:ascii="Times New Roman" w:hAnsi="Times New Roman" w:cs="Times New Roman"/>
          <w:sz w:val="24"/>
          <w:vertAlign w:val="superscript"/>
        </w:rPr>
        <w:footnoteReference w:id="7"/>
      </w:r>
      <w:r w:rsidRPr="003571FD">
        <w:rPr>
          <w:rFonts w:ascii="Times New Roman" w:hAnsi="Times New Roman" w:cs="Times New Roman"/>
          <w:sz w:val="24"/>
        </w:rPr>
        <w:t xml:space="preserve"> in the financial system, but only 4 percent in terms of deposit accounts. Given their size and importance for lending to lower income segments of the population</w:t>
      </w:r>
      <w:r w:rsidR="004F24F4" w:rsidRPr="003571FD">
        <w:rPr>
          <w:rStyle w:val="FootnoteReference"/>
          <w:rFonts w:ascii="Times New Roman" w:hAnsi="Times New Roman" w:cs="Times New Roman"/>
          <w:sz w:val="24"/>
        </w:rPr>
        <w:footnoteReference w:id="8"/>
      </w:r>
      <w:r w:rsidRPr="003571FD">
        <w:rPr>
          <w:rFonts w:ascii="Times New Roman" w:hAnsi="Times New Roman" w:cs="Times New Roman"/>
          <w:sz w:val="24"/>
        </w:rPr>
        <w:t xml:space="preserve">, bringing them under prudential oversight is a positive development. Experience from other countries however suggests that this process will need to be staged, will take </w:t>
      </w:r>
      <w:r w:rsidR="002A140A" w:rsidRPr="003571FD">
        <w:rPr>
          <w:rFonts w:ascii="Times New Roman" w:hAnsi="Times New Roman" w:cs="Times New Roman"/>
          <w:sz w:val="24"/>
        </w:rPr>
        <w:t xml:space="preserve">a considerable amount of </w:t>
      </w:r>
      <w:r w:rsidRPr="003571FD">
        <w:rPr>
          <w:rFonts w:ascii="Times New Roman" w:hAnsi="Times New Roman" w:cs="Times New Roman"/>
          <w:sz w:val="24"/>
        </w:rPr>
        <w:t>time and requires additional financial and technical support to facilitate the transition</w:t>
      </w:r>
      <w:r w:rsidRPr="003571FD">
        <w:rPr>
          <w:rFonts w:ascii="Times New Roman" w:hAnsi="Times New Roman" w:cs="Times New Roman"/>
          <w:sz w:val="24"/>
          <w:vertAlign w:val="superscript"/>
        </w:rPr>
        <w:footnoteReference w:id="9"/>
      </w:r>
      <w:r w:rsidRPr="003571FD">
        <w:rPr>
          <w:rFonts w:ascii="Times New Roman" w:hAnsi="Times New Roman" w:cs="Times New Roman"/>
          <w:sz w:val="24"/>
        </w:rPr>
        <w:t>. Furthermore, as the entities vary greatly in size, a differentiated regulatory approach is advisable to not unduly burden the small entities</w:t>
      </w:r>
      <w:r w:rsidR="002A140A" w:rsidRPr="003571FD">
        <w:rPr>
          <w:rFonts w:ascii="Times New Roman" w:hAnsi="Times New Roman" w:cs="Times New Roman"/>
          <w:sz w:val="24"/>
        </w:rPr>
        <w:t>.</w:t>
      </w:r>
      <w:r w:rsidR="00196511" w:rsidRPr="003571FD">
        <w:rPr>
          <w:rFonts w:ascii="Times New Roman" w:hAnsi="Times New Roman" w:cs="Times New Roman"/>
          <w:sz w:val="24"/>
        </w:rPr>
        <w:t xml:space="preserve"> It is for example questionable whether the smaller closed cooperatives and IFDs will be able to meet </w:t>
      </w:r>
      <w:r w:rsidR="001615B7" w:rsidRPr="003571FD">
        <w:rPr>
          <w:rFonts w:ascii="Times New Roman" w:hAnsi="Times New Roman" w:cs="Times New Roman"/>
          <w:sz w:val="24"/>
        </w:rPr>
        <w:t xml:space="preserve">in the short to medium term </w:t>
      </w:r>
      <w:r w:rsidR="00196511" w:rsidRPr="003571FD">
        <w:rPr>
          <w:rFonts w:ascii="Times New Roman" w:hAnsi="Times New Roman" w:cs="Times New Roman"/>
          <w:sz w:val="24"/>
        </w:rPr>
        <w:t>the minimum capital requirements of around USD 150</w:t>
      </w:r>
      <w:r w:rsidR="00EF014E" w:rsidRPr="003571FD">
        <w:rPr>
          <w:rFonts w:ascii="Times New Roman" w:hAnsi="Times New Roman" w:cs="Times New Roman"/>
          <w:sz w:val="24"/>
        </w:rPr>
        <w:t>,</w:t>
      </w:r>
      <w:r w:rsidR="00196511" w:rsidRPr="003571FD">
        <w:rPr>
          <w:rFonts w:ascii="Times New Roman" w:hAnsi="Times New Roman" w:cs="Times New Roman"/>
          <w:sz w:val="24"/>
        </w:rPr>
        <w:t>000</w:t>
      </w:r>
      <w:r w:rsidR="001615B7" w:rsidRPr="003571FD">
        <w:rPr>
          <w:rFonts w:ascii="Times New Roman" w:hAnsi="Times New Roman" w:cs="Times New Roman"/>
          <w:sz w:val="24"/>
        </w:rPr>
        <w:t>. Also, m</w:t>
      </w:r>
      <w:r w:rsidR="00196511" w:rsidRPr="003571FD">
        <w:rPr>
          <w:rFonts w:ascii="Times New Roman" w:hAnsi="Times New Roman" w:cs="Times New Roman"/>
          <w:sz w:val="24"/>
        </w:rPr>
        <w:t>any of them do not have the size for justifying elaborate information systems</w:t>
      </w:r>
      <w:r w:rsidR="001615B7" w:rsidRPr="003571FD">
        <w:rPr>
          <w:rFonts w:ascii="Times New Roman" w:hAnsi="Times New Roman" w:cs="Times New Roman"/>
          <w:sz w:val="24"/>
        </w:rPr>
        <w:t xml:space="preserve">, thus will find it difficult to produce the </w:t>
      </w:r>
      <w:r w:rsidR="00196511" w:rsidRPr="003571FD">
        <w:rPr>
          <w:rFonts w:ascii="Times New Roman" w:hAnsi="Times New Roman" w:cs="Times New Roman"/>
          <w:sz w:val="24"/>
        </w:rPr>
        <w:t xml:space="preserve">frequency and </w:t>
      </w:r>
      <w:r w:rsidR="001615B7" w:rsidRPr="003571FD">
        <w:rPr>
          <w:rFonts w:ascii="Times New Roman" w:hAnsi="Times New Roman" w:cs="Times New Roman"/>
          <w:sz w:val="24"/>
        </w:rPr>
        <w:t>breadth</w:t>
      </w:r>
      <w:r w:rsidR="00196511" w:rsidRPr="003571FD">
        <w:rPr>
          <w:rFonts w:ascii="Times New Roman" w:hAnsi="Times New Roman" w:cs="Times New Roman"/>
          <w:sz w:val="24"/>
        </w:rPr>
        <w:t xml:space="preserve"> of data </w:t>
      </w:r>
      <w:r w:rsidR="001615B7" w:rsidRPr="003571FD">
        <w:rPr>
          <w:rFonts w:ascii="Times New Roman" w:hAnsi="Times New Roman" w:cs="Times New Roman"/>
          <w:sz w:val="24"/>
        </w:rPr>
        <w:t>ASFI requires</w:t>
      </w:r>
      <w:r w:rsidR="00196511" w:rsidRPr="003571FD">
        <w:rPr>
          <w:rFonts w:ascii="Times New Roman" w:hAnsi="Times New Roman" w:cs="Times New Roman"/>
          <w:sz w:val="24"/>
        </w:rPr>
        <w:t>. T</w:t>
      </w:r>
      <w:r w:rsidRPr="003571FD">
        <w:rPr>
          <w:rFonts w:ascii="Times New Roman" w:hAnsi="Times New Roman" w:cs="Times New Roman"/>
          <w:sz w:val="24"/>
        </w:rPr>
        <w:t xml:space="preserve">he regulatory framework </w:t>
      </w:r>
      <w:r w:rsidR="00196511" w:rsidRPr="003571FD">
        <w:rPr>
          <w:rFonts w:ascii="Times New Roman" w:hAnsi="Times New Roman" w:cs="Times New Roman"/>
          <w:sz w:val="24"/>
        </w:rPr>
        <w:t>also introduces hurdles for</w:t>
      </w:r>
      <w:r w:rsidRPr="003571FD">
        <w:rPr>
          <w:rFonts w:ascii="Times New Roman" w:hAnsi="Times New Roman" w:cs="Times New Roman"/>
          <w:sz w:val="24"/>
        </w:rPr>
        <w:t xml:space="preserve"> outsourcing of services</w:t>
      </w:r>
      <w:r w:rsidR="00196511" w:rsidRPr="003571FD">
        <w:rPr>
          <w:rFonts w:ascii="Times New Roman" w:hAnsi="Times New Roman" w:cs="Times New Roman"/>
          <w:sz w:val="24"/>
        </w:rPr>
        <w:t xml:space="preserve">, which </w:t>
      </w:r>
      <w:r w:rsidR="001615B7" w:rsidRPr="003571FD">
        <w:rPr>
          <w:rFonts w:ascii="Times New Roman" w:hAnsi="Times New Roman" w:cs="Times New Roman"/>
          <w:sz w:val="24"/>
        </w:rPr>
        <w:t>make</w:t>
      </w:r>
      <w:r w:rsidR="002A140A" w:rsidRPr="003571FD">
        <w:rPr>
          <w:rFonts w:ascii="Times New Roman" w:hAnsi="Times New Roman" w:cs="Times New Roman"/>
          <w:sz w:val="24"/>
        </w:rPr>
        <w:t>s</w:t>
      </w:r>
      <w:r w:rsidR="001615B7" w:rsidRPr="003571FD">
        <w:rPr>
          <w:rFonts w:ascii="Times New Roman" w:hAnsi="Times New Roman" w:cs="Times New Roman"/>
          <w:sz w:val="24"/>
        </w:rPr>
        <w:t xml:space="preserve"> reaping of</w:t>
      </w:r>
      <w:r w:rsidR="002A140A" w:rsidRPr="003571FD">
        <w:rPr>
          <w:rFonts w:ascii="Times New Roman" w:hAnsi="Times New Roman" w:cs="Times New Roman"/>
          <w:sz w:val="24"/>
        </w:rPr>
        <w:t xml:space="preserve"> </w:t>
      </w:r>
      <w:r w:rsidRPr="003571FD">
        <w:rPr>
          <w:rFonts w:ascii="Times New Roman" w:hAnsi="Times New Roman" w:cs="Times New Roman"/>
          <w:sz w:val="24"/>
        </w:rPr>
        <w:t>economies of scale</w:t>
      </w:r>
      <w:r w:rsidR="001615B7" w:rsidRPr="003571FD">
        <w:rPr>
          <w:rFonts w:ascii="Times New Roman" w:hAnsi="Times New Roman" w:cs="Times New Roman"/>
          <w:sz w:val="24"/>
        </w:rPr>
        <w:t xml:space="preserve"> difficult</w:t>
      </w:r>
      <w:r w:rsidRPr="003571FD">
        <w:rPr>
          <w:rFonts w:ascii="Times New Roman" w:hAnsi="Times New Roman" w:cs="Times New Roman"/>
          <w:sz w:val="24"/>
        </w:rPr>
        <w:t xml:space="preserve">. </w:t>
      </w:r>
    </w:p>
    <w:p w:rsidR="00176E36"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The government introduced a number of reforms to the regulatory framework over the last few years, which increased its compliance with Basel Core Principles</w:t>
      </w:r>
      <w:r w:rsidR="00A90E70" w:rsidRPr="003571FD">
        <w:rPr>
          <w:rFonts w:ascii="Times New Roman" w:hAnsi="Times New Roman" w:cs="Times New Roman"/>
          <w:b/>
          <w:sz w:val="24"/>
        </w:rPr>
        <w:t xml:space="preserve"> (BCP)</w:t>
      </w:r>
      <w:r w:rsidRPr="003571FD">
        <w:rPr>
          <w:rFonts w:ascii="Times New Roman" w:hAnsi="Times New Roman" w:cs="Times New Roman"/>
          <w:b/>
          <w:sz w:val="24"/>
        </w:rPr>
        <w:t xml:space="preserve"> while maintaining - with a few exceptions - a regulatory level playing field between the various players.</w:t>
      </w:r>
      <w:r w:rsidRPr="003571FD">
        <w:rPr>
          <w:rFonts w:ascii="Times New Roman" w:hAnsi="Times New Roman" w:cs="Times New Roman"/>
          <w:sz w:val="24"/>
        </w:rPr>
        <w:t xml:space="preserve"> In spite of this, some issues arise through (</w:t>
      </w:r>
      <w:proofErr w:type="spellStart"/>
      <w:r w:rsidRPr="003571FD">
        <w:rPr>
          <w:rFonts w:ascii="Times New Roman" w:hAnsi="Times New Roman" w:cs="Times New Roman"/>
          <w:sz w:val="24"/>
        </w:rPr>
        <w:t>i</w:t>
      </w:r>
      <w:proofErr w:type="spellEnd"/>
      <w:r w:rsidRPr="003571FD">
        <w:rPr>
          <w:rFonts w:ascii="Times New Roman" w:hAnsi="Times New Roman" w:cs="Times New Roman"/>
          <w:sz w:val="24"/>
        </w:rPr>
        <w:t xml:space="preserve">) recent efforts to use the regulatory framework </w:t>
      </w:r>
      <w:r w:rsidR="00EF014E" w:rsidRPr="003571FD">
        <w:rPr>
          <w:rFonts w:ascii="Times New Roman" w:hAnsi="Times New Roman" w:cs="Times New Roman"/>
          <w:sz w:val="24"/>
        </w:rPr>
        <w:t xml:space="preserve">to direct lending away from some sectors and in favor of others </w:t>
      </w:r>
      <w:r w:rsidRPr="003571FD">
        <w:rPr>
          <w:rFonts w:ascii="Times New Roman" w:hAnsi="Times New Roman" w:cs="Times New Roman"/>
          <w:sz w:val="24"/>
        </w:rPr>
        <w:t xml:space="preserve">and </w:t>
      </w:r>
      <w:r w:rsidR="006D7B28" w:rsidRPr="003571FD">
        <w:rPr>
          <w:rFonts w:ascii="Times New Roman" w:hAnsi="Times New Roman" w:cs="Times New Roman"/>
          <w:sz w:val="24"/>
        </w:rPr>
        <w:t xml:space="preserve">(ii) </w:t>
      </w:r>
      <w:r w:rsidRPr="003571FD">
        <w:rPr>
          <w:rFonts w:ascii="Times New Roman" w:hAnsi="Times New Roman" w:cs="Times New Roman"/>
          <w:sz w:val="24"/>
        </w:rPr>
        <w:t>the frequency of changes, which impose substantial costs in particular on the smaller entities, as well as (ii</w:t>
      </w:r>
      <w:r w:rsidR="006D7B28" w:rsidRPr="003571FD">
        <w:rPr>
          <w:rFonts w:ascii="Times New Roman" w:hAnsi="Times New Roman" w:cs="Times New Roman"/>
          <w:sz w:val="24"/>
        </w:rPr>
        <w:t>i</w:t>
      </w:r>
      <w:r w:rsidRPr="003571FD">
        <w:rPr>
          <w:rFonts w:ascii="Times New Roman" w:hAnsi="Times New Roman" w:cs="Times New Roman"/>
          <w:sz w:val="24"/>
        </w:rPr>
        <w:t xml:space="preserve">) the comparatively high </w:t>
      </w:r>
      <w:r w:rsidR="006D7B28" w:rsidRPr="003571FD">
        <w:rPr>
          <w:rFonts w:ascii="Times New Roman" w:hAnsi="Times New Roman" w:cs="Times New Roman"/>
          <w:sz w:val="24"/>
        </w:rPr>
        <w:t xml:space="preserve">informational </w:t>
      </w:r>
      <w:r w:rsidRPr="003571FD">
        <w:rPr>
          <w:rFonts w:ascii="Times New Roman" w:hAnsi="Times New Roman" w:cs="Times New Roman"/>
          <w:sz w:val="24"/>
        </w:rPr>
        <w:t xml:space="preserve">burden associated with the regulatory framework per se, which especially for smaller entities does not appear to be </w:t>
      </w:r>
      <w:r w:rsidR="006D7B28" w:rsidRPr="003571FD">
        <w:rPr>
          <w:rFonts w:ascii="Times New Roman" w:hAnsi="Times New Roman" w:cs="Times New Roman"/>
          <w:sz w:val="24"/>
        </w:rPr>
        <w:t>in proportion to the actual systemic risk they pose</w:t>
      </w:r>
      <w:r w:rsidRPr="003571FD">
        <w:rPr>
          <w:rFonts w:ascii="Times New Roman" w:hAnsi="Times New Roman" w:cs="Times New Roman"/>
          <w:sz w:val="24"/>
        </w:rPr>
        <w:t xml:space="preserve">. Finally, the supervisory capacity of ASFI is stretched with the number of entities it has to supervise, </w:t>
      </w:r>
      <w:r w:rsidR="006D7B28" w:rsidRPr="003571FD">
        <w:rPr>
          <w:rFonts w:ascii="Times New Roman" w:hAnsi="Times New Roman" w:cs="Times New Roman"/>
          <w:sz w:val="24"/>
        </w:rPr>
        <w:t xml:space="preserve">the enforcement of consumer protection measures, </w:t>
      </w:r>
      <w:r w:rsidRPr="003571FD">
        <w:rPr>
          <w:rFonts w:ascii="Times New Roman" w:hAnsi="Times New Roman" w:cs="Times New Roman"/>
          <w:sz w:val="24"/>
        </w:rPr>
        <w:t xml:space="preserve">and recent efforts to incorporate closed cooperatives and </w:t>
      </w:r>
      <w:r w:rsidR="008E3A3B" w:rsidRPr="003571FD">
        <w:rPr>
          <w:rFonts w:ascii="Times New Roman" w:hAnsi="Times New Roman" w:cs="Times New Roman"/>
          <w:sz w:val="24"/>
        </w:rPr>
        <w:t>IFD</w:t>
      </w:r>
      <w:r w:rsidRPr="003571FD">
        <w:rPr>
          <w:rFonts w:ascii="Times New Roman" w:hAnsi="Times New Roman" w:cs="Times New Roman"/>
          <w:sz w:val="24"/>
        </w:rPr>
        <w:t>s into oversight.</w:t>
      </w:r>
    </w:p>
    <w:p w:rsidR="00CF59E9" w:rsidRPr="003571FD" w:rsidRDefault="00CF59E9" w:rsidP="003010CF">
      <w:pPr>
        <w:jc w:val="both"/>
        <w:rPr>
          <w:rFonts w:ascii="Times New Roman" w:hAnsi="Times New Roman" w:cs="Times New Roman"/>
          <w:i/>
          <w:sz w:val="24"/>
        </w:rPr>
      </w:pPr>
      <w:r w:rsidRPr="003571FD">
        <w:rPr>
          <w:rFonts w:ascii="Times New Roman" w:hAnsi="Times New Roman" w:cs="Times New Roman"/>
          <w:i/>
          <w:sz w:val="24"/>
        </w:rPr>
        <w:t>Fostering outreach to rural areas</w:t>
      </w:r>
    </w:p>
    <w:p w:rsidR="00176E36"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Over the last few years, financial entities expanded their branch network throughout the country considerably, bringing the number of branches per person to similar levels as international peers</w:t>
      </w:r>
      <w:r w:rsidRPr="003571FD">
        <w:rPr>
          <w:rFonts w:ascii="Times New Roman" w:hAnsi="Times New Roman" w:cs="Times New Roman"/>
          <w:sz w:val="24"/>
          <w:vertAlign w:val="superscript"/>
        </w:rPr>
        <w:footnoteReference w:id="10"/>
      </w:r>
      <w:r w:rsidRPr="003571FD">
        <w:rPr>
          <w:rFonts w:ascii="Times New Roman" w:hAnsi="Times New Roman" w:cs="Times New Roman"/>
          <w:sz w:val="24"/>
        </w:rPr>
        <w:t xml:space="preserve">. This outreach came mostly in the form of traditional forms of branches, with modern forms of service points such as mobile branches, non-bank agents and mobile phone platforms only recently being piloted. As 90 percent of the population solely relies on cash </w:t>
      </w:r>
      <w:r w:rsidRPr="003571FD">
        <w:rPr>
          <w:rFonts w:ascii="Times New Roman" w:hAnsi="Times New Roman" w:cs="Times New Roman"/>
          <w:sz w:val="24"/>
        </w:rPr>
        <w:lastRenderedPageBreak/>
        <w:t xml:space="preserve">as means of payment, there is also a comparable lack of available </w:t>
      </w:r>
      <w:r w:rsidR="00A90E70" w:rsidRPr="003571FD">
        <w:rPr>
          <w:rFonts w:ascii="Times New Roman" w:hAnsi="Times New Roman" w:cs="Times New Roman"/>
          <w:sz w:val="24"/>
        </w:rPr>
        <w:t>automated teller machines (</w:t>
      </w:r>
      <w:r w:rsidRPr="003571FD">
        <w:rPr>
          <w:rFonts w:ascii="Times New Roman" w:hAnsi="Times New Roman" w:cs="Times New Roman"/>
          <w:sz w:val="24"/>
        </w:rPr>
        <w:t>ATM</w:t>
      </w:r>
      <w:r w:rsidR="00A90E70" w:rsidRPr="003571FD">
        <w:rPr>
          <w:rFonts w:ascii="Times New Roman" w:hAnsi="Times New Roman" w:cs="Times New Roman"/>
          <w:sz w:val="24"/>
        </w:rPr>
        <w:t>)</w:t>
      </w:r>
      <w:r w:rsidRPr="003571FD">
        <w:rPr>
          <w:rFonts w:ascii="Times New Roman" w:hAnsi="Times New Roman" w:cs="Times New Roman"/>
          <w:sz w:val="24"/>
        </w:rPr>
        <w:t xml:space="preserve"> and</w:t>
      </w:r>
      <w:r w:rsidR="00A90E70" w:rsidRPr="003571FD">
        <w:rPr>
          <w:rFonts w:ascii="Times New Roman" w:hAnsi="Times New Roman" w:cs="Times New Roman"/>
          <w:sz w:val="24"/>
        </w:rPr>
        <w:t xml:space="preserve"> point of sale</w:t>
      </w:r>
      <w:r w:rsidRPr="003571FD">
        <w:rPr>
          <w:rFonts w:ascii="Times New Roman" w:hAnsi="Times New Roman" w:cs="Times New Roman"/>
          <w:sz w:val="24"/>
        </w:rPr>
        <w:t xml:space="preserve"> </w:t>
      </w:r>
      <w:r w:rsidR="00A90E70" w:rsidRPr="003571FD">
        <w:rPr>
          <w:rFonts w:ascii="Times New Roman" w:hAnsi="Times New Roman" w:cs="Times New Roman"/>
          <w:sz w:val="24"/>
        </w:rPr>
        <w:t>(</w:t>
      </w:r>
      <w:r w:rsidRPr="003571FD">
        <w:rPr>
          <w:rFonts w:ascii="Times New Roman" w:hAnsi="Times New Roman" w:cs="Times New Roman"/>
          <w:sz w:val="24"/>
        </w:rPr>
        <w:t>POS</w:t>
      </w:r>
      <w:r w:rsidR="00A90E70" w:rsidRPr="003571FD">
        <w:rPr>
          <w:rFonts w:ascii="Times New Roman" w:hAnsi="Times New Roman" w:cs="Times New Roman"/>
          <w:sz w:val="24"/>
        </w:rPr>
        <w:t>)</w:t>
      </w:r>
      <w:r w:rsidRPr="003571FD">
        <w:rPr>
          <w:rFonts w:ascii="Times New Roman" w:hAnsi="Times New Roman" w:cs="Times New Roman"/>
          <w:sz w:val="24"/>
        </w:rPr>
        <w:t xml:space="preserve"> infrastructure in the country. The limited use of these innovative and less costly service points is in part due to the need to establish trust in the population and familiarize them with electronic payments, but is also partly the result of the complex regulatory framework which imposes significant costs for security and consumer protection measures.</w:t>
      </w:r>
      <w:r w:rsidR="00D015BC" w:rsidRPr="003571FD">
        <w:rPr>
          <w:rStyle w:val="FootnoteReference"/>
          <w:rFonts w:ascii="Times New Roman" w:hAnsi="Times New Roman" w:cs="Times New Roman"/>
          <w:sz w:val="24"/>
        </w:rPr>
        <w:footnoteReference w:id="11"/>
      </w:r>
      <w:r w:rsidRPr="003571FD">
        <w:rPr>
          <w:rFonts w:ascii="Times New Roman" w:hAnsi="Times New Roman" w:cs="Times New Roman"/>
          <w:sz w:val="24"/>
        </w:rPr>
        <w:t xml:space="preserve"> </w:t>
      </w:r>
    </w:p>
    <w:p w:rsidR="00176E36" w:rsidRPr="003571FD" w:rsidRDefault="00176E36" w:rsidP="00176E36">
      <w:pPr>
        <w:jc w:val="both"/>
        <w:rPr>
          <w:rFonts w:ascii="Times New Roman" w:hAnsi="Times New Roman" w:cs="Times New Roman"/>
          <w:bCs/>
          <w:sz w:val="24"/>
        </w:rPr>
      </w:pPr>
      <w:r w:rsidRPr="003571FD">
        <w:rPr>
          <w:rFonts w:ascii="Times New Roman" w:hAnsi="Times New Roman" w:cs="Times New Roman"/>
          <w:b/>
          <w:bCs/>
          <w:sz w:val="24"/>
        </w:rPr>
        <w:t>There are also a number of structural factors and gaps in the available infrastructure that make outreach to rural areas in Bolivia more costly.</w:t>
      </w:r>
      <w:r w:rsidRPr="003571FD">
        <w:rPr>
          <w:rFonts w:ascii="Times New Roman" w:hAnsi="Times New Roman" w:cs="Times New Roman"/>
          <w:bCs/>
          <w:sz w:val="24"/>
        </w:rPr>
        <w:t xml:space="preserve"> Compared with other countries, Bolivia shows low levels of population density, higher poverty rates, as well as </w:t>
      </w:r>
      <w:r w:rsidR="00B50B86" w:rsidRPr="003571FD">
        <w:rPr>
          <w:rFonts w:ascii="Times New Roman" w:hAnsi="Times New Roman" w:cs="Times New Roman"/>
          <w:bCs/>
          <w:sz w:val="24"/>
        </w:rPr>
        <w:t xml:space="preserve">severe </w:t>
      </w:r>
      <w:r w:rsidRPr="003571FD">
        <w:rPr>
          <w:rFonts w:ascii="Times New Roman" w:hAnsi="Times New Roman" w:cs="Times New Roman"/>
          <w:bCs/>
          <w:sz w:val="24"/>
        </w:rPr>
        <w:t xml:space="preserve">deficiencies in the available communication and roads infrastructure. These factors negatively impact the cost of service delivery at the rural level, and make catering to the many small locations with traditional service points unviable. </w:t>
      </w:r>
      <w:r w:rsidR="00D015BC" w:rsidRPr="003571FD">
        <w:rPr>
          <w:rFonts w:ascii="Times New Roman" w:hAnsi="Times New Roman" w:cs="Times New Roman"/>
          <w:bCs/>
          <w:sz w:val="24"/>
        </w:rPr>
        <w:t xml:space="preserve">Transport of cash is expensive, as one company has a </w:t>
      </w:r>
      <w:r w:rsidR="00D015BC" w:rsidRPr="003571FD">
        <w:rPr>
          <w:rFonts w:ascii="Times New Roman" w:hAnsi="Times New Roman" w:cs="Times New Roman"/>
          <w:bCs/>
          <w:i/>
          <w:sz w:val="24"/>
        </w:rPr>
        <w:t>de facto</w:t>
      </w:r>
      <w:r w:rsidR="00D015BC" w:rsidRPr="003571FD">
        <w:rPr>
          <w:rFonts w:ascii="Times New Roman" w:hAnsi="Times New Roman" w:cs="Times New Roman"/>
          <w:bCs/>
          <w:sz w:val="24"/>
        </w:rPr>
        <w:t xml:space="preserve"> monopoly and only caters to a limited number of locations, but reforms have recently been initiated to facilitate the entry of new players. A</w:t>
      </w:r>
      <w:r w:rsidRPr="003571FD">
        <w:rPr>
          <w:rFonts w:ascii="Times New Roman" w:hAnsi="Times New Roman" w:cs="Times New Roman"/>
          <w:bCs/>
          <w:sz w:val="24"/>
        </w:rPr>
        <w:t xml:space="preserve"> Real-Time Gross Settlement System (RTGS)</w:t>
      </w:r>
      <w:r w:rsidR="00D015BC" w:rsidRPr="003571FD">
        <w:rPr>
          <w:rFonts w:ascii="Times New Roman" w:hAnsi="Times New Roman" w:cs="Times New Roman"/>
          <w:bCs/>
          <w:sz w:val="24"/>
        </w:rPr>
        <w:t xml:space="preserve"> is in place and function</w:t>
      </w:r>
      <w:r w:rsidR="001615B7" w:rsidRPr="003571FD">
        <w:rPr>
          <w:rFonts w:ascii="Times New Roman" w:hAnsi="Times New Roman" w:cs="Times New Roman"/>
          <w:bCs/>
          <w:sz w:val="24"/>
        </w:rPr>
        <w:t>s</w:t>
      </w:r>
      <w:r w:rsidR="00D015BC" w:rsidRPr="003571FD">
        <w:rPr>
          <w:rFonts w:ascii="Times New Roman" w:hAnsi="Times New Roman" w:cs="Times New Roman"/>
          <w:bCs/>
          <w:sz w:val="24"/>
        </w:rPr>
        <w:t xml:space="preserve"> well</w:t>
      </w:r>
      <w:r w:rsidRPr="003571FD">
        <w:rPr>
          <w:rFonts w:ascii="Times New Roman" w:hAnsi="Times New Roman" w:cs="Times New Roman"/>
          <w:bCs/>
          <w:sz w:val="24"/>
        </w:rPr>
        <w:t xml:space="preserve">, but not all financial entities </w:t>
      </w:r>
      <w:r w:rsidR="00D015BC" w:rsidRPr="003571FD">
        <w:rPr>
          <w:rFonts w:ascii="Times New Roman" w:hAnsi="Times New Roman" w:cs="Times New Roman"/>
          <w:bCs/>
          <w:sz w:val="24"/>
        </w:rPr>
        <w:t xml:space="preserve">are directly participating </w:t>
      </w:r>
      <w:r w:rsidRPr="003571FD">
        <w:rPr>
          <w:rFonts w:ascii="Times New Roman" w:hAnsi="Times New Roman" w:cs="Times New Roman"/>
          <w:bCs/>
          <w:sz w:val="24"/>
        </w:rPr>
        <w:t xml:space="preserve">in it and the retail payment system </w:t>
      </w:r>
      <w:r w:rsidR="001615B7" w:rsidRPr="003571FD">
        <w:rPr>
          <w:rFonts w:ascii="Times New Roman" w:hAnsi="Times New Roman" w:cs="Times New Roman"/>
          <w:bCs/>
          <w:sz w:val="24"/>
        </w:rPr>
        <w:t xml:space="preserve">– although dynamically developing - </w:t>
      </w:r>
      <w:r w:rsidRPr="003571FD">
        <w:rPr>
          <w:rFonts w:ascii="Times New Roman" w:hAnsi="Times New Roman" w:cs="Times New Roman"/>
          <w:bCs/>
          <w:sz w:val="24"/>
        </w:rPr>
        <w:t xml:space="preserve">is fragmented. </w:t>
      </w:r>
    </w:p>
    <w:p w:rsidR="00176E36" w:rsidRPr="003571FD" w:rsidRDefault="00176E36" w:rsidP="00176E36">
      <w:pPr>
        <w:jc w:val="both"/>
        <w:rPr>
          <w:rFonts w:ascii="Times New Roman" w:hAnsi="Times New Roman" w:cs="Times New Roman"/>
          <w:bCs/>
          <w:sz w:val="24"/>
        </w:rPr>
      </w:pPr>
      <w:r w:rsidRPr="003571FD">
        <w:rPr>
          <w:rFonts w:ascii="Times New Roman" w:hAnsi="Times New Roman" w:cs="Times New Roman"/>
          <w:b/>
          <w:bCs/>
          <w:sz w:val="24"/>
        </w:rPr>
        <w:t xml:space="preserve">The analysis suggest that increasing the coverage with financial access points </w:t>
      </w:r>
      <w:r w:rsidR="001615B7" w:rsidRPr="003571FD">
        <w:rPr>
          <w:rFonts w:ascii="Times New Roman" w:hAnsi="Times New Roman" w:cs="Times New Roman"/>
          <w:b/>
          <w:bCs/>
          <w:sz w:val="24"/>
        </w:rPr>
        <w:t>in</w:t>
      </w:r>
      <w:r w:rsidR="00E27DE2" w:rsidRPr="003571FD">
        <w:rPr>
          <w:rFonts w:ascii="Times New Roman" w:hAnsi="Times New Roman" w:cs="Times New Roman"/>
          <w:b/>
          <w:bCs/>
          <w:sz w:val="24"/>
        </w:rPr>
        <w:t xml:space="preserve"> </w:t>
      </w:r>
      <w:r w:rsidR="00D015BC" w:rsidRPr="003571FD">
        <w:rPr>
          <w:rFonts w:ascii="Times New Roman" w:hAnsi="Times New Roman" w:cs="Times New Roman"/>
          <w:b/>
          <w:bCs/>
          <w:sz w:val="24"/>
        </w:rPr>
        <w:t xml:space="preserve">more remote areas </w:t>
      </w:r>
      <w:r w:rsidRPr="003571FD">
        <w:rPr>
          <w:rFonts w:ascii="Times New Roman" w:hAnsi="Times New Roman" w:cs="Times New Roman"/>
          <w:b/>
          <w:bCs/>
          <w:sz w:val="24"/>
        </w:rPr>
        <w:t xml:space="preserve">will hinge to a large extent on </w:t>
      </w:r>
      <w:r w:rsidR="00D015BC" w:rsidRPr="003571FD">
        <w:rPr>
          <w:rFonts w:ascii="Times New Roman" w:hAnsi="Times New Roman" w:cs="Times New Roman"/>
          <w:b/>
          <w:bCs/>
          <w:sz w:val="24"/>
        </w:rPr>
        <w:t xml:space="preserve">efforts </w:t>
      </w:r>
      <w:r w:rsidRPr="003571FD">
        <w:rPr>
          <w:rFonts w:ascii="Times New Roman" w:hAnsi="Times New Roman" w:cs="Times New Roman"/>
          <w:b/>
          <w:bCs/>
          <w:sz w:val="24"/>
        </w:rPr>
        <w:t>to reduce the costs of service delivery, and on familiarizing the population with more efficient forms of financial transactions.</w:t>
      </w:r>
      <w:r w:rsidRPr="003571FD">
        <w:rPr>
          <w:rFonts w:ascii="Times New Roman" w:hAnsi="Times New Roman" w:cs="Times New Roman"/>
          <w:bCs/>
          <w:sz w:val="24"/>
        </w:rPr>
        <w:t xml:space="preserve"> The population’s lack of financial education and knowledge about modern service delivery channels lowers the demand and uptake of more efficient payment services such as electronic payments, and makes a supply driven roll-out more difficult and risky. Furthermore, the regulatory burden of service delivery and gaps in communication infrastructure need to be addressed to bring costs on the supply side down, and to provide a more conducive set of incentives for covering remoter areas with financial services.</w:t>
      </w:r>
    </w:p>
    <w:p w:rsidR="00CF59E9" w:rsidRPr="003571FD" w:rsidRDefault="00CF59E9" w:rsidP="003010CF">
      <w:pPr>
        <w:jc w:val="both"/>
        <w:rPr>
          <w:rFonts w:ascii="Times New Roman" w:hAnsi="Times New Roman" w:cs="Times New Roman"/>
          <w:bCs/>
          <w:i/>
          <w:sz w:val="24"/>
        </w:rPr>
      </w:pPr>
      <w:r w:rsidRPr="003571FD">
        <w:rPr>
          <w:rFonts w:ascii="Times New Roman" w:hAnsi="Times New Roman" w:cs="Times New Roman"/>
          <w:bCs/>
          <w:i/>
          <w:sz w:val="24"/>
        </w:rPr>
        <w:t>Increasing credit to the productive sector</w:t>
      </w:r>
    </w:p>
    <w:p w:rsidR="00176E36" w:rsidRPr="003571FD" w:rsidRDefault="00176E36" w:rsidP="00176E36">
      <w:pPr>
        <w:jc w:val="both"/>
        <w:rPr>
          <w:rFonts w:ascii="Times New Roman" w:hAnsi="Times New Roman" w:cs="Times New Roman"/>
          <w:bCs/>
          <w:sz w:val="24"/>
        </w:rPr>
      </w:pPr>
      <w:r w:rsidRPr="003571FD">
        <w:rPr>
          <w:rFonts w:ascii="Times New Roman" w:hAnsi="Times New Roman" w:cs="Times New Roman"/>
          <w:b/>
          <w:sz w:val="24"/>
        </w:rPr>
        <w:t xml:space="preserve">Credit to the private sector as a share of GDP decreased until recently, but a considerable shift towards smaller borrowers can be observed. </w:t>
      </w:r>
      <w:r w:rsidRPr="003571FD">
        <w:rPr>
          <w:rFonts w:ascii="Times New Roman" w:hAnsi="Times New Roman" w:cs="Times New Roman"/>
          <w:sz w:val="24"/>
        </w:rPr>
        <w:t>With over 350</w:t>
      </w:r>
      <w:r w:rsidR="00A90E70" w:rsidRPr="003571FD">
        <w:rPr>
          <w:rFonts w:ascii="Times New Roman" w:hAnsi="Times New Roman" w:cs="Times New Roman"/>
          <w:sz w:val="24"/>
        </w:rPr>
        <w:t>,</w:t>
      </w:r>
      <w:r w:rsidRPr="003571FD">
        <w:rPr>
          <w:rFonts w:ascii="Times New Roman" w:hAnsi="Times New Roman" w:cs="Times New Roman"/>
          <w:sz w:val="24"/>
        </w:rPr>
        <w:t>000 mostly smaller borrowers added to the system, microcredit increased from an already high 15 percent of total credit portfolio in 2005 to now 25 percent</w:t>
      </w:r>
      <w:r w:rsidR="00B27403" w:rsidRPr="003571FD">
        <w:rPr>
          <w:rStyle w:val="FootnoteReference"/>
          <w:rFonts w:ascii="Times New Roman" w:hAnsi="Times New Roman" w:cs="Times New Roman"/>
          <w:sz w:val="24"/>
        </w:rPr>
        <w:footnoteReference w:id="12"/>
      </w:r>
      <w:r w:rsidRPr="003571FD">
        <w:rPr>
          <w:rFonts w:ascii="Times New Roman" w:hAnsi="Times New Roman" w:cs="Times New Roman"/>
          <w:sz w:val="24"/>
        </w:rPr>
        <w:t>. L</w:t>
      </w:r>
      <w:r w:rsidRPr="003571FD">
        <w:rPr>
          <w:rFonts w:ascii="Times New Roman" w:hAnsi="Times New Roman" w:cs="Times New Roman"/>
          <w:bCs/>
          <w:sz w:val="24"/>
        </w:rPr>
        <w:t xml:space="preserve">oans to commerce, the services sector and construction benefited the most from this evolution, and more than doubled between 2005 and </w:t>
      </w:r>
      <w:r w:rsidRPr="003571FD">
        <w:rPr>
          <w:rFonts w:ascii="Times New Roman" w:hAnsi="Times New Roman" w:cs="Times New Roman"/>
          <w:bCs/>
          <w:sz w:val="24"/>
        </w:rPr>
        <w:lastRenderedPageBreak/>
        <w:t>December 2009</w:t>
      </w:r>
      <w:r w:rsidR="00BA278F" w:rsidRPr="003571FD">
        <w:rPr>
          <w:rFonts w:ascii="Times New Roman" w:hAnsi="Times New Roman" w:cs="Times New Roman"/>
          <w:bCs/>
          <w:sz w:val="24"/>
        </w:rPr>
        <w:t xml:space="preserve">. </w:t>
      </w:r>
      <w:r w:rsidR="00E0564D" w:rsidRPr="003571FD">
        <w:rPr>
          <w:rFonts w:ascii="Times New Roman" w:hAnsi="Times New Roman" w:cs="Times New Roman"/>
          <w:bCs/>
          <w:sz w:val="24"/>
        </w:rPr>
        <w:t>On the other hand, c</w:t>
      </w:r>
      <w:r w:rsidR="00BA278F" w:rsidRPr="003571FD">
        <w:rPr>
          <w:rFonts w:ascii="Times New Roman" w:hAnsi="Times New Roman" w:cs="Times New Roman"/>
          <w:bCs/>
          <w:sz w:val="24"/>
        </w:rPr>
        <w:t>redit to</w:t>
      </w:r>
      <w:r w:rsidRPr="003571FD">
        <w:rPr>
          <w:rFonts w:ascii="Times New Roman" w:hAnsi="Times New Roman" w:cs="Times New Roman"/>
          <w:bCs/>
          <w:sz w:val="24"/>
        </w:rPr>
        <w:t xml:space="preserve"> the traditional productive sectors</w:t>
      </w:r>
      <w:r w:rsidRPr="003571FD">
        <w:rPr>
          <w:rStyle w:val="FootnoteReference"/>
          <w:rFonts w:ascii="Times New Roman" w:hAnsi="Times New Roman" w:cs="Times New Roman"/>
          <w:bCs/>
          <w:sz w:val="24"/>
        </w:rPr>
        <w:footnoteReference w:id="13"/>
      </w:r>
      <w:r w:rsidRPr="003571FD">
        <w:rPr>
          <w:rFonts w:ascii="Times New Roman" w:hAnsi="Times New Roman" w:cs="Times New Roman"/>
          <w:bCs/>
          <w:sz w:val="24"/>
        </w:rPr>
        <w:t xml:space="preserve"> only increased by 23 percent over the same period of time, and now only account for 20 percent of lending </w:t>
      </w:r>
      <w:r w:rsidR="00BA278F" w:rsidRPr="003571FD">
        <w:rPr>
          <w:rFonts w:ascii="Times New Roman" w:hAnsi="Times New Roman" w:cs="Times New Roman"/>
          <w:bCs/>
          <w:sz w:val="24"/>
        </w:rPr>
        <w:t>(</w:t>
      </w:r>
      <w:r w:rsidRPr="003571FD">
        <w:rPr>
          <w:rFonts w:ascii="Times New Roman" w:hAnsi="Times New Roman" w:cs="Times New Roman"/>
          <w:bCs/>
          <w:sz w:val="24"/>
        </w:rPr>
        <w:t>compared to 29 percent in 2005</w:t>
      </w:r>
      <w:r w:rsidR="00BA278F" w:rsidRPr="003571FD">
        <w:rPr>
          <w:rFonts w:ascii="Times New Roman" w:hAnsi="Times New Roman" w:cs="Times New Roman"/>
          <w:bCs/>
          <w:sz w:val="24"/>
        </w:rPr>
        <w:t>)</w:t>
      </w:r>
      <w:r w:rsidRPr="003571FD">
        <w:rPr>
          <w:rFonts w:ascii="Times New Roman" w:hAnsi="Times New Roman" w:cs="Times New Roman"/>
          <w:bCs/>
          <w:sz w:val="24"/>
        </w:rPr>
        <w:t>. While e</w:t>
      </w:r>
      <w:r w:rsidRPr="003571FD">
        <w:rPr>
          <w:rFonts w:ascii="Times New Roman" w:hAnsi="Times New Roman" w:cs="Times New Roman"/>
          <w:sz w:val="24"/>
          <w:szCs w:val="24"/>
        </w:rPr>
        <w:t xml:space="preserve">nterprises have in general access to working capital (partially funded by sources outside of the financial system such as remittances), they appear </w:t>
      </w:r>
      <w:r w:rsidR="00BA278F" w:rsidRPr="003571FD">
        <w:rPr>
          <w:rFonts w:ascii="Times New Roman" w:hAnsi="Times New Roman" w:cs="Times New Roman"/>
          <w:sz w:val="24"/>
          <w:szCs w:val="24"/>
        </w:rPr>
        <w:t>con</w:t>
      </w:r>
      <w:r w:rsidRPr="003571FD">
        <w:rPr>
          <w:rFonts w:ascii="Times New Roman" w:hAnsi="Times New Roman" w:cs="Times New Roman"/>
          <w:sz w:val="24"/>
          <w:szCs w:val="24"/>
        </w:rPr>
        <w:t>strain</w:t>
      </w:r>
      <w:r w:rsidR="00BA278F" w:rsidRPr="003571FD">
        <w:rPr>
          <w:rFonts w:ascii="Times New Roman" w:hAnsi="Times New Roman" w:cs="Times New Roman"/>
          <w:sz w:val="24"/>
          <w:szCs w:val="24"/>
        </w:rPr>
        <w:t>ed</w:t>
      </w:r>
      <w:r w:rsidRPr="003571FD">
        <w:rPr>
          <w:rFonts w:ascii="Times New Roman" w:hAnsi="Times New Roman" w:cs="Times New Roman"/>
          <w:sz w:val="24"/>
          <w:szCs w:val="24"/>
        </w:rPr>
        <w:t xml:space="preserve"> with regard to investment financing and larger working capital loans.</w:t>
      </w:r>
    </w:p>
    <w:p w:rsidR="00F21F36" w:rsidRPr="003571FD" w:rsidRDefault="00831FBB" w:rsidP="00F21F36">
      <w:pPr>
        <w:jc w:val="both"/>
        <w:rPr>
          <w:rFonts w:ascii="Times New Roman" w:hAnsi="Times New Roman" w:cs="Times New Roman"/>
          <w:sz w:val="24"/>
          <w:szCs w:val="24"/>
        </w:rPr>
      </w:pPr>
      <w:r w:rsidRPr="003571FD">
        <w:rPr>
          <w:rFonts w:ascii="Times New Roman" w:hAnsi="Times New Roman" w:cs="Times New Roman"/>
          <w:b/>
          <w:sz w:val="24"/>
          <w:szCs w:val="24"/>
        </w:rPr>
        <w:t>The assessment point</w:t>
      </w:r>
      <w:r w:rsidR="00E0564D" w:rsidRPr="003571FD">
        <w:rPr>
          <w:rFonts w:ascii="Times New Roman" w:hAnsi="Times New Roman" w:cs="Times New Roman"/>
          <w:b/>
          <w:sz w:val="24"/>
          <w:szCs w:val="24"/>
        </w:rPr>
        <w:t>s</w:t>
      </w:r>
      <w:r w:rsidRPr="003571FD">
        <w:rPr>
          <w:rFonts w:ascii="Times New Roman" w:hAnsi="Times New Roman" w:cs="Times New Roman"/>
          <w:b/>
          <w:sz w:val="24"/>
          <w:szCs w:val="24"/>
        </w:rPr>
        <w:t xml:space="preserve"> to a</w:t>
      </w:r>
      <w:r w:rsidR="00F21F36" w:rsidRPr="003571FD">
        <w:rPr>
          <w:rFonts w:ascii="Times New Roman" w:hAnsi="Times New Roman" w:cs="Times New Roman"/>
          <w:b/>
          <w:sz w:val="24"/>
          <w:szCs w:val="24"/>
        </w:rPr>
        <w:t xml:space="preserve"> number of demand and supply side bottlenecks that </w:t>
      </w:r>
      <w:r w:rsidR="0008094E" w:rsidRPr="003571FD">
        <w:rPr>
          <w:rFonts w:ascii="Times New Roman" w:hAnsi="Times New Roman" w:cs="Times New Roman"/>
          <w:b/>
          <w:sz w:val="24"/>
          <w:szCs w:val="24"/>
        </w:rPr>
        <w:t>contributed to the more sluggish credit growth</w:t>
      </w:r>
      <w:r w:rsidR="00F31EA5" w:rsidRPr="003571FD">
        <w:rPr>
          <w:rFonts w:ascii="Times New Roman" w:hAnsi="Times New Roman" w:cs="Times New Roman"/>
          <w:b/>
          <w:sz w:val="24"/>
          <w:szCs w:val="24"/>
        </w:rPr>
        <w:t>,</w:t>
      </w:r>
      <w:r w:rsidRPr="003571FD">
        <w:rPr>
          <w:rFonts w:ascii="Times New Roman" w:hAnsi="Times New Roman" w:cs="Times New Roman"/>
          <w:b/>
          <w:sz w:val="24"/>
          <w:szCs w:val="24"/>
        </w:rPr>
        <w:t xml:space="preserve"> particular in the productive sector</w:t>
      </w:r>
      <w:r w:rsidR="00F21F36" w:rsidRPr="003571FD">
        <w:rPr>
          <w:rFonts w:ascii="Times New Roman" w:hAnsi="Times New Roman" w:cs="Times New Roman"/>
          <w:b/>
          <w:sz w:val="24"/>
          <w:szCs w:val="24"/>
        </w:rPr>
        <w:t>s</w:t>
      </w:r>
      <w:r w:rsidR="00F21F36" w:rsidRPr="003571FD">
        <w:rPr>
          <w:rFonts w:ascii="Times New Roman" w:hAnsi="Times New Roman" w:cs="Times New Roman"/>
          <w:sz w:val="24"/>
          <w:szCs w:val="24"/>
        </w:rPr>
        <w:t>:</w:t>
      </w:r>
    </w:p>
    <w:p w:rsidR="00AF20D8" w:rsidRPr="003571FD" w:rsidRDefault="00176E36"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On the demand side, larger bor</w:t>
      </w:r>
      <w:r w:rsidR="00BA278F" w:rsidRPr="003571FD">
        <w:rPr>
          <w:rFonts w:ascii="Times New Roman" w:hAnsi="Times New Roman" w:cs="Times New Roman"/>
          <w:sz w:val="24"/>
          <w:szCs w:val="24"/>
        </w:rPr>
        <w:t>rowers lowered their investment</w:t>
      </w:r>
      <w:r w:rsidRPr="003571FD">
        <w:rPr>
          <w:rFonts w:ascii="Times New Roman" w:hAnsi="Times New Roman" w:cs="Times New Roman"/>
          <w:sz w:val="24"/>
          <w:szCs w:val="24"/>
        </w:rPr>
        <w:t xml:space="preserve">s due to </w:t>
      </w:r>
      <w:r w:rsidR="00BA278F" w:rsidRPr="003571FD">
        <w:rPr>
          <w:rFonts w:ascii="Times New Roman" w:hAnsi="Times New Roman" w:cs="Times New Roman"/>
          <w:sz w:val="24"/>
          <w:szCs w:val="24"/>
        </w:rPr>
        <w:t>a decrease</w:t>
      </w:r>
      <w:r w:rsidRPr="003571FD">
        <w:rPr>
          <w:rFonts w:ascii="Times New Roman" w:hAnsi="Times New Roman" w:cs="Times New Roman"/>
          <w:sz w:val="24"/>
          <w:szCs w:val="24"/>
        </w:rPr>
        <w:t xml:space="preserve"> in international </w:t>
      </w:r>
      <w:r w:rsidR="00BA278F" w:rsidRPr="003571FD">
        <w:rPr>
          <w:rFonts w:ascii="Times New Roman" w:hAnsi="Times New Roman" w:cs="Times New Roman"/>
          <w:sz w:val="24"/>
          <w:szCs w:val="24"/>
        </w:rPr>
        <w:t>demand</w:t>
      </w:r>
      <w:r w:rsidRPr="003571FD">
        <w:rPr>
          <w:rFonts w:ascii="Times New Roman" w:hAnsi="Times New Roman" w:cs="Times New Roman"/>
          <w:sz w:val="24"/>
          <w:szCs w:val="24"/>
        </w:rPr>
        <w:t xml:space="preserve"> (i.e. in the textile sector) and uncertainties introduced through the pending translation of the new Constitution into the legal framework, which leaves room for interpretation of what constitutes priority sectors and on the actions the government will undertake with regards to them. Furthermore, grant funding is available in many sectors. Combined</w:t>
      </w:r>
      <w:r w:rsidR="00E0564D" w:rsidRPr="003571FD">
        <w:rPr>
          <w:rFonts w:ascii="Times New Roman" w:hAnsi="Times New Roman" w:cs="Times New Roman"/>
          <w:sz w:val="24"/>
          <w:szCs w:val="24"/>
        </w:rPr>
        <w:t>,</w:t>
      </w:r>
      <w:r w:rsidRPr="003571FD">
        <w:rPr>
          <w:rFonts w:ascii="Times New Roman" w:hAnsi="Times New Roman" w:cs="Times New Roman"/>
          <w:sz w:val="24"/>
          <w:szCs w:val="24"/>
        </w:rPr>
        <w:t xml:space="preserve"> these developments considerably reduce the demand for credit. Furthermore, the economic structure of the country, in particular the large share of micro and small enterprises operating in the informal and semi-formal sector, and the lack of integration into value chains impede profitability in the enterprise sector and limit growth “opportunities” for small borrowers. Particularly agricultural firms report low and volatile income, outdated small-scale production techniques and higher weather-induced risks. Thus, in the first place a larger and more coordinated effort to foster economic growth through elimination of barriers to the investment climate and </w:t>
      </w:r>
      <w:r w:rsidR="002F0E21" w:rsidRPr="003571FD">
        <w:rPr>
          <w:rFonts w:ascii="Times New Roman" w:hAnsi="Times New Roman" w:cs="Times New Roman"/>
          <w:sz w:val="24"/>
          <w:szCs w:val="24"/>
        </w:rPr>
        <w:t xml:space="preserve">vertical and horizontal </w:t>
      </w:r>
      <w:r w:rsidRPr="003571FD">
        <w:rPr>
          <w:rFonts w:ascii="Times New Roman" w:hAnsi="Times New Roman" w:cs="Times New Roman"/>
          <w:sz w:val="24"/>
          <w:szCs w:val="24"/>
        </w:rPr>
        <w:t xml:space="preserve">integration of the </w:t>
      </w:r>
      <w:r w:rsidR="00A90E70" w:rsidRPr="003571FD">
        <w:rPr>
          <w:rFonts w:ascii="Times New Roman" w:hAnsi="Times New Roman" w:cs="Times New Roman"/>
          <w:sz w:val="24"/>
          <w:szCs w:val="24"/>
        </w:rPr>
        <w:t>micro, small and medium enterprises (</w:t>
      </w:r>
      <w:r w:rsidRPr="003571FD">
        <w:rPr>
          <w:rFonts w:ascii="Times New Roman" w:hAnsi="Times New Roman" w:cs="Times New Roman"/>
          <w:sz w:val="24"/>
          <w:szCs w:val="24"/>
        </w:rPr>
        <w:t>MSME</w:t>
      </w:r>
      <w:r w:rsidR="00A90E70" w:rsidRPr="003571FD">
        <w:rPr>
          <w:rFonts w:ascii="Times New Roman" w:hAnsi="Times New Roman" w:cs="Times New Roman"/>
          <w:sz w:val="24"/>
          <w:szCs w:val="24"/>
        </w:rPr>
        <w:t>)</w:t>
      </w:r>
      <w:r w:rsidRPr="003571FD">
        <w:rPr>
          <w:rFonts w:ascii="Times New Roman" w:hAnsi="Times New Roman" w:cs="Times New Roman"/>
          <w:sz w:val="24"/>
          <w:szCs w:val="24"/>
        </w:rPr>
        <w:t xml:space="preserve"> sector will be required. Without these reforms, the government’s focus on credit </w:t>
      </w:r>
      <w:r w:rsidR="001D3DFD" w:rsidRPr="003571FD">
        <w:rPr>
          <w:rFonts w:ascii="Times New Roman" w:hAnsi="Times New Roman" w:cs="Times New Roman"/>
          <w:sz w:val="24"/>
          <w:szCs w:val="24"/>
        </w:rPr>
        <w:t>risks</w:t>
      </w:r>
      <w:r w:rsidRPr="003571FD">
        <w:rPr>
          <w:rFonts w:ascii="Times New Roman" w:hAnsi="Times New Roman" w:cs="Times New Roman"/>
          <w:sz w:val="24"/>
          <w:szCs w:val="24"/>
        </w:rPr>
        <w:t xml:space="preserve"> leading to over-indebtedness of clients or a deterioration of the repayment culture as witnessed before</w:t>
      </w:r>
      <w:r w:rsidR="001D3DFD" w:rsidRPr="003571FD">
        <w:rPr>
          <w:rFonts w:ascii="Times New Roman" w:hAnsi="Times New Roman" w:cs="Times New Roman"/>
          <w:sz w:val="24"/>
          <w:szCs w:val="24"/>
        </w:rPr>
        <w:t>, both of which would lower the availability of funding on the longer term</w:t>
      </w:r>
      <w:r w:rsidRPr="003571FD">
        <w:rPr>
          <w:rFonts w:ascii="Times New Roman" w:hAnsi="Times New Roman" w:cs="Times New Roman"/>
          <w:sz w:val="24"/>
          <w:szCs w:val="24"/>
        </w:rPr>
        <w:t>.</w:t>
      </w:r>
    </w:p>
    <w:p w:rsidR="00044FE4" w:rsidRPr="003571FD" w:rsidRDefault="00044FE4" w:rsidP="00044FE4">
      <w:pPr>
        <w:pStyle w:val="ListParagraph"/>
        <w:jc w:val="both"/>
        <w:rPr>
          <w:rFonts w:ascii="Times New Roman" w:hAnsi="Times New Roman" w:cs="Times New Roman"/>
          <w:sz w:val="24"/>
          <w:szCs w:val="24"/>
        </w:rPr>
      </w:pPr>
    </w:p>
    <w:p w:rsidR="00176E36" w:rsidRPr="003571FD" w:rsidRDefault="00176E36"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With regard to supply of credit from the financial sector, neither the available resource envelope nor the level of interest rates were determined to be significant constraints for the expansion of lending, including to the productive sector. The increase in the levels of liquidity in the formal financial system </w:t>
      </w:r>
      <w:r w:rsidR="002F0E21" w:rsidRPr="003571FD">
        <w:rPr>
          <w:rFonts w:ascii="Times New Roman" w:hAnsi="Times New Roman" w:cs="Times New Roman"/>
          <w:sz w:val="24"/>
          <w:szCs w:val="24"/>
        </w:rPr>
        <w:t xml:space="preserve">as well as moral suasion from the government </w:t>
      </w:r>
      <w:r w:rsidRPr="003571FD">
        <w:rPr>
          <w:rFonts w:ascii="Times New Roman" w:hAnsi="Times New Roman" w:cs="Times New Roman"/>
          <w:sz w:val="24"/>
          <w:szCs w:val="24"/>
        </w:rPr>
        <w:t xml:space="preserve">created a strong competitive </w:t>
      </w:r>
      <w:r w:rsidR="00781E2F" w:rsidRPr="007E1AF4">
        <w:rPr>
          <w:rFonts w:ascii="Times New Roman" w:hAnsi="Times New Roman" w:cs="Times New Roman"/>
          <w:sz w:val="24"/>
          <w:szCs w:val="24"/>
        </w:rPr>
        <w:t xml:space="preserve">pressure for lending, and contributed to a reduction of lending interest rates and </w:t>
      </w:r>
      <w:r w:rsidR="000E680D" w:rsidRPr="007E1AF4">
        <w:rPr>
          <w:rFonts w:ascii="Times New Roman" w:hAnsi="Times New Roman" w:cs="Times New Roman"/>
          <w:sz w:val="24"/>
          <w:szCs w:val="24"/>
        </w:rPr>
        <w:t xml:space="preserve">possibly also of </w:t>
      </w:r>
      <w:r w:rsidR="00781E2F" w:rsidRPr="007E1AF4">
        <w:rPr>
          <w:rFonts w:ascii="Times New Roman" w:hAnsi="Times New Roman" w:cs="Times New Roman"/>
          <w:sz w:val="24"/>
          <w:szCs w:val="24"/>
        </w:rPr>
        <w:t>lending standards. This needs to be carefully monitored, although the financial institutions appear in general to have solid credit appraisal and risk management mechanisms in place</w:t>
      </w:r>
      <w:r w:rsidR="007E1AF4" w:rsidRPr="007E1AF4">
        <w:rPr>
          <w:rFonts w:ascii="Times New Roman" w:hAnsi="Times New Roman" w:cs="Times New Roman"/>
          <w:sz w:val="24"/>
          <w:szCs w:val="24"/>
        </w:rPr>
        <w:t>.</w:t>
      </w:r>
      <w:r w:rsidRPr="003571FD">
        <w:rPr>
          <w:rFonts w:ascii="Times New Roman" w:hAnsi="Times New Roman" w:cs="Times New Roman"/>
          <w:sz w:val="24"/>
          <w:szCs w:val="24"/>
        </w:rPr>
        <w:t xml:space="preserve"> The above mentioned demand side barriers much rather point to barriers due to the higher risks involved in lending to the productive sector</w:t>
      </w:r>
      <w:r w:rsidR="00575B0C" w:rsidRPr="003571FD">
        <w:rPr>
          <w:rFonts w:ascii="Times New Roman" w:hAnsi="Times New Roman" w:cs="Times New Roman"/>
          <w:sz w:val="24"/>
          <w:szCs w:val="24"/>
        </w:rPr>
        <w:t xml:space="preserve"> (as reflected for example in consistently higher levels of non-performing loans)</w:t>
      </w:r>
      <w:r w:rsidRPr="003571FD">
        <w:rPr>
          <w:rFonts w:ascii="Times New Roman" w:hAnsi="Times New Roman" w:cs="Times New Roman"/>
          <w:sz w:val="24"/>
          <w:szCs w:val="24"/>
        </w:rPr>
        <w:t xml:space="preserve"> as well as higher costs involv</w:t>
      </w:r>
      <w:r w:rsidR="00BA278F" w:rsidRPr="003571FD">
        <w:rPr>
          <w:rFonts w:ascii="Times New Roman" w:hAnsi="Times New Roman" w:cs="Times New Roman"/>
          <w:sz w:val="24"/>
          <w:szCs w:val="24"/>
        </w:rPr>
        <w:t>ed in gathering information on potential</w:t>
      </w:r>
      <w:r w:rsidRPr="003571FD">
        <w:rPr>
          <w:rFonts w:ascii="Times New Roman" w:hAnsi="Times New Roman" w:cs="Times New Roman"/>
          <w:sz w:val="24"/>
          <w:szCs w:val="24"/>
        </w:rPr>
        <w:t xml:space="preserve"> clients. The fragmentation and informality of the economy and of business relations leads to broad deficiencies in available financial and economic information on enterprises, </w:t>
      </w:r>
      <w:r w:rsidRPr="003571FD">
        <w:rPr>
          <w:rFonts w:ascii="Times New Roman" w:hAnsi="Times New Roman" w:cs="Times New Roman"/>
          <w:sz w:val="24"/>
          <w:szCs w:val="24"/>
        </w:rPr>
        <w:lastRenderedPageBreak/>
        <w:t xml:space="preserve">which have to be overcome through </w:t>
      </w:r>
      <w:r w:rsidR="008A356C" w:rsidRPr="003571FD">
        <w:rPr>
          <w:rFonts w:ascii="Times New Roman" w:hAnsi="Times New Roman" w:cs="Times New Roman"/>
          <w:sz w:val="24"/>
          <w:szCs w:val="24"/>
        </w:rPr>
        <w:t xml:space="preserve">high collateral requirements for loans, </w:t>
      </w:r>
      <w:r w:rsidRPr="003571FD">
        <w:rPr>
          <w:rFonts w:ascii="Times New Roman" w:hAnsi="Times New Roman" w:cs="Times New Roman"/>
          <w:sz w:val="24"/>
          <w:szCs w:val="24"/>
        </w:rPr>
        <w:t xml:space="preserve">the use of more expensive and labor intensive microfinance lending techniques, </w:t>
      </w:r>
      <w:r w:rsidR="008A356C" w:rsidRPr="003571FD">
        <w:rPr>
          <w:rFonts w:ascii="Times New Roman" w:hAnsi="Times New Roman" w:cs="Times New Roman"/>
          <w:sz w:val="24"/>
          <w:szCs w:val="24"/>
        </w:rPr>
        <w:t xml:space="preserve">and </w:t>
      </w:r>
      <w:r w:rsidRPr="003571FD">
        <w:rPr>
          <w:rFonts w:ascii="Times New Roman" w:hAnsi="Times New Roman" w:cs="Times New Roman"/>
          <w:sz w:val="24"/>
          <w:szCs w:val="24"/>
        </w:rPr>
        <w:t>lower loan amounts</w:t>
      </w:r>
      <w:r w:rsidR="008A356C" w:rsidRPr="003571FD">
        <w:rPr>
          <w:rFonts w:ascii="Times New Roman" w:hAnsi="Times New Roman" w:cs="Times New Roman"/>
          <w:sz w:val="24"/>
          <w:szCs w:val="24"/>
        </w:rPr>
        <w:t>.</w:t>
      </w:r>
      <w:r w:rsidR="002E1C1D" w:rsidRPr="003571FD">
        <w:rPr>
          <w:rFonts w:ascii="Times New Roman" w:hAnsi="Times New Roman" w:cs="Times New Roman"/>
          <w:sz w:val="24"/>
          <w:szCs w:val="24"/>
        </w:rPr>
        <w:t xml:space="preserve"> </w:t>
      </w:r>
      <w:r w:rsidRPr="003571FD">
        <w:rPr>
          <w:rFonts w:ascii="Times New Roman" w:hAnsi="Times New Roman" w:cs="Times New Roman"/>
          <w:sz w:val="24"/>
          <w:szCs w:val="24"/>
        </w:rPr>
        <w:t>This is traditionally the competency of microfinance institutions and explains their stronger growth.</w:t>
      </w:r>
    </w:p>
    <w:p w:rsidR="00176E36"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 xml:space="preserve">Some deficiencies were </w:t>
      </w:r>
      <w:r w:rsidR="00E06CC0" w:rsidRPr="003571FD">
        <w:rPr>
          <w:rFonts w:ascii="Times New Roman" w:hAnsi="Times New Roman" w:cs="Times New Roman"/>
          <w:b/>
          <w:sz w:val="24"/>
        </w:rPr>
        <w:t xml:space="preserve">also </w:t>
      </w:r>
      <w:r w:rsidRPr="003571FD">
        <w:rPr>
          <w:rFonts w:ascii="Times New Roman" w:hAnsi="Times New Roman" w:cs="Times New Roman"/>
          <w:b/>
          <w:sz w:val="24"/>
        </w:rPr>
        <w:t xml:space="preserve">noted in the available financial infrastructure, which </w:t>
      </w:r>
      <w:r w:rsidR="008A356C" w:rsidRPr="003571FD">
        <w:rPr>
          <w:rFonts w:ascii="Times New Roman" w:hAnsi="Times New Roman" w:cs="Times New Roman"/>
          <w:b/>
          <w:sz w:val="24"/>
        </w:rPr>
        <w:t>increases the</w:t>
      </w:r>
      <w:r w:rsidRPr="003571FD">
        <w:rPr>
          <w:rFonts w:ascii="Times New Roman" w:hAnsi="Times New Roman" w:cs="Times New Roman"/>
          <w:b/>
          <w:sz w:val="24"/>
        </w:rPr>
        <w:t xml:space="preserve"> strong reliance on real estate as collateral.</w:t>
      </w:r>
      <w:r w:rsidRPr="003571FD">
        <w:rPr>
          <w:rFonts w:ascii="Times New Roman" w:hAnsi="Times New Roman" w:cs="Times New Roman"/>
          <w:sz w:val="24"/>
        </w:rPr>
        <w:t xml:space="preserve"> The coverage of borrowers by the </w:t>
      </w:r>
      <w:r w:rsidR="00E06CC0" w:rsidRPr="003571FD">
        <w:rPr>
          <w:rFonts w:ascii="Times New Roman" w:hAnsi="Times New Roman" w:cs="Times New Roman"/>
          <w:sz w:val="24"/>
        </w:rPr>
        <w:t xml:space="preserve">private </w:t>
      </w:r>
      <w:r w:rsidRPr="003571FD">
        <w:rPr>
          <w:rFonts w:ascii="Times New Roman" w:hAnsi="Times New Roman" w:cs="Times New Roman"/>
          <w:sz w:val="24"/>
        </w:rPr>
        <w:t xml:space="preserve">credit bureaus – although </w:t>
      </w:r>
      <w:r w:rsidR="00BA278F" w:rsidRPr="003571FD">
        <w:rPr>
          <w:rFonts w:ascii="Times New Roman" w:hAnsi="Times New Roman" w:cs="Times New Roman"/>
          <w:sz w:val="24"/>
        </w:rPr>
        <w:t>high</w:t>
      </w:r>
      <w:r w:rsidRPr="003571FD">
        <w:rPr>
          <w:rFonts w:ascii="Times New Roman" w:hAnsi="Times New Roman" w:cs="Times New Roman"/>
          <w:sz w:val="24"/>
        </w:rPr>
        <w:t xml:space="preserve"> in </w:t>
      </w:r>
      <w:r w:rsidR="00BA278F" w:rsidRPr="003571FD">
        <w:rPr>
          <w:rFonts w:ascii="Times New Roman" w:hAnsi="Times New Roman" w:cs="Times New Roman"/>
          <w:sz w:val="24"/>
        </w:rPr>
        <w:t xml:space="preserve">an </w:t>
      </w:r>
      <w:r w:rsidRPr="003571FD">
        <w:rPr>
          <w:rFonts w:ascii="Times New Roman" w:hAnsi="Times New Roman" w:cs="Times New Roman"/>
          <w:sz w:val="24"/>
        </w:rPr>
        <w:t xml:space="preserve">international comparison </w:t>
      </w:r>
      <w:r w:rsidR="00DB7D61" w:rsidRPr="003571FD">
        <w:rPr>
          <w:rFonts w:ascii="Times New Roman" w:hAnsi="Times New Roman" w:cs="Times New Roman"/>
          <w:sz w:val="24"/>
        </w:rPr>
        <w:t xml:space="preserve">based on the Doing Business indicators </w:t>
      </w:r>
      <w:r w:rsidRPr="003571FD">
        <w:rPr>
          <w:rFonts w:ascii="Times New Roman" w:hAnsi="Times New Roman" w:cs="Times New Roman"/>
          <w:sz w:val="24"/>
        </w:rPr>
        <w:t>– is not complete</w:t>
      </w:r>
      <w:r w:rsidR="00E06CC0" w:rsidRPr="003571FD">
        <w:rPr>
          <w:rFonts w:ascii="Times New Roman" w:hAnsi="Times New Roman" w:cs="Times New Roman"/>
          <w:sz w:val="24"/>
        </w:rPr>
        <w:t xml:space="preserve"> and </w:t>
      </w:r>
      <w:r w:rsidR="00575B0C" w:rsidRPr="003571FD">
        <w:rPr>
          <w:rFonts w:ascii="Times New Roman" w:hAnsi="Times New Roman" w:cs="Times New Roman"/>
          <w:sz w:val="24"/>
        </w:rPr>
        <w:t>w</w:t>
      </w:r>
      <w:r w:rsidR="00E06CC0" w:rsidRPr="003571FD">
        <w:rPr>
          <w:rFonts w:ascii="Times New Roman" w:hAnsi="Times New Roman" w:cs="Times New Roman"/>
          <w:sz w:val="24"/>
        </w:rPr>
        <w:t xml:space="preserve">ould benefit </w:t>
      </w:r>
      <w:r w:rsidR="007D1BBC" w:rsidRPr="003571FD">
        <w:rPr>
          <w:rFonts w:ascii="Times New Roman" w:hAnsi="Times New Roman" w:cs="Times New Roman"/>
          <w:sz w:val="24"/>
        </w:rPr>
        <w:t xml:space="preserve">from broader access to ASFI’s </w:t>
      </w:r>
      <w:r w:rsidR="008A356C" w:rsidRPr="003571FD">
        <w:rPr>
          <w:rFonts w:ascii="Times New Roman" w:hAnsi="Times New Roman" w:cs="Times New Roman"/>
          <w:sz w:val="24"/>
        </w:rPr>
        <w:t xml:space="preserve">comprehensive loan </w:t>
      </w:r>
      <w:r w:rsidR="00147F9F" w:rsidRPr="003571FD">
        <w:rPr>
          <w:rFonts w:ascii="Times New Roman" w:hAnsi="Times New Roman" w:cs="Times New Roman"/>
          <w:sz w:val="24"/>
        </w:rPr>
        <w:t>data</w:t>
      </w:r>
      <w:r w:rsidR="007D1BBC" w:rsidRPr="003571FD">
        <w:rPr>
          <w:rFonts w:ascii="Times New Roman" w:hAnsi="Times New Roman" w:cs="Times New Roman"/>
          <w:sz w:val="24"/>
        </w:rPr>
        <w:t>base (</w:t>
      </w:r>
      <w:r w:rsidR="00147F9F" w:rsidRPr="003571FD">
        <w:rPr>
          <w:rFonts w:ascii="Times New Roman" w:hAnsi="Times New Roman" w:cs="Times New Roman"/>
          <w:i/>
          <w:sz w:val="24"/>
        </w:rPr>
        <w:t xml:space="preserve">Central de </w:t>
      </w:r>
      <w:proofErr w:type="spellStart"/>
      <w:r w:rsidR="00147F9F" w:rsidRPr="003571FD">
        <w:rPr>
          <w:rFonts w:ascii="Times New Roman" w:hAnsi="Times New Roman" w:cs="Times New Roman"/>
          <w:i/>
          <w:sz w:val="24"/>
        </w:rPr>
        <w:t>Riesgo</w:t>
      </w:r>
      <w:proofErr w:type="spellEnd"/>
      <w:r w:rsidR="007D1BBC" w:rsidRPr="003571FD">
        <w:rPr>
          <w:rFonts w:ascii="Times New Roman" w:hAnsi="Times New Roman" w:cs="Times New Roman"/>
          <w:sz w:val="24"/>
        </w:rPr>
        <w:t xml:space="preserve">). </w:t>
      </w:r>
      <w:r w:rsidRPr="003571FD">
        <w:rPr>
          <w:rFonts w:ascii="Times New Roman" w:hAnsi="Times New Roman" w:cs="Times New Roman"/>
          <w:sz w:val="24"/>
        </w:rPr>
        <w:t xml:space="preserve"> </w:t>
      </w:r>
      <w:r w:rsidR="006A2B34" w:rsidRPr="003571FD">
        <w:rPr>
          <w:rFonts w:ascii="Times New Roman" w:hAnsi="Times New Roman" w:cs="Times New Roman"/>
          <w:sz w:val="24"/>
        </w:rPr>
        <w:t>T</w:t>
      </w:r>
      <w:r w:rsidR="007D1BBC" w:rsidRPr="003571FD">
        <w:rPr>
          <w:rFonts w:ascii="Times New Roman" w:hAnsi="Times New Roman" w:cs="Times New Roman"/>
          <w:sz w:val="24"/>
        </w:rPr>
        <w:t xml:space="preserve">he credit bureaus also </w:t>
      </w:r>
      <w:r w:rsidRPr="003571FD">
        <w:rPr>
          <w:rFonts w:ascii="Times New Roman" w:hAnsi="Times New Roman" w:cs="Times New Roman"/>
          <w:sz w:val="24"/>
        </w:rPr>
        <w:t>only provide information on already banked clients</w:t>
      </w:r>
      <w:r w:rsidR="007D1BBC" w:rsidRPr="003571FD">
        <w:rPr>
          <w:rFonts w:ascii="Times New Roman" w:hAnsi="Times New Roman" w:cs="Times New Roman"/>
          <w:sz w:val="24"/>
        </w:rPr>
        <w:t xml:space="preserve">, thus do not facilitate the identification of potential new clients based on the latter’s </w:t>
      </w:r>
      <w:r w:rsidR="003B5AC6" w:rsidRPr="003571FD">
        <w:rPr>
          <w:rFonts w:ascii="Times New Roman" w:hAnsi="Times New Roman" w:cs="Times New Roman"/>
          <w:sz w:val="24"/>
        </w:rPr>
        <w:t>electricity, water or telephone payment history</w:t>
      </w:r>
      <w:r w:rsidRPr="003571FD">
        <w:rPr>
          <w:rFonts w:ascii="Times New Roman" w:hAnsi="Times New Roman" w:cs="Times New Roman"/>
          <w:sz w:val="24"/>
        </w:rPr>
        <w:t xml:space="preserve">. With regard to collateral, the use of movable collateral is restricted through the legal framework and the absence of a unified registry. </w:t>
      </w:r>
      <w:r w:rsidR="00393CED">
        <w:rPr>
          <w:rFonts w:ascii="Times New Roman" w:hAnsi="Times New Roman" w:cs="Times New Roman"/>
          <w:sz w:val="24"/>
        </w:rPr>
        <w:t>This</w:t>
      </w:r>
      <w:r w:rsidRPr="003571FD">
        <w:rPr>
          <w:rFonts w:ascii="Times New Roman" w:hAnsi="Times New Roman" w:cs="Times New Roman"/>
          <w:sz w:val="24"/>
        </w:rPr>
        <w:t xml:space="preserve"> particularly constraints the access to loans for MSMEs, as they – like in most countries – do not have ample real estate and thus depend on being able to pledge movable collateral to receive funding</w:t>
      </w:r>
      <w:r w:rsidR="005D6647">
        <w:rPr>
          <w:rStyle w:val="FootnoteReference"/>
          <w:rFonts w:ascii="Times New Roman" w:hAnsi="Times New Roman" w:cs="Times New Roman"/>
          <w:sz w:val="24"/>
        </w:rPr>
        <w:footnoteReference w:id="14"/>
      </w:r>
      <w:r w:rsidRPr="003571FD">
        <w:rPr>
          <w:rFonts w:ascii="Times New Roman" w:hAnsi="Times New Roman" w:cs="Times New Roman"/>
          <w:sz w:val="24"/>
        </w:rPr>
        <w:t>. The restrictions on collateral particularly impact farms and rural enterprises</w:t>
      </w:r>
      <w:r w:rsidR="003E2D6B" w:rsidRPr="003571FD">
        <w:rPr>
          <w:rFonts w:ascii="Times New Roman" w:hAnsi="Times New Roman" w:cs="Times New Roman"/>
          <w:sz w:val="24"/>
        </w:rPr>
        <w:t>,</w:t>
      </w:r>
      <w:r w:rsidRPr="003571FD">
        <w:rPr>
          <w:rFonts w:ascii="Times New Roman" w:hAnsi="Times New Roman" w:cs="Times New Roman"/>
          <w:sz w:val="24"/>
        </w:rPr>
        <w:t xml:space="preserve"> </w:t>
      </w:r>
      <w:r w:rsidR="00D524F0" w:rsidRPr="003571FD">
        <w:rPr>
          <w:rFonts w:ascii="Times New Roman" w:hAnsi="Times New Roman" w:cs="Times New Roman"/>
          <w:sz w:val="24"/>
        </w:rPr>
        <w:t>as the</w:t>
      </w:r>
      <w:r w:rsidRPr="003571FD">
        <w:rPr>
          <w:rFonts w:ascii="Times New Roman" w:hAnsi="Times New Roman" w:cs="Times New Roman"/>
          <w:sz w:val="24"/>
        </w:rPr>
        <w:t xml:space="preserve"> Constitution and agrarian reform </w:t>
      </w:r>
      <w:r w:rsidR="001C7C86" w:rsidRPr="003571FD">
        <w:rPr>
          <w:rFonts w:ascii="Times New Roman" w:hAnsi="Times New Roman" w:cs="Times New Roman"/>
          <w:sz w:val="24"/>
        </w:rPr>
        <w:t>legislation subordinate</w:t>
      </w:r>
      <w:r w:rsidRPr="003571FD">
        <w:rPr>
          <w:rFonts w:ascii="Times New Roman" w:hAnsi="Times New Roman" w:cs="Times New Roman"/>
          <w:sz w:val="24"/>
        </w:rPr>
        <w:t xml:space="preserve"> </w:t>
      </w:r>
      <w:r w:rsidR="007D1BBC" w:rsidRPr="003571FD">
        <w:rPr>
          <w:rFonts w:ascii="Times New Roman" w:hAnsi="Times New Roman" w:cs="Times New Roman"/>
          <w:sz w:val="24"/>
        </w:rPr>
        <w:t xml:space="preserve">properties </w:t>
      </w:r>
      <w:r w:rsidRPr="003571FD">
        <w:rPr>
          <w:rFonts w:ascii="Times New Roman" w:hAnsi="Times New Roman" w:cs="Times New Roman"/>
          <w:sz w:val="24"/>
        </w:rPr>
        <w:t xml:space="preserve">to the obligation of owners to use </w:t>
      </w:r>
      <w:r w:rsidR="007D1BBC" w:rsidRPr="003571FD">
        <w:rPr>
          <w:rFonts w:ascii="Times New Roman" w:hAnsi="Times New Roman" w:cs="Times New Roman"/>
          <w:sz w:val="24"/>
        </w:rPr>
        <w:t xml:space="preserve">the land </w:t>
      </w:r>
      <w:r w:rsidRPr="003571FD">
        <w:rPr>
          <w:rFonts w:ascii="Times New Roman" w:hAnsi="Times New Roman" w:cs="Times New Roman"/>
          <w:sz w:val="24"/>
        </w:rPr>
        <w:t xml:space="preserve">in such a manner that </w:t>
      </w:r>
      <w:r w:rsidR="007D1BBC" w:rsidRPr="003571FD">
        <w:rPr>
          <w:rFonts w:ascii="Times New Roman" w:hAnsi="Times New Roman" w:cs="Times New Roman"/>
          <w:sz w:val="24"/>
        </w:rPr>
        <w:t xml:space="preserve">it </w:t>
      </w:r>
      <w:r w:rsidRPr="003571FD">
        <w:rPr>
          <w:rFonts w:ascii="Times New Roman" w:hAnsi="Times New Roman" w:cs="Times New Roman"/>
          <w:sz w:val="24"/>
        </w:rPr>
        <w:t>fulfill</w:t>
      </w:r>
      <w:r w:rsidR="007D1BBC" w:rsidRPr="003571FD">
        <w:rPr>
          <w:rFonts w:ascii="Times New Roman" w:hAnsi="Times New Roman" w:cs="Times New Roman"/>
          <w:sz w:val="24"/>
        </w:rPr>
        <w:t>s</w:t>
      </w:r>
      <w:r w:rsidRPr="003571FD">
        <w:rPr>
          <w:rFonts w:ascii="Times New Roman" w:hAnsi="Times New Roman" w:cs="Times New Roman"/>
          <w:sz w:val="24"/>
        </w:rPr>
        <w:t xml:space="preserve"> a social and economic role</w:t>
      </w:r>
      <w:r w:rsidRPr="003571FD">
        <w:rPr>
          <w:rFonts w:ascii="Times New Roman" w:hAnsi="Times New Roman" w:cs="Times New Roman"/>
          <w:sz w:val="24"/>
          <w:vertAlign w:val="superscript"/>
        </w:rPr>
        <w:footnoteReference w:id="15"/>
      </w:r>
      <w:r w:rsidR="003E2D6B" w:rsidRPr="003571FD">
        <w:rPr>
          <w:rFonts w:ascii="Times New Roman" w:hAnsi="Times New Roman" w:cs="Times New Roman"/>
          <w:sz w:val="24"/>
        </w:rPr>
        <w:t>, while small farmers cannot use their land as collateral in general.</w:t>
      </w:r>
      <w:r w:rsidRPr="003571FD">
        <w:rPr>
          <w:rFonts w:ascii="Times New Roman" w:hAnsi="Times New Roman" w:cs="Times New Roman"/>
          <w:sz w:val="24"/>
        </w:rPr>
        <w:t xml:space="preserve"> At the current stage, these restrictions on the property </w:t>
      </w:r>
      <w:r w:rsidR="00AB4F31" w:rsidRPr="003571FD">
        <w:rPr>
          <w:rFonts w:ascii="Times New Roman" w:hAnsi="Times New Roman" w:cs="Times New Roman"/>
          <w:sz w:val="24"/>
        </w:rPr>
        <w:t>rights on rural land lead</w:t>
      </w:r>
      <w:r w:rsidRPr="003571FD">
        <w:rPr>
          <w:rFonts w:ascii="Times New Roman" w:hAnsi="Times New Roman" w:cs="Times New Roman"/>
          <w:sz w:val="24"/>
        </w:rPr>
        <w:t xml:space="preserve"> to a lack of collateral and hinder financial institutions from granting larger loans to farms and to rural businesses. </w:t>
      </w:r>
      <w:r w:rsidR="000406A4" w:rsidRPr="003571FD">
        <w:rPr>
          <w:rFonts w:ascii="Times New Roman" w:hAnsi="Times New Roman" w:cs="Times New Roman"/>
          <w:sz w:val="24"/>
        </w:rPr>
        <w:t>Finally, Bolivia has one of the lowest rating</w:t>
      </w:r>
      <w:r w:rsidR="003E2D6B" w:rsidRPr="003571FD">
        <w:rPr>
          <w:rFonts w:ascii="Times New Roman" w:hAnsi="Times New Roman" w:cs="Times New Roman"/>
          <w:sz w:val="24"/>
        </w:rPr>
        <w:t>s</w:t>
      </w:r>
      <w:r w:rsidR="000406A4" w:rsidRPr="003571FD">
        <w:rPr>
          <w:rFonts w:ascii="Times New Roman" w:hAnsi="Times New Roman" w:cs="Times New Roman"/>
          <w:sz w:val="24"/>
        </w:rPr>
        <w:t xml:space="preserve"> in the Doing business indicators regarding creditor rights. Enforcement is lengthy, and creditors lack priority for the collateral in bankruptcies. Ideally, reforms to the collateral regime should go hand in hand with enhancements in creditor rights.</w:t>
      </w:r>
    </w:p>
    <w:p w:rsidR="00044FE4" w:rsidRPr="003571FD" w:rsidRDefault="00176E36" w:rsidP="003010CF">
      <w:pPr>
        <w:jc w:val="both"/>
        <w:rPr>
          <w:rFonts w:ascii="Times New Roman" w:hAnsi="Times New Roman" w:cs="Times New Roman"/>
          <w:sz w:val="24"/>
        </w:rPr>
      </w:pPr>
      <w:r w:rsidRPr="003571FD">
        <w:rPr>
          <w:rFonts w:ascii="Times New Roman" w:hAnsi="Times New Roman" w:cs="Times New Roman"/>
          <w:b/>
          <w:sz w:val="24"/>
        </w:rPr>
        <w:t>Constraints arising from collateral requirements can be partially solved through alternative financial products such as leasing and factoring, as well as through parti</w:t>
      </w:r>
      <w:r w:rsidR="00F804F1" w:rsidRPr="003571FD">
        <w:rPr>
          <w:rFonts w:ascii="Times New Roman" w:hAnsi="Times New Roman" w:cs="Times New Roman"/>
          <w:b/>
          <w:sz w:val="24"/>
        </w:rPr>
        <w:t>al credit guarantee schemes and</w:t>
      </w:r>
      <w:r w:rsidRPr="003571FD">
        <w:rPr>
          <w:rFonts w:ascii="Times New Roman" w:hAnsi="Times New Roman" w:cs="Times New Roman"/>
          <w:b/>
          <w:sz w:val="24"/>
        </w:rPr>
        <w:t xml:space="preserve"> micro-insurance products. </w:t>
      </w:r>
      <w:r w:rsidRPr="003571FD">
        <w:rPr>
          <w:rFonts w:ascii="Times New Roman" w:hAnsi="Times New Roman" w:cs="Times New Roman"/>
          <w:sz w:val="24"/>
        </w:rPr>
        <w:t>The assessment shows that leasing and factoring, two loan products which may allow lending at lower cost</w:t>
      </w:r>
      <w:r w:rsidR="009C1208" w:rsidRPr="003571FD">
        <w:rPr>
          <w:rFonts w:ascii="Times New Roman" w:hAnsi="Times New Roman" w:cs="Times New Roman"/>
          <w:sz w:val="24"/>
        </w:rPr>
        <w:t xml:space="preserve"> and with no additional collateral</w:t>
      </w:r>
      <w:r w:rsidRPr="003571FD">
        <w:rPr>
          <w:rFonts w:ascii="Times New Roman" w:hAnsi="Times New Roman" w:cs="Times New Roman"/>
          <w:sz w:val="24"/>
        </w:rPr>
        <w:t>, are not sufficiently available in the system, largely due to deficiencies in the regulatory framework</w:t>
      </w:r>
      <w:r w:rsidR="009C1208" w:rsidRPr="003571FD">
        <w:rPr>
          <w:rFonts w:ascii="Times New Roman" w:hAnsi="Times New Roman" w:cs="Times New Roman"/>
          <w:sz w:val="24"/>
        </w:rPr>
        <w:t xml:space="preserve"> but also a lack of familiarity of clients with their benefits</w:t>
      </w:r>
      <w:r w:rsidR="00F804F1" w:rsidRPr="003571FD">
        <w:rPr>
          <w:rFonts w:ascii="Times New Roman" w:hAnsi="Times New Roman" w:cs="Times New Roman"/>
          <w:sz w:val="24"/>
        </w:rPr>
        <w:t>. P</w:t>
      </w:r>
      <w:r w:rsidRPr="003571FD">
        <w:rPr>
          <w:rFonts w:ascii="Times New Roman" w:hAnsi="Times New Roman" w:cs="Times New Roman"/>
          <w:sz w:val="24"/>
        </w:rPr>
        <w:t>roducts to manage the riskiness of lending</w:t>
      </w:r>
      <w:r w:rsidR="006F50A4" w:rsidRPr="003571FD">
        <w:rPr>
          <w:rFonts w:ascii="Times New Roman" w:hAnsi="Times New Roman" w:cs="Times New Roman"/>
          <w:sz w:val="24"/>
        </w:rPr>
        <w:t xml:space="preserve"> or of the underlying activities</w:t>
      </w:r>
      <w:r w:rsidR="000406A4" w:rsidRPr="003571FD">
        <w:rPr>
          <w:rFonts w:ascii="Times New Roman" w:hAnsi="Times New Roman" w:cs="Times New Roman"/>
          <w:sz w:val="24"/>
        </w:rPr>
        <w:t xml:space="preserve">, such as partial credit guarantees or </w:t>
      </w:r>
      <w:r w:rsidR="009C1208" w:rsidRPr="003571FD">
        <w:rPr>
          <w:rFonts w:ascii="Times New Roman" w:hAnsi="Times New Roman" w:cs="Times New Roman"/>
          <w:sz w:val="24"/>
        </w:rPr>
        <w:t xml:space="preserve">crop </w:t>
      </w:r>
      <w:r w:rsidR="00DB7D61" w:rsidRPr="003571FD">
        <w:rPr>
          <w:rFonts w:ascii="Times New Roman" w:hAnsi="Times New Roman" w:cs="Times New Roman"/>
          <w:sz w:val="24"/>
        </w:rPr>
        <w:t>insurance</w:t>
      </w:r>
      <w:r w:rsidR="009C1208" w:rsidRPr="003571FD">
        <w:rPr>
          <w:rFonts w:ascii="Times New Roman" w:hAnsi="Times New Roman" w:cs="Times New Roman"/>
          <w:sz w:val="24"/>
        </w:rPr>
        <w:t xml:space="preserve"> </w:t>
      </w:r>
      <w:r w:rsidRPr="003571FD">
        <w:rPr>
          <w:rFonts w:ascii="Times New Roman" w:hAnsi="Times New Roman" w:cs="Times New Roman"/>
          <w:sz w:val="24"/>
        </w:rPr>
        <w:t xml:space="preserve">are only being developed. The careful design of such products is key, as </w:t>
      </w:r>
      <w:r w:rsidR="00F804F1" w:rsidRPr="003571FD">
        <w:rPr>
          <w:rFonts w:ascii="Times New Roman" w:hAnsi="Times New Roman" w:cs="Times New Roman"/>
          <w:sz w:val="24"/>
        </w:rPr>
        <w:t xml:space="preserve">experience in the past has shown that a flawed design can </w:t>
      </w:r>
      <w:r w:rsidRPr="003571FD">
        <w:rPr>
          <w:rFonts w:ascii="Times New Roman" w:hAnsi="Times New Roman" w:cs="Times New Roman"/>
          <w:sz w:val="24"/>
        </w:rPr>
        <w:t xml:space="preserve">led to some distortions in the </w:t>
      </w:r>
      <w:r w:rsidR="00F804F1" w:rsidRPr="003571FD">
        <w:rPr>
          <w:rFonts w:ascii="Times New Roman" w:hAnsi="Times New Roman" w:cs="Times New Roman"/>
          <w:sz w:val="24"/>
        </w:rPr>
        <w:t xml:space="preserve">financial </w:t>
      </w:r>
      <w:r w:rsidRPr="003571FD">
        <w:rPr>
          <w:rFonts w:ascii="Times New Roman" w:hAnsi="Times New Roman" w:cs="Times New Roman"/>
          <w:sz w:val="24"/>
        </w:rPr>
        <w:t>system</w:t>
      </w:r>
      <w:r w:rsidR="009C1208" w:rsidRPr="003571FD">
        <w:rPr>
          <w:rFonts w:ascii="Times New Roman" w:hAnsi="Times New Roman" w:cs="Times New Roman"/>
          <w:sz w:val="24"/>
        </w:rPr>
        <w:t xml:space="preserve"> (i.e. through </w:t>
      </w:r>
      <w:r w:rsidR="00A11439" w:rsidRPr="003571FD">
        <w:rPr>
          <w:rFonts w:ascii="Times New Roman" w:hAnsi="Times New Roman" w:cs="Times New Roman"/>
          <w:sz w:val="24"/>
        </w:rPr>
        <w:t xml:space="preserve">unsustainable low prices and lax enforcement), </w:t>
      </w:r>
      <w:r w:rsidRPr="003571FD">
        <w:rPr>
          <w:rFonts w:ascii="Times New Roman" w:hAnsi="Times New Roman" w:cs="Times New Roman"/>
          <w:sz w:val="24"/>
        </w:rPr>
        <w:t xml:space="preserve"> and to a deterioration of the </w:t>
      </w:r>
      <w:r w:rsidRPr="003571FD">
        <w:rPr>
          <w:rFonts w:ascii="Times New Roman" w:hAnsi="Times New Roman" w:cs="Times New Roman"/>
          <w:sz w:val="24"/>
        </w:rPr>
        <w:lastRenderedPageBreak/>
        <w:t xml:space="preserve">repayment culture of the </w:t>
      </w:r>
      <w:r w:rsidR="00F804F1" w:rsidRPr="003571FD">
        <w:rPr>
          <w:rFonts w:ascii="Times New Roman" w:hAnsi="Times New Roman" w:cs="Times New Roman"/>
          <w:sz w:val="24"/>
        </w:rPr>
        <w:t>borrowers</w:t>
      </w:r>
      <w:r w:rsidRPr="003571FD">
        <w:rPr>
          <w:rFonts w:ascii="Times New Roman" w:hAnsi="Times New Roman" w:cs="Times New Roman"/>
          <w:sz w:val="24"/>
        </w:rPr>
        <w:t xml:space="preserve">. </w:t>
      </w:r>
      <w:r w:rsidR="00A11439" w:rsidRPr="003571FD">
        <w:rPr>
          <w:rFonts w:ascii="Times New Roman" w:hAnsi="Times New Roman" w:cs="Times New Roman"/>
          <w:sz w:val="24"/>
        </w:rPr>
        <w:t xml:space="preserve">Furthermore, partial credit guarantees and micro-insurance can create significant recurrent contingent liabilities to the government, if not well tailored and realistically priced.  </w:t>
      </w:r>
    </w:p>
    <w:p w:rsidR="00CF59E9" w:rsidRPr="003571FD" w:rsidRDefault="00CF59E9" w:rsidP="003010CF">
      <w:pPr>
        <w:jc w:val="both"/>
        <w:rPr>
          <w:rFonts w:ascii="Times New Roman" w:hAnsi="Times New Roman" w:cs="Times New Roman"/>
          <w:sz w:val="24"/>
        </w:rPr>
      </w:pPr>
      <w:r w:rsidRPr="003571FD">
        <w:rPr>
          <w:rFonts w:ascii="Times New Roman" w:hAnsi="Times New Roman" w:cs="Times New Roman"/>
          <w:i/>
          <w:sz w:val="24"/>
        </w:rPr>
        <w:t>Moving ahead</w:t>
      </w:r>
    </w:p>
    <w:p w:rsidR="00176E36"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 xml:space="preserve">Over the last few years, the government actively promoted outreach of the formal financial system to underserved segments of the population and also introduced measures to foster credit growth, in particular to the productive sectors. </w:t>
      </w:r>
      <w:r w:rsidRPr="003571FD">
        <w:rPr>
          <w:rFonts w:ascii="Times New Roman" w:hAnsi="Times New Roman" w:cs="Times New Roman"/>
          <w:sz w:val="24"/>
        </w:rPr>
        <w:t>This included (</w:t>
      </w:r>
      <w:proofErr w:type="spellStart"/>
      <w:r w:rsidRPr="003571FD">
        <w:rPr>
          <w:rFonts w:ascii="Times New Roman" w:hAnsi="Times New Roman" w:cs="Times New Roman"/>
          <w:sz w:val="24"/>
        </w:rPr>
        <w:t>i</w:t>
      </w:r>
      <w:proofErr w:type="spellEnd"/>
      <w:r w:rsidRPr="003571FD">
        <w:rPr>
          <w:rFonts w:ascii="Times New Roman" w:hAnsi="Times New Roman" w:cs="Times New Roman"/>
          <w:sz w:val="24"/>
        </w:rPr>
        <w:t xml:space="preserve">) the definition of norms for the consolidation of hitherto unregulated cooperatives and </w:t>
      </w:r>
      <w:r w:rsidR="00E936C4" w:rsidRPr="003571FD">
        <w:rPr>
          <w:rFonts w:ascii="Times New Roman" w:hAnsi="Times New Roman" w:cs="Times New Roman"/>
          <w:sz w:val="24"/>
        </w:rPr>
        <w:t>IFD</w:t>
      </w:r>
      <w:r w:rsidR="00A90E70" w:rsidRPr="003571FD">
        <w:rPr>
          <w:rFonts w:ascii="Times New Roman" w:hAnsi="Times New Roman" w:cs="Times New Roman"/>
          <w:sz w:val="24"/>
        </w:rPr>
        <w:t>s</w:t>
      </w:r>
      <w:r w:rsidRPr="003571FD">
        <w:rPr>
          <w:rFonts w:ascii="Times New Roman" w:hAnsi="Times New Roman" w:cs="Times New Roman"/>
          <w:sz w:val="24"/>
        </w:rPr>
        <w:t>, (ii) the issuance of circulars and regulations to stimulate the opening of branches in rural areas, facilitate productive credit and enhance consumer protection, (iii) the provision of dedicated funding sources for productive credit through its second tier bank</w:t>
      </w:r>
      <w:r w:rsidR="00B17EDA" w:rsidRPr="003571FD">
        <w:rPr>
          <w:rFonts w:ascii="Times New Roman" w:hAnsi="Times New Roman" w:cs="Times New Roman"/>
          <w:sz w:val="24"/>
        </w:rPr>
        <w:t>, and increasing focus on a potential role for its first tier public bank(s)</w:t>
      </w:r>
      <w:r w:rsidRPr="003571FD">
        <w:rPr>
          <w:rFonts w:ascii="Times New Roman" w:hAnsi="Times New Roman" w:cs="Times New Roman"/>
          <w:sz w:val="24"/>
        </w:rPr>
        <w:t xml:space="preserve">, as well as (iv) the distribution of cash transfers through financial entities. This process has been accompanied by an ongoing dialogue between the government and the different stakeholders in the area of productive credit </w:t>
      </w:r>
      <w:r w:rsidR="00BD2856" w:rsidRPr="003571FD">
        <w:rPr>
          <w:rFonts w:ascii="Times New Roman" w:hAnsi="Times New Roman" w:cs="Times New Roman"/>
          <w:sz w:val="24"/>
        </w:rPr>
        <w:t>and</w:t>
      </w:r>
      <w:r w:rsidRPr="003571FD">
        <w:rPr>
          <w:rFonts w:ascii="Times New Roman" w:hAnsi="Times New Roman" w:cs="Times New Roman"/>
          <w:sz w:val="24"/>
        </w:rPr>
        <w:t xml:space="preserve"> rural finance. The following recommendations aim to help the government fine-tun</w:t>
      </w:r>
      <w:r w:rsidR="00BD2856" w:rsidRPr="003571FD">
        <w:rPr>
          <w:rFonts w:ascii="Times New Roman" w:hAnsi="Times New Roman" w:cs="Times New Roman"/>
          <w:sz w:val="24"/>
        </w:rPr>
        <w:t>e</w:t>
      </w:r>
      <w:r w:rsidRPr="003571FD">
        <w:rPr>
          <w:rFonts w:ascii="Times New Roman" w:hAnsi="Times New Roman" w:cs="Times New Roman"/>
          <w:sz w:val="24"/>
        </w:rPr>
        <w:t xml:space="preserve"> its current approach, and </w:t>
      </w:r>
      <w:r w:rsidR="00E936C4" w:rsidRPr="003571FD">
        <w:rPr>
          <w:rFonts w:ascii="Times New Roman" w:hAnsi="Times New Roman" w:cs="Times New Roman"/>
          <w:sz w:val="24"/>
        </w:rPr>
        <w:t xml:space="preserve">to </w:t>
      </w:r>
      <w:r w:rsidRPr="003571FD">
        <w:rPr>
          <w:rFonts w:ascii="Times New Roman" w:hAnsi="Times New Roman" w:cs="Times New Roman"/>
          <w:sz w:val="24"/>
        </w:rPr>
        <w:t>high</w:t>
      </w:r>
      <w:r w:rsidR="00BD2856" w:rsidRPr="003571FD">
        <w:rPr>
          <w:rFonts w:ascii="Times New Roman" w:hAnsi="Times New Roman" w:cs="Times New Roman"/>
          <w:sz w:val="24"/>
        </w:rPr>
        <w:t>light</w:t>
      </w:r>
      <w:r w:rsidRPr="003571FD">
        <w:rPr>
          <w:rFonts w:ascii="Times New Roman" w:hAnsi="Times New Roman" w:cs="Times New Roman"/>
          <w:sz w:val="24"/>
        </w:rPr>
        <w:t xml:space="preserve"> </w:t>
      </w:r>
      <w:r w:rsidR="00E936C4" w:rsidRPr="003571FD">
        <w:rPr>
          <w:rFonts w:ascii="Times New Roman" w:hAnsi="Times New Roman" w:cs="Times New Roman"/>
          <w:sz w:val="24"/>
        </w:rPr>
        <w:t xml:space="preserve">additional </w:t>
      </w:r>
      <w:r w:rsidRPr="003571FD">
        <w:rPr>
          <w:rFonts w:ascii="Times New Roman" w:hAnsi="Times New Roman" w:cs="Times New Roman"/>
          <w:sz w:val="24"/>
        </w:rPr>
        <w:t>reform</w:t>
      </w:r>
      <w:r w:rsidR="00E936C4" w:rsidRPr="003571FD">
        <w:rPr>
          <w:rFonts w:ascii="Times New Roman" w:hAnsi="Times New Roman" w:cs="Times New Roman"/>
          <w:sz w:val="24"/>
        </w:rPr>
        <w:t>s</w:t>
      </w:r>
      <w:r w:rsidRPr="003571FD">
        <w:rPr>
          <w:rFonts w:ascii="Times New Roman" w:hAnsi="Times New Roman" w:cs="Times New Roman"/>
          <w:sz w:val="24"/>
        </w:rPr>
        <w:t xml:space="preserve"> </w:t>
      </w:r>
      <w:r w:rsidR="00E936C4" w:rsidRPr="003571FD">
        <w:rPr>
          <w:rFonts w:ascii="Times New Roman" w:hAnsi="Times New Roman" w:cs="Times New Roman"/>
          <w:sz w:val="24"/>
        </w:rPr>
        <w:t xml:space="preserve">needed to </w:t>
      </w:r>
      <w:r w:rsidR="00BD2856" w:rsidRPr="003571FD">
        <w:rPr>
          <w:rFonts w:ascii="Times New Roman" w:hAnsi="Times New Roman" w:cs="Times New Roman"/>
          <w:sz w:val="24"/>
        </w:rPr>
        <w:t>address</w:t>
      </w:r>
      <w:r w:rsidRPr="003571FD">
        <w:rPr>
          <w:rFonts w:ascii="Times New Roman" w:hAnsi="Times New Roman" w:cs="Times New Roman"/>
          <w:sz w:val="24"/>
        </w:rPr>
        <w:t xml:space="preserve"> core bottlenecks</w:t>
      </w:r>
      <w:r w:rsidRPr="003571FD">
        <w:rPr>
          <w:rFonts w:ascii="Times New Roman" w:hAnsi="Times New Roman" w:cs="Times New Roman"/>
          <w:sz w:val="24"/>
          <w:vertAlign w:val="superscript"/>
        </w:rPr>
        <w:footnoteReference w:id="16"/>
      </w:r>
      <w:r w:rsidRPr="003571FD">
        <w:rPr>
          <w:rFonts w:ascii="Times New Roman" w:hAnsi="Times New Roman" w:cs="Times New Roman"/>
          <w:sz w:val="24"/>
        </w:rPr>
        <w:t>.</w:t>
      </w:r>
    </w:p>
    <w:p w:rsidR="004617BE" w:rsidRPr="003571FD" w:rsidRDefault="004617BE" w:rsidP="003010CF">
      <w:pPr>
        <w:jc w:val="both"/>
        <w:rPr>
          <w:rFonts w:ascii="Times New Roman" w:hAnsi="Times New Roman" w:cs="Times New Roman"/>
          <w:i/>
          <w:sz w:val="24"/>
        </w:rPr>
      </w:pPr>
      <w:r w:rsidRPr="003571FD">
        <w:rPr>
          <w:rFonts w:ascii="Times New Roman" w:hAnsi="Times New Roman" w:cs="Times New Roman"/>
          <w:i/>
          <w:sz w:val="24"/>
        </w:rPr>
        <w:t xml:space="preserve">Outreach to new geographic areas and </w:t>
      </w:r>
      <w:r w:rsidR="005B36D3" w:rsidRPr="003571FD">
        <w:rPr>
          <w:rFonts w:ascii="Times New Roman" w:hAnsi="Times New Roman" w:cs="Times New Roman"/>
          <w:i/>
          <w:sz w:val="24"/>
        </w:rPr>
        <w:t>underserved segments of the po</w:t>
      </w:r>
      <w:r w:rsidRPr="003571FD">
        <w:rPr>
          <w:rFonts w:ascii="Times New Roman" w:hAnsi="Times New Roman" w:cs="Times New Roman"/>
          <w:i/>
          <w:sz w:val="24"/>
        </w:rPr>
        <w:t>pulation</w:t>
      </w:r>
    </w:p>
    <w:p w:rsidR="00176E36"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 xml:space="preserve">To foster outreach, the above assessment suggests that the </w:t>
      </w:r>
      <w:r w:rsidRPr="003571FD">
        <w:rPr>
          <w:rFonts w:ascii="Times New Roman" w:hAnsi="Times New Roman" w:cs="Times New Roman"/>
          <w:b/>
          <w:bCs/>
          <w:sz w:val="24"/>
        </w:rPr>
        <w:t xml:space="preserve">focus should be on reforms to lower the costs </w:t>
      </w:r>
      <w:r w:rsidR="00BD2856" w:rsidRPr="003571FD">
        <w:rPr>
          <w:rFonts w:ascii="Times New Roman" w:hAnsi="Times New Roman" w:cs="Times New Roman"/>
          <w:b/>
          <w:bCs/>
          <w:sz w:val="24"/>
        </w:rPr>
        <w:t xml:space="preserve">and risks </w:t>
      </w:r>
      <w:r w:rsidRPr="003571FD">
        <w:rPr>
          <w:rFonts w:ascii="Times New Roman" w:hAnsi="Times New Roman" w:cs="Times New Roman"/>
          <w:b/>
          <w:bCs/>
          <w:sz w:val="24"/>
        </w:rPr>
        <w:t>of service delivery, and to stimulate the uptake of more efficient payment options by the population.</w:t>
      </w:r>
      <w:r w:rsidRPr="003571FD">
        <w:rPr>
          <w:rFonts w:ascii="Times New Roman" w:hAnsi="Times New Roman" w:cs="Times New Roman"/>
          <w:b/>
          <w:sz w:val="24"/>
        </w:rPr>
        <w:t xml:space="preserve"> </w:t>
      </w:r>
      <w:r w:rsidRPr="003571FD">
        <w:rPr>
          <w:rFonts w:ascii="Times New Roman" w:hAnsi="Times New Roman" w:cs="Times New Roman"/>
          <w:sz w:val="24"/>
        </w:rPr>
        <w:t>The government could carry out a number of reforms to c</w:t>
      </w:r>
      <w:r w:rsidR="00BD2856" w:rsidRPr="003571FD">
        <w:rPr>
          <w:rFonts w:ascii="Times New Roman" w:hAnsi="Times New Roman" w:cs="Times New Roman"/>
          <w:sz w:val="24"/>
        </w:rPr>
        <w:t>omplement and refocus the above</w:t>
      </w:r>
      <w:r w:rsidRPr="003571FD">
        <w:rPr>
          <w:rFonts w:ascii="Times New Roman" w:hAnsi="Times New Roman" w:cs="Times New Roman"/>
          <w:sz w:val="24"/>
        </w:rPr>
        <w:t>mentioned ongoing efforts. In particular, it should consider shifting its focus away from introducing regulatory measures that provide mixed incentives</w:t>
      </w:r>
      <w:r w:rsidR="005D6647">
        <w:rPr>
          <w:rFonts w:ascii="Times New Roman" w:hAnsi="Times New Roman" w:cs="Times New Roman"/>
          <w:sz w:val="24"/>
        </w:rPr>
        <w:t>,</w:t>
      </w:r>
      <w:r w:rsidRPr="003571FD">
        <w:rPr>
          <w:rFonts w:ascii="Times New Roman" w:hAnsi="Times New Roman" w:cs="Times New Roman"/>
          <w:sz w:val="24"/>
        </w:rPr>
        <w:t xml:space="preserve"> and instead </w:t>
      </w:r>
      <w:r w:rsidR="00BD2856" w:rsidRPr="003571FD">
        <w:rPr>
          <w:rFonts w:ascii="Times New Roman" w:hAnsi="Times New Roman" w:cs="Times New Roman"/>
          <w:sz w:val="24"/>
        </w:rPr>
        <w:t>emphasize</w:t>
      </w:r>
      <w:r w:rsidRPr="003571FD">
        <w:rPr>
          <w:rFonts w:ascii="Times New Roman" w:hAnsi="Times New Roman" w:cs="Times New Roman"/>
          <w:sz w:val="24"/>
        </w:rPr>
        <w:t xml:space="preserve"> on its role as enabler and facilitator and use its market </w:t>
      </w:r>
      <w:r w:rsidR="00BD2856" w:rsidRPr="003571FD">
        <w:rPr>
          <w:rFonts w:ascii="Times New Roman" w:hAnsi="Times New Roman" w:cs="Times New Roman"/>
          <w:sz w:val="24"/>
        </w:rPr>
        <w:t>presence</w:t>
      </w:r>
      <w:r w:rsidRPr="003571FD">
        <w:rPr>
          <w:rFonts w:ascii="Times New Roman" w:hAnsi="Times New Roman" w:cs="Times New Roman"/>
          <w:sz w:val="24"/>
        </w:rPr>
        <w:t xml:space="preserve"> as the largest user of financial services to set positive incentives</w:t>
      </w:r>
      <w:r w:rsidR="00BD2856" w:rsidRPr="003571FD">
        <w:rPr>
          <w:rFonts w:ascii="Times New Roman" w:hAnsi="Times New Roman" w:cs="Times New Roman"/>
          <w:sz w:val="24"/>
        </w:rPr>
        <w:t>. Specifically, the government can do the following</w:t>
      </w:r>
      <w:r w:rsidRPr="003571FD">
        <w:rPr>
          <w:rFonts w:ascii="Times New Roman" w:hAnsi="Times New Roman" w:cs="Times New Roman"/>
          <w:sz w:val="24"/>
        </w:rPr>
        <w:t>:</w:t>
      </w:r>
    </w:p>
    <w:p w:rsidR="00176E36" w:rsidRPr="003571FD" w:rsidRDefault="00176E36"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Planned survey work needs to be carried out to </w:t>
      </w:r>
      <w:r w:rsidR="00E936C4" w:rsidRPr="003571FD">
        <w:rPr>
          <w:rFonts w:ascii="Times New Roman" w:hAnsi="Times New Roman" w:cs="Times New Roman"/>
          <w:sz w:val="24"/>
          <w:szCs w:val="24"/>
        </w:rPr>
        <w:t>(</w:t>
      </w:r>
      <w:proofErr w:type="spellStart"/>
      <w:r w:rsidR="00E936C4" w:rsidRPr="003571FD">
        <w:rPr>
          <w:rFonts w:ascii="Times New Roman" w:hAnsi="Times New Roman" w:cs="Times New Roman"/>
          <w:sz w:val="24"/>
          <w:szCs w:val="24"/>
        </w:rPr>
        <w:t>i</w:t>
      </w:r>
      <w:proofErr w:type="spellEnd"/>
      <w:r w:rsidR="00E936C4"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bridge the knowledge gap on the population’s actual access and use of financial services, </w:t>
      </w:r>
      <w:r w:rsidR="00E936C4" w:rsidRPr="003571FD">
        <w:rPr>
          <w:rFonts w:ascii="Times New Roman" w:hAnsi="Times New Roman" w:cs="Times New Roman"/>
          <w:sz w:val="24"/>
          <w:szCs w:val="24"/>
        </w:rPr>
        <w:t xml:space="preserve">(ii) </w:t>
      </w:r>
      <w:r w:rsidRPr="003571FD">
        <w:rPr>
          <w:rFonts w:ascii="Times New Roman" w:hAnsi="Times New Roman" w:cs="Times New Roman"/>
          <w:sz w:val="24"/>
          <w:szCs w:val="24"/>
        </w:rPr>
        <w:t xml:space="preserve">determine </w:t>
      </w:r>
      <w:r w:rsidRPr="003571FD">
        <w:rPr>
          <w:rFonts w:ascii="Times New Roman" w:hAnsi="Times New Roman" w:cs="Times New Roman"/>
          <w:i/>
          <w:sz w:val="24"/>
          <w:szCs w:val="24"/>
        </w:rPr>
        <w:t>de facto</w:t>
      </w:r>
      <w:r w:rsidRPr="003571FD">
        <w:rPr>
          <w:rFonts w:ascii="Times New Roman" w:hAnsi="Times New Roman" w:cs="Times New Roman"/>
          <w:sz w:val="24"/>
          <w:szCs w:val="24"/>
        </w:rPr>
        <w:t xml:space="preserve"> coverage gaps, and </w:t>
      </w:r>
      <w:r w:rsidR="00E936C4" w:rsidRPr="003571FD">
        <w:rPr>
          <w:rFonts w:ascii="Times New Roman" w:hAnsi="Times New Roman" w:cs="Times New Roman"/>
          <w:sz w:val="24"/>
          <w:szCs w:val="24"/>
        </w:rPr>
        <w:t xml:space="preserve">(iii) </w:t>
      </w:r>
      <w:r w:rsidRPr="003571FD">
        <w:rPr>
          <w:rFonts w:ascii="Times New Roman" w:hAnsi="Times New Roman" w:cs="Times New Roman"/>
          <w:sz w:val="24"/>
          <w:szCs w:val="24"/>
        </w:rPr>
        <w:t xml:space="preserve">assess potential cultural factors and knowledge gaps that impede uptake. </w:t>
      </w:r>
    </w:p>
    <w:p w:rsidR="00AF20D8" w:rsidRPr="003571FD" w:rsidRDefault="00AF20D8" w:rsidP="00AF20D8">
      <w:pPr>
        <w:pStyle w:val="ListParagraph"/>
        <w:jc w:val="both"/>
        <w:rPr>
          <w:rFonts w:ascii="Times New Roman" w:hAnsi="Times New Roman" w:cs="Times New Roman"/>
          <w:sz w:val="24"/>
          <w:szCs w:val="24"/>
        </w:rPr>
      </w:pPr>
    </w:p>
    <w:p w:rsidR="00176E36" w:rsidRPr="003571FD" w:rsidRDefault="00176E36"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The regulatory framework should be revised to reduce the costs for security, oversight and administrative burden for mobile branches, mobile banking technology and non-bank agent models</w:t>
      </w:r>
      <w:r w:rsidR="005A375E">
        <w:rPr>
          <w:rFonts w:ascii="Times New Roman" w:hAnsi="Times New Roman" w:cs="Times New Roman"/>
          <w:sz w:val="24"/>
          <w:szCs w:val="24"/>
        </w:rPr>
        <w:t xml:space="preserve">. </w:t>
      </w:r>
      <w:r w:rsidR="005D6647">
        <w:rPr>
          <w:rFonts w:ascii="Times New Roman" w:hAnsi="Times New Roman" w:cs="Times New Roman"/>
          <w:sz w:val="24"/>
          <w:szCs w:val="24"/>
        </w:rPr>
        <w:t>These alternative channels</w:t>
      </w:r>
      <w:r w:rsidRPr="003571FD">
        <w:rPr>
          <w:rFonts w:ascii="Times New Roman" w:hAnsi="Times New Roman" w:cs="Times New Roman"/>
          <w:sz w:val="24"/>
          <w:szCs w:val="24"/>
        </w:rPr>
        <w:t xml:space="preserve"> will likely play an important role for delivering financial services to less densely populated areas</w:t>
      </w:r>
      <w:r w:rsidR="005A375E">
        <w:rPr>
          <w:rFonts w:ascii="Times New Roman" w:hAnsi="Times New Roman" w:cs="Times New Roman"/>
          <w:sz w:val="24"/>
          <w:szCs w:val="24"/>
        </w:rPr>
        <w:t xml:space="preserve"> in the future</w:t>
      </w:r>
      <w:r w:rsidRPr="003571FD">
        <w:rPr>
          <w:rFonts w:ascii="Times New Roman" w:hAnsi="Times New Roman" w:cs="Times New Roman"/>
          <w:sz w:val="24"/>
          <w:szCs w:val="24"/>
        </w:rPr>
        <w:t>.</w:t>
      </w:r>
      <w:r w:rsidR="00947261" w:rsidRPr="003571FD">
        <w:rPr>
          <w:rFonts w:ascii="Times New Roman" w:hAnsi="Times New Roman" w:cs="Times New Roman"/>
          <w:sz w:val="24"/>
          <w:szCs w:val="24"/>
        </w:rPr>
        <w:t xml:space="preserve"> Furthermore, a careful assessment of the legal and regulatory framework should be undertaken to assess gaps and needed revisions of laws and regulations pertaining to e-commerce, e-money and the </w:t>
      </w:r>
      <w:r w:rsidR="00947261" w:rsidRPr="003571FD">
        <w:rPr>
          <w:rFonts w:ascii="Times New Roman" w:hAnsi="Times New Roman" w:cs="Times New Roman"/>
          <w:sz w:val="24"/>
          <w:szCs w:val="24"/>
        </w:rPr>
        <w:lastRenderedPageBreak/>
        <w:t>role of mobile network operators / non-bank</w:t>
      </w:r>
      <w:r w:rsidR="007E1AF4">
        <w:rPr>
          <w:rFonts w:ascii="Times New Roman" w:hAnsi="Times New Roman" w:cs="Times New Roman"/>
          <w:sz w:val="24"/>
          <w:szCs w:val="24"/>
        </w:rPr>
        <w:t xml:space="preserve"> agents</w:t>
      </w:r>
      <w:r w:rsidR="00781E2F" w:rsidRPr="007E1AF4">
        <w:rPr>
          <w:rStyle w:val="FootnoteReference"/>
          <w:rFonts w:ascii="Times New Roman" w:hAnsi="Times New Roman" w:cs="Times New Roman"/>
          <w:sz w:val="24"/>
          <w:szCs w:val="24"/>
        </w:rPr>
        <w:footnoteReference w:id="17"/>
      </w:r>
      <w:r w:rsidR="00947261" w:rsidRPr="003571FD">
        <w:rPr>
          <w:rFonts w:ascii="Times New Roman" w:hAnsi="Times New Roman" w:cs="Times New Roman"/>
          <w:sz w:val="24"/>
          <w:szCs w:val="24"/>
        </w:rPr>
        <w:t xml:space="preserve">. The needed changes should then be put in place as soon as possible to </w:t>
      </w:r>
      <w:r w:rsidR="00A861B0" w:rsidRPr="003571FD">
        <w:rPr>
          <w:rFonts w:ascii="Times New Roman" w:hAnsi="Times New Roman" w:cs="Times New Roman"/>
          <w:sz w:val="24"/>
          <w:szCs w:val="24"/>
        </w:rPr>
        <w:t>provide clarity</w:t>
      </w:r>
      <w:r w:rsidR="00EC404D" w:rsidRPr="003571FD">
        <w:rPr>
          <w:rFonts w:ascii="Times New Roman" w:hAnsi="Times New Roman" w:cs="Times New Roman"/>
          <w:sz w:val="24"/>
          <w:szCs w:val="24"/>
        </w:rPr>
        <w:t xml:space="preserve"> and security to those solutions. </w:t>
      </w:r>
    </w:p>
    <w:p w:rsidR="00176E36" w:rsidRPr="003571FD" w:rsidRDefault="00176E36" w:rsidP="00176E36">
      <w:pPr>
        <w:pStyle w:val="ListParagraph"/>
        <w:rPr>
          <w:rFonts w:ascii="Times New Roman" w:hAnsi="Times New Roman" w:cs="Times New Roman"/>
          <w:sz w:val="24"/>
          <w:szCs w:val="24"/>
        </w:rPr>
      </w:pPr>
    </w:p>
    <w:p w:rsidR="00EC404D" w:rsidRPr="003571FD" w:rsidRDefault="00E936C4"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The communication and </w:t>
      </w:r>
      <w:r w:rsidR="00EC404D" w:rsidRPr="003571FD">
        <w:rPr>
          <w:rFonts w:ascii="Times New Roman" w:hAnsi="Times New Roman" w:cs="Times New Roman"/>
          <w:sz w:val="24"/>
          <w:szCs w:val="24"/>
        </w:rPr>
        <w:t>available ATM / POS</w:t>
      </w:r>
      <w:r w:rsidRPr="003571FD">
        <w:rPr>
          <w:rFonts w:ascii="Times New Roman" w:hAnsi="Times New Roman" w:cs="Times New Roman"/>
          <w:sz w:val="24"/>
          <w:szCs w:val="24"/>
        </w:rPr>
        <w:t xml:space="preserve"> infrastructure should be enhanced to facilitate the use of modern financial access points </w:t>
      </w:r>
      <w:r w:rsidR="00EC404D" w:rsidRPr="003571FD">
        <w:rPr>
          <w:rFonts w:ascii="Times New Roman" w:hAnsi="Times New Roman" w:cs="Times New Roman"/>
          <w:sz w:val="24"/>
          <w:szCs w:val="24"/>
        </w:rPr>
        <w:t xml:space="preserve">in more remote areas, </w:t>
      </w:r>
      <w:r w:rsidRPr="003571FD">
        <w:rPr>
          <w:rFonts w:ascii="Times New Roman" w:hAnsi="Times New Roman" w:cs="Times New Roman"/>
          <w:sz w:val="24"/>
          <w:szCs w:val="24"/>
        </w:rPr>
        <w:t xml:space="preserve">and </w:t>
      </w:r>
      <w:r w:rsidR="00EC404D" w:rsidRPr="003571FD">
        <w:rPr>
          <w:rFonts w:ascii="Times New Roman" w:hAnsi="Times New Roman" w:cs="Times New Roman"/>
          <w:sz w:val="24"/>
          <w:szCs w:val="24"/>
        </w:rPr>
        <w:t xml:space="preserve">to </w:t>
      </w:r>
      <w:r w:rsidRPr="003571FD">
        <w:rPr>
          <w:rFonts w:ascii="Times New Roman" w:hAnsi="Times New Roman" w:cs="Times New Roman"/>
          <w:sz w:val="24"/>
          <w:szCs w:val="24"/>
        </w:rPr>
        <w:t>reduce costs and risks of transactions.</w:t>
      </w:r>
      <w:r w:rsidR="00EC404D" w:rsidRPr="003571FD">
        <w:rPr>
          <w:rFonts w:ascii="Times New Roman" w:hAnsi="Times New Roman" w:cs="Times New Roman"/>
          <w:sz w:val="24"/>
          <w:szCs w:val="24"/>
        </w:rPr>
        <w:t xml:space="preserve"> This could be done through providing positive incentives such as making communication infrastructure available in targeted locations, providing tax incentives </w:t>
      </w:r>
      <w:r w:rsidR="00A861B0" w:rsidRPr="003571FD">
        <w:rPr>
          <w:rFonts w:ascii="Times New Roman" w:hAnsi="Times New Roman" w:cs="Times New Roman"/>
          <w:sz w:val="24"/>
          <w:szCs w:val="24"/>
        </w:rPr>
        <w:t xml:space="preserve">or subsidies </w:t>
      </w:r>
      <w:r w:rsidR="00EC404D" w:rsidRPr="003571FD">
        <w:rPr>
          <w:rFonts w:ascii="Times New Roman" w:hAnsi="Times New Roman" w:cs="Times New Roman"/>
          <w:sz w:val="24"/>
          <w:szCs w:val="24"/>
        </w:rPr>
        <w:t>for investments or costs incurred, or linking government cash transfers</w:t>
      </w:r>
      <w:r w:rsidR="00A861B0" w:rsidRPr="003571FD">
        <w:rPr>
          <w:rFonts w:ascii="Times New Roman" w:hAnsi="Times New Roman" w:cs="Times New Roman"/>
          <w:sz w:val="24"/>
          <w:szCs w:val="24"/>
        </w:rPr>
        <w:t xml:space="preserve"> (see next point)</w:t>
      </w:r>
      <w:r w:rsidR="00EC404D" w:rsidRPr="003571FD">
        <w:rPr>
          <w:rFonts w:ascii="Times New Roman" w:hAnsi="Times New Roman" w:cs="Times New Roman"/>
          <w:sz w:val="24"/>
          <w:szCs w:val="24"/>
        </w:rPr>
        <w:t>.</w:t>
      </w:r>
    </w:p>
    <w:p w:rsidR="000C1331" w:rsidRPr="003571FD" w:rsidRDefault="000C1331">
      <w:pPr>
        <w:pStyle w:val="ListParagraph"/>
        <w:rPr>
          <w:rFonts w:ascii="Times New Roman" w:hAnsi="Times New Roman" w:cs="Times New Roman"/>
          <w:sz w:val="24"/>
          <w:szCs w:val="24"/>
        </w:rPr>
      </w:pPr>
    </w:p>
    <w:p w:rsidR="00947261" w:rsidRPr="003571FD" w:rsidRDefault="009961F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The way the vast number of government payments to individuals and businesses are delivered can play an important role for the development of alternative payment channels.</w:t>
      </w:r>
      <w:r w:rsidR="00EC404D" w:rsidRPr="003571FD">
        <w:rPr>
          <w:rFonts w:ascii="Times New Roman" w:hAnsi="Times New Roman" w:cs="Times New Roman"/>
          <w:sz w:val="24"/>
          <w:szCs w:val="24"/>
        </w:rPr>
        <w:t xml:space="preserve"> The government could explore options of using its market presence to foster the supply and uptake of financial access points, and also to familiarize the population with electronic payment options such as debit cards and mobile phone platforms. It would be beneficial for the development of the system to involve the private financial system were possible, in order to provide positive incentives and lower initial start-up costs involved with covering hitherto underserved geographic areas. </w:t>
      </w:r>
    </w:p>
    <w:p w:rsidR="000C1331" w:rsidRPr="003571FD" w:rsidRDefault="000C1331">
      <w:pPr>
        <w:pStyle w:val="ListParagraph"/>
        <w:rPr>
          <w:rFonts w:ascii="Times New Roman" w:hAnsi="Times New Roman" w:cs="Times New Roman"/>
          <w:sz w:val="24"/>
          <w:szCs w:val="24"/>
        </w:rPr>
      </w:pPr>
    </w:p>
    <w:p w:rsidR="00176E36" w:rsidRPr="003571FD" w:rsidRDefault="00176E36"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Financial education programs would be needed to familiarize the population, in particular in rural areas</w:t>
      </w:r>
      <w:r w:rsidR="00BD2856" w:rsidRPr="003571FD">
        <w:rPr>
          <w:rFonts w:ascii="Times New Roman" w:hAnsi="Times New Roman" w:cs="Times New Roman"/>
          <w:sz w:val="24"/>
          <w:szCs w:val="24"/>
        </w:rPr>
        <w:t xml:space="preserve"> and where necessary in local languages</w:t>
      </w:r>
      <w:r w:rsidRPr="003571FD">
        <w:rPr>
          <w:rFonts w:ascii="Times New Roman" w:hAnsi="Times New Roman" w:cs="Times New Roman"/>
          <w:sz w:val="24"/>
          <w:szCs w:val="24"/>
        </w:rPr>
        <w:t xml:space="preserve">, with the benefits </w:t>
      </w:r>
      <w:r w:rsidR="00BD2856" w:rsidRPr="003571FD">
        <w:rPr>
          <w:rFonts w:ascii="Times New Roman" w:hAnsi="Times New Roman" w:cs="Times New Roman"/>
          <w:sz w:val="24"/>
          <w:szCs w:val="24"/>
        </w:rPr>
        <w:t xml:space="preserve">and risks </w:t>
      </w:r>
      <w:r w:rsidRPr="003571FD">
        <w:rPr>
          <w:rFonts w:ascii="Times New Roman" w:hAnsi="Times New Roman" w:cs="Times New Roman"/>
          <w:sz w:val="24"/>
          <w:szCs w:val="24"/>
        </w:rPr>
        <w:t xml:space="preserve">of using modern forms of payments for their transactions. </w:t>
      </w:r>
    </w:p>
    <w:p w:rsidR="004617BE" w:rsidRPr="003571FD" w:rsidRDefault="004617BE" w:rsidP="003010CF">
      <w:pPr>
        <w:jc w:val="both"/>
        <w:rPr>
          <w:rFonts w:ascii="Times New Roman" w:hAnsi="Times New Roman" w:cs="Times New Roman"/>
          <w:i/>
          <w:sz w:val="24"/>
        </w:rPr>
      </w:pPr>
      <w:r w:rsidRPr="003571FD">
        <w:rPr>
          <w:rFonts w:ascii="Times New Roman" w:hAnsi="Times New Roman" w:cs="Times New Roman"/>
          <w:i/>
          <w:sz w:val="24"/>
        </w:rPr>
        <w:t>Fostering credit</w:t>
      </w:r>
      <w:r w:rsidR="00BD2856" w:rsidRPr="003571FD">
        <w:rPr>
          <w:rFonts w:ascii="Times New Roman" w:hAnsi="Times New Roman" w:cs="Times New Roman"/>
          <w:i/>
          <w:sz w:val="24"/>
        </w:rPr>
        <w:t xml:space="preserve"> to MSMEs, in particular </w:t>
      </w:r>
      <w:r w:rsidRPr="003571FD">
        <w:rPr>
          <w:rFonts w:ascii="Times New Roman" w:hAnsi="Times New Roman" w:cs="Times New Roman"/>
          <w:i/>
          <w:sz w:val="24"/>
        </w:rPr>
        <w:t>in the productive sector</w:t>
      </w:r>
    </w:p>
    <w:p w:rsidR="00176E36" w:rsidRPr="003571FD" w:rsidRDefault="00176E36" w:rsidP="00176E36">
      <w:pPr>
        <w:jc w:val="both"/>
        <w:rPr>
          <w:rFonts w:ascii="Times New Roman" w:hAnsi="Times New Roman" w:cs="Times New Roman"/>
          <w:sz w:val="24"/>
        </w:rPr>
      </w:pPr>
      <w:r w:rsidRPr="003571FD">
        <w:rPr>
          <w:rFonts w:ascii="Times New Roman" w:hAnsi="Times New Roman" w:cs="Times New Roman"/>
          <w:b/>
          <w:sz w:val="24"/>
        </w:rPr>
        <w:t xml:space="preserve">The growth of loan portfolios to MSMEs, in particular in the productive sector, requires measures to strengthen both demand and supply of </w:t>
      </w:r>
      <w:r w:rsidR="001D37E3" w:rsidRPr="003571FD">
        <w:rPr>
          <w:rFonts w:ascii="Times New Roman" w:hAnsi="Times New Roman" w:cs="Times New Roman"/>
          <w:b/>
          <w:sz w:val="24"/>
        </w:rPr>
        <w:t xml:space="preserve">these </w:t>
      </w:r>
      <w:r w:rsidRPr="003571FD">
        <w:rPr>
          <w:rFonts w:ascii="Times New Roman" w:hAnsi="Times New Roman" w:cs="Times New Roman"/>
          <w:b/>
          <w:sz w:val="24"/>
        </w:rPr>
        <w:t xml:space="preserve">services. </w:t>
      </w:r>
      <w:r w:rsidRPr="003571FD">
        <w:rPr>
          <w:rFonts w:ascii="Times New Roman" w:hAnsi="Times New Roman" w:cs="Times New Roman"/>
          <w:sz w:val="24"/>
        </w:rPr>
        <w:t xml:space="preserve">Aside </w:t>
      </w:r>
      <w:r w:rsidR="00BD2856" w:rsidRPr="003571FD">
        <w:rPr>
          <w:rFonts w:ascii="Times New Roman" w:hAnsi="Times New Roman" w:cs="Times New Roman"/>
          <w:sz w:val="24"/>
        </w:rPr>
        <w:t>from</w:t>
      </w:r>
      <w:r w:rsidRPr="003571FD">
        <w:rPr>
          <w:rFonts w:ascii="Times New Roman" w:hAnsi="Times New Roman" w:cs="Times New Roman"/>
          <w:sz w:val="24"/>
        </w:rPr>
        <w:t xml:space="preserve"> specific actions to enhance the environment for the supply of financial </w:t>
      </w:r>
      <w:r w:rsidR="001D37E3" w:rsidRPr="003571FD">
        <w:rPr>
          <w:rFonts w:ascii="Times New Roman" w:hAnsi="Times New Roman" w:cs="Times New Roman"/>
          <w:sz w:val="24"/>
        </w:rPr>
        <w:t>products</w:t>
      </w:r>
      <w:r w:rsidRPr="003571FD">
        <w:rPr>
          <w:rFonts w:ascii="Times New Roman" w:hAnsi="Times New Roman" w:cs="Times New Roman"/>
          <w:sz w:val="24"/>
        </w:rPr>
        <w:t xml:space="preserve">, it is highly recommended to take additional measures to strengthen the businesses environment and develop value chains. Pushing credit without at least simultaneously addressing constraints </w:t>
      </w:r>
      <w:r w:rsidR="001D37E3" w:rsidRPr="003571FD">
        <w:rPr>
          <w:rFonts w:ascii="Times New Roman" w:hAnsi="Times New Roman" w:cs="Times New Roman"/>
          <w:sz w:val="24"/>
        </w:rPr>
        <w:t xml:space="preserve">in the latter two </w:t>
      </w:r>
      <w:r w:rsidRPr="003571FD">
        <w:rPr>
          <w:rFonts w:ascii="Times New Roman" w:hAnsi="Times New Roman" w:cs="Times New Roman"/>
          <w:sz w:val="24"/>
        </w:rPr>
        <w:t>will not be effective and can even be counterproductive, if loans are granted to grow MSMEs which are not well equipped to put the credit into productive use. In addition, it is advisable to implement measures that reduce existing uncertainties in the market, by providing a clear definition of the specific role and foreseen actions of the state in each of the sectors of the economy.</w:t>
      </w:r>
    </w:p>
    <w:p w:rsidR="00CA190B" w:rsidRDefault="00CA190B">
      <w:pPr>
        <w:rPr>
          <w:rFonts w:ascii="Times New Roman" w:hAnsi="Times New Roman" w:cs="Times New Roman"/>
          <w:b/>
          <w:sz w:val="24"/>
        </w:rPr>
      </w:pPr>
      <w:r>
        <w:rPr>
          <w:rFonts w:ascii="Times New Roman" w:hAnsi="Times New Roman" w:cs="Times New Roman"/>
          <w:b/>
          <w:sz w:val="24"/>
        </w:rPr>
        <w:br w:type="page"/>
      </w:r>
    </w:p>
    <w:p w:rsidR="00D14FF7" w:rsidRPr="003571FD" w:rsidRDefault="00D14FF7" w:rsidP="00D14FF7">
      <w:pPr>
        <w:jc w:val="both"/>
        <w:rPr>
          <w:rFonts w:ascii="Times New Roman" w:hAnsi="Times New Roman" w:cs="Times New Roman"/>
          <w:b/>
          <w:sz w:val="24"/>
        </w:rPr>
      </w:pPr>
      <w:r w:rsidRPr="003571FD">
        <w:rPr>
          <w:rFonts w:ascii="Times New Roman" w:hAnsi="Times New Roman" w:cs="Times New Roman"/>
          <w:b/>
          <w:sz w:val="24"/>
        </w:rPr>
        <w:lastRenderedPageBreak/>
        <w:t xml:space="preserve">With regard to reforms to foster the supply of credit by the financial sector, a number of efforts could be considered that would allow taking advantage of the already well-developed institutional landscape </w:t>
      </w:r>
      <w:r w:rsidR="00BD2856" w:rsidRPr="003571FD">
        <w:rPr>
          <w:rFonts w:ascii="Times New Roman" w:hAnsi="Times New Roman" w:cs="Times New Roman"/>
          <w:b/>
          <w:sz w:val="24"/>
        </w:rPr>
        <w:t>serving</w:t>
      </w:r>
      <w:r w:rsidRPr="003571FD">
        <w:rPr>
          <w:rFonts w:ascii="Times New Roman" w:hAnsi="Times New Roman" w:cs="Times New Roman"/>
          <w:b/>
          <w:sz w:val="24"/>
        </w:rPr>
        <w:t xml:space="preserve"> to MSMEs in Bolivia: </w:t>
      </w:r>
    </w:p>
    <w:p w:rsidR="00D14FF7" w:rsidRPr="003571FD" w:rsidRDefault="00D14FF7" w:rsidP="00CA07A0">
      <w:pPr>
        <w:pStyle w:val="ListParagraph"/>
        <w:numPr>
          <w:ilvl w:val="0"/>
          <w:numId w:val="9"/>
        </w:numPr>
        <w:jc w:val="both"/>
        <w:rPr>
          <w:rFonts w:ascii="Times New Roman" w:hAnsi="Times New Roman" w:cs="Times New Roman"/>
          <w:sz w:val="24"/>
        </w:rPr>
      </w:pPr>
      <w:r w:rsidRPr="003571FD">
        <w:rPr>
          <w:rFonts w:ascii="Times New Roman" w:hAnsi="Times New Roman" w:cs="Times New Roman"/>
          <w:b/>
          <w:sz w:val="24"/>
        </w:rPr>
        <w:t xml:space="preserve">Survey work planned by the government should incorporate a dedicated module that looks at the actual access and use of financial services by MSMEs. </w:t>
      </w:r>
      <w:r w:rsidRPr="003571FD">
        <w:rPr>
          <w:rFonts w:ascii="Times New Roman" w:hAnsi="Times New Roman" w:cs="Times New Roman"/>
          <w:sz w:val="24"/>
        </w:rPr>
        <w:t xml:space="preserve">This would facilitate an understanding of actual sources of funding and </w:t>
      </w:r>
      <w:r w:rsidRPr="003571FD">
        <w:rPr>
          <w:rFonts w:ascii="Times New Roman" w:hAnsi="Times New Roman" w:cs="Times New Roman"/>
          <w:i/>
          <w:sz w:val="24"/>
        </w:rPr>
        <w:t>de facto</w:t>
      </w:r>
      <w:r w:rsidRPr="003571FD">
        <w:rPr>
          <w:rFonts w:ascii="Times New Roman" w:hAnsi="Times New Roman" w:cs="Times New Roman"/>
          <w:sz w:val="24"/>
        </w:rPr>
        <w:t xml:space="preserve"> constraints, and provide needed information to tailor and design policy interventions and monitor their effectiveness. In order to increase the usefulness of the information gathered for different public and private stakeholders, it would be advisable to unify the definition of the different types of enterprises by size</w:t>
      </w:r>
      <w:r w:rsidRPr="003571FD">
        <w:rPr>
          <w:rFonts w:ascii="Times New Roman" w:hAnsi="Times New Roman" w:cs="Times New Roman"/>
          <w:sz w:val="24"/>
          <w:vertAlign w:val="superscript"/>
        </w:rPr>
        <w:footnoteReference w:id="18"/>
      </w:r>
      <w:r w:rsidRPr="003571FD">
        <w:rPr>
          <w:rFonts w:ascii="Times New Roman" w:hAnsi="Times New Roman" w:cs="Times New Roman"/>
          <w:sz w:val="24"/>
        </w:rPr>
        <w:t xml:space="preserve"> among all public and major private institutions. </w:t>
      </w:r>
    </w:p>
    <w:p w:rsidR="00E77B33" w:rsidRPr="003571FD" w:rsidRDefault="009A78BD" w:rsidP="00AF20D8">
      <w:pPr>
        <w:pStyle w:val="ListParagraph"/>
        <w:jc w:val="both"/>
        <w:rPr>
          <w:rFonts w:ascii="Times New Roman" w:hAnsi="Times New Roman" w:cs="Times New Roman"/>
          <w:sz w:val="24"/>
        </w:rPr>
      </w:pPr>
      <w:r w:rsidRPr="003571FD">
        <w:rPr>
          <w:rFonts w:ascii="Times New Roman" w:hAnsi="Times New Roman" w:cs="Times New Roman"/>
          <w:sz w:val="24"/>
        </w:rPr>
        <w:t xml:space="preserve"> </w:t>
      </w:r>
    </w:p>
    <w:p w:rsidR="00D14FF7" w:rsidRPr="003571FD" w:rsidRDefault="00D14FF7" w:rsidP="00CA07A0">
      <w:pPr>
        <w:pStyle w:val="ListParagraph"/>
        <w:numPr>
          <w:ilvl w:val="0"/>
          <w:numId w:val="9"/>
        </w:numPr>
        <w:jc w:val="both"/>
        <w:rPr>
          <w:rFonts w:ascii="Times New Roman" w:hAnsi="Times New Roman" w:cs="Times New Roman"/>
          <w:sz w:val="24"/>
        </w:rPr>
      </w:pPr>
      <w:r w:rsidRPr="003571FD">
        <w:rPr>
          <w:rFonts w:ascii="Times New Roman" w:hAnsi="Times New Roman" w:cs="Times New Roman"/>
          <w:b/>
          <w:sz w:val="24"/>
        </w:rPr>
        <w:t>A second important area of work relates to alleviating the difficulties faced by MSMEs to provide collateral for loans.</w:t>
      </w:r>
      <w:r w:rsidRPr="003571FD">
        <w:rPr>
          <w:rFonts w:ascii="Times New Roman" w:hAnsi="Times New Roman" w:cs="Times New Roman"/>
          <w:sz w:val="24"/>
        </w:rPr>
        <w:t xml:space="preserve"> In the case of rural land that is subject to specific restrictions of the property rights, it is recommended to explore options to facilitate its use (or the use of its usufruct) as collateral. A very precise definition of the economic and social objectives that land has to fulfill might additionally contribute to reduce uncertainty and facilitate lending in rural areas. In addition, the legal and regulatory framework for movable collateral needs to be enhanced to foster the use of alternative forms of collateral, and a unified registry developed. Finally, creditor rights need to be strengthened</w:t>
      </w:r>
      <w:r w:rsidR="0054424F" w:rsidRPr="003571FD">
        <w:rPr>
          <w:rFonts w:ascii="Times New Roman" w:hAnsi="Times New Roman" w:cs="Times New Roman"/>
          <w:sz w:val="24"/>
        </w:rPr>
        <w:t>, in particular out-of court enforcements of contracts and collateral</w:t>
      </w:r>
      <w:r w:rsidRPr="003571FD">
        <w:rPr>
          <w:rFonts w:ascii="Times New Roman" w:hAnsi="Times New Roman" w:cs="Times New Roman"/>
          <w:sz w:val="24"/>
        </w:rPr>
        <w:t xml:space="preserve">. </w:t>
      </w:r>
    </w:p>
    <w:p w:rsidR="00AF20D8" w:rsidRPr="003571FD" w:rsidRDefault="00AF20D8" w:rsidP="00AF20D8">
      <w:pPr>
        <w:pStyle w:val="ListParagraph"/>
        <w:jc w:val="both"/>
        <w:rPr>
          <w:rFonts w:ascii="Times New Roman" w:hAnsi="Times New Roman" w:cs="Times New Roman"/>
          <w:sz w:val="24"/>
        </w:rPr>
      </w:pPr>
    </w:p>
    <w:p w:rsidR="00D14FF7" w:rsidRPr="003571FD" w:rsidRDefault="00D14FF7" w:rsidP="00CA07A0">
      <w:pPr>
        <w:pStyle w:val="ListParagraph"/>
        <w:numPr>
          <w:ilvl w:val="0"/>
          <w:numId w:val="9"/>
        </w:numPr>
        <w:jc w:val="both"/>
        <w:rPr>
          <w:rFonts w:ascii="Times New Roman" w:hAnsi="Times New Roman" w:cs="Times New Roman"/>
          <w:sz w:val="24"/>
        </w:rPr>
      </w:pPr>
      <w:r w:rsidRPr="003571FD">
        <w:rPr>
          <w:rFonts w:ascii="Times New Roman" w:hAnsi="Times New Roman" w:cs="Times New Roman"/>
          <w:b/>
          <w:sz w:val="24"/>
        </w:rPr>
        <w:t xml:space="preserve">To reduce existing information asymmetries, efforts to enhance </w:t>
      </w:r>
      <w:r w:rsidR="009B7366">
        <w:rPr>
          <w:rFonts w:ascii="Times New Roman" w:hAnsi="Times New Roman" w:cs="Times New Roman"/>
          <w:b/>
          <w:sz w:val="24"/>
        </w:rPr>
        <w:t>business links</w:t>
      </w:r>
      <w:r w:rsidRPr="003571FD">
        <w:rPr>
          <w:rFonts w:ascii="Times New Roman" w:hAnsi="Times New Roman" w:cs="Times New Roman"/>
          <w:b/>
          <w:sz w:val="24"/>
        </w:rPr>
        <w:t xml:space="preserve"> and increase the available information on enterprises need to be made. </w:t>
      </w:r>
      <w:r w:rsidRPr="003571FD">
        <w:rPr>
          <w:rFonts w:ascii="Times New Roman" w:hAnsi="Times New Roman" w:cs="Times New Roman"/>
          <w:sz w:val="24"/>
        </w:rPr>
        <w:t>Increasing formality in doing business requires support for linking enterprises vertically and horizontally</w:t>
      </w:r>
      <w:r w:rsidR="00781E2F" w:rsidRPr="007E1AF4">
        <w:rPr>
          <w:rFonts w:ascii="Times New Roman" w:hAnsi="Times New Roman" w:cs="Times New Roman"/>
          <w:sz w:val="24"/>
        </w:rPr>
        <w:t xml:space="preserve">, in particular </w:t>
      </w:r>
      <w:r w:rsidR="007E1AF4" w:rsidRPr="007E1AF4">
        <w:rPr>
          <w:rFonts w:ascii="Times New Roman" w:hAnsi="Times New Roman" w:cs="Times New Roman"/>
          <w:sz w:val="24"/>
        </w:rPr>
        <w:t>through value</w:t>
      </w:r>
      <w:r w:rsidR="00781E2F" w:rsidRPr="007E1AF4">
        <w:rPr>
          <w:rFonts w:ascii="Times New Roman" w:hAnsi="Times New Roman" w:cs="Times New Roman"/>
          <w:sz w:val="24"/>
        </w:rPr>
        <w:t xml:space="preserve"> chains. Efforts to this regard are already underway by various government agencies and private sector stakeholders, but need to be better coordinated and focused.</w:t>
      </w:r>
      <w:r w:rsidR="009B7366" w:rsidRPr="007E1AF4">
        <w:rPr>
          <w:rFonts w:ascii="Times New Roman" w:hAnsi="Times New Roman" w:cs="Times New Roman"/>
          <w:sz w:val="24"/>
        </w:rPr>
        <w:t xml:space="preserve"> </w:t>
      </w:r>
      <w:r w:rsidRPr="007E1AF4">
        <w:rPr>
          <w:rFonts w:ascii="Times New Roman" w:hAnsi="Times New Roman" w:cs="Times New Roman"/>
          <w:sz w:val="24"/>
        </w:rPr>
        <w:t xml:space="preserve">The government should </w:t>
      </w:r>
      <w:r w:rsidR="00781E2F" w:rsidRPr="007E1AF4">
        <w:rPr>
          <w:rFonts w:ascii="Times New Roman" w:hAnsi="Times New Roman" w:cs="Times New Roman"/>
          <w:sz w:val="24"/>
        </w:rPr>
        <w:t xml:space="preserve">also promote the inclusion of positive information from utilities, telephone companies and other services into the credit bureau infrastructure, as well as providing the private credit bureaus access to information on all type of loans to facilitate credit appraisal. </w:t>
      </w:r>
      <w:r w:rsidR="000E680D" w:rsidRPr="007E1AF4">
        <w:rPr>
          <w:rFonts w:ascii="Times New Roman" w:hAnsi="Times New Roman" w:cs="Times New Roman"/>
          <w:sz w:val="24"/>
        </w:rPr>
        <w:t xml:space="preserve">In addition, </w:t>
      </w:r>
      <w:r w:rsidR="00781E2F" w:rsidRPr="007E1AF4">
        <w:rPr>
          <w:rFonts w:ascii="Times New Roman" w:hAnsi="Times New Roman" w:cs="Times New Roman"/>
          <w:sz w:val="24"/>
        </w:rPr>
        <w:t>auditing and accounting in the country should be strengthened and focus</w:t>
      </w:r>
      <w:r w:rsidR="009B7366">
        <w:rPr>
          <w:rFonts w:ascii="Times New Roman" w:hAnsi="Times New Roman" w:cs="Times New Roman"/>
          <w:sz w:val="24"/>
        </w:rPr>
        <w:t xml:space="preserve"> </w:t>
      </w:r>
      <w:r w:rsidR="0054424F" w:rsidRPr="003571FD">
        <w:rPr>
          <w:rFonts w:ascii="Times New Roman" w:hAnsi="Times New Roman" w:cs="Times New Roman"/>
          <w:sz w:val="24"/>
        </w:rPr>
        <w:t>on the needed auditing and accounting framework for small and medium sized enterprises</w:t>
      </w:r>
      <w:r w:rsidR="000E680D">
        <w:rPr>
          <w:rStyle w:val="FootnoteReference"/>
          <w:rFonts w:ascii="Times New Roman" w:hAnsi="Times New Roman" w:cs="Times New Roman"/>
          <w:sz w:val="24"/>
        </w:rPr>
        <w:footnoteReference w:id="19"/>
      </w:r>
      <w:r w:rsidR="0054424F" w:rsidRPr="003571FD">
        <w:rPr>
          <w:rFonts w:ascii="Times New Roman" w:hAnsi="Times New Roman" w:cs="Times New Roman"/>
          <w:sz w:val="24"/>
        </w:rPr>
        <w:t xml:space="preserve">.  </w:t>
      </w:r>
    </w:p>
    <w:p w:rsidR="00AF20D8" w:rsidRPr="003571FD" w:rsidRDefault="00AF20D8" w:rsidP="00AF20D8">
      <w:pPr>
        <w:pStyle w:val="ListParagraph"/>
        <w:jc w:val="both"/>
        <w:rPr>
          <w:rFonts w:ascii="Times New Roman" w:hAnsi="Times New Roman" w:cs="Times New Roman"/>
          <w:sz w:val="24"/>
        </w:rPr>
      </w:pPr>
    </w:p>
    <w:p w:rsidR="00D14FF7" w:rsidRPr="003571FD" w:rsidRDefault="00D14FF7" w:rsidP="00CA07A0">
      <w:pPr>
        <w:pStyle w:val="ListParagraph"/>
        <w:numPr>
          <w:ilvl w:val="0"/>
          <w:numId w:val="9"/>
        </w:numPr>
        <w:jc w:val="both"/>
        <w:rPr>
          <w:rFonts w:ascii="Times New Roman" w:hAnsi="Times New Roman" w:cs="Times New Roman"/>
          <w:sz w:val="24"/>
        </w:rPr>
      </w:pPr>
      <w:r w:rsidRPr="003571FD">
        <w:rPr>
          <w:rFonts w:ascii="Times New Roman" w:hAnsi="Times New Roman" w:cs="Times New Roman"/>
          <w:b/>
          <w:sz w:val="24"/>
        </w:rPr>
        <w:t>The development and roll-out of innovative credit products could be promoted through reforms of the legal and regulatory framework for leasing, factoring, and risk capital</w:t>
      </w:r>
      <w:r w:rsidR="0054424F" w:rsidRPr="003571FD">
        <w:rPr>
          <w:rFonts w:ascii="Times New Roman" w:hAnsi="Times New Roman" w:cs="Times New Roman"/>
          <w:b/>
          <w:sz w:val="24"/>
        </w:rPr>
        <w:t>, as well as the provision of partial credit guarantees and micro-</w:t>
      </w:r>
      <w:r w:rsidR="0054424F" w:rsidRPr="003571FD">
        <w:rPr>
          <w:rFonts w:ascii="Times New Roman" w:hAnsi="Times New Roman" w:cs="Times New Roman"/>
          <w:b/>
          <w:sz w:val="24"/>
        </w:rPr>
        <w:lastRenderedPageBreak/>
        <w:t>insurance products</w:t>
      </w:r>
      <w:r w:rsidRPr="003571FD">
        <w:rPr>
          <w:rFonts w:ascii="Times New Roman" w:hAnsi="Times New Roman" w:cs="Times New Roman"/>
          <w:b/>
          <w:sz w:val="24"/>
        </w:rPr>
        <w:t>.</w:t>
      </w:r>
      <w:r w:rsidRPr="003571FD">
        <w:rPr>
          <w:rFonts w:ascii="Times New Roman" w:hAnsi="Times New Roman" w:cs="Times New Roman"/>
          <w:sz w:val="24"/>
        </w:rPr>
        <w:t xml:space="preserve"> In the area of leasing, ASFI could consider allowing leasing operations to be conducted by a dedicated unit within existing financial entity instead of mandating the creation of a separate financial entity. Similar regulations have rendered positive results in other countries, in which measures were undertaken to maintain an adequate separation and control of the leasing departments to avoid misuse. Factoring and partial credit guarantees could also be promoted, especially as part of the actions to strengthen value chains, while information campaigns could be helpful to familiarize the population with the</w:t>
      </w:r>
      <w:r w:rsidR="00BD2856" w:rsidRPr="003571FD">
        <w:rPr>
          <w:rFonts w:ascii="Times New Roman" w:hAnsi="Times New Roman" w:cs="Times New Roman"/>
          <w:sz w:val="24"/>
        </w:rPr>
        <w:t xml:space="preserve"> requirements and benefits of these innovative products</w:t>
      </w:r>
      <w:r w:rsidRPr="003571FD">
        <w:rPr>
          <w:rFonts w:ascii="Times New Roman" w:hAnsi="Times New Roman" w:cs="Times New Roman"/>
          <w:sz w:val="24"/>
        </w:rPr>
        <w:t>.</w:t>
      </w:r>
    </w:p>
    <w:p w:rsidR="00D14FF7" w:rsidRPr="003571FD" w:rsidRDefault="00B17EDA" w:rsidP="00D14FF7">
      <w:pPr>
        <w:jc w:val="both"/>
        <w:rPr>
          <w:rFonts w:ascii="Times New Roman" w:hAnsi="Times New Roman" w:cs="Times New Roman"/>
          <w:sz w:val="24"/>
        </w:rPr>
      </w:pPr>
      <w:r w:rsidRPr="003571FD">
        <w:rPr>
          <w:rFonts w:ascii="Times New Roman" w:hAnsi="Times New Roman" w:cs="Times New Roman"/>
          <w:b/>
          <w:sz w:val="24"/>
        </w:rPr>
        <w:t xml:space="preserve">While public banks can play a role in addressing bottlenecks and market failures,  </w:t>
      </w:r>
      <w:r w:rsidR="00D14FF7" w:rsidRPr="003571FD">
        <w:rPr>
          <w:rFonts w:ascii="Times New Roman" w:hAnsi="Times New Roman" w:cs="Times New Roman"/>
          <w:b/>
          <w:sz w:val="24"/>
        </w:rPr>
        <w:t>lessons learned from other countries</w:t>
      </w:r>
      <w:r w:rsidRPr="003571FD">
        <w:rPr>
          <w:rFonts w:ascii="Times New Roman" w:hAnsi="Times New Roman" w:cs="Times New Roman"/>
          <w:b/>
          <w:sz w:val="24"/>
        </w:rPr>
        <w:t xml:space="preserve"> suggest </w:t>
      </w:r>
      <w:r w:rsidR="00D14FF7" w:rsidRPr="003571FD">
        <w:rPr>
          <w:rFonts w:ascii="Times New Roman" w:hAnsi="Times New Roman" w:cs="Times New Roman"/>
          <w:b/>
          <w:sz w:val="24"/>
        </w:rPr>
        <w:t xml:space="preserve">that their mandate needs </w:t>
      </w:r>
      <w:r w:rsidR="00F43D6E" w:rsidRPr="003571FD">
        <w:rPr>
          <w:rFonts w:ascii="Times New Roman" w:hAnsi="Times New Roman" w:cs="Times New Roman"/>
          <w:b/>
          <w:sz w:val="24"/>
        </w:rPr>
        <w:t xml:space="preserve">to </w:t>
      </w:r>
      <w:r w:rsidR="00D14FF7" w:rsidRPr="003571FD">
        <w:rPr>
          <w:rFonts w:ascii="Times New Roman" w:hAnsi="Times New Roman" w:cs="Times New Roman"/>
          <w:b/>
          <w:sz w:val="24"/>
        </w:rPr>
        <w:t xml:space="preserve">be defined more precisely and with a clear and limited </w:t>
      </w:r>
      <w:r w:rsidR="00BD2856" w:rsidRPr="003571FD">
        <w:rPr>
          <w:rFonts w:ascii="Times New Roman" w:hAnsi="Times New Roman" w:cs="Times New Roman"/>
          <w:b/>
          <w:sz w:val="24"/>
        </w:rPr>
        <w:t>scope</w:t>
      </w:r>
      <w:r w:rsidR="00D14FF7" w:rsidRPr="003571FD">
        <w:rPr>
          <w:rFonts w:ascii="Times New Roman" w:hAnsi="Times New Roman" w:cs="Times New Roman"/>
          <w:b/>
          <w:sz w:val="24"/>
        </w:rPr>
        <w:t xml:space="preserve">, and that transparent governance structures and enforceable budgetary limits should be established to foster long-term institutional viability. </w:t>
      </w:r>
      <w:r w:rsidR="00D14FF7" w:rsidRPr="003571FD">
        <w:rPr>
          <w:rFonts w:ascii="Times New Roman" w:hAnsi="Times New Roman" w:cs="Times New Roman"/>
          <w:sz w:val="24"/>
        </w:rPr>
        <w:t xml:space="preserve">Establishing these preconditions should help maintain a healthy public banking system </w:t>
      </w:r>
      <w:r w:rsidRPr="003571FD">
        <w:rPr>
          <w:rFonts w:ascii="Times New Roman" w:hAnsi="Times New Roman" w:cs="Times New Roman"/>
          <w:sz w:val="24"/>
        </w:rPr>
        <w:t xml:space="preserve">that does not rely on contingent public resources </w:t>
      </w:r>
      <w:r w:rsidR="00D14FF7" w:rsidRPr="003571FD">
        <w:rPr>
          <w:rFonts w:ascii="Times New Roman" w:hAnsi="Times New Roman" w:cs="Times New Roman"/>
          <w:sz w:val="24"/>
        </w:rPr>
        <w:t xml:space="preserve">while simultaneously being able to achieve progress towards </w:t>
      </w:r>
      <w:r w:rsidR="00BD2856" w:rsidRPr="003571FD">
        <w:rPr>
          <w:rFonts w:ascii="Times New Roman" w:hAnsi="Times New Roman" w:cs="Times New Roman"/>
          <w:sz w:val="24"/>
        </w:rPr>
        <w:t>social and economic goals</w:t>
      </w:r>
      <w:r w:rsidR="00D14FF7" w:rsidRPr="003571FD">
        <w:rPr>
          <w:rFonts w:ascii="Times New Roman" w:hAnsi="Times New Roman" w:cs="Times New Roman"/>
          <w:sz w:val="24"/>
        </w:rPr>
        <w:t xml:space="preserve">. </w:t>
      </w:r>
    </w:p>
    <w:p w:rsidR="00D14FF7" w:rsidRPr="003571FD" w:rsidRDefault="00D14FF7" w:rsidP="00CA07A0">
      <w:pPr>
        <w:pStyle w:val="ListParagraph"/>
        <w:numPr>
          <w:ilvl w:val="0"/>
          <w:numId w:val="9"/>
        </w:numPr>
        <w:jc w:val="both"/>
        <w:rPr>
          <w:rFonts w:ascii="Times New Roman" w:hAnsi="Times New Roman" w:cs="Times New Roman"/>
          <w:sz w:val="24"/>
        </w:rPr>
      </w:pPr>
      <w:r w:rsidRPr="003571FD">
        <w:rPr>
          <w:rFonts w:ascii="Times New Roman" w:hAnsi="Times New Roman" w:cs="Times New Roman"/>
          <w:sz w:val="24"/>
        </w:rPr>
        <w:t>In the case of</w:t>
      </w:r>
      <w:r w:rsidR="00A90E70" w:rsidRPr="003571FD">
        <w:rPr>
          <w:rFonts w:ascii="Times New Roman" w:hAnsi="Times New Roman" w:cs="Times New Roman"/>
          <w:sz w:val="24"/>
        </w:rPr>
        <w:t xml:space="preserve"> the</w:t>
      </w:r>
      <w:r w:rsidRPr="003571FD">
        <w:rPr>
          <w:rFonts w:ascii="Times New Roman" w:hAnsi="Times New Roman" w:cs="Times New Roman"/>
          <w:sz w:val="24"/>
        </w:rPr>
        <w:t xml:space="preserve"> </w:t>
      </w:r>
      <w:r w:rsidR="00A90E70" w:rsidRPr="003571FD">
        <w:rPr>
          <w:rFonts w:ascii="Times New Roman" w:hAnsi="Times New Roman" w:cs="Times New Roman"/>
          <w:i/>
          <w:sz w:val="24"/>
        </w:rPr>
        <w:t xml:space="preserve">Banco de Desarrollo Productivo </w:t>
      </w:r>
      <w:r w:rsidR="00A90E70" w:rsidRPr="003571FD">
        <w:rPr>
          <w:rFonts w:ascii="Times New Roman" w:hAnsi="Times New Roman" w:cs="Times New Roman"/>
          <w:sz w:val="24"/>
        </w:rPr>
        <w:t>(</w:t>
      </w:r>
      <w:r w:rsidRPr="003571FD">
        <w:rPr>
          <w:rFonts w:ascii="Times New Roman" w:hAnsi="Times New Roman" w:cs="Times New Roman"/>
          <w:sz w:val="24"/>
        </w:rPr>
        <w:t>BDP</w:t>
      </w:r>
      <w:r w:rsidR="00A90E70" w:rsidRPr="003571FD">
        <w:rPr>
          <w:rFonts w:ascii="Times New Roman" w:hAnsi="Times New Roman" w:cs="Times New Roman"/>
          <w:sz w:val="24"/>
        </w:rPr>
        <w:t>)</w:t>
      </w:r>
      <w:r w:rsidRPr="003571FD">
        <w:rPr>
          <w:rFonts w:ascii="Times New Roman" w:hAnsi="Times New Roman" w:cs="Times New Roman"/>
          <w:sz w:val="24"/>
        </w:rPr>
        <w:t>, it is recommended to redefine and reorient its role, moving it fully away from first tier lending at subsidized rates and refocusing it on facilitating the introduction of innovative products. As done by some public banks in other countries</w:t>
      </w:r>
      <w:r w:rsidR="00BD2856" w:rsidRPr="003571FD">
        <w:rPr>
          <w:rFonts w:ascii="Times New Roman" w:hAnsi="Times New Roman" w:cs="Times New Roman"/>
          <w:sz w:val="24"/>
        </w:rPr>
        <w:t xml:space="preserve"> (i.e. Mexico and recently in Paraguay)</w:t>
      </w:r>
      <w:r w:rsidRPr="003571FD">
        <w:rPr>
          <w:rFonts w:ascii="Times New Roman" w:hAnsi="Times New Roman" w:cs="Times New Roman"/>
          <w:sz w:val="24"/>
        </w:rPr>
        <w:t xml:space="preserve">, the BDP could for example foster the development of targeted products to individual sectors with the aim to familiarize the financial entities with the </w:t>
      </w:r>
      <w:r w:rsidR="00AD008F" w:rsidRPr="003571FD">
        <w:rPr>
          <w:rFonts w:ascii="Times New Roman" w:hAnsi="Times New Roman" w:cs="Times New Roman"/>
          <w:sz w:val="24"/>
        </w:rPr>
        <w:t>characteristics</w:t>
      </w:r>
      <w:r w:rsidRPr="003571FD">
        <w:rPr>
          <w:rFonts w:ascii="Times New Roman" w:hAnsi="Times New Roman" w:cs="Times New Roman"/>
          <w:sz w:val="24"/>
        </w:rPr>
        <w:t xml:space="preserve"> of the respective sector, needed credit conditionalities and repayment cycles, and available guarantees. </w:t>
      </w:r>
    </w:p>
    <w:p w:rsidR="00AF20D8" w:rsidRPr="003571FD" w:rsidRDefault="00AF20D8" w:rsidP="00AF20D8">
      <w:pPr>
        <w:pStyle w:val="ListParagraph"/>
        <w:jc w:val="both"/>
        <w:rPr>
          <w:rFonts w:ascii="Times New Roman" w:hAnsi="Times New Roman" w:cs="Times New Roman"/>
          <w:sz w:val="24"/>
        </w:rPr>
      </w:pPr>
    </w:p>
    <w:p w:rsidR="00D14FF7" w:rsidRPr="003571FD" w:rsidRDefault="00D14FF7" w:rsidP="00CA07A0">
      <w:pPr>
        <w:pStyle w:val="ListParagraph"/>
        <w:numPr>
          <w:ilvl w:val="0"/>
          <w:numId w:val="9"/>
        </w:numPr>
        <w:jc w:val="both"/>
        <w:rPr>
          <w:rFonts w:ascii="Times New Roman" w:hAnsi="Times New Roman" w:cs="Times New Roman"/>
          <w:sz w:val="24"/>
        </w:rPr>
      </w:pPr>
      <w:r w:rsidRPr="003571FD">
        <w:rPr>
          <w:rFonts w:ascii="Times New Roman" w:hAnsi="Times New Roman" w:cs="Times New Roman"/>
          <w:sz w:val="24"/>
        </w:rPr>
        <w:t xml:space="preserve">The government should also define more precisely the role that </w:t>
      </w:r>
      <w:r w:rsidRPr="003571FD">
        <w:rPr>
          <w:rFonts w:ascii="Times New Roman" w:hAnsi="Times New Roman" w:cs="Times New Roman"/>
          <w:i/>
          <w:sz w:val="24"/>
        </w:rPr>
        <w:t>Banco Union</w:t>
      </w:r>
      <w:r w:rsidRPr="003571FD">
        <w:rPr>
          <w:rFonts w:ascii="Times New Roman" w:hAnsi="Times New Roman" w:cs="Times New Roman"/>
          <w:sz w:val="24"/>
        </w:rPr>
        <w:t xml:space="preserve"> will play for the development of the financial system. As recent reform measures indicate, there is the risk that </w:t>
      </w:r>
      <w:r w:rsidRPr="003571FD">
        <w:rPr>
          <w:rFonts w:ascii="Times New Roman" w:hAnsi="Times New Roman" w:cs="Times New Roman"/>
          <w:i/>
          <w:sz w:val="24"/>
        </w:rPr>
        <w:t>Banco Union</w:t>
      </w:r>
      <w:r w:rsidRPr="003571FD">
        <w:rPr>
          <w:rFonts w:ascii="Times New Roman" w:hAnsi="Times New Roman" w:cs="Times New Roman"/>
          <w:sz w:val="24"/>
        </w:rPr>
        <w:t xml:space="preserve"> will be burdened with too many roles, and lose traction and focus. Reducing the scope </w:t>
      </w:r>
      <w:r w:rsidR="00AD008F" w:rsidRPr="003571FD">
        <w:rPr>
          <w:rFonts w:ascii="Times New Roman" w:hAnsi="Times New Roman" w:cs="Times New Roman"/>
          <w:sz w:val="24"/>
        </w:rPr>
        <w:t xml:space="preserve">of </w:t>
      </w:r>
      <w:r w:rsidRPr="003571FD">
        <w:rPr>
          <w:rFonts w:ascii="Times New Roman" w:hAnsi="Times New Roman" w:cs="Times New Roman"/>
          <w:i/>
          <w:sz w:val="24"/>
        </w:rPr>
        <w:t>Banco Union</w:t>
      </w:r>
      <w:r w:rsidRPr="003571FD">
        <w:rPr>
          <w:rFonts w:ascii="Times New Roman" w:hAnsi="Times New Roman" w:cs="Times New Roman"/>
          <w:sz w:val="24"/>
        </w:rPr>
        <w:t xml:space="preserve">’s intervention (e.g. in paying salaries to public employees) could free the </w:t>
      </w:r>
      <w:r w:rsidR="00AD008F" w:rsidRPr="003571FD">
        <w:rPr>
          <w:rFonts w:ascii="Times New Roman" w:hAnsi="Times New Roman" w:cs="Times New Roman"/>
          <w:sz w:val="24"/>
        </w:rPr>
        <w:t>b</w:t>
      </w:r>
      <w:r w:rsidRPr="003571FD">
        <w:rPr>
          <w:rFonts w:ascii="Times New Roman" w:hAnsi="Times New Roman" w:cs="Times New Roman"/>
          <w:sz w:val="24"/>
        </w:rPr>
        <w:t xml:space="preserve">ank to focus on taking concrete actions to expand the frontier of finance in </w:t>
      </w:r>
      <w:r w:rsidR="00AD008F" w:rsidRPr="003571FD">
        <w:rPr>
          <w:rFonts w:ascii="Times New Roman" w:hAnsi="Times New Roman" w:cs="Times New Roman"/>
          <w:sz w:val="24"/>
        </w:rPr>
        <w:t xml:space="preserve">more </w:t>
      </w:r>
      <w:r w:rsidRPr="003571FD">
        <w:rPr>
          <w:rFonts w:ascii="Times New Roman" w:hAnsi="Times New Roman" w:cs="Times New Roman"/>
          <w:sz w:val="24"/>
        </w:rPr>
        <w:t xml:space="preserve">remote areas that are not yet covered by a financial institution, and to </w:t>
      </w:r>
      <w:r w:rsidR="006F50A4" w:rsidRPr="003571FD">
        <w:rPr>
          <w:rFonts w:ascii="Times New Roman" w:hAnsi="Times New Roman" w:cs="Times New Roman"/>
          <w:sz w:val="24"/>
        </w:rPr>
        <w:t>address specific market failures affecting underserved priority sectors (e.g. the lack of longer-term investment loans for rural enterprises)</w:t>
      </w:r>
      <w:r w:rsidRPr="003571FD">
        <w:rPr>
          <w:rFonts w:ascii="Times New Roman" w:hAnsi="Times New Roman" w:cs="Times New Roman"/>
          <w:sz w:val="24"/>
        </w:rPr>
        <w:t xml:space="preserve">. </w:t>
      </w:r>
    </w:p>
    <w:p w:rsidR="00AF20D8" w:rsidRPr="003571FD" w:rsidRDefault="00AF20D8" w:rsidP="00AF20D8">
      <w:pPr>
        <w:pStyle w:val="ListParagraph"/>
        <w:jc w:val="both"/>
        <w:rPr>
          <w:rFonts w:ascii="Times New Roman" w:hAnsi="Times New Roman" w:cs="Times New Roman"/>
          <w:sz w:val="24"/>
        </w:rPr>
      </w:pPr>
    </w:p>
    <w:p w:rsidR="00D14FF7" w:rsidRPr="003571FD" w:rsidRDefault="00D14FF7" w:rsidP="00CA07A0">
      <w:pPr>
        <w:pStyle w:val="ListParagraph"/>
        <w:numPr>
          <w:ilvl w:val="0"/>
          <w:numId w:val="9"/>
        </w:numPr>
        <w:jc w:val="both"/>
        <w:rPr>
          <w:rFonts w:ascii="Times New Roman" w:hAnsi="Times New Roman" w:cs="Times New Roman"/>
          <w:sz w:val="24"/>
        </w:rPr>
      </w:pPr>
      <w:r w:rsidRPr="003571FD">
        <w:rPr>
          <w:rFonts w:ascii="Times New Roman" w:hAnsi="Times New Roman" w:cs="Times New Roman"/>
          <w:sz w:val="24"/>
        </w:rPr>
        <w:t xml:space="preserve">For both banks (or any </w:t>
      </w:r>
      <w:r w:rsidR="00AD008F" w:rsidRPr="003571FD">
        <w:rPr>
          <w:rFonts w:ascii="Times New Roman" w:hAnsi="Times New Roman" w:cs="Times New Roman"/>
          <w:sz w:val="24"/>
        </w:rPr>
        <w:t xml:space="preserve">future </w:t>
      </w:r>
      <w:r w:rsidRPr="003571FD">
        <w:rPr>
          <w:rFonts w:ascii="Times New Roman" w:hAnsi="Times New Roman" w:cs="Times New Roman"/>
          <w:sz w:val="24"/>
        </w:rPr>
        <w:t xml:space="preserve">public bank), the programs need to be developed based on a prior </w:t>
      </w:r>
      <w:r w:rsidR="00AD008F" w:rsidRPr="003571FD">
        <w:rPr>
          <w:rFonts w:ascii="Times New Roman" w:hAnsi="Times New Roman" w:cs="Times New Roman"/>
          <w:sz w:val="24"/>
        </w:rPr>
        <w:t>demand side survey</w:t>
      </w:r>
      <w:r w:rsidRPr="003571FD">
        <w:rPr>
          <w:rFonts w:ascii="Times New Roman" w:hAnsi="Times New Roman" w:cs="Times New Roman"/>
          <w:sz w:val="24"/>
        </w:rPr>
        <w:t xml:space="preserve">, and include </w:t>
      </w:r>
      <w:r w:rsidR="00AD008F" w:rsidRPr="003571FD">
        <w:rPr>
          <w:rFonts w:ascii="Times New Roman" w:hAnsi="Times New Roman" w:cs="Times New Roman"/>
          <w:sz w:val="24"/>
        </w:rPr>
        <w:t xml:space="preserve">a </w:t>
      </w:r>
      <w:r w:rsidRPr="003571FD">
        <w:rPr>
          <w:rFonts w:ascii="Times New Roman" w:hAnsi="Times New Roman" w:cs="Times New Roman"/>
          <w:sz w:val="24"/>
        </w:rPr>
        <w:t xml:space="preserve">monitoring and evaluation framework to track their effectiveness, the uptake of those products in the private sector on their own balance sheet, and actual achievements in the real sector. A sunset clause for individual product lines </w:t>
      </w:r>
      <w:r w:rsidR="00B17EDA" w:rsidRPr="003571FD">
        <w:rPr>
          <w:rFonts w:ascii="Times New Roman" w:hAnsi="Times New Roman" w:cs="Times New Roman"/>
          <w:sz w:val="24"/>
        </w:rPr>
        <w:t xml:space="preserve">that only address temporary market failure </w:t>
      </w:r>
      <w:r w:rsidRPr="003571FD">
        <w:rPr>
          <w:rFonts w:ascii="Times New Roman" w:hAnsi="Times New Roman" w:cs="Times New Roman"/>
          <w:sz w:val="24"/>
        </w:rPr>
        <w:t>would be helpful to maintain the innovative capacity of the institutions and limiting budgetary exposure.</w:t>
      </w:r>
    </w:p>
    <w:p w:rsidR="00CF59E9" w:rsidRPr="003571FD" w:rsidRDefault="00B64D09" w:rsidP="003010CF">
      <w:pPr>
        <w:jc w:val="both"/>
        <w:rPr>
          <w:rFonts w:ascii="Times New Roman" w:hAnsi="Times New Roman" w:cs="Times New Roman"/>
          <w:sz w:val="24"/>
        </w:rPr>
      </w:pPr>
      <w:r w:rsidRPr="003571FD">
        <w:rPr>
          <w:rFonts w:ascii="Times New Roman" w:hAnsi="Times New Roman" w:cs="Times New Roman"/>
          <w:sz w:val="24"/>
        </w:rPr>
        <w:lastRenderedPageBreak/>
        <w:t xml:space="preserve">With regard to the sequencing of reforms, the recommended assessments of the regulatory framework for innovative financial service points and consumer protection should be carried out as soon as possible to provide the needed input into the new financial system law. Ideally, the </w:t>
      </w:r>
      <w:r w:rsidR="00574625" w:rsidRPr="003571FD">
        <w:rPr>
          <w:rFonts w:ascii="Times New Roman" w:hAnsi="Times New Roman" w:cs="Times New Roman"/>
          <w:sz w:val="24"/>
        </w:rPr>
        <w:t>new</w:t>
      </w:r>
      <w:r w:rsidRPr="003571FD">
        <w:rPr>
          <w:rFonts w:ascii="Times New Roman" w:hAnsi="Times New Roman" w:cs="Times New Roman"/>
          <w:sz w:val="24"/>
        </w:rPr>
        <w:t xml:space="preserve"> legal framework should also incorporate the suggested reforms in the area of leasing, factoring and movable collateral / creditor rights, but as these have proven to be more difficult </w:t>
      </w:r>
      <w:r w:rsidR="00574625" w:rsidRPr="003571FD">
        <w:rPr>
          <w:rFonts w:ascii="Times New Roman" w:hAnsi="Times New Roman" w:cs="Times New Roman"/>
          <w:sz w:val="24"/>
        </w:rPr>
        <w:t xml:space="preserve">in the past and will require broad stakeholder participation, they will likely have to be addressed in the short to medium term through separate framework laws. For the efficient and well targeted roll-out of the other suggested reforms, the survey on the actual use and demand for financial services should be conducted first, and the individual reforms based on its results.  Furthermore, considerations should be given within the next 6 month to pilot a number of alternative payment delivery mechanisms for government transfers, such as via prepaid cards or into accounts, which could then in the medium term be rolled out. </w:t>
      </w:r>
      <w:r w:rsidRPr="003571FD">
        <w:rPr>
          <w:rFonts w:ascii="Times New Roman" w:hAnsi="Times New Roman" w:cs="Times New Roman"/>
          <w:sz w:val="24"/>
        </w:rPr>
        <w:t xml:space="preserve"> </w:t>
      </w:r>
    </w:p>
    <w:p w:rsidR="00880D2A" w:rsidRPr="003571FD" w:rsidRDefault="00880D2A" w:rsidP="003010CF">
      <w:pPr>
        <w:jc w:val="both"/>
        <w:rPr>
          <w:rFonts w:ascii="Times New Roman" w:eastAsiaTheme="majorEastAsia" w:hAnsi="Times New Roman" w:cs="Times New Roman"/>
          <w:b/>
          <w:bCs/>
          <w:sz w:val="32"/>
          <w:szCs w:val="28"/>
        </w:rPr>
      </w:pPr>
    </w:p>
    <w:p w:rsidR="004E1E46" w:rsidRPr="003571FD" w:rsidRDefault="004E1E46">
      <w:pPr>
        <w:rPr>
          <w:rFonts w:ascii="Times New Roman" w:eastAsiaTheme="majorEastAsia" w:hAnsi="Times New Roman" w:cs="Times New Roman"/>
          <w:b/>
          <w:bCs/>
          <w:sz w:val="28"/>
          <w:szCs w:val="28"/>
        </w:rPr>
      </w:pPr>
      <w:bookmarkStart w:id="14" w:name="_Toc292020972"/>
      <w:r w:rsidRPr="003571FD">
        <w:rPr>
          <w:rFonts w:ascii="Times New Roman" w:hAnsi="Times New Roman" w:cs="Times New Roman"/>
        </w:rPr>
        <w:br w:type="page"/>
      </w:r>
    </w:p>
    <w:p w:rsidR="00EF773C" w:rsidRPr="003571FD" w:rsidRDefault="001C22BF" w:rsidP="00662420">
      <w:pPr>
        <w:pStyle w:val="Heading1"/>
      </w:pPr>
      <w:bookmarkStart w:id="15" w:name="_Toc312319490"/>
      <w:bookmarkEnd w:id="14"/>
      <w:r w:rsidRPr="003571FD">
        <w:lastRenderedPageBreak/>
        <w:t>Introduction</w:t>
      </w:r>
      <w:bookmarkEnd w:id="15"/>
      <w:r w:rsidRPr="003571FD">
        <w:t xml:space="preserve"> </w:t>
      </w:r>
    </w:p>
    <w:p w:rsidR="00EF773C" w:rsidRPr="003571FD" w:rsidRDefault="00EF773C" w:rsidP="00EF773C">
      <w:pPr>
        <w:jc w:val="both"/>
        <w:rPr>
          <w:rFonts w:ascii="Times New Roman" w:hAnsi="Times New Roman" w:cs="Times New Roman"/>
          <w:sz w:val="24"/>
          <w:szCs w:val="24"/>
        </w:rPr>
      </w:pPr>
    </w:p>
    <w:p w:rsidR="00EF773C"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Bolivia benefited from an overall favorable economic evolution in the last few years.</w:t>
      </w:r>
      <w:r w:rsidRPr="003571FD">
        <w:rPr>
          <w:rFonts w:ascii="Times New Roman" w:hAnsi="Times New Roman" w:cs="Times New Roman"/>
          <w:sz w:val="24"/>
          <w:szCs w:val="24"/>
        </w:rPr>
        <w:t xml:space="preserve"> The economy grew in real terms on average by 5.2 percent during 2006 and 2008 due to positive external conditions, in particular higher commodity prices coupled with strong external demand for Bolivia’s minerals, gas and other natural resources, as well as strong domestic demand supported by government investments and redistribution programs. After temporarily slowing to 3.4 percent in 2009 as a result of reduced gas demand from Brazil in the context of the world wide economic and financial crisis, as well as weather induced shortfalls in agricultural output, growth picked up to 4.1 percent in 2010 and is expected to stay in that range in the next year. </w:t>
      </w:r>
    </w:p>
    <w:p w:rsidR="00E2292F" w:rsidRPr="003571FD" w:rsidRDefault="00E2292F" w:rsidP="00E2292F">
      <w:pPr>
        <w:pStyle w:val="ListParagraph"/>
        <w:spacing w:after="240"/>
        <w:ind w:left="360"/>
        <w:jc w:val="both"/>
        <w:rPr>
          <w:rFonts w:ascii="Times New Roman" w:hAnsi="Times New Roman" w:cs="Times New Roman"/>
          <w:sz w:val="24"/>
          <w:szCs w:val="24"/>
        </w:rPr>
      </w:pPr>
    </w:p>
    <w:p w:rsidR="00E2292F"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Sound macro-economic indicators supported this solid economic growth.</w:t>
      </w:r>
      <w:r w:rsidRPr="003571FD">
        <w:rPr>
          <w:rFonts w:ascii="Times New Roman" w:hAnsi="Times New Roman" w:cs="Times New Roman"/>
          <w:sz w:val="24"/>
          <w:szCs w:val="24"/>
        </w:rPr>
        <w:t xml:space="preserve"> The </w:t>
      </w:r>
      <w:r w:rsidR="00953BB9" w:rsidRPr="003571FD">
        <w:rPr>
          <w:rFonts w:ascii="Times New Roman" w:hAnsi="Times New Roman" w:cs="Times New Roman"/>
          <w:sz w:val="24"/>
          <w:szCs w:val="24"/>
        </w:rPr>
        <w:t xml:space="preserve">overall </w:t>
      </w:r>
      <w:r w:rsidRPr="003571FD">
        <w:rPr>
          <w:rFonts w:ascii="Times New Roman" w:hAnsi="Times New Roman" w:cs="Times New Roman"/>
          <w:sz w:val="24"/>
          <w:szCs w:val="24"/>
        </w:rPr>
        <w:t xml:space="preserve">fiscal balance remained positive between 2005 and 2009, leading to a reduction of government bonds available on the domestic market and facilitating a sharp reduction of their interest rates. Inflation temporarily increased to over 11 percent in 2007 and 2008 due to spikes in food and commodity prices worldwide, then come down again to </w:t>
      </w:r>
      <w:r w:rsidR="00953BB9" w:rsidRPr="003571FD">
        <w:rPr>
          <w:rFonts w:ascii="Times New Roman" w:hAnsi="Times New Roman" w:cs="Times New Roman"/>
          <w:sz w:val="24"/>
          <w:szCs w:val="24"/>
        </w:rPr>
        <w:t>around zero</w:t>
      </w:r>
      <w:r w:rsidRPr="003571FD">
        <w:rPr>
          <w:rFonts w:ascii="Times New Roman" w:hAnsi="Times New Roman" w:cs="Times New Roman"/>
          <w:sz w:val="24"/>
          <w:szCs w:val="24"/>
        </w:rPr>
        <w:t xml:space="preserve"> percent, but recently increased again due to </w:t>
      </w:r>
      <w:r w:rsidR="008C2105" w:rsidRPr="003571FD">
        <w:rPr>
          <w:rFonts w:ascii="Times New Roman" w:hAnsi="Times New Roman" w:cs="Times New Roman"/>
          <w:sz w:val="24"/>
          <w:szCs w:val="24"/>
        </w:rPr>
        <w:t xml:space="preserve">higher </w:t>
      </w:r>
      <w:r w:rsidRPr="003571FD">
        <w:rPr>
          <w:rFonts w:ascii="Times New Roman" w:hAnsi="Times New Roman" w:cs="Times New Roman"/>
          <w:sz w:val="24"/>
          <w:szCs w:val="24"/>
        </w:rPr>
        <w:t>food and oil prices. The country generated external surpluses in the current account in the range of 12 percent of GDP</w:t>
      </w:r>
      <w:r w:rsidRPr="003571FD">
        <w:rPr>
          <w:rStyle w:val="FootnoteReference"/>
          <w:rFonts w:ascii="Times New Roman" w:hAnsi="Times New Roman" w:cs="Times New Roman"/>
          <w:sz w:val="24"/>
          <w:szCs w:val="24"/>
        </w:rPr>
        <w:footnoteReference w:id="20"/>
      </w:r>
      <w:r w:rsidRPr="003571FD">
        <w:rPr>
          <w:rFonts w:ascii="Times New Roman" w:hAnsi="Times New Roman" w:cs="Times New Roman"/>
          <w:sz w:val="24"/>
          <w:szCs w:val="24"/>
        </w:rPr>
        <w:t>, which led to a strong growth in the net international reserve position of the Central Bank</w:t>
      </w:r>
      <w:r w:rsidR="004F3BD0" w:rsidRPr="003571FD">
        <w:rPr>
          <w:rFonts w:ascii="Times New Roman" w:hAnsi="Times New Roman" w:cs="Times New Roman"/>
          <w:sz w:val="24"/>
          <w:szCs w:val="24"/>
        </w:rPr>
        <w:t xml:space="preserve"> (CB)</w:t>
      </w:r>
      <w:r w:rsidRPr="003571FD">
        <w:rPr>
          <w:rFonts w:ascii="Times New Roman" w:hAnsi="Times New Roman" w:cs="Times New Roman"/>
          <w:sz w:val="24"/>
          <w:szCs w:val="24"/>
        </w:rPr>
        <w:t xml:space="preserve">. Combined, these indicators contributed to an appreciation of the currency from over 8 </w:t>
      </w:r>
      <w:r w:rsidR="00634D54" w:rsidRPr="003571FD">
        <w:rPr>
          <w:rFonts w:ascii="Times New Roman" w:hAnsi="Times New Roman" w:cs="Times New Roman"/>
          <w:sz w:val="24"/>
          <w:szCs w:val="24"/>
        </w:rPr>
        <w:t>Bs.</w:t>
      </w:r>
      <w:r w:rsidRPr="003571FD">
        <w:rPr>
          <w:rFonts w:ascii="Times New Roman" w:hAnsi="Times New Roman" w:cs="Times New Roman"/>
          <w:sz w:val="24"/>
          <w:szCs w:val="24"/>
        </w:rPr>
        <w:t xml:space="preserve"> per USD in 2005 to now below 7 </w:t>
      </w:r>
      <w:r w:rsidR="00634D54" w:rsidRPr="003571FD">
        <w:rPr>
          <w:rFonts w:ascii="Times New Roman" w:hAnsi="Times New Roman" w:cs="Times New Roman"/>
          <w:sz w:val="24"/>
          <w:szCs w:val="24"/>
        </w:rPr>
        <w:t>Bs.</w:t>
      </w:r>
    </w:p>
    <w:p w:rsidR="00E2292F" w:rsidRPr="003571FD" w:rsidRDefault="00E2292F" w:rsidP="00E2292F">
      <w:pPr>
        <w:pStyle w:val="ListParagraph"/>
        <w:rPr>
          <w:rFonts w:ascii="Times New Roman" w:hAnsi="Times New Roman" w:cs="Times New Roman"/>
          <w:b/>
          <w:sz w:val="24"/>
          <w:szCs w:val="24"/>
        </w:rPr>
      </w:pPr>
    </w:p>
    <w:p w:rsidR="00E2292F"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However, economic growth was unevenly distributed between the sectors. </w:t>
      </w:r>
      <w:r w:rsidRPr="003571FD">
        <w:rPr>
          <w:rFonts w:ascii="Times New Roman" w:hAnsi="Times New Roman" w:cs="Times New Roman"/>
          <w:sz w:val="24"/>
          <w:szCs w:val="24"/>
        </w:rPr>
        <w:t>Extractive industries reported the largest growth in the last few years, growing in real terms by</w:t>
      </w:r>
      <w:r w:rsidRPr="003571FD">
        <w:rPr>
          <w:rFonts w:ascii="Times New Roman" w:hAnsi="Times New Roman" w:cs="Times New Roman"/>
          <w:b/>
          <w:sz w:val="24"/>
          <w:szCs w:val="24"/>
        </w:rPr>
        <w:t xml:space="preserve"> </w:t>
      </w:r>
      <w:r w:rsidRPr="003571FD">
        <w:rPr>
          <w:rFonts w:ascii="Times New Roman" w:hAnsi="Times New Roman" w:cs="Times New Roman"/>
          <w:sz w:val="24"/>
          <w:szCs w:val="24"/>
        </w:rPr>
        <w:t>close to 13 percent per year between 2006 and 2008. In combination with favorable price developments, the sector now accounts for 16 percent of nominal GDP</w:t>
      </w:r>
      <w:r w:rsidRPr="003571FD">
        <w:rPr>
          <w:rStyle w:val="FootnoteReference"/>
          <w:rFonts w:ascii="Times New Roman" w:hAnsi="Times New Roman" w:cs="Times New Roman"/>
          <w:sz w:val="24"/>
          <w:szCs w:val="24"/>
        </w:rPr>
        <w:footnoteReference w:id="21"/>
      </w:r>
      <w:r w:rsidRPr="003571FD">
        <w:rPr>
          <w:rFonts w:ascii="Times New Roman" w:hAnsi="Times New Roman" w:cs="Times New Roman"/>
          <w:sz w:val="24"/>
          <w:szCs w:val="24"/>
        </w:rPr>
        <w:t xml:space="preserve"> compared to 12 percent in 2005. Construction and financial services also reported above average growth rates of around 12 percent in real terms, and now account for 3.1 and 4.5 percent of nominal GDP compared to 2.7 and 4.0 in 2005. On the other hand, agriculture, which according to INE</w:t>
      </w:r>
      <w:r w:rsidR="004F3BD0" w:rsidRPr="003571FD">
        <w:rPr>
          <w:rFonts w:ascii="Times New Roman" w:hAnsi="Times New Roman" w:cs="Times New Roman"/>
          <w:sz w:val="24"/>
          <w:szCs w:val="24"/>
        </w:rPr>
        <w:t xml:space="preserve"> (</w:t>
      </w:r>
      <w:proofErr w:type="spellStart"/>
      <w:r w:rsidR="004F3BD0" w:rsidRPr="003571FD">
        <w:rPr>
          <w:rFonts w:ascii="Times New Roman" w:hAnsi="Times New Roman" w:cs="Times New Roman"/>
          <w:i/>
          <w:sz w:val="24"/>
          <w:szCs w:val="24"/>
        </w:rPr>
        <w:t>Instituto</w:t>
      </w:r>
      <w:proofErr w:type="spellEnd"/>
      <w:r w:rsidR="004F3BD0" w:rsidRPr="003571FD">
        <w:rPr>
          <w:rFonts w:ascii="Times New Roman" w:hAnsi="Times New Roman" w:cs="Times New Roman"/>
          <w:i/>
          <w:sz w:val="24"/>
          <w:szCs w:val="24"/>
        </w:rPr>
        <w:t xml:space="preserve"> </w:t>
      </w:r>
      <w:proofErr w:type="spellStart"/>
      <w:r w:rsidR="004F3BD0" w:rsidRPr="003571FD">
        <w:rPr>
          <w:rFonts w:ascii="Times New Roman" w:hAnsi="Times New Roman" w:cs="Times New Roman"/>
          <w:i/>
          <w:sz w:val="24"/>
          <w:szCs w:val="24"/>
        </w:rPr>
        <w:t>Nacional</w:t>
      </w:r>
      <w:proofErr w:type="spellEnd"/>
      <w:r w:rsidR="004F3BD0" w:rsidRPr="003571FD">
        <w:rPr>
          <w:rFonts w:ascii="Times New Roman" w:hAnsi="Times New Roman" w:cs="Times New Roman"/>
          <w:i/>
          <w:sz w:val="24"/>
          <w:szCs w:val="24"/>
        </w:rPr>
        <w:t xml:space="preserve"> de </w:t>
      </w:r>
      <w:proofErr w:type="spellStart"/>
      <w:r w:rsidR="004F3BD0" w:rsidRPr="003571FD">
        <w:rPr>
          <w:rFonts w:ascii="Times New Roman" w:hAnsi="Times New Roman" w:cs="Times New Roman"/>
          <w:i/>
          <w:sz w:val="24"/>
          <w:szCs w:val="24"/>
        </w:rPr>
        <w:t>Estadística</w:t>
      </w:r>
      <w:proofErr w:type="spellEnd"/>
      <w:r w:rsidR="004F3BD0" w:rsidRPr="003571FD">
        <w:rPr>
          <w:rFonts w:ascii="Times New Roman" w:hAnsi="Times New Roman" w:cs="Times New Roman"/>
          <w:i/>
          <w:sz w:val="24"/>
          <w:szCs w:val="24"/>
        </w:rPr>
        <w:t xml:space="preserve"> de Bolivia</w:t>
      </w:r>
      <w:r w:rsidR="004F3BD0" w:rsidRPr="003571FD">
        <w:rPr>
          <w:rFonts w:ascii="Times New Roman" w:hAnsi="Times New Roman" w:cs="Times New Roman"/>
          <w:sz w:val="24"/>
          <w:szCs w:val="24"/>
        </w:rPr>
        <w:t>)</w:t>
      </w:r>
      <w:r w:rsidR="004F3BD0" w:rsidRPr="003571FD">
        <w:rPr>
          <w:rFonts w:ascii="Times New Roman" w:hAnsi="Times New Roman" w:cs="Times New Roman"/>
          <w:i/>
          <w:sz w:val="24"/>
          <w:szCs w:val="24"/>
        </w:rPr>
        <w:t xml:space="preserve"> </w:t>
      </w:r>
      <w:r w:rsidRPr="003571FD">
        <w:rPr>
          <w:rFonts w:ascii="Times New Roman" w:hAnsi="Times New Roman" w:cs="Times New Roman"/>
          <w:sz w:val="24"/>
          <w:szCs w:val="24"/>
        </w:rPr>
        <w:t xml:space="preserve">employs around 40 percent of the population and on which 77 percent of the rural population depends upon as main source of income, only grew by 2.5 percent in real terms. Despite favorable developments for some prices on the world market, it now only contributes 13.8 percent to GDP compared to 14.4 percent in 2005. In the manufacturing sector, growth was mostly held up by oil refinery, non-metallic minerals, tobacco and drink production, while textiles, wood and other industries showed below average growth. Finally, communication and tourism reported low growth rates. </w:t>
      </w:r>
    </w:p>
    <w:p w:rsidR="00C51964" w:rsidRPr="003571FD" w:rsidRDefault="00C51964">
      <w:pPr>
        <w:rPr>
          <w:rFonts w:ascii="Times New Roman" w:hAnsi="Times New Roman" w:cs="Times New Roman"/>
          <w:b/>
          <w:sz w:val="24"/>
          <w:szCs w:val="24"/>
        </w:rPr>
      </w:pPr>
      <w:r w:rsidRPr="003571FD">
        <w:rPr>
          <w:rFonts w:ascii="Times New Roman" w:hAnsi="Times New Roman" w:cs="Times New Roman"/>
          <w:b/>
          <w:sz w:val="24"/>
          <w:szCs w:val="24"/>
        </w:rPr>
        <w:br w:type="page"/>
      </w:r>
    </w:p>
    <w:p w:rsidR="00E2292F"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lastRenderedPageBreak/>
        <w:t xml:space="preserve">In order to foster a more balanced and equitable growth, the reform program of the Government of the Plurinational State of Bolivia has a strong focus on fostering the productive sector and increasing employment. </w:t>
      </w:r>
      <w:r w:rsidRPr="003571FD">
        <w:rPr>
          <w:rFonts w:ascii="Times New Roman" w:hAnsi="Times New Roman" w:cs="Times New Roman"/>
          <w:sz w:val="24"/>
          <w:szCs w:val="24"/>
        </w:rPr>
        <w:t>Reform measures were already included in the National Development Plan of 2007 (</w:t>
      </w:r>
      <w:r w:rsidRPr="003571FD">
        <w:rPr>
          <w:rFonts w:ascii="Times New Roman" w:hAnsi="Times New Roman" w:cs="Times New Roman"/>
          <w:i/>
          <w:sz w:val="24"/>
          <w:szCs w:val="24"/>
        </w:rPr>
        <w:t>Plan Nacional de Desarrollo</w:t>
      </w:r>
      <w:r w:rsidRPr="003571FD">
        <w:rPr>
          <w:rFonts w:ascii="Times New Roman" w:hAnsi="Times New Roman" w:cs="Times New Roman"/>
          <w:sz w:val="24"/>
          <w:szCs w:val="24"/>
        </w:rPr>
        <w:t xml:space="preserve"> - PND), in which measure</w:t>
      </w:r>
      <w:r w:rsidR="00A5755B" w:rsidRPr="003571FD">
        <w:rPr>
          <w:rFonts w:ascii="Times New Roman" w:hAnsi="Times New Roman" w:cs="Times New Roman"/>
          <w:sz w:val="24"/>
          <w:szCs w:val="24"/>
        </w:rPr>
        <w:t>s</w:t>
      </w:r>
      <w:r w:rsidRPr="003571FD">
        <w:rPr>
          <w:rFonts w:ascii="Times New Roman" w:hAnsi="Times New Roman" w:cs="Times New Roman"/>
          <w:sz w:val="24"/>
          <w:szCs w:val="24"/>
        </w:rPr>
        <w:t xml:space="preserve"> to enhance the productivity and integration of the productive sectors feature prominently</w:t>
      </w:r>
      <w:r w:rsidR="00837A44" w:rsidRPr="003571FD">
        <w:rPr>
          <w:rFonts w:ascii="Times New Roman" w:hAnsi="Times New Roman" w:cs="Times New Roman"/>
          <w:sz w:val="24"/>
          <w:szCs w:val="24"/>
        </w:rPr>
        <w:t>.</w:t>
      </w:r>
      <w:r w:rsidR="00837A44" w:rsidRPr="003571FD">
        <w:rPr>
          <w:rStyle w:val="FootnoteReference"/>
          <w:rFonts w:ascii="Times New Roman" w:hAnsi="Times New Roman" w:cs="Times New Roman"/>
          <w:sz w:val="24"/>
          <w:szCs w:val="24"/>
        </w:rPr>
        <w:footnoteReference w:id="22"/>
      </w:r>
      <w:r w:rsidRPr="003571FD">
        <w:rPr>
          <w:rFonts w:ascii="Times New Roman" w:hAnsi="Times New Roman" w:cs="Times New Roman"/>
          <w:sz w:val="24"/>
          <w:szCs w:val="24"/>
        </w:rPr>
        <w:t xml:space="preserve"> Most of these measures aim at helping integrate the productive sector horizontally and vertically into the economy - one of the core bottlenecks confirmed also in this report.</w:t>
      </w:r>
    </w:p>
    <w:p w:rsidR="00E2292F" w:rsidRPr="003571FD" w:rsidRDefault="00E2292F" w:rsidP="00E2292F">
      <w:pPr>
        <w:pStyle w:val="ListParagraph"/>
        <w:spacing w:after="240"/>
        <w:ind w:left="360"/>
        <w:jc w:val="both"/>
        <w:rPr>
          <w:rFonts w:ascii="Times New Roman" w:hAnsi="Times New Roman" w:cs="Times New Roman"/>
          <w:sz w:val="24"/>
          <w:szCs w:val="24"/>
        </w:rPr>
      </w:pPr>
    </w:p>
    <w:p w:rsidR="00E2292F" w:rsidRPr="003571FD" w:rsidRDefault="005D08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Following the mandates of the new Constitution,</w:t>
      </w:r>
      <w:r w:rsidR="001C22BF" w:rsidRPr="003571FD">
        <w:rPr>
          <w:rFonts w:ascii="Times New Roman" w:hAnsi="Times New Roman" w:cs="Times New Roman"/>
          <w:b/>
          <w:sz w:val="24"/>
          <w:szCs w:val="24"/>
        </w:rPr>
        <w:t xml:space="preserve"> the government’s efforts </w:t>
      </w:r>
      <w:r w:rsidRPr="003571FD">
        <w:rPr>
          <w:rFonts w:ascii="Times New Roman" w:hAnsi="Times New Roman" w:cs="Times New Roman"/>
          <w:b/>
          <w:sz w:val="24"/>
          <w:szCs w:val="24"/>
        </w:rPr>
        <w:t xml:space="preserve">in the financial sector </w:t>
      </w:r>
      <w:r w:rsidR="001C22BF" w:rsidRPr="003571FD">
        <w:rPr>
          <w:rFonts w:ascii="Times New Roman" w:hAnsi="Times New Roman" w:cs="Times New Roman"/>
          <w:b/>
          <w:sz w:val="24"/>
          <w:szCs w:val="24"/>
        </w:rPr>
        <w:t xml:space="preserve">focus on direct and indirect measures to increase the provision of credit </w:t>
      </w:r>
      <w:r w:rsidRPr="003571FD">
        <w:rPr>
          <w:rFonts w:ascii="Times New Roman" w:hAnsi="Times New Roman" w:cs="Times New Roman"/>
          <w:b/>
          <w:sz w:val="24"/>
          <w:szCs w:val="24"/>
        </w:rPr>
        <w:t xml:space="preserve">for </w:t>
      </w:r>
      <w:r w:rsidR="001C22BF" w:rsidRPr="003571FD">
        <w:rPr>
          <w:rFonts w:ascii="Times New Roman" w:hAnsi="Times New Roman" w:cs="Times New Roman"/>
          <w:b/>
          <w:sz w:val="24"/>
          <w:szCs w:val="24"/>
        </w:rPr>
        <w:t xml:space="preserve">productive </w:t>
      </w:r>
      <w:r w:rsidRPr="003571FD">
        <w:rPr>
          <w:rFonts w:ascii="Times New Roman" w:hAnsi="Times New Roman" w:cs="Times New Roman"/>
          <w:b/>
          <w:sz w:val="24"/>
          <w:szCs w:val="24"/>
        </w:rPr>
        <w:t xml:space="preserve">purposes </w:t>
      </w:r>
      <w:r w:rsidR="001C22BF" w:rsidRPr="003571FD">
        <w:rPr>
          <w:rFonts w:ascii="Times New Roman" w:hAnsi="Times New Roman" w:cs="Times New Roman"/>
          <w:b/>
          <w:sz w:val="24"/>
          <w:szCs w:val="24"/>
        </w:rPr>
        <w:t xml:space="preserve">and </w:t>
      </w:r>
      <w:r w:rsidRPr="003571FD">
        <w:rPr>
          <w:rFonts w:ascii="Times New Roman" w:hAnsi="Times New Roman" w:cs="Times New Roman"/>
          <w:b/>
          <w:sz w:val="24"/>
          <w:szCs w:val="24"/>
        </w:rPr>
        <w:t xml:space="preserve">to </w:t>
      </w:r>
      <w:r w:rsidR="001C22BF" w:rsidRPr="003571FD">
        <w:rPr>
          <w:rFonts w:ascii="Times New Roman" w:hAnsi="Times New Roman" w:cs="Times New Roman"/>
          <w:b/>
          <w:sz w:val="24"/>
          <w:szCs w:val="24"/>
        </w:rPr>
        <w:t>enhance access to financial services for all.</w:t>
      </w:r>
      <w:r w:rsidR="00B07DFB" w:rsidRPr="003571FD">
        <w:rPr>
          <w:rFonts w:ascii="Times New Roman" w:hAnsi="Times New Roman" w:cs="Times New Roman"/>
          <w:sz w:val="24"/>
          <w:szCs w:val="24"/>
        </w:rPr>
        <w:t xml:space="preserve"> </w:t>
      </w:r>
      <w:r w:rsidR="001C22BF" w:rsidRPr="003571FD">
        <w:rPr>
          <w:rFonts w:ascii="Times New Roman" w:hAnsi="Times New Roman" w:cs="Times New Roman"/>
          <w:sz w:val="24"/>
          <w:szCs w:val="24"/>
        </w:rPr>
        <w:t>The new Constitution dedicates a chapter to the role of the financial sector, introducing solidarity and equality as guiding principles. This builds on and furthers reform measures already spelled out in the National Development Plan, which aimed to (</w:t>
      </w:r>
      <w:proofErr w:type="spellStart"/>
      <w:r w:rsidR="001C22BF" w:rsidRPr="003571FD">
        <w:rPr>
          <w:rFonts w:ascii="Times New Roman" w:hAnsi="Times New Roman" w:cs="Times New Roman"/>
          <w:sz w:val="24"/>
          <w:szCs w:val="24"/>
        </w:rPr>
        <w:t>i</w:t>
      </w:r>
      <w:proofErr w:type="spellEnd"/>
      <w:r w:rsidR="001C22BF" w:rsidRPr="003571FD">
        <w:rPr>
          <w:rFonts w:ascii="Times New Roman" w:hAnsi="Times New Roman" w:cs="Times New Roman"/>
          <w:sz w:val="24"/>
          <w:szCs w:val="24"/>
        </w:rPr>
        <w:t xml:space="preserve">) set up a second tier development bank to foster the productive sector and micro, small and medium sized enterprises, </w:t>
      </w:r>
      <w:r w:rsidRPr="003571FD">
        <w:rPr>
          <w:rFonts w:ascii="Times New Roman" w:hAnsi="Times New Roman" w:cs="Times New Roman"/>
          <w:sz w:val="24"/>
          <w:szCs w:val="24"/>
        </w:rPr>
        <w:t xml:space="preserve">and </w:t>
      </w:r>
      <w:r w:rsidR="001C22BF" w:rsidRPr="003571FD">
        <w:rPr>
          <w:rFonts w:ascii="Times New Roman" w:hAnsi="Times New Roman" w:cs="Times New Roman"/>
          <w:sz w:val="24"/>
          <w:szCs w:val="24"/>
        </w:rPr>
        <w:t>(ii) introduce legal</w:t>
      </w:r>
      <w:r w:rsidRPr="003571FD">
        <w:rPr>
          <w:rFonts w:ascii="Times New Roman" w:hAnsi="Times New Roman" w:cs="Times New Roman"/>
          <w:sz w:val="24"/>
          <w:szCs w:val="24"/>
        </w:rPr>
        <w:t>, regulatory</w:t>
      </w:r>
      <w:r w:rsidR="001C22BF" w:rsidRPr="003571FD">
        <w:rPr>
          <w:rFonts w:ascii="Times New Roman" w:hAnsi="Times New Roman" w:cs="Times New Roman"/>
          <w:sz w:val="24"/>
          <w:szCs w:val="24"/>
        </w:rPr>
        <w:t xml:space="preserve"> and institutional reforms </w:t>
      </w:r>
      <w:r w:rsidRPr="003571FD">
        <w:rPr>
          <w:rFonts w:ascii="Times New Roman" w:hAnsi="Times New Roman" w:cs="Times New Roman"/>
          <w:sz w:val="24"/>
          <w:szCs w:val="24"/>
        </w:rPr>
        <w:t xml:space="preserve">to increase </w:t>
      </w:r>
      <w:r w:rsidR="001C22BF" w:rsidRPr="003571FD">
        <w:rPr>
          <w:rFonts w:ascii="Times New Roman" w:hAnsi="Times New Roman" w:cs="Times New Roman"/>
          <w:sz w:val="24"/>
          <w:szCs w:val="24"/>
        </w:rPr>
        <w:t>the provision of financial services in rural areas and to productive sectors. To implement the constitutional mandate, the three core government agencies for the financial sector - the Ministry of Economy, the Central Bank and ASFI</w:t>
      </w:r>
      <w:r w:rsidR="008C3795" w:rsidRPr="003571FD">
        <w:rPr>
          <w:rFonts w:ascii="Times New Roman" w:hAnsi="Times New Roman" w:cs="Times New Roman"/>
          <w:sz w:val="24"/>
          <w:szCs w:val="24"/>
        </w:rPr>
        <w:t xml:space="preserve"> </w:t>
      </w:r>
      <w:r w:rsidR="001C22BF" w:rsidRPr="003571FD">
        <w:rPr>
          <w:rFonts w:ascii="Times New Roman" w:hAnsi="Times New Roman" w:cs="Times New Roman"/>
          <w:sz w:val="24"/>
          <w:szCs w:val="24"/>
        </w:rPr>
        <w:t>–</w:t>
      </w:r>
      <w:r w:rsidR="008C3795" w:rsidRPr="003571FD">
        <w:rPr>
          <w:rFonts w:ascii="Times New Roman" w:hAnsi="Times New Roman" w:cs="Times New Roman"/>
          <w:sz w:val="24"/>
          <w:szCs w:val="24"/>
        </w:rPr>
        <w:t xml:space="preserve"> </w:t>
      </w:r>
      <w:r w:rsidR="001C22BF" w:rsidRPr="003571FD">
        <w:rPr>
          <w:rFonts w:ascii="Times New Roman" w:hAnsi="Times New Roman" w:cs="Times New Roman"/>
          <w:sz w:val="24"/>
          <w:szCs w:val="24"/>
        </w:rPr>
        <w:t>initiated a roundtable (</w:t>
      </w:r>
      <w:r w:rsidRPr="003571FD">
        <w:rPr>
          <w:rFonts w:ascii="Times New Roman" w:hAnsi="Times New Roman" w:cs="Times New Roman"/>
          <w:sz w:val="24"/>
          <w:szCs w:val="24"/>
        </w:rPr>
        <w:t>the so called “</w:t>
      </w:r>
      <w:r w:rsidR="001C22BF" w:rsidRPr="003571FD">
        <w:rPr>
          <w:rFonts w:ascii="Times New Roman" w:hAnsi="Times New Roman" w:cs="Times New Roman"/>
          <w:i/>
          <w:sz w:val="24"/>
          <w:szCs w:val="24"/>
        </w:rPr>
        <w:t xml:space="preserve">mesa </w:t>
      </w:r>
      <w:proofErr w:type="spellStart"/>
      <w:r w:rsidRPr="003571FD">
        <w:rPr>
          <w:rFonts w:ascii="Times New Roman" w:hAnsi="Times New Roman" w:cs="Times New Roman"/>
          <w:i/>
          <w:sz w:val="24"/>
          <w:szCs w:val="24"/>
        </w:rPr>
        <w:t>tripartit</w:t>
      </w:r>
      <w:r w:rsidR="00A5755B" w:rsidRPr="003571FD">
        <w:rPr>
          <w:rFonts w:ascii="Times New Roman" w:hAnsi="Times New Roman" w:cs="Times New Roman"/>
          <w:i/>
          <w:sz w:val="24"/>
          <w:szCs w:val="24"/>
        </w:rPr>
        <w:t>a</w:t>
      </w:r>
      <w:proofErr w:type="spellEnd"/>
      <w:r w:rsidRPr="003571FD">
        <w:rPr>
          <w:rFonts w:ascii="Times New Roman" w:hAnsi="Times New Roman" w:cs="Times New Roman"/>
          <w:i/>
          <w:sz w:val="24"/>
          <w:szCs w:val="24"/>
        </w:rPr>
        <w:t>”</w:t>
      </w:r>
      <w:r w:rsidR="001C22BF" w:rsidRPr="003571FD">
        <w:rPr>
          <w:rFonts w:ascii="Times New Roman" w:hAnsi="Times New Roman" w:cs="Times New Roman"/>
          <w:sz w:val="24"/>
          <w:szCs w:val="24"/>
        </w:rPr>
        <w:t>) to discuss and coordinate efforts. They already issued a number of regulations and reforms to increase the number of financial service points in rural areas and facilitate access to credit to the productive sectors. The government also organized a series of workshops and seminar with the stakeholders to discuss possible reform measures</w:t>
      </w:r>
      <w:r w:rsidR="007D6FFF" w:rsidRPr="003571FD">
        <w:rPr>
          <w:rStyle w:val="FootnoteReference"/>
          <w:rFonts w:ascii="Times New Roman" w:hAnsi="Times New Roman" w:cs="Times New Roman"/>
          <w:sz w:val="24"/>
          <w:szCs w:val="24"/>
        </w:rPr>
        <w:footnoteReference w:id="23"/>
      </w:r>
      <w:r w:rsidR="001C22BF" w:rsidRPr="003571FD">
        <w:rPr>
          <w:rFonts w:ascii="Times New Roman" w:hAnsi="Times New Roman" w:cs="Times New Roman"/>
          <w:sz w:val="24"/>
          <w:szCs w:val="24"/>
        </w:rPr>
        <w:t>. In the context of the new Constitution, a series of new laws are being revised, amongst them a new financial system law.</w:t>
      </w:r>
    </w:p>
    <w:p w:rsidR="00E2292F" w:rsidRPr="003571FD" w:rsidRDefault="00E2292F" w:rsidP="00E2292F">
      <w:pPr>
        <w:pStyle w:val="ListParagraph"/>
        <w:spacing w:after="240"/>
        <w:ind w:left="360"/>
        <w:jc w:val="both"/>
        <w:rPr>
          <w:rFonts w:ascii="Times New Roman" w:hAnsi="Times New Roman" w:cs="Times New Roman"/>
          <w:sz w:val="24"/>
          <w:szCs w:val="24"/>
        </w:rPr>
      </w:pPr>
    </w:p>
    <w:p w:rsidR="00EF773C"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This paper aims to contribute to the discussion and on-going reform efforts by providing an evaluation of the role the financial system could play for enhancing growth without threatening its stability</w:t>
      </w:r>
      <w:r w:rsidRPr="003571FD">
        <w:rPr>
          <w:rFonts w:ascii="Times New Roman" w:hAnsi="Times New Roman" w:cs="Times New Roman"/>
          <w:sz w:val="24"/>
          <w:szCs w:val="24"/>
        </w:rPr>
        <w:t xml:space="preserve"> </w:t>
      </w:r>
      <w:r w:rsidR="00245B24" w:rsidRPr="003571FD">
        <w:rPr>
          <w:rFonts w:ascii="Times New Roman" w:hAnsi="Times New Roman" w:cs="Times New Roman"/>
          <w:sz w:val="24"/>
          <w:szCs w:val="24"/>
        </w:rPr>
        <w:t xml:space="preserve">It also endeavors to </w:t>
      </w:r>
      <w:r w:rsidRPr="003571FD">
        <w:rPr>
          <w:rFonts w:ascii="Times New Roman" w:hAnsi="Times New Roman" w:cs="Times New Roman"/>
          <w:sz w:val="24"/>
          <w:szCs w:val="24"/>
        </w:rPr>
        <w:t>update the Bank’s knowledge on the sector, assess the sector’s current role and recent developments, and determine possible vulnerabilities as well as core bottlenecks for the outreach to underserved segments of the population and economy</w:t>
      </w:r>
      <w:r w:rsidR="008C3795" w:rsidRPr="003571FD">
        <w:rPr>
          <w:rFonts w:ascii="Times New Roman" w:hAnsi="Times New Roman" w:cs="Times New Roman"/>
          <w:sz w:val="24"/>
          <w:szCs w:val="24"/>
        </w:rPr>
        <w:t xml:space="preserve">. With view to the recent </w:t>
      </w:r>
      <w:r w:rsidRPr="003571FD">
        <w:rPr>
          <w:rFonts w:ascii="Times New Roman" w:hAnsi="Times New Roman" w:cs="Times New Roman"/>
          <w:sz w:val="24"/>
          <w:szCs w:val="24"/>
        </w:rPr>
        <w:t>Financial Sector Assessment Program</w:t>
      </w:r>
      <w:r w:rsidR="008C3795" w:rsidRPr="003571FD">
        <w:rPr>
          <w:rFonts w:ascii="Times New Roman" w:hAnsi="Times New Roman" w:cs="Times New Roman"/>
          <w:sz w:val="24"/>
          <w:szCs w:val="24"/>
        </w:rPr>
        <w:t xml:space="preserve"> (FSAP)</w:t>
      </w:r>
      <w:r w:rsidRPr="003571FD">
        <w:rPr>
          <w:rFonts w:ascii="Times New Roman" w:hAnsi="Times New Roman" w:cs="Times New Roman"/>
          <w:sz w:val="24"/>
          <w:szCs w:val="24"/>
        </w:rPr>
        <w:t xml:space="preserve"> mission, a stronger focus was placed on access to financial services, and within the</w:t>
      </w:r>
      <w:r w:rsidR="005D0823" w:rsidRPr="003571FD">
        <w:rPr>
          <w:rFonts w:ascii="Times New Roman" w:hAnsi="Times New Roman" w:cs="Times New Roman"/>
          <w:sz w:val="24"/>
          <w:szCs w:val="24"/>
        </w:rPr>
        <w:t>se, following a</w:t>
      </w:r>
      <w:r w:rsidRPr="003571FD">
        <w:rPr>
          <w:rFonts w:ascii="Times New Roman" w:hAnsi="Times New Roman" w:cs="Times New Roman"/>
          <w:sz w:val="24"/>
          <w:szCs w:val="24"/>
        </w:rPr>
        <w:t xml:space="preserve"> request of the government</w:t>
      </w:r>
      <w:r w:rsidRPr="003571FD">
        <w:rPr>
          <w:rStyle w:val="FootnoteReference"/>
          <w:rFonts w:ascii="Times New Roman" w:hAnsi="Times New Roman" w:cs="Times New Roman"/>
          <w:sz w:val="24"/>
          <w:szCs w:val="24"/>
        </w:rPr>
        <w:footnoteReference w:id="24"/>
      </w:r>
      <w:r w:rsidR="005D0823" w:rsidRPr="003571FD">
        <w:rPr>
          <w:rFonts w:ascii="Times New Roman" w:hAnsi="Times New Roman" w:cs="Times New Roman"/>
          <w:sz w:val="24"/>
          <w:szCs w:val="24"/>
        </w:rPr>
        <w:t>,</w:t>
      </w:r>
      <w:r w:rsidRPr="003571FD">
        <w:rPr>
          <w:rFonts w:ascii="Times New Roman" w:hAnsi="Times New Roman" w:cs="Times New Roman"/>
          <w:sz w:val="24"/>
          <w:szCs w:val="24"/>
        </w:rPr>
        <w:t xml:space="preserve"> on outreach to rural areas and enhancing the supply of credit to the productive sectors. The report is structured as follows. Chapter 2 provides a general overview over </w:t>
      </w:r>
      <w:r w:rsidR="00810650" w:rsidRPr="003571FD">
        <w:rPr>
          <w:rFonts w:ascii="Times New Roman" w:hAnsi="Times New Roman" w:cs="Times New Roman"/>
          <w:sz w:val="24"/>
          <w:szCs w:val="24"/>
        </w:rPr>
        <w:t xml:space="preserve">the composition of the financial system, and </w:t>
      </w:r>
      <w:r w:rsidRPr="003571FD">
        <w:rPr>
          <w:rFonts w:ascii="Times New Roman" w:hAnsi="Times New Roman" w:cs="Times New Roman"/>
          <w:sz w:val="24"/>
          <w:szCs w:val="24"/>
        </w:rPr>
        <w:t xml:space="preserve">where the country stands with regard to the depth of the financial system in comparison with other countries in the same income bracket, </w:t>
      </w:r>
      <w:r w:rsidRPr="003571FD">
        <w:rPr>
          <w:rFonts w:ascii="Times New Roman" w:hAnsi="Times New Roman" w:cs="Times New Roman"/>
          <w:sz w:val="24"/>
          <w:szCs w:val="24"/>
        </w:rPr>
        <w:lastRenderedPageBreak/>
        <w:t xml:space="preserve">region or </w:t>
      </w:r>
      <w:r w:rsidR="005D0823" w:rsidRPr="003571FD">
        <w:rPr>
          <w:rFonts w:ascii="Times New Roman" w:hAnsi="Times New Roman" w:cs="Times New Roman"/>
          <w:sz w:val="24"/>
          <w:szCs w:val="24"/>
        </w:rPr>
        <w:t xml:space="preserve">that have </w:t>
      </w:r>
      <w:r w:rsidRPr="003571FD">
        <w:rPr>
          <w:rFonts w:ascii="Times New Roman" w:hAnsi="Times New Roman" w:cs="Times New Roman"/>
          <w:sz w:val="24"/>
          <w:szCs w:val="24"/>
        </w:rPr>
        <w:t xml:space="preserve">similar characteristics. </w:t>
      </w:r>
      <w:r w:rsidR="00810650" w:rsidRPr="003571FD">
        <w:rPr>
          <w:rFonts w:ascii="Times New Roman" w:hAnsi="Times New Roman" w:cs="Times New Roman"/>
          <w:sz w:val="24"/>
          <w:szCs w:val="24"/>
        </w:rPr>
        <w:t>M</w:t>
      </w:r>
      <w:r w:rsidRPr="003571FD">
        <w:rPr>
          <w:rFonts w:ascii="Times New Roman" w:hAnsi="Times New Roman" w:cs="Times New Roman"/>
          <w:sz w:val="24"/>
          <w:szCs w:val="24"/>
        </w:rPr>
        <w:t xml:space="preserve">arket segmentation and competition, as well as a general assessment of the efficiency and potential vulnerability of the financial sector will be discussed in Chapter 3, with the aim to determine bottlenecks that might arise of the structural composition and efficiency of the sector. Chapter 4 evaluates the conduciveness of the regulatory framework for fostering outreach. Finally, Chapter 5 and 6 take an in-depth look into the two core topics, with Chapter 5 assessing the current situation and core bottlenecks for provision of financial services in rural areas, and Chapter 6 </w:t>
      </w:r>
      <w:r w:rsidR="00D04E20" w:rsidRPr="003571FD">
        <w:rPr>
          <w:rFonts w:ascii="Times New Roman" w:hAnsi="Times New Roman" w:cs="Times New Roman"/>
          <w:sz w:val="24"/>
          <w:szCs w:val="24"/>
        </w:rPr>
        <w:t>focusing on</w:t>
      </w:r>
      <w:r w:rsidR="00810650" w:rsidRPr="003571FD">
        <w:rPr>
          <w:rFonts w:ascii="Times New Roman" w:hAnsi="Times New Roman" w:cs="Times New Roman"/>
          <w:sz w:val="24"/>
          <w:szCs w:val="24"/>
        </w:rPr>
        <w:t xml:space="preserve"> credit to MSMEs, </w:t>
      </w:r>
      <w:r w:rsidR="00D04E20" w:rsidRPr="003571FD">
        <w:rPr>
          <w:rFonts w:ascii="Times New Roman" w:hAnsi="Times New Roman" w:cs="Times New Roman"/>
          <w:sz w:val="24"/>
          <w:szCs w:val="24"/>
        </w:rPr>
        <w:t>in particular from</w:t>
      </w:r>
      <w:r w:rsidR="00810650" w:rsidRPr="003571FD">
        <w:rPr>
          <w:rFonts w:ascii="Times New Roman" w:hAnsi="Times New Roman" w:cs="Times New Roman"/>
          <w:sz w:val="24"/>
          <w:szCs w:val="24"/>
        </w:rPr>
        <w:t xml:space="preserve"> the </w:t>
      </w:r>
      <w:r w:rsidRPr="003571FD">
        <w:rPr>
          <w:rFonts w:ascii="Times New Roman" w:hAnsi="Times New Roman" w:cs="Times New Roman"/>
          <w:sz w:val="24"/>
          <w:szCs w:val="24"/>
        </w:rPr>
        <w:t>productive sector</w:t>
      </w:r>
      <w:r w:rsidR="00810650" w:rsidRPr="003571FD">
        <w:rPr>
          <w:rFonts w:ascii="Times New Roman" w:hAnsi="Times New Roman" w:cs="Times New Roman"/>
          <w:sz w:val="24"/>
          <w:szCs w:val="24"/>
        </w:rPr>
        <w:t>,</w:t>
      </w:r>
      <w:r w:rsidRPr="003571FD">
        <w:rPr>
          <w:rFonts w:ascii="Times New Roman" w:hAnsi="Times New Roman" w:cs="Times New Roman"/>
          <w:sz w:val="24"/>
          <w:szCs w:val="24"/>
        </w:rPr>
        <w:t xml:space="preserve"> and what could be done to improve </w:t>
      </w:r>
      <w:r w:rsidR="00D04E20" w:rsidRPr="003571FD">
        <w:rPr>
          <w:rFonts w:ascii="Times New Roman" w:hAnsi="Times New Roman" w:cs="Times New Roman"/>
          <w:sz w:val="24"/>
          <w:szCs w:val="24"/>
        </w:rPr>
        <w:t>their</w:t>
      </w:r>
      <w:r w:rsidRPr="003571FD">
        <w:rPr>
          <w:rFonts w:ascii="Times New Roman" w:hAnsi="Times New Roman" w:cs="Times New Roman"/>
          <w:sz w:val="24"/>
          <w:szCs w:val="24"/>
        </w:rPr>
        <w:t xml:space="preserve"> use and access of credit through the formal financial system.</w:t>
      </w:r>
    </w:p>
    <w:p w:rsidR="00EF773C" w:rsidRPr="003571FD" w:rsidRDefault="001C22BF" w:rsidP="00EF773C">
      <w:pPr>
        <w:jc w:val="both"/>
        <w:rPr>
          <w:rFonts w:ascii="Times New Roman" w:eastAsiaTheme="majorEastAsia" w:hAnsi="Times New Roman" w:cs="Times New Roman"/>
          <w:b/>
          <w:bCs/>
          <w:sz w:val="28"/>
          <w:szCs w:val="28"/>
        </w:rPr>
      </w:pPr>
      <w:r w:rsidRPr="003571FD">
        <w:rPr>
          <w:rFonts w:ascii="Times New Roman" w:hAnsi="Times New Roman" w:cs="Times New Roman"/>
        </w:rPr>
        <w:br w:type="page"/>
      </w:r>
    </w:p>
    <w:p w:rsidR="00EF773C" w:rsidRPr="003571FD" w:rsidRDefault="00245B24" w:rsidP="00517669">
      <w:pPr>
        <w:pStyle w:val="Heading1"/>
      </w:pPr>
      <w:bookmarkStart w:id="16" w:name="_Toc312319491"/>
      <w:r w:rsidRPr="003571FD">
        <w:lastRenderedPageBreak/>
        <w:t>Composition and d</w:t>
      </w:r>
      <w:r w:rsidR="001C22BF" w:rsidRPr="003571FD">
        <w:t xml:space="preserve">epth </w:t>
      </w:r>
      <w:r w:rsidRPr="003571FD">
        <w:t>of the financial system</w:t>
      </w:r>
      <w:bookmarkEnd w:id="16"/>
      <w:r w:rsidRPr="003571FD">
        <w:t xml:space="preserve"> </w:t>
      </w:r>
    </w:p>
    <w:p w:rsidR="00EF773C" w:rsidRPr="003571FD" w:rsidRDefault="00EF773C" w:rsidP="00EF773C">
      <w:pPr>
        <w:jc w:val="both"/>
        <w:rPr>
          <w:rFonts w:ascii="Times New Roman" w:hAnsi="Times New Roman" w:cs="Times New Roman"/>
        </w:rPr>
      </w:pPr>
    </w:p>
    <w:p w:rsidR="00EF773C" w:rsidRPr="003571FD" w:rsidRDefault="00672BBB" w:rsidP="00EF773C">
      <w:pPr>
        <w:jc w:val="both"/>
        <w:rPr>
          <w:rFonts w:ascii="Times New Roman" w:hAnsi="Times New Roman" w:cs="Times New Roman"/>
          <w:i/>
          <w:sz w:val="24"/>
          <w:szCs w:val="24"/>
        </w:rPr>
      </w:pPr>
      <w:r w:rsidRPr="003571FD">
        <w:rPr>
          <w:rFonts w:ascii="Times New Roman" w:hAnsi="Times New Roman" w:cs="Times New Roman"/>
          <w:i/>
          <w:sz w:val="24"/>
          <w:szCs w:val="24"/>
        </w:rPr>
        <w:t xml:space="preserve">With its </w:t>
      </w:r>
      <w:r w:rsidR="00F03AC0" w:rsidRPr="003571FD">
        <w:rPr>
          <w:rFonts w:ascii="Times New Roman" w:hAnsi="Times New Roman" w:cs="Times New Roman"/>
          <w:i/>
          <w:sz w:val="24"/>
          <w:szCs w:val="24"/>
        </w:rPr>
        <w:t>large</w:t>
      </w:r>
      <w:r w:rsidRPr="003571FD">
        <w:rPr>
          <w:rFonts w:ascii="Times New Roman" w:hAnsi="Times New Roman" w:cs="Times New Roman"/>
          <w:i/>
          <w:sz w:val="24"/>
          <w:szCs w:val="24"/>
        </w:rPr>
        <w:t xml:space="preserve"> and mature micro-finance sector, t</w:t>
      </w:r>
      <w:r w:rsidR="001C22BF" w:rsidRPr="003571FD">
        <w:rPr>
          <w:rFonts w:ascii="Times New Roman" w:hAnsi="Times New Roman" w:cs="Times New Roman"/>
          <w:i/>
          <w:sz w:val="24"/>
          <w:szCs w:val="24"/>
        </w:rPr>
        <w:t xml:space="preserve">he Bolivian financial system reports a solid level of financial depth. Compared to other countries in the region and of similar income levels, the penetration with savings services </w:t>
      </w:r>
      <w:r w:rsidRPr="003571FD">
        <w:rPr>
          <w:rFonts w:ascii="Times New Roman" w:hAnsi="Times New Roman" w:cs="Times New Roman"/>
          <w:i/>
          <w:sz w:val="24"/>
          <w:szCs w:val="24"/>
        </w:rPr>
        <w:t xml:space="preserve">appears </w:t>
      </w:r>
      <w:r w:rsidR="001C22BF" w:rsidRPr="003571FD">
        <w:rPr>
          <w:rFonts w:ascii="Times New Roman" w:hAnsi="Times New Roman" w:cs="Times New Roman"/>
          <w:i/>
          <w:sz w:val="24"/>
          <w:szCs w:val="24"/>
        </w:rPr>
        <w:t xml:space="preserve">comparatively good, </w:t>
      </w:r>
      <w:r w:rsidR="009F7B18" w:rsidRPr="003571FD">
        <w:rPr>
          <w:rFonts w:ascii="Times New Roman" w:hAnsi="Times New Roman" w:cs="Times New Roman"/>
          <w:i/>
          <w:sz w:val="24"/>
          <w:szCs w:val="24"/>
        </w:rPr>
        <w:t>but</w:t>
      </w:r>
      <w:r w:rsidR="001C22BF" w:rsidRPr="003571FD">
        <w:rPr>
          <w:rFonts w:ascii="Times New Roman" w:hAnsi="Times New Roman" w:cs="Times New Roman"/>
          <w:i/>
          <w:sz w:val="24"/>
          <w:szCs w:val="24"/>
        </w:rPr>
        <w:t xml:space="preserve"> a larger share of the population is still using cash as sole means of payment. Lending volumes and number of clients are in line with countries of similar income level and structural characteristics, but the dynamic of the market has not been sufficient to keep up with GDP growth, particularly with regard to credit to the agricultural and industry sectors. The reach of the </w:t>
      </w:r>
      <w:r w:rsidR="005D0823" w:rsidRPr="003571FD">
        <w:rPr>
          <w:rFonts w:ascii="Times New Roman" w:hAnsi="Times New Roman" w:cs="Times New Roman"/>
          <w:i/>
          <w:sz w:val="24"/>
          <w:szCs w:val="24"/>
        </w:rPr>
        <w:t xml:space="preserve">formal </w:t>
      </w:r>
      <w:r w:rsidR="001C22BF" w:rsidRPr="003571FD">
        <w:rPr>
          <w:rFonts w:ascii="Times New Roman" w:hAnsi="Times New Roman" w:cs="Times New Roman"/>
          <w:i/>
          <w:sz w:val="24"/>
          <w:szCs w:val="24"/>
        </w:rPr>
        <w:t xml:space="preserve">financial system will be significantly expanded through the ongoing incorporation of the hitherto unregulated </w:t>
      </w:r>
      <w:r w:rsidR="006E482A" w:rsidRPr="003571FD">
        <w:rPr>
          <w:rFonts w:ascii="Times New Roman" w:hAnsi="Times New Roman" w:cs="Times New Roman"/>
          <w:i/>
          <w:sz w:val="24"/>
          <w:szCs w:val="24"/>
        </w:rPr>
        <w:t>financial institutions</w:t>
      </w:r>
      <w:r w:rsidR="001C22BF" w:rsidRPr="003571FD">
        <w:rPr>
          <w:rFonts w:ascii="Times New Roman" w:hAnsi="Times New Roman" w:cs="Times New Roman"/>
          <w:i/>
          <w:sz w:val="24"/>
          <w:szCs w:val="24"/>
        </w:rPr>
        <w:t xml:space="preserve"> under the purview of ASFI.</w:t>
      </w:r>
    </w:p>
    <w:p w:rsidR="00245B24" w:rsidRPr="003571FD" w:rsidRDefault="00245B24" w:rsidP="00662420">
      <w:pPr>
        <w:pStyle w:val="Heading2"/>
      </w:pPr>
      <w:bookmarkStart w:id="17" w:name="_Toc312319492"/>
      <w:r w:rsidRPr="003571FD">
        <w:t>A brief overview over the core players</w:t>
      </w:r>
      <w:bookmarkEnd w:id="17"/>
      <w:r w:rsidRPr="003571FD">
        <w:t xml:space="preserve"> </w:t>
      </w:r>
    </w:p>
    <w:p w:rsidR="00245B24" w:rsidRPr="003571FD" w:rsidRDefault="00245B24" w:rsidP="00245B24">
      <w:pPr>
        <w:jc w:val="both"/>
        <w:rPr>
          <w:rFonts w:ascii="Times New Roman" w:hAnsi="Times New Roman" w:cs="Times New Roman"/>
        </w:rPr>
      </w:pPr>
    </w:p>
    <w:p w:rsidR="00E2292F" w:rsidRPr="003571FD" w:rsidRDefault="00245B24"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formal financial system in Bolivia is composed of a diverse set of financial institutions, with supervised deposit taking financial institutions accounting for 94 percent of assets of financial intermediaries.</w:t>
      </w:r>
      <w:r w:rsidRPr="003571FD">
        <w:rPr>
          <w:rFonts w:ascii="Times New Roman" w:hAnsi="Times New Roman" w:cs="Times New Roman"/>
          <w:sz w:val="24"/>
          <w:szCs w:val="24"/>
        </w:rPr>
        <w:t xml:space="preserve"> </w:t>
      </w:r>
      <w:r w:rsidR="000E5110">
        <w:rPr>
          <w:rFonts w:ascii="Times New Roman" w:hAnsi="Times New Roman" w:cs="Times New Roman"/>
          <w:sz w:val="24"/>
          <w:szCs w:val="24"/>
        </w:rPr>
        <w:t>T</w:t>
      </w:r>
      <w:r w:rsidRPr="003571FD">
        <w:rPr>
          <w:rFonts w:ascii="Times New Roman" w:hAnsi="Times New Roman" w:cs="Times New Roman"/>
          <w:sz w:val="24"/>
          <w:szCs w:val="24"/>
        </w:rPr>
        <w:t>he formal financi</w:t>
      </w:r>
      <w:r w:rsidR="0053117F" w:rsidRPr="003571FD">
        <w:rPr>
          <w:rFonts w:ascii="Times New Roman" w:hAnsi="Times New Roman" w:cs="Times New Roman"/>
          <w:sz w:val="24"/>
          <w:szCs w:val="24"/>
        </w:rPr>
        <w:t xml:space="preserve">al sector </w:t>
      </w:r>
      <w:r w:rsidR="00063406" w:rsidRPr="003571FD">
        <w:rPr>
          <w:rFonts w:ascii="Times New Roman" w:hAnsi="Times New Roman" w:cs="Times New Roman"/>
          <w:sz w:val="24"/>
          <w:szCs w:val="24"/>
        </w:rPr>
        <w:t>include</w:t>
      </w:r>
      <w:r w:rsidR="00063406">
        <w:rPr>
          <w:rFonts w:ascii="Times New Roman" w:hAnsi="Times New Roman" w:cs="Times New Roman"/>
          <w:sz w:val="24"/>
          <w:szCs w:val="24"/>
        </w:rPr>
        <w:t>s</w:t>
      </w:r>
      <w:r w:rsidR="00063406" w:rsidRPr="003571FD">
        <w:rPr>
          <w:rFonts w:ascii="Times New Roman" w:hAnsi="Times New Roman" w:cs="Times New Roman"/>
          <w:sz w:val="24"/>
          <w:szCs w:val="24"/>
        </w:rPr>
        <w:t xml:space="preserve"> </w:t>
      </w:r>
      <w:r w:rsidR="0053117F" w:rsidRPr="003571FD">
        <w:rPr>
          <w:rFonts w:ascii="Times New Roman" w:hAnsi="Times New Roman" w:cs="Times New Roman"/>
          <w:sz w:val="24"/>
          <w:szCs w:val="24"/>
        </w:rPr>
        <w:t>12 banks, 5 f</w:t>
      </w:r>
      <w:r w:rsidRPr="003571FD">
        <w:rPr>
          <w:rFonts w:ascii="Times New Roman" w:hAnsi="Times New Roman" w:cs="Times New Roman"/>
          <w:sz w:val="24"/>
          <w:szCs w:val="24"/>
        </w:rPr>
        <w:t xml:space="preserve">inance </w:t>
      </w:r>
      <w:r w:rsidR="0053117F" w:rsidRPr="003571FD">
        <w:rPr>
          <w:rFonts w:ascii="Times New Roman" w:hAnsi="Times New Roman" w:cs="Times New Roman"/>
          <w:sz w:val="24"/>
          <w:szCs w:val="24"/>
        </w:rPr>
        <w:t>c</w:t>
      </w:r>
      <w:r w:rsidRPr="003571FD">
        <w:rPr>
          <w:rFonts w:ascii="Times New Roman" w:hAnsi="Times New Roman" w:cs="Times New Roman"/>
          <w:sz w:val="24"/>
          <w:szCs w:val="24"/>
        </w:rPr>
        <w:t xml:space="preserve">ompanies, 8 </w:t>
      </w:r>
      <w:r w:rsidR="0053117F"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53117F"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53117F" w:rsidRPr="003571FD">
        <w:rPr>
          <w:rFonts w:ascii="Times New Roman" w:hAnsi="Times New Roman" w:cs="Times New Roman"/>
          <w:sz w:val="24"/>
          <w:szCs w:val="24"/>
        </w:rPr>
        <w:t>a</w:t>
      </w:r>
      <w:r w:rsidRPr="003571FD">
        <w:rPr>
          <w:rFonts w:ascii="Times New Roman" w:hAnsi="Times New Roman" w:cs="Times New Roman"/>
          <w:sz w:val="24"/>
          <w:szCs w:val="24"/>
        </w:rPr>
        <w:t xml:space="preserve">ssociations (SLAs, so-called </w:t>
      </w:r>
      <w:proofErr w:type="spellStart"/>
      <w:r w:rsidRPr="003571FD">
        <w:rPr>
          <w:rFonts w:ascii="Times New Roman" w:hAnsi="Times New Roman" w:cs="Times New Roman"/>
          <w:i/>
          <w:sz w:val="24"/>
          <w:szCs w:val="24"/>
        </w:rPr>
        <w:t>Mutuales</w:t>
      </w:r>
      <w:proofErr w:type="spellEnd"/>
      <w:r w:rsidRPr="003571FD">
        <w:rPr>
          <w:rFonts w:ascii="Times New Roman" w:hAnsi="Times New Roman" w:cs="Times New Roman"/>
          <w:sz w:val="24"/>
          <w:szCs w:val="24"/>
        </w:rPr>
        <w:t xml:space="preserve">) and </w:t>
      </w:r>
      <w:r w:rsidR="000E5110" w:rsidRPr="003571FD">
        <w:rPr>
          <w:rFonts w:ascii="Times New Roman" w:hAnsi="Times New Roman" w:cs="Times New Roman"/>
          <w:sz w:val="24"/>
          <w:szCs w:val="24"/>
        </w:rPr>
        <w:t>2</w:t>
      </w:r>
      <w:r w:rsidR="000E5110">
        <w:rPr>
          <w:rFonts w:ascii="Times New Roman" w:hAnsi="Times New Roman" w:cs="Times New Roman"/>
          <w:sz w:val="24"/>
          <w:szCs w:val="24"/>
        </w:rPr>
        <w:t>5</w:t>
      </w:r>
      <w:r w:rsidR="000E5110" w:rsidRPr="003571FD">
        <w:rPr>
          <w:rFonts w:ascii="Times New Roman" w:hAnsi="Times New Roman" w:cs="Times New Roman"/>
          <w:sz w:val="24"/>
          <w:szCs w:val="24"/>
        </w:rPr>
        <w:t xml:space="preserve"> </w:t>
      </w:r>
      <w:r w:rsidRPr="003571FD">
        <w:rPr>
          <w:rFonts w:ascii="Times New Roman" w:hAnsi="Times New Roman" w:cs="Times New Roman"/>
          <w:sz w:val="24"/>
          <w:szCs w:val="24"/>
        </w:rPr>
        <w:t>open Cooperatives</w:t>
      </w:r>
      <w:r w:rsidR="00063406">
        <w:rPr>
          <w:rStyle w:val="FootnoteReference"/>
          <w:rFonts w:ascii="Times New Roman" w:hAnsi="Times New Roman" w:cs="Times New Roman"/>
          <w:sz w:val="24"/>
          <w:szCs w:val="24"/>
        </w:rPr>
        <w:footnoteReference w:id="25"/>
      </w:r>
      <w:r w:rsidR="00B07DFB" w:rsidRPr="003571FD">
        <w:rPr>
          <w:rFonts w:ascii="Times New Roman" w:hAnsi="Times New Roman" w:cs="Times New Roman"/>
          <w:sz w:val="24"/>
          <w:szCs w:val="24"/>
        </w:rPr>
        <w:t xml:space="preserve"> </w:t>
      </w:r>
      <w:r w:rsidRPr="003571FD">
        <w:rPr>
          <w:rFonts w:ascii="Times New Roman" w:hAnsi="Times New Roman" w:cs="Times New Roman"/>
          <w:sz w:val="24"/>
          <w:szCs w:val="24"/>
        </w:rPr>
        <w:t>(</w:t>
      </w:r>
      <w:r w:rsidR="0053117F" w:rsidRPr="003571FD">
        <w:rPr>
          <w:rFonts w:ascii="Times New Roman" w:hAnsi="Times New Roman" w:cs="Times New Roman"/>
          <w:sz w:val="24"/>
          <w:szCs w:val="24"/>
        </w:rPr>
        <w:t xml:space="preserve">CAC, </w:t>
      </w:r>
      <w:r w:rsidRPr="003571FD">
        <w:rPr>
          <w:rFonts w:ascii="Times New Roman" w:hAnsi="Times New Roman" w:cs="Times New Roman"/>
          <w:sz w:val="24"/>
          <w:szCs w:val="24"/>
        </w:rPr>
        <w:t xml:space="preserve">so-called </w:t>
      </w:r>
      <w:proofErr w:type="spellStart"/>
      <w:r w:rsidRPr="003571FD">
        <w:rPr>
          <w:rFonts w:ascii="Times New Roman" w:hAnsi="Times New Roman" w:cs="Times New Roman"/>
          <w:i/>
          <w:sz w:val="24"/>
          <w:szCs w:val="24"/>
        </w:rPr>
        <w:t>Cooperativas</w:t>
      </w:r>
      <w:proofErr w:type="spellEnd"/>
      <w:r w:rsidRPr="003571FD">
        <w:rPr>
          <w:rFonts w:ascii="Times New Roman" w:hAnsi="Times New Roman" w:cs="Times New Roman"/>
          <w:i/>
          <w:sz w:val="24"/>
          <w:szCs w:val="24"/>
        </w:rPr>
        <w:t xml:space="preserve"> </w:t>
      </w:r>
      <w:proofErr w:type="spellStart"/>
      <w:r w:rsidRPr="003571FD">
        <w:rPr>
          <w:rFonts w:ascii="Times New Roman" w:hAnsi="Times New Roman" w:cs="Times New Roman"/>
          <w:i/>
          <w:sz w:val="24"/>
          <w:szCs w:val="24"/>
        </w:rPr>
        <w:t>Abiertas</w:t>
      </w:r>
      <w:proofErr w:type="spellEnd"/>
      <w:r w:rsidRPr="003571FD">
        <w:rPr>
          <w:rFonts w:ascii="Times New Roman" w:hAnsi="Times New Roman" w:cs="Times New Roman"/>
          <w:sz w:val="24"/>
          <w:szCs w:val="24"/>
        </w:rPr>
        <w:t xml:space="preserve">), all of which are supervised by ASFI. The composition of the system changed since 2004, when </w:t>
      </w:r>
      <w:r w:rsidRPr="003571FD">
        <w:rPr>
          <w:rFonts w:ascii="Times New Roman" w:hAnsi="Times New Roman" w:cs="Times New Roman"/>
          <w:i/>
          <w:sz w:val="24"/>
          <w:szCs w:val="24"/>
        </w:rPr>
        <w:t>Banco Mercantil</w:t>
      </w:r>
      <w:r w:rsidRPr="003571FD">
        <w:rPr>
          <w:rFonts w:ascii="Times New Roman" w:hAnsi="Times New Roman" w:cs="Times New Roman"/>
          <w:sz w:val="24"/>
          <w:szCs w:val="24"/>
        </w:rPr>
        <w:t xml:space="preserve"> and </w:t>
      </w:r>
      <w:r w:rsidRPr="003571FD">
        <w:rPr>
          <w:rFonts w:ascii="Times New Roman" w:hAnsi="Times New Roman" w:cs="Times New Roman"/>
          <w:i/>
          <w:sz w:val="24"/>
          <w:szCs w:val="24"/>
        </w:rPr>
        <w:t>Banco Santa Cruz</w:t>
      </w:r>
      <w:r w:rsidRPr="003571FD">
        <w:rPr>
          <w:rFonts w:ascii="Times New Roman" w:hAnsi="Times New Roman" w:cs="Times New Roman"/>
          <w:sz w:val="24"/>
          <w:szCs w:val="24"/>
        </w:rPr>
        <w:t xml:space="preserve"> merged to the largest bank in the system, and </w:t>
      </w:r>
      <w:r w:rsidRPr="003571FD">
        <w:rPr>
          <w:rFonts w:ascii="Times New Roman" w:hAnsi="Times New Roman" w:cs="Times New Roman"/>
          <w:i/>
          <w:sz w:val="24"/>
          <w:szCs w:val="24"/>
        </w:rPr>
        <w:t>Citibank</w:t>
      </w:r>
      <w:r w:rsidRPr="003571FD">
        <w:rPr>
          <w:rFonts w:ascii="Times New Roman" w:hAnsi="Times New Roman" w:cs="Times New Roman"/>
          <w:sz w:val="24"/>
          <w:szCs w:val="24"/>
        </w:rPr>
        <w:t xml:space="preserve"> closed its Bolivian branch. Two </w:t>
      </w:r>
      <w:r w:rsidR="0053117F" w:rsidRPr="003571FD">
        <w:rPr>
          <w:rFonts w:ascii="Times New Roman" w:hAnsi="Times New Roman" w:cs="Times New Roman"/>
          <w:sz w:val="24"/>
          <w:szCs w:val="24"/>
        </w:rPr>
        <w:t>f</w:t>
      </w:r>
      <w:r w:rsidRPr="003571FD">
        <w:rPr>
          <w:rFonts w:ascii="Times New Roman" w:hAnsi="Times New Roman" w:cs="Times New Roman"/>
          <w:sz w:val="24"/>
          <w:szCs w:val="24"/>
        </w:rPr>
        <w:t xml:space="preserve">inance </w:t>
      </w:r>
      <w:r w:rsidR="0053117F" w:rsidRPr="003571FD">
        <w:rPr>
          <w:rFonts w:ascii="Times New Roman" w:hAnsi="Times New Roman" w:cs="Times New Roman"/>
          <w:sz w:val="24"/>
          <w:szCs w:val="24"/>
        </w:rPr>
        <w:t>c</w:t>
      </w:r>
      <w:r w:rsidRPr="003571FD">
        <w:rPr>
          <w:rFonts w:ascii="Times New Roman" w:hAnsi="Times New Roman" w:cs="Times New Roman"/>
          <w:sz w:val="24"/>
          <w:szCs w:val="24"/>
        </w:rPr>
        <w:t>ompanies (</w:t>
      </w:r>
      <w:r w:rsidRPr="003571FD">
        <w:rPr>
          <w:rFonts w:ascii="Times New Roman" w:hAnsi="Times New Roman" w:cs="Times New Roman"/>
          <w:i/>
          <w:sz w:val="24"/>
          <w:szCs w:val="24"/>
        </w:rPr>
        <w:t>Los Andes</w:t>
      </w:r>
      <w:r w:rsidRPr="003571FD">
        <w:rPr>
          <w:rFonts w:ascii="Times New Roman" w:hAnsi="Times New Roman" w:cs="Times New Roman"/>
          <w:sz w:val="24"/>
          <w:szCs w:val="24"/>
        </w:rPr>
        <w:t xml:space="preserve"> and recently </w:t>
      </w:r>
      <w:r w:rsidRPr="003571FD">
        <w:rPr>
          <w:rFonts w:ascii="Times New Roman" w:hAnsi="Times New Roman" w:cs="Times New Roman"/>
          <w:i/>
          <w:sz w:val="24"/>
          <w:szCs w:val="24"/>
        </w:rPr>
        <w:t>FIE</w:t>
      </w:r>
      <w:r w:rsidRPr="003571FD">
        <w:rPr>
          <w:rFonts w:ascii="Times New Roman" w:hAnsi="Times New Roman" w:cs="Times New Roman"/>
          <w:sz w:val="24"/>
          <w:szCs w:val="24"/>
        </w:rPr>
        <w:t>) transformed into microfinance banks, one of the open cooperative was intervened and liquidated</w:t>
      </w:r>
      <w:r w:rsidRPr="003571FD">
        <w:rPr>
          <w:rStyle w:val="FootnoteReference"/>
          <w:rFonts w:ascii="Times New Roman" w:hAnsi="Times New Roman" w:cs="Times New Roman"/>
          <w:sz w:val="24"/>
          <w:szCs w:val="24"/>
        </w:rPr>
        <w:footnoteReference w:id="26"/>
      </w:r>
      <w:r w:rsidRPr="003571FD">
        <w:rPr>
          <w:rFonts w:ascii="Times New Roman" w:hAnsi="Times New Roman" w:cs="Times New Roman"/>
          <w:sz w:val="24"/>
          <w:szCs w:val="24"/>
        </w:rPr>
        <w:t xml:space="preserve"> and some of the so far unregulated closed cooperatives have initiated the process of converting into open cooperatives. Finally, the assets of </w:t>
      </w:r>
      <w:r w:rsidRPr="003571FD">
        <w:rPr>
          <w:rFonts w:ascii="Times New Roman" w:hAnsi="Times New Roman" w:cs="Times New Roman"/>
          <w:i/>
          <w:sz w:val="24"/>
          <w:szCs w:val="24"/>
        </w:rPr>
        <w:t xml:space="preserve">Mutual </w:t>
      </w:r>
      <w:proofErr w:type="spellStart"/>
      <w:r w:rsidRPr="003571FD">
        <w:rPr>
          <w:rFonts w:ascii="Times New Roman" w:hAnsi="Times New Roman" w:cs="Times New Roman"/>
          <w:i/>
          <w:sz w:val="24"/>
          <w:szCs w:val="24"/>
        </w:rPr>
        <w:t>Guapay</w:t>
      </w:r>
      <w:proofErr w:type="spellEnd"/>
      <w:r w:rsidRPr="003571FD">
        <w:rPr>
          <w:rFonts w:ascii="Times New Roman" w:hAnsi="Times New Roman" w:cs="Times New Roman"/>
          <w:sz w:val="24"/>
          <w:szCs w:val="24"/>
        </w:rPr>
        <w:t xml:space="preserve"> were liquidated and its assets sold to </w:t>
      </w:r>
      <w:proofErr w:type="spellStart"/>
      <w:r w:rsidRPr="003571FD">
        <w:rPr>
          <w:rFonts w:ascii="Times New Roman" w:hAnsi="Times New Roman" w:cs="Times New Roman"/>
          <w:i/>
          <w:sz w:val="24"/>
          <w:szCs w:val="24"/>
        </w:rPr>
        <w:t>Banco</w:t>
      </w:r>
      <w:proofErr w:type="spellEnd"/>
      <w:r w:rsidRPr="003571FD">
        <w:rPr>
          <w:rFonts w:ascii="Times New Roman" w:hAnsi="Times New Roman" w:cs="Times New Roman"/>
          <w:i/>
          <w:sz w:val="24"/>
          <w:szCs w:val="24"/>
        </w:rPr>
        <w:t xml:space="preserve"> </w:t>
      </w:r>
      <w:proofErr w:type="spellStart"/>
      <w:r w:rsidRPr="003571FD">
        <w:rPr>
          <w:rFonts w:ascii="Times New Roman" w:hAnsi="Times New Roman" w:cs="Times New Roman"/>
          <w:i/>
          <w:sz w:val="24"/>
          <w:szCs w:val="24"/>
        </w:rPr>
        <w:t>Bisa</w:t>
      </w:r>
      <w:proofErr w:type="spellEnd"/>
      <w:r w:rsidRPr="003571FD">
        <w:rPr>
          <w:rFonts w:ascii="Times New Roman" w:hAnsi="Times New Roman" w:cs="Times New Roman"/>
          <w:sz w:val="24"/>
          <w:szCs w:val="24"/>
        </w:rPr>
        <w:t xml:space="preserve">. There are two public banks, the first-tier bank </w:t>
      </w:r>
      <w:r w:rsidRPr="003571FD">
        <w:rPr>
          <w:rFonts w:ascii="Times New Roman" w:hAnsi="Times New Roman" w:cs="Times New Roman"/>
          <w:i/>
          <w:iCs/>
          <w:sz w:val="24"/>
          <w:szCs w:val="24"/>
        </w:rPr>
        <w:t xml:space="preserve">Banco Unión </w:t>
      </w:r>
      <w:r w:rsidRPr="003571FD">
        <w:rPr>
          <w:rFonts w:ascii="Times New Roman" w:hAnsi="Times New Roman" w:cs="Times New Roman"/>
          <w:iCs/>
          <w:sz w:val="24"/>
          <w:szCs w:val="24"/>
        </w:rPr>
        <w:t>accounting for 6 percent of assets</w:t>
      </w:r>
      <w:r w:rsidRPr="003571FD">
        <w:rPr>
          <w:rFonts w:ascii="Times New Roman" w:hAnsi="Times New Roman" w:cs="Times New Roman"/>
          <w:i/>
          <w:iCs/>
          <w:sz w:val="24"/>
          <w:szCs w:val="24"/>
        </w:rPr>
        <w:t xml:space="preserve">, </w:t>
      </w:r>
      <w:r w:rsidRPr="003571FD">
        <w:rPr>
          <w:rFonts w:ascii="Times New Roman" w:hAnsi="Times New Roman" w:cs="Times New Roman"/>
          <w:sz w:val="24"/>
          <w:szCs w:val="24"/>
        </w:rPr>
        <w:t>and a small second-tier bank</w:t>
      </w:r>
      <w:r w:rsidRPr="003571FD">
        <w:rPr>
          <w:rFonts w:ascii="Times New Roman" w:hAnsi="Times New Roman" w:cs="Times New Roman"/>
          <w:i/>
          <w:iCs/>
          <w:sz w:val="24"/>
          <w:szCs w:val="24"/>
        </w:rPr>
        <w:t xml:space="preserve">, Banco de Desarrollo Productivo </w:t>
      </w:r>
      <w:r w:rsidRPr="003571FD">
        <w:rPr>
          <w:rFonts w:ascii="Times New Roman" w:hAnsi="Times New Roman" w:cs="Times New Roman"/>
          <w:sz w:val="24"/>
          <w:szCs w:val="24"/>
        </w:rPr>
        <w:t xml:space="preserve">(BDP). </w:t>
      </w:r>
    </w:p>
    <w:p w:rsidR="00E2292F" w:rsidRPr="003571FD" w:rsidRDefault="00E2292F" w:rsidP="00E2292F">
      <w:pPr>
        <w:pStyle w:val="ListParagraph"/>
        <w:ind w:left="360"/>
        <w:jc w:val="both"/>
        <w:rPr>
          <w:rFonts w:ascii="Times New Roman" w:hAnsi="Times New Roman" w:cs="Times New Roman"/>
          <w:sz w:val="24"/>
          <w:szCs w:val="24"/>
        </w:rPr>
      </w:pPr>
    </w:p>
    <w:p w:rsidR="00245B24" w:rsidRPr="003571FD" w:rsidRDefault="00245B24"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While banks dominate the formal </w:t>
      </w:r>
      <w:r w:rsidR="00733CF1" w:rsidRPr="003571FD">
        <w:rPr>
          <w:rFonts w:ascii="Times New Roman" w:hAnsi="Times New Roman" w:cs="Times New Roman"/>
          <w:b/>
          <w:sz w:val="24"/>
          <w:szCs w:val="24"/>
        </w:rPr>
        <w:t xml:space="preserve">financial </w:t>
      </w:r>
      <w:r w:rsidRPr="003571FD">
        <w:rPr>
          <w:rFonts w:ascii="Times New Roman" w:hAnsi="Times New Roman" w:cs="Times New Roman"/>
          <w:b/>
          <w:sz w:val="24"/>
          <w:szCs w:val="24"/>
        </w:rPr>
        <w:t>system, other deposit-taking institutions play a relatively important role, contributing to a vibrant microfinance market in the country</w:t>
      </w:r>
      <w:r w:rsidRPr="003571FD">
        <w:rPr>
          <w:rFonts w:ascii="Times New Roman" w:hAnsi="Times New Roman" w:cs="Times New Roman"/>
          <w:sz w:val="24"/>
          <w:szCs w:val="24"/>
        </w:rPr>
        <w:t xml:space="preserve">. As can be seen in </w:t>
      </w:r>
      <w:r w:rsidR="00CD27AA">
        <w:fldChar w:fldCharType="begin"/>
      </w:r>
      <w:r w:rsidR="00CD27AA">
        <w:instrText xml:space="preserve"> REF _Ref292961292 \h  \* MERGEFORMAT </w:instrText>
      </w:r>
      <w:r w:rsidR="00CD27AA">
        <w:fldChar w:fldCharType="separate"/>
      </w:r>
      <w:r w:rsidR="00064A1B" w:rsidRPr="003571FD">
        <w:rPr>
          <w:rFonts w:ascii="Times New Roman" w:hAnsi="Times New Roman" w:cs="Times New Roman"/>
        </w:rPr>
        <w:t xml:space="preserve">Table </w:t>
      </w:r>
      <w:r w:rsidR="00064A1B">
        <w:rPr>
          <w:rFonts w:ascii="Times New Roman" w:hAnsi="Times New Roman" w:cs="Times New Roman"/>
        </w:rPr>
        <w:t>1</w:t>
      </w:r>
      <w:r w:rsidR="00CD27AA">
        <w:fldChar w:fldCharType="end"/>
      </w:r>
      <w:r w:rsidR="00D04E20" w:rsidRPr="003571FD">
        <w:rPr>
          <w:rFonts w:ascii="Times New Roman" w:hAnsi="Times New Roman" w:cs="Times New Roman"/>
          <w:sz w:val="24"/>
          <w:szCs w:val="24"/>
        </w:rPr>
        <w:t>,</w:t>
      </w:r>
      <w:r w:rsidRPr="003571FD">
        <w:rPr>
          <w:rFonts w:ascii="Times New Roman" w:hAnsi="Times New Roman" w:cs="Times New Roman"/>
          <w:sz w:val="24"/>
          <w:szCs w:val="24"/>
        </w:rPr>
        <w:t xml:space="preserve"> the </w:t>
      </w:r>
      <w:r w:rsidR="0053117F"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53117F"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53117F" w:rsidRPr="003571FD">
        <w:rPr>
          <w:rFonts w:ascii="Times New Roman" w:hAnsi="Times New Roman" w:cs="Times New Roman"/>
          <w:sz w:val="24"/>
          <w:szCs w:val="24"/>
        </w:rPr>
        <w:t>a</w:t>
      </w:r>
      <w:r w:rsidRPr="003571FD">
        <w:rPr>
          <w:rFonts w:ascii="Times New Roman" w:hAnsi="Times New Roman" w:cs="Times New Roman"/>
          <w:sz w:val="24"/>
          <w:szCs w:val="24"/>
        </w:rPr>
        <w:t>ssociations account for a large asset base, but due to their strong focus on larger housing loans account for only 1 percent of loans by number. On the other hand, the finance companies and open cooperatives account for a combined 10 percent of all assets, but together represent around 3</w:t>
      </w:r>
      <w:r w:rsidR="00D04E20" w:rsidRPr="003571FD">
        <w:rPr>
          <w:rFonts w:ascii="Times New Roman" w:hAnsi="Times New Roman" w:cs="Times New Roman"/>
          <w:sz w:val="24"/>
          <w:szCs w:val="24"/>
        </w:rPr>
        <w:t>2</w:t>
      </w:r>
      <w:r w:rsidRPr="003571FD">
        <w:rPr>
          <w:rFonts w:ascii="Times New Roman" w:hAnsi="Times New Roman" w:cs="Times New Roman"/>
          <w:sz w:val="24"/>
          <w:szCs w:val="24"/>
        </w:rPr>
        <w:t xml:space="preserve"> percent of all deposit accounts and </w:t>
      </w:r>
      <w:r w:rsidR="00D04E20" w:rsidRPr="003571FD">
        <w:rPr>
          <w:rFonts w:ascii="Times New Roman" w:hAnsi="Times New Roman" w:cs="Times New Roman"/>
          <w:sz w:val="24"/>
          <w:szCs w:val="24"/>
        </w:rPr>
        <w:t>22</w:t>
      </w:r>
      <w:r w:rsidRPr="003571FD">
        <w:rPr>
          <w:rFonts w:ascii="Times New Roman" w:hAnsi="Times New Roman" w:cs="Times New Roman"/>
          <w:sz w:val="24"/>
          <w:szCs w:val="24"/>
        </w:rPr>
        <w:t xml:space="preserve"> percent of borrowers. Particularly the formal cooperative sector is large in regional comparison, with only Paraguay and Ecuador reporting a higher share of assets for their </w:t>
      </w:r>
      <w:r w:rsidRPr="003571FD">
        <w:rPr>
          <w:rFonts w:ascii="Times New Roman" w:hAnsi="Times New Roman" w:cs="Times New Roman"/>
          <w:sz w:val="24"/>
          <w:szCs w:val="24"/>
        </w:rPr>
        <w:lastRenderedPageBreak/>
        <w:t xml:space="preserve">cooperative sector. Together with the </w:t>
      </w:r>
      <w:r w:rsidR="0049515F" w:rsidRPr="003571FD">
        <w:rPr>
          <w:rFonts w:ascii="Times New Roman" w:hAnsi="Times New Roman" w:cs="Times New Roman"/>
          <w:sz w:val="24"/>
          <w:szCs w:val="24"/>
        </w:rPr>
        <w:t xml:space="preserve">three </w:t>
      </w:r>
      <w:r w:rsidRPr="003571FD">
        <w:rPr>
          <w:rFonts w:ascii="Times New Roman" w:hAnsi="Times New Roman" w:cs="Times New Roman"/>
          <w:sz w:val="24"/>
          <w:szCs w:val="24"/>
        </w:rPr>
        <w:t>microfinance banks</w:t>
      </w:r>
      <w:r w:rsidR="0049515F" w:rsidRPr="003571FD">
        <w:rPr>
          <w:rStyle w:val="FootnoteReference"/>
          <w:rFonts w:ascii="Times New Roman" w:hAnsi="Times New Roman" w:cs="Times New Roman"/>
          <w:sz w:val="24"/>
          <w:szCs w:val="24"/>
        </w:rPr>
        <w:footnoteReference w:id="27"/>
      </w:r>
      <w:r w:rsidRPr="003571FD">
        <w:rPr>
          <w:rFonts w:ascii="Times New Roman" w:hAnsi="Times New Roman" w:cs="Times New Roman"/>
          <w:sz w:val="24"/>
          <w:szCs w:val="24"/>
        </w:rPr>
        <w:t>, the formal microfinance sector accounts for one-fourth of all assets, 3</w:t>
      </w:r>
      <w:r w:rsidR="00D04E20" w:rsidRPr="003571FD">
        <w:rPr>
          <w:rFonts w:ascii="Times New Roman" w:hAnsi="Times New Roman" w:cs="Times New Roman"/>
          <w:sz w:val="24"/>
          <w:szCs w:val="24"/>
        </w:rPr>
        <w:t>2</w:t>
      </w:r>
      <w:r w:rsidRPr="003571FD">
        <w:rPr>
          <w:rFonts w:ascii="Times New Roman" w:hAnsi="Times New Roman" w:cs="Times New Roman"/>
          <w:sz w:val="24"/>
          <w:szCs w:val="24"/>
        </w:rPr>
        <w:t xml:space="preserve"> percent of loans by volume and 4</w:t>
      </w:r>
      <w:r w:rsidR="001F5B9C" w:rsidRPr="003571FD">
        <w:rPr>
          <w:rFonts w:ascii="Times New Roman" w:hAnsi="Times New Roman" w:cs="Times New Roman"/>
          <w:sz w:val="24"/>
          <w:szCs w:val="24"/>
        </w:rPr>
        <w:t>6</w:t>
      </w:r>
      <w:r w:rsidRPr="003571FD">
        <w:rPr>
          <w:rFonts w:ascii="Times New Roman" w:hAnsi="Times New Roman" w:cs="Times New Roman"/>
          <w:sz w:val="24"/>
          <w:szCs w:val="24"/>
        </w:rPr>
        <w:t xml:space="preserve"> percent of all borrowers. </w:t>
      </w:r>
    </w:p>
    <w:p w:rsidR="00CF7BD4" w:rsidRPr="003571FD" w:rsidRDefault="00CF7BD4" w:rsidP="00CF7BD4">
      <w:pPr>
        <w:pStyle w:val="Caption"/>
        <w:keepNext/>
        <w:rPr>
          <w:rFonts w:ascii="Times New Roman" w:hAnsi="Times New Roman" w:cs="Times New Roman"/>
          <w:color w:val="auto"/>
        </w:rPr>
      </w:pPr>
      <w:bookmarkStart w:id="18" w:name="_Ref292961292"/>
      <w:bookmarkStart w:id="19" w:name="_Toc312317348"/>
      <w:r w:rsidRPr="003571FD">
        <w:rPr>
          <w:rFonts w:ascii="Times New Roman" w:hAnsi="Times New Roman" w:cs="Times New Roman"/>
          <w:color w:val="auto"/>
        </w:rPr>
        <w:t xml:space="preserve">Table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w:t>
      </w:r>
      <w:r w:rsidR="005744EE" w:rsidRPr="003571FD">
        <w:rPr>
          <w:rFonts w:ascii="Times New Roman" w:hAnsi="Times New Roman" w:cs="Times New Roman"/>
          <w:color w:val="auto"/>
        </w:rPr>
        <w:fldChar w:fldCharType="end"/>
      </w:r>
      <w:bookmarkEnd w:id="18"/>
      <w:r w:rsidRPr="003571FD">
        <w:rPr>
          <w:rFonts w:ascii="Times New Roman" w:hAnsi="Times New Roman" w:cs="Times New Roman"/>
          <w:color w:val="auto"/>
        </w:rPr>
        <w:t>: Composition of Bolivia's financial system (November 2010, excluding insurance, pensions capital market and the second tier public bank)</w:t>
      </w:r>
      <w:bookmarkEnd w:id="19"/>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710"/>
        <w:gridCol w:w="487"/>
        <w:gridCol w:w="880"/>
        <w:gridCol w:w="552"/>
        <w:gridCol w:w="881"/>
        <w:gridCol w:w="552"/>
        <w:gridCol w:w="881"/>
        <w:gridCol w:w="552"/>
        <w:gridCol w:w="881"/>
        <w:gridCol w:w="552"/>
        <w:gridCol w:w="986"/>
        <w:gridCol w:w="546"/>
      </w:tblGrid>
      <w:tr w:rsidR="00245B24" w:rsidRPr="003571FD" w:rsidTr="005636B8">
        <w:trPr>
          <w:trHeight w:val="316"/>
        </w:trPr>
        <w:tc>
          <w:tcPr>
            <w:tcW w:w="2197" w:type="dxa"/>
            <w:gridSpan w:val="2"/>
            <w:vMerge w:val="restart"/>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p>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Number of entities</w:t>
            </w:r>
          </w:p>
        </w:tc>
        <w:tc>
          <w:tcPr>
            <w:tcW w:w="1432" w:type="dxa"/>
            <w:gridSpan w:val="2"/>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Assets</w:t>
            </w:r>
          </w:p>
        </w:tc>
        <w:tc>
          <w:tcPr>
            <w:tcW w:w="1433" w:type="dxa"/>
            <w:gridSpan w:val="2"/>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Deposits</w:t>
            </w:r>
          </w:p>
        </w:tc>
        <w:tc>
          <w:tcPr>
            <w:tcW w:w="1433" w:type="dxa"/>
            <w:gridSpan w:val="2"/>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Loans</w:t>
            </w:r>
          </w:p>
        </w:tc>
        <w:tc>
          <w:tcPr>
            <w:tcW w:w="1433" w:type="dxa"/>
            <w:gridSpan w:val="2"/>
            <w:shd w:val="clear" w:color="auto" w:fill="auto"/>
            <w:vAlign w:val="center"/>
          </w:tcPr>
          <w:p w:rsidR="00245B24" w:rsidRPr="003571FD" w:rsidRDefault="00245B24" w:rsidP="009E1F73">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Deposit Accounts</w:t>
            </w:r>
          </w:p>
        </w:tc>
        <w:tc>
          <w:tcPr>
            <w:tcW w:w="1532" w:type="dxa"/>
            <w:gridSpan w:val="2"/>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Borrowers</w:t>
            </w:r>
          </w:p>
        </w:tc>
      </w:tr>
      <w:tr w:rsidR="00245B24" w:rsidRPr="003571FD" w:rsidTr="005636B8">
        <w:trPr>
          <w:trHeight w:val="316"/>
        </w:trPr>
        <w:tc>
          <w:tcPr>
            <w:tcW w:w="2197" w:type="dxa"/>
            <w:gridSpan w:val="2"/>
            <w:vMerge/>
            <w:shd w:val="clear" w:color="auto" w:fill="auto"/>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p>
        </w:tc>
        <w:tc>
          <w:tcPr>
            <w:tcW w:w="880"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 xml:space="preserve">in </w:t>
            </w:r>
            <w:proofErr w:type="spellStart"/>
            <w:r w:rsidRPr="003571FD">
              <w:rPr>
                <w:rFonts w:ascii="Times New Roman" w:hAnsi="Times New Roman" w:cs="Times New Roman"/>
                <w:b/>
                <w:bCs/>
                <w:sz w:val="16"/>
                <w:szCs w:val="16"/>
              </w:rPr>
              <w:t>mio</w:t>
            </w:r>
            <w:proofErr w:type="spellEnd"/>
            <w:r w:rsidRPr="003571FD">
              <w:rPr>
                <w:rFonts w:ascii="Times New Roman" w:hAnsi="Times New Roman" w:cs="Times New Roman"/>
                <w:b/>
                <w:bCs/>
                <w:sz w:val="16"/>
                <w:szCs w:val="16"/>
              </w:rPr>
              <w:t xml:space="preserve"> USD</w:t>
            </w:r>
          </w:p>
        </w:tc>
        <w:tc>
          <w:tcPr>
            <w:tcW w:w="552"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w:t>
            </w:r>
          </w:p>
        </w:tc>
        <w:tc>
          <w:tcPr>
            <w:tcW w:w="881"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 xml:space="preserve">in </w:t>
            </w:r>
            <w:proofErr w:type="spellStart"/>
            <w:r w:rsidRPr="003571FD">
              <w:rPr>
                <w:rFonts w:ascii="Times New Roman" w:hAnsi="Times New Roman" w:cs="Times New Roman"/>
                <w:b/>
                <w:bCs/>
                <w:sz w:val="16"/>
                <w:szCs w:val="16"/>
              </w:rPr>
              <w:t>mio</w:t>
            </w:r>
            <w:proofErr w:type="spellEnd"/>
            <w:r w:rsidRPr="003571FD">
              <w:rPr>
                <w:rFonts w:ascii="Times New Roman" w:hAnsi="Times New Roman" w:cs="Times New Roman"/>
                <w:b/>
                <w:bCs/>
                <w:sz w:val="16"/>
                <w:szCs w:val="16"/>
              </w:rPr>
              <w:t xml:space="preserve"> USD</w:t>
            </w:r>
          </w:p>
        </w:tc>
        <w:tc>
          <w:tcPr>
            <w:tcW w:w="552"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w:t>
            </w:r>
          </w:p>
        </w:tc>
        <w:tc>
          <w:tcPr>
            <w:tcW w:w="881"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 xml:space="preserve">in </w:t>
            </w:r>
            <w:proofErr w:type="spellStart"/>
            <w:r w:rsidRPr="003571FD">
              <w:rPr>
                <w:rFonts w:ascii="Times New Roman" w:hAnsi="Times New Roman" w:cs="Times New Roman"/>
                <w:b/>
                <w:bCs/>
                <w:sz w:val="16"/>
                <w:szCs w:val="16"/>
              </w:rPr>
              <w:t>mio</w:t>
            </w:r>
            <w:proofErr w:type="spellEnd"/>
            <w:r w:rsidRPr="003571FD">
              <w:rPr>
                <w:rFonts w:ascii="Times New Roman" w:hAnsi="Times New Roman" w:cs="Times New Roman"/>
                <w:b/>
                <w:bCs/>
                <w:sz w:val="16"/>
                <w:szCs w:val="16"/>
              </w:rPr>
              <w:t xml:space="preserve"> USD</w:t>
            </w:r>
          </w:p>
        </w:tc>
        <w:tc>
          <w:tcPr>
            <w:tcW w:w="552"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w:t>
            </w:r>
          </w:p>
        </w:tc>
        <w:tc>
          <w:tcPr>
            <w:tcW w:w="881"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number</w:t>
            </w:r>
          </w:p>
        </w:tc>
        <w:tc>
          <w:tcPr>
            <w:tcW w:w="552"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w:t>
            </w:r>
          </w:p>
        </w:tc>
        <w:tc>
          <w:tcPr>
            <w:tcW w:w="986"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number</w:t>
            </w:r>
          </w:p>
        </w:tc>
        <w:tc>
          <w:tcPr>
            <w:tcW w:w="546" w:type="dxa"/>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w:t>
            </w:r>
          </w:p>
        </w:tc>
      </w:tr>
      <w:tr w:rsidR="00245B24" w:rsidRPr="003571FD" w:rsidTr="005636B8">
        <w:trPr>
          <w:trHeight w:val="344"/>
        </w:trPr>
        <w:tc>
          <w:tcPr>
            <w:tcW w:w="9460" w:type="dxa"/>
            <w:gridSpan w:val="12"/>
            <w:shd w:val="clear" w:color="auto" w:fill="CCCCCC"/>
            <w:vAlign w:val="bottom"/>
          </w:tcPr>
          <w:p w:rsidR="00245B24" w:rsidRPr="003571FD" w:rsidRDefault="00245B24" w:rsidP="00EF773C">
            <w:pPr>
              <w:spacing w:after="0" w:line="240" w:lineRule="auto"/>
              <w:contextualSpacing/>
              <w:rPr>
                <w:rFonts w:ascii="Times New Roman" w:hAnsi="Times New Roman" w:cs="Times New Roman"/>
                <w:b/>
                <w:bCs/>
                <w:i/>
                <w:iCs/>
                <w:sz w:val="16"/>
                <w:szCs w:val="16"/>
              </w:rPr>
            </w:pPr>
            <w:r w:rsidRPr="003571FD">
              <w:rPr>
                <w:rFonts w:ascii="Times New Roman" w:hAnsi="Times New Roman" w:cs="Times New Roman"/>
                <w:b/>
                <w:bCs/>
                <w:i/>
                <w:iCs/>
                <w:sz w:val="16"/>
                <w:szCs w:val="16"/>
              </w:rPr>
              <w:t>Formal financial system</w:t>
            </w:r>
          </w:p>
        </w:tc>
      </w:tr>
      <w:tr w:rsidR="00245B24" w:rsidRPr="003571FD" w:rsidTr="005636B8">
        <w:trPr>
          <w:trHeight w:val="288"/>
        </w:trPr>
        <w:tc>
          <w:tcPr>
            <w:tcW w:w="1710" w:type="dxa"/>
            <w:shd w:val="clear" w:color="auto" w:fill="auto"/>
            <w:noWrap/>
            <w:vAlign w:val="bottom"/>
          </w:tcPr>
          <w:p w:rsidR="00245B24" w:rsidRPr="003571FD" w:rsidRDefault="00245B24" w:rsidP="00EF773C">
            <w:pPr>
              <w:spacing w:after="0" w:line="240" w:lineRule="auto"/>
              <w:contextualSpacing/>
              <w:rPr>
                <w:rFonts w:ascii="Times New Roman" w:hAnsi="Times New Roman" w:cs="Times New Roman"/>
                <w:b/>
                <w:bCs/>
                <w:sz w:val="16"/>
                <w:szCs w:val="16"/>
              </w:rPr>
            </w:pPr>
            <w:r w:rsidRPr="003571FD">
              <w:rPr>
                <w:rFonts w:ascii="Times New Roman" w:hAnsi="Times New Roman" w:cs="Times New Roman"/>
                <w:b/>
                <w:bCs/>
                <w:sz w:val="16"/>
                <w:szCs w:val="16"/>
              </w:rPr>
              <w:t>Banks</w:t>
            </w:r>
          </w:p>
        </w:tc>
        <w:tc>
          <w:tcPr>
            <w:tcW w:w="487"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12</w:t>
            </w:r>
          </w:p>
        </w:tc>
        <w:tc>
          <w:tcPr>
            <w:tcW w:w="880"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9,263</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77</w:t>
            </w:r>
          </w:p>
        </w:tc>
        <w:tc>
          <w:tcPr>
            <w:tcW w:w="881" w:type="dxa"/>
            <w:shd w:val="clear" w:color="auto" w:fill="auto"/>
            <w:noWrap/>
            <w:vAlign w:val="bottom"/>
          </w:tcPr>
          <w:p w:rsidR="00245B24" w:rsidRPr="003571FD" w:rsidRDefault="00245B24" w:rsidP="00021CE8">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7,540</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79</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5,209</w:t>
            </w:r>
          </w:p>
        </w:tc>
        <w:tc>
          <w:tcPr>
            <w:tcW w:w="552" w:type="dxa"/>
            <w:shd w:val="clear" w:color="auto" w:fill="auto"/>
            <w:noWrap/>
            <w:vAlign w:val="bottom"/>
          </w:tcPr>
          <w:p w:rsidR="00245B24" w:rsidRPr="003571FD" w:rsidRDefault="00245B24" w:rsidP="00021CE8">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73</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sz w:val="16"/>
                <w:szCs w:val="16"/>
              </w:rPr>
            </w:pPr>
            <w:r w:rsidRPr="003571FD">
              <w:rPr>
                <w:rFonts w:ascii="Times New Roman" w:hAnsi="Times New Roman" w:cs="Times New Roman"/>
                <w:sz w:val="16"/>
                <w:szCs w:val="16"/>
              </w:rPr>
              <w:t>2,877,166</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55</w:t>
            </w:r>
          </w:p>
        </w:tc>
        <w:tc>
          <w:tcPr>
            <w:tcW w:w="98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544,457</w:t>
            </w:r>
          </w:p>
        </w:tc>
        <w:tc>
          <w:tcPr>
            <w:tcW w:w="54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42</w:t>
            </w:r>
          </w:p>
        </w:tc>
      </w:tr>
      <w:tr w:rsidR="00245B24" w:rsidRPr="003571FD" w:rsidTr="005636B8">
        <w:trPr>
          <w:trHeight w:val="321"/>
        </w:trPr>
        <w:tc>
          <w:tcPr>
            <w:tcW w:w="1710" w:type="dxa"/>
            <w:shd w:val="clear" w:color="auto" w:fill="auto"/>
            <w:noWrap/>
            <w:vAlign w:val="center"/>
          </w:tcPr>
          <w:p w:rsidR="00245B24" w:rsidRPr="003571FD" w:rsidRDefault="00B07DFB" w:rsidP="00EF773C">
            <w:pPr>
              <w:spacing w:after="0" w:line="240" w:lineRule="auto"/>
              <w:contextualSpacing/>
              <w:rPr>
                <w:rFonts w:ascii="Times New Roman" w:hAnsi="Times New Roman" w:cs="Times New Roman"/>
                <w:b/>
                <w:bCs/>
                <w:i/>
                <w:sz w:val="16"/>
                <w:szCs w:val="16"/>
              </w:rPr>
            </w:pPr>
            <w:r w:rsidRPr="003571FD">
              <w:rPr>
                <w:rFonts w:ascii="Times New Roman" w:hAnsi="Times New Roman" w:cs="Times New Roman"/>
                <w:b/>
                <w:bCs/>
                <w:i/>
                <w:sz w:val="16"/>
                <w:szCs w:val="16"/>
              </w:rPr>
              <w:t xml:space="preserve"> </w:t>
            </w:r>
            <w:r w:rsidR="00245B24" w:rsidRPr="003571FD">
              <w:rPr>
                <w:rFonts w:ascii="Times New Roman" w:hAnsi="Times New Roman" w:cs="Times New Roman"/>
                <w:b/>
                <w:bCs/>
                <w:i/>
                <w:sz w:val="16"/>
                <w:szCs w:val="16"/>
              </w:rPr>
              <w:t>foreign subsidiaries</w:t>
            </w:r>
          </w:p>
        </w:tc>
        <w:tc>
          <w:tcPr>
            <w:tcW w:w="487"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2</w:t>
            </w:r>
          </w:p>
        </w:tc>
        <w:tc>
          <w:tcPr>
            <w:tcW w:w="880"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47</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0</w:t>
            </w:r>
          </w:p>
        </w:tc>
        <w:tc>
          <w:tcPr>
            <w:tcW w:w="881"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14</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0</w:t>
            </w:r>
          </w:p>
        </w:tc>
        <w:tc>
          <w:tcPr>
            <w:tcW w:w="881"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16</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0</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sz w:val="16"/>
                <w:szCs w:val="16"/>
              </w:rPr>
            </w:pPr>
            <w:r w:rsidRPr="003571FD">
              <w:rPr>
                <w:rFonts w:ascii="Times New Roman" w:hAnsi="Times New Roman" w:cs="Times New Roman"/>
                <w:sz w:val="16"/>
                <w:szCs w:val="16"/>
              </w:rPr>
              <w:t>2,025</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0</w:t>
            </w:r>
          </w:p>
        </w:tc>
        <w:tc>
          <w:tcPr>
            <w:tcW w:w="986" w:type="dxa"/>
            <w:vMerge w:val="restart"/>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184,827</w:t>
            </w:r>
          </w:p>
        </w:tc>
        <w:tc>
          <w:tcPr>
            <w:tcW w:w="546" w:type="dxa"/>
            <w:vMerge w:val="restart"/>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14</w:t>
            </w:r>
          </w:p>
        </w:tc>
      </w:tr>
      <w:tr w:rsidR="00245B24" w:rsidRPr="003571FD" w:rsidTr="005636B8">
        <w:trPr>
          <w:trHeight w:val="321"/>
        </w:trPr>
        <w:tc>
          <w:tcPr>
            <w:tcW w:w="1710" w:type="dxa"/>
            <w:shd w:val="clear" w:color="auto" w:fill="auto"/>
            <w:noWrap/>
            <w:vAlign w:val="center"/>
          </w:tcPr>
          <w:p w:rsidR="00245B24" w:rsidRPr="003571FD" w:rsidRDefault="00B07DFB" w:rsidP="00EF773C">
            <w:pPr>
              <w:spacing w:after="0" w:line="240" w:lineRule="auto"/>
              <w:contextualSpacing/>
              <w:rPr>
                <w:rFonts w:ascii="Times New Roman" w:hAnsi="Times New Roman" w:cs="Times New Roman"/>
                <w:b/>
                <w:bCs/>
                <w:i/>
                <w:sz w:val="16"/>
                <w:szCs w:val="16"/>
              </w:rPr>
            </w:pPr>
            <w:r w:rsidRPr="003571FD">
              <w:rPr>
                <w:rFonts w:ascii="Times New Roman" w:hAnsi="Times New Roman" w:cs="Times New Roman"/>
                <w:b/>
                <w:bCs/>
                <w:i/>
                <w:sz w:val="16"/>
                <w:szCs w:val="16"/>
              </w:rPr>
              <w:t xml:space="preserve"> </w:t>
            </w:r>
            <w:r w:rsidR="00245B24" w:rsidRPr="003571FD">
              <w:rPr>
                <w:rFonts w:ascii="Times New Roman" w:hAnsi="Times New Roman" w:cs="Times New Roman"/>
                <w:b/>
                <w:bCs/>
                <w:i/>
                <w:sz w:val="16"/>
                <w:szCs w:val="16"/>
              </w:rPr>
              <w:t>commercial banks</w:t>
            </w:r>
          </w:p>
        </w:tc>
        <w:tc>
          <w:tcPr>
            <w:tcW w:w="487"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w:t>
            </w:r>
          </w:p>
        </w:tc>
        <w:tc>
          <w:tcPr>
            <w:tcW w:w="880"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6,853</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57</w:t>
            </w:r>
          </w:p>
        </w:tc>
        <w:tc>
          <w:tcPr>
            <w:tcW w:w="881"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5,790</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61</w:t>
            </w:r>
          </w:p>
        </w:tc>
        <w:tc>
          <w:tcPr>
            <w:tcW w:w="881"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3,569</w:t>
            </w:r>
          </w:p>
        </w:tc>
        <w:tc>
          <w:tcPr>
            <w:tcW w:w="552" w:type="dxa"/>
            <w:shd w:val="clear" w:color="auto" w:fill="auto"/>
            <w:noWrap/>
            <w:vAlign w:val="center"/>
          </w:tcPr>
          <w:p w:rsidR="00245B24" w:rsidRPr="003571FD" w:rsidRDefault="00245B24" w:rsidP="00021CE8">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50</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sz w:val="16"/>
                <w:szCs w:val="16"/>
              </w:rPr>
            </w:pPr>
            <w:r w:rsidRPr="003571FD">
              <w:rPr>
                <w:rFonts w:ascii="Times New Roman" w:hAnsi="Times New Roman" w:cs="Times New Roman"/>
                <w:sz w:val="16"/>
                <w:szCs w:val="16"/>
              </w:rPr>
              <w:t>1,388,180</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26</w:t>
            </w:r>
          </w:p>
        </w:tc>
        <w:tc>
          <w:tcPr>
            <w:tcW w:w="986" w:type="dxa"/>
            <w:vMerge/>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p>
        </w:tc>
        <w:tc>
          <w:tcPr>
            <w:tcW w:w="546" w:type="dxa"/>
            <w:vMerge/>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p>
        </w:tc>
      </w:tr>
      <w:tr w:rsidR="00245B24" w:rsidRPr="003571FD" w:rsidTr="005636B8">
        <w:trPr>
          <w:trHeight w:val="321"/>
        </w:trPr>
        <w:tc>
          <w:tcPr>
            <w:tcW w:w="1710" w:type="dxa"/>
            <w:shd w:val="clear" w:color="auto" w:fill="auto"/>
            <w:noWrap/>
            <w:vAlign w:val="center"/>
          </w:tcPr>
          <w:p w:rsidR="00245B24" w:rsidRPr="003571FD" w:rsidRDefault="00B07DFB" w:rsidP="00EF773C">
            <w:pPr>
              <w:spacing w:after="0" w:line="240" w:lineRule="auto"/>
              <w:contextualSpacing/>
              <w:rPr>
                <w:rFonts w:ascii="Times New Roman" w:hAnsi="Times New Roman" w:cs="Times New Roman"/>
                <w:b/>
                <w:bCs/>
                <w:i/>
                <w:sz w:val="16"/>
                <w:szCs w:val="16"/>
              </w:rPr>
            </w:pPr>
            <w:r w:rsidRPr="003571FD">
              <w:rPr>
                <w:rFonts w:ascii="Times New Roman" w:hAnsi="Times New Roman" w:cs="Times New Roman"/>
                <w:b/>
                <w:bCs/>
                <w:i/>
                <w:sz w:val="16"/>
                <w:szCs w:val="16"/>
              </w:rPr>
              <w:t xml:space="preserve"> </w:t>
            </w:r>
            <w:r w:rsidR="00245B24" w:rsidRPr="003571FD">
              <w:rPr>
                <w:rFonts w:ascii="Times New Roman" w:hAnsi="Times New Roman" w:cs="Times New Roman"/>
                <w:b/>
                <w:bCs/>
                <w:i/>
                <w:sz w:val="16"/>
                <w:szCs w:val="16"/>
              </w:rPr>
              <w:t>public bank</w:t>
            </w:r>
          </w:p>
        </w:tc>
        <w:tc>
          <w:tcPr>
            <w:tcW w:w="487"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w:t>
            </w:r>
          </w:p>
        </w:tc>
        <w:tc>
          <w:tcPr>
            <w:tcW w:w="880"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698</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w:t>
            </w:r>
          </w:p>
        </w:tc>
        <w:tc>
          <w:tcPr>
            <w:tcW w:w="881"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566</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w:t>
            </w:r>
          </w:p>
        </w:tc>
        <w:tc>
          <w:tcPr>
            <w:tcW w:w="881"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394</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sz w:val="16"/>
                <w:szCs w:val="16"/>
              </w:rPr>
            </w:pPr>
            <w:r w:rsidRPr="003571FD">
              <w:rPr>
                <w:rFonts w:ascii="Times New Roman" w:hAnsi="Times New Roman" w:cs="Times New Roman"/>
                <w:sz w:val="16"/>
                <w:szCs w:val="16"/>
              </w:rPr>
              <w:t>250,392</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5</w:t>
            </w:r>
          </w:p>
        </w:tc>
        <w:tc>
          <w:tcPr>
            <w:tcW w:w="986" w:type="dxa"/>
            <w:vMerge/>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p>
        </w:tc>
        <w:tc>
          <w:tcPr>
            <w:tcW w:w="546" w:type="dxa"/>
            <w:vMerge/>
            <w:shd w:val="clear" w:color="auto" w:fill="auto"/>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p>
        </w:tc>
      </w:tr>
      <w:tr w:rsidR="00245B24" w:rsidRPr="003571FD" w:rsidTr="005636B8">
        <w:trPr>
          <w:trHeight w:val="321"/>
        </w:trPr>
        <w:tc>
          <w:tcPr>
            <w:tcW w:w="1710" w:type="dxa"/>
            <w:shd w:val="clear" w:color="auto" w:fill="auto"/>
            <w:noWrap/>
            <w:vAlign w:val="center"/>
          </w:tcPr>
          <w:p w:rsidR="00245B24" w:rsidRPr="003571FD" w:rsidRDefault="00B07DFB" w:rsidP="001A11A8">
            <w:pPr>
              <w:spacing w:after="0" w:line="240" w:lineRule="auto"/>
              <w:contextualSpacing/>
              <w:rPr>
                <w:rFonts w:ascii="Times New Roman" w:hAnsi="Times New Roman" w:cs="Times New Roman"/>
                <w:b/>
                <w:bCs/>
                <w:i/>
                <w:sz w:val="16"/>
                <w:szCs w:val="16"/>
              </w:rPr>
            </w:pPr>
            <w:r w:rsidRPr="003571FD">
              <w:rPr>
                <w:rFonts w:ascii="Times New Roman" w:hAnsi="Times New Roman" w:cs="Times New Roman"/>
                <w:b/>
                <w:bCs/>
                <w:i/>
                <w:sz w:val="16"/>
                <w:szCs w:val="16"/>
              </w:rPr>
              <w:t xml:space="preserve"> </w:t>
            </w:r>
            <w:r w:rsidR="00245B24" w:rsidRPr="003571FD">
              <w:rPr>
                <w:rFonts w:ascii="Times New Roman" w:hAnsi="Times New Roman" w:cs="Times New Roman"/>
                <w:b/>
                <w:bCs/>
                <w:i/>
                <w:sz w:val="16"/>
                <w:szCs w:val="16"/>
              </w:rPr>
              <w:t>MFI banks</w:t>
            </w:r>
          </w:p>
        </w:tc>
        <w:tc>
          <w:tcPr>
            <w:tcW w:w="487"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3</w:t>
            </w:r>
          </w:p>
        </w:tc>
        <w:tc>
          <w:tcPr>
            <w:tcW w:w="880"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1,665</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14</w:t>
            </w:r>
          </w:p>
        </w:tc>
        <w:tc>
          <w:tcPr>
            <w:tcW w:w="881"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1,170</w:t>
            </w:r>
          </w:p>
        </w:tc>
        <w:tc>
          <w:tcPr>
            <w:tcW w:w="552"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12</w:t>
            </w:r>
          </w:p>
        </w:tc>
        <w:tc>
          <w:tcPr>
            <w:tcW w:w="881"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1,230</w:t>
            </w:r>
          </w:p>
        </w:tc>
        <w:tc>
          <w:tcPr>
            <w:tcW w:w="552" w:type="dxa"/>
            <w:shd w:val="clear" w:color="auto" w:fill="auto"/>
            <w:noWrap/>
            <w:vAlign w:val="center"/>
          </w:tcPr>
          <w:p w:rsidR="00245B24" w:rsidRPr="003571FD" w:rsidRDefault="00245B24" w:rsidP="00021CE8">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17</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sz w:val="16"/>
                <w:szCs w:val="16"/>
              </w:rPr>
            </w:pPr>
            <w:r w:rsidRPr="003571FD">
              <w:rPr>
                <w:rFonts w:ascii="Times New Roman" w:hAnsi="Times New Roman" w:cs="Times New Roman"/>
                <w:sz w:val="16"/>
                <w:szCs w:val="16"/>
              </w:rPr>
              <w:t>1,236,569</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24</w:t>
            </w:r>
          </w:p>
        </w:tc>
        <w:tc>
          <w:tcPr>
            <w:tcW w:w="986"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359,630</w:t>
            </w:r>
          </w:p>
        </w:tc>
        <w:tc>
          <w:tcPr>
            <w:tcW w:w="546" w:type="dxa"/>
            <w:shd w:val="clear" w:color="auto" w:fill="auto"/>
            <w:noWrap/>
            <w:vAlign w:val="center"/>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24</w:t>
            </w:r>
          </w:p>
        </w:tc>
      </w:tr>
      <w:tr w:rsidR="00245B24" w:rsidRPr="003571FD" w:rsidTr="005636B8">
        <w:trPr>
          <w:trHeight w:val="321"/>
        </w:trPr>
        <w:tc>
          <w:tcPr>
            <w:tcW w:w="1710" w:type="dxa"/>
            <w:shd w:val="clear" w:color="auto" w:fill="auto"/>
            <w:noWrap/>
            <w:vAlign w:val="bottom"/>
          </w:tcPr>
          <w:p w:rsidR="00245B24" w:rsidRPr="003571FD" w:rsidRDefault="00245B24" w:rsidP="00EF773C">
            <w:pPr>
              <w:spacing w:after="0" w:line="240" w:lineRule="auto"/>
              <w:contextualSpacing/>
              <w:rPr>
                <w:rFonts w:ascii="Times New Roman" w:hAnsi="Times New Roman" w:cs="Times New Roman"/>
                <w:b/>
                <w:bCs/>
                <w:sz w:val="16"/>
                <w:szCs w:val="16"/>
              </w:rPr>
            </w:pPr>
            <w:r w:rsidRPr="003571FD">
              <w:rPr>
                <w:rFonts w:ascii="Times New Roman" w:hAnsi="Times New Roman" w:cs="Times New Roman"/>
                <w:b/>
                <w:bCs/>
                <w:sz w:val="16"/>
                <w:szCs w:val="16"/>
              </w:rPr>
              <w:t>SLAs</w:t>
            </w:r>
          </w:p>
        </w:tc>
        <w:tc>
          <w:tcPr>
            <w:tcW w:w="487"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8</w:t>
            </w:r>
          </w:p>
        </w:tc>
        <w:tc>
          <w:tcPr>
            <w:tcW w:w="880"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912</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8</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693</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7</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310</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4</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sz w:val="16"/>
                <w:szCs w:val="16"/>
              </w:rPr>
            </w:pPr>
            <w:r w:rsidRPr="003571FD">
              <w:rPr>
                <w:rFonts w:ascii="Times New Roman" w:hAnsi="Times New Roman" w:cs="Times New Roman"/>
                <w:sz w:val="16"/>
                <w:szCs w:val="16"/>
              </w:rPr>
              <w:t>388,938</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7</w:t>
            </w:r>
          </w:p>
        </w:tc>
        <w:tc>
          <w:tcPr>
            <w:tcW w:w="98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19,251</w:t>
            </w:r>
          </w:p>
        </w:tc>
        <w:tc>
          <w:tcPr>
            <w:tcW w:w="54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w:t>
            </w:r>
          </w:p>
        </w:tc>
      </w:tr>
      <w:tr w:rsidR="00245B24" w:rsidRPr="003571FD" w:rsidTr="005636B8">
        <w:trPr>
          <w:trHeight w:val="321"/>
        </w:trPr>
        <w:tc>
          <w:tcPr>
            <w:tcW w:w="1710" w:type="dxa"/>
            <w:shd w:val="clear" w:color="auto" w:fill="auto"/>
            <w:noWrap/>
            <w:vAlign w:val="bottom"/>
          </w:tcPr>
          <w:p w:rsidR="00245B24" w:rsidRPr="003571FD" w:rsidRDefault="00245B24" w:rsidP="00EF773C">
            <w:pPr>
              <w:spacing w:after="0" w:line="240" w:lineRule="auto"/>
              <w:contextualSpacing/>
              <w:rPr>
                <w:rFonts w:ascii="Times New Roman" w:hAnsi="Times New Roman" w:cs="Times New Roman"/>
                <w:b/>
                <w:bCs/>
                <w:sz w:val="16"/>
                <w:szCs w:val="16"/>
              </w:rPr>
            </w:pPr>
            <w:r w:rsidRPr="003571FD">
              <w:rPr>
                <w:rFonts w:ascii="Times New Roman" w:hAnsi="Times New Roman" w:cs="Times New Roman"/>
                <w:b/>
                <w:bCs/>
                <w:sz w:val="16"/>
                <w:szCs w:val="16"/>
              </w:rPr>
              <w:t>Finance Companies</w:t>
            </w:r>
          </w:p>
        </w:tc>
        <w:tc>
          <w:tcPr>
            <w:tcW w:w="487"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5</w:t>
            </w:r>
          </w:p>
        </w:tc>
        <w:tc>
          <w:tcPr>
            <w:tcW w:w="880"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581</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5</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445</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5</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660</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9</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sz w:val="16"/>
                <w:szCs w:val="16"/>
              </w:rPr>
            </w:pPr>
            <w:r w:rsidRPr="003571FD">
              <w:rPr>
                <w:rFonts w:ascii="Times New Roman" w:hAnsi="Times New Roman" w:cs="Times New Roman"/>
                <w:sz w:val="16"/>
                <w:szCs w:val="16"/>
              </w:rPr>
              <w:t>886,341</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17</w:t>
            </w:r>
          </w:p>
        </w:tc>
        <w:tc>
          <w:tcPr>
            <w:tcW w:w="98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189,091</w:t>
            </w:r>
          </w:p>
        </w:tc>
        <w:tc>
          <w:tcPr>
            <w:tcW w:w="54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15</w:t>
            </w:r>
          </w:p>
        </w:tc>
      </w:tr>
      <w:tr w:rsidR="00245B24" w:rsidRPr="003571FD" w:rsidTr="005636B8">
        <w:trPr>
          <w:trHeight w:val="321"/>
        </w:trPr>
        <w:tc>
          <w:tcPr>
            <w:tcW w:w="1710" w:type="dxa"/>
            <w:shd w:val="clear" w:color="auto" w:fill="auto"/>
            <w:noWrap/>
            <w:vAlign w:val="bottom"/>
          </w:tcPr>
          <w:p w:rsidR="00245B24" w:rsidRPr="003571FD" w:rsidRDefault="00245B24" w:rsidP="00EF773C">
            <w:pPr>
              <w:spacing w:after="0" w:line="240" w:lineRule="auto"/>
              <w:contextualSpacing/>
              <w:rPr>
                <w:rFonts w:ascii="Times New Roman" w:hAnsi="Times New Roman" w:cs="Times New Roman"/>
                <w:b/>
                <w:bCs/>
                <w:sz w:val="16"/>
                <w:szCs w:val="16"/>
              </w:rPr>
            </w:pPr>
            <w:r w:rsidRPr="003571FD">
              <w:rPr>
                <w:rFonts w:ascii="Times New Roman" w:hAnsi="Times New Roman" w:cs="Times New Roman"/>
                <w:b/>
                <w:bCs/>
                <w:sz w:val="16"/>
                <w:szCs w:val="16"/>
              </w:rPr>
              <w:t>Open Cooperatives</w:t>
            </w:r>
          </w:p>
        </w:tc>
        <w:tc>
          <w:tcPr>
            <w:tcW w:w="487"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24</w:t>
            </w:r>
          </w:p>
        </w:tc>
        <w:tc>
          <w:tcPr>
            <w:tcW w:w="880"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571</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5</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455</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5</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407</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sz w:val="16"/>
                <w:szCs w:val="16"/>
              </w:rPr>
            </w:pPr>
            <w:r w:rsidRPr="003571FD">
              <w:rPr>
                <w:rFonts w:ascii="Times New Roman" w:hAnsi="Times New Roman" w:cs="Times New Roman"/>
                <w:sz w:val="16"/>
                <w:szCs w:val="16"/>
              </w:rPr>
              <w:t>779,316</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15</w:t>
            </w:r>
          </w:p>
        </w:tc>
        <w:tc>
          <w:tcPr>
            <w:tcW w:w="98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94,760</w:t>
            </w:r>
          </w:p>
        </w:tc>
        <w:tc>
          <w:tcPr>
            <w:tcW w:w="54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7</w:t>
            </w:r>
          </w:p>
        </w:tc>
      </w:tr>
      <w:tr w:rsidR="00245B24" w:rsidRPr="003571FD" w:rsidTr="005636B8">
        <w:trPr>
          <w:trHeight w:val="316"/>
        </w:trPr>
        <w:tc>
          <w:tcPr>
            <w:tcW w:w="1710" w:type="dxa"/>
            <w:shd w:val="clear" w:color="auto" w:fill="auto"/>
            <w:noWrap/>
            <w:vAlign w:val="bottom"/>
          </w:tcPr>
          <w:p w:rsidR="00245B24" w:rsidRPr="003571FD" w:rsidRDefault="00245B24" w:rsidP="00EF773C">
            <w:pPr>
              <w:spacing w:after="0" w:line="240" w:lineRule="auto"/>
              <w:contextualSpacing/>
              <w:rPr>
                <w:rFonts w:ascii="Times New Roman" w:hAnsi="Times New Roman" w:cs="Times New Roman"/>
                <w:b/>
                <w:bCs/>
                <w:sz w:val="16"/>
                <w:szCs w:val="16"/>
              </w:rPr>
            </w:pPr>
            <w:r w:rsidRPr="003571FD">
              <w:rPr>
                <w:rFonts w:ascii="Times New Roman" w:hAnsi="Times New Roman" w:cs="Times New Roman"/>
                <w:b/>
                <w:bCs/>
                <w:sz w:val="16"/>
                <w:szCs w:val="16"/>
              </w:rPr>
              <w:t>Total formal system</w:t>
            </w:r>
          </w:p>
        </w:tc>
        <w:tc>
          <w:tcPr>
            <w:tcW w:w="487"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62</w:t>
            </w:r>
          </w:p>
        </w:tc>
        <w:tc>
          <w:tcPr>
            <w:tcW w:w="880"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11,327</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i/>
                <w:sz w:val="16"/>
                <w:szCs w:val="16"/>
              </w:rPr>
            </w:pPr>
            <w:r w:rsidRPr="003571FD">
              <w:rPr>
                <w:rFonts w:ascii="Times New Roman" w:hAnsi="Times New Roman" w:cs="Times New Roman"/>
                <w:b/>
                <w:bCs/>
                <w:i/>
                <w:sz w:val="16"/>
                <w:szCs w:val="16"/>
              </w:rPr>
              <w:t>94</w:t>
            </w:r>
          </w:p>
        </w:tc>
        <w:tc>
          <w:tcPr>
            <w:tcW w:w="881" w:type="dxa"/>
            <w:shd w:val="clear" w:color="auto" w:fill="auto"/>
            <w:noWrap/>
            <w:vAlign w:val="bottom"/>
          </w:tcPr>
          <w:p w:rsidR="00245B24" w:rsidRPr="003571FD" w:rsidRDefault="00245B24" w:rsidP="00021CE8">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9,133</w:t>
            </w:r>
          </w:p>
        </w:tc>
        <w:tc>
          <w:tcPr>
            <w:tcW w:w="552" w:type="dxa"/>
            <w:shd w:val="clear" w:color="auto" w:fill="auto"/>
            <w:noWrap/>
            <w:vAlign w:val="bottom"/>
          </w:tcPr>
          <w:p w:rsidR="00245B24" w:rsidRPr="003571FD" w:rsidRDefault="00245B24" w:rsidP="00021CE8">
            <w:pPr>
              <w:spacing w:after="0" w:line="240" w:lineRule="auto"/>
              <w:contextualSpacing/>
              <w:jc w:val="center"/>
              <w:rPr>
                <w:rFonts w:ascii="Times New Roman" w:hAnsi="Times New Roman" w:cs="Times New Roman"/>
                <w:b/>
                <w:bCs/>
                <w:i/>
                <w:sz w:val="16"/>
                <w:szCs w:val="16"/>
              </w:rPr>
            </w:pPr>
            <w:r w:rsidRPr="003571FD">
              <w:rPr>
                <w:rFonts w:ascii="Times New Roman" w:hAnsi="Times New Roman" w:cs="Times New Roman"/>
                <w:b/>
                <w:bCs/>
                <w:i/>
                <w:sz w:val="16"/>
                <w:szCs w:val="16"/>
              </w:rPr>
              <w:t>96</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6,586</w:t>
            </w:r>
          </w:p>
        </w:tc>
        <w:tc>
          <w:tcPr>
            <w:tcW w:w="552" w:type="dxa"/>
            <w:shd w:val="clear" w:color="auto" w:fill="auto"/>
            <w:noWrap/>
            <w:vAlign w:val="bottom"/>
          </w:tcPr>
          <w:p w:rsidR="00245B24" w:rsidRPr="003571FD" w:rsidRDefault="00245B24" w:rsidP="00021CE8">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93</w:t>
            </w:r>
          </w:p>
        </w:tc>
        <w:tc>
          <w:tcPr>
            <w:tcW w:w="881"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b/>
                <w:bCs/>
                <w:sz w:val="16"/>
                <w:szCs w:val="16"/>
              </w:rPr>
            </w:pPr>
            <w:r w:rsidRPr="003571FD">
              <w:rPr>
                <w:rFonts w:ascii="Times New Roman" w:hAnsi="Times New Roman" w:cs="Times New Roman"/>
                <w:b/>
                <w:bCs/>
                <w:sz w:val="16"/>
                <w:szCs w:val="16"/>
              </w:rPr>
              <w:t>4,931,761</w:t>
            </w:r>
          </w:p>
        </w:tc>
        <w:tc>
          <w:tcPr>
            <w:tcW w:w="552" w:type="dxa"/>
            <w:shd w:val="clear" w:color="auto" w:fill="auto"/>
            <w:noWrap/>
            <w:vAlign w:val="bottom"/>
          </w:tcPr>
          <w:p w:rsidR="00245B24" w:rsidRPr="003571FD" w:rsidRDefault="00245B24" w:rsidP="00EF773C">
            <w:pPr>
              <w:spacing w:after="0" w:line="240" w:lineRule="auto"/>
              <w:jc w:val="center"/>
              <w:rPr>
                <w:rFonts w:ascii="Times New Roman" w:hAnsi="Times New Roman" w:cs="Times New Roman"/>
                <w:i/>
                <w:sz w:val="16"/>
                <w:szCs w:val="16"/>
              </w:rPr>
            </w:pPr>
            <w:r w:rsidRPr="003571FD">
              <w:rPr>
                <w:rFonts w:ascii="Times New Roman" w:hAnsi="Times New Roman" w:cs="Times New Roman"/>
                <w:i/>
                <w:sz w:val="16"/>
                <w:szCs w:val="16"/>
              </w:rPr>
              <w:t>94</w:t>
            </w:r>
          </w:p>
        </w:tc>
        <w:tc>
          <w:tcPr>
            <w:tcW w:w="98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847,559</w:t>
            </w:r>
          </w:p>
        </w:tc>
        <w:tc>
          <w:tcPr>
            <w:tcW w:w="54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66</w:t>
            </w:r>
          </w:p>
        </w:tc>
      </w:tr>
      <w:tr w:rsidR="00245B24" w:rsidRPr="003571FD" w:rsidTr="005636B8">
        <w:trPr>
          <w:trHeight w:val="368"/>
        </w:trPr>
        <w:tc>
          <w:tcPr>
            <w:tcW w:w="9460" w:type="dxa"/>
            <w:gridSpan w:val="12"/>
            <w:shd w:val="clear" w:color="auto" w:fill="CCCCCC"/>
            <w:noWrap/>
            <w:vAlign w:val="bottom"/>
          </w:tcPr>
          <w:p w:rsidR="00245B24" w:rsidRPr="003571FD" w:rsidRDefault="00245B24" w:rsidP="00EF773C">
            <w:pPr>
              <w:spacing w:after="0" w:line="240" w:lineRule="auto"/>
              <w:contextualSpacing/>
              <w:rPr>
                <w:rFonts w:ascii="Times New Roman" w:hAnsi="Times New Roman" w:cs="Times New Roman"/>
                <w:b/>
                <w:bCs/>
                <w:i/>
                <w:iCs/>
                <w:sz w:val="16"/>
                <w:szCs w:val="16"/>
              </w:rPr>
            </w:pPr>
            <w:r w:rsidRPr="003571FD">
              <w:rPr>
                <w:rFonts w:ascii="Times New Roman" w:hAnsi="Times New Roman" w:cs="Times New Roman"/>
                <w:b/>
                <w:bCs/>
                <w:i/>
                <w:iCs/>
                <w:sz w:val="16"/>
                <w:szCs w:val="16"/>
              </w:rPr>
              <w:t>Hitherto unregulated financial entities</w:t>
            </w:r>
          </w:p>
        </w:tc>
      </w:tr>
      <w:tr w:rsidR="00245B24" w:rsidRPr="003571FD" w:rsidTr="005636B8">
        <w:trPr>
          <w:trHeight w:val="288"/>
        </w:trPr>
        <w:tc>
          <w:tcPr>
            <w:tcW w:w="1710" w:type="dxa"/>
            <w:shd w:val="clear" w:color="auto" w:fill="auto"/>
            <w:noWrap/>
            <w:vAlign w:val="bottom"/>
          </w:tcPr>
          <w:p w:rsidR="00245B24" w:rsidRPr="003571FD" w:rsidRDefault="00245B24" w:rsidP="00EF773C">
            <w:pPr>
              <w:spacing w:after="0" w:line="240" w:lineRule="auto"/>
              <w:contextualSpacing/>
              <w:rPr>
                <w:rFonts w:ascii="Times New Roman" w:hAnsi="Times New Roman" w:cs="Times New Roman"/>
                <w:b/>
                <w:bCs/>
                <w:sz w:val="16"/>
                <w:szCs w:val="16"/>
              </w:rPr>
            </w:pPr>
            <w:r w:rsidRPr="003571FD">
              <w:rPr>
                <w:rFonts w:ascii="Times New Roman" w:hAnsi="Times New Roman" w:cs="Times New Roman"/>
                <w:b/>
                <w:bCs/>
                <w:sz w:val="16"/>
                <w:szCs w:val="16"/>
              </w:rPr>
              <w:t>Closed Cooperatives</w:t>
            </w:r>
          </w:p>
        </w:tc>
        <w:tc>
          <w:tcPr>
            <w:tcW w:w="487"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63</w:t>
            </w:r>
          </w:p>
        </w:tc>
        <w:tc>
          <w:tcPr>
            <w:tcW w:w="880"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392</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3</w:t>
            </w:r>
          </w:p>
        </w:tc>
        <w:tc>
          <w:tcPr>
            <w:tcW w:w="881" w:type="dxa"/>
            <w:shd w:val="clear" w:color="auto" w:fill="auto"/>
            <w:noWrap/>
            <w:vAlign w:val="bottom"/>
          </w:tcPr>
          <w:p w:rsidR="00245B24" w:rsidRPr="003571FD" w:rsidRDefault="00245B24" w:rsidP="00021CE8">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353</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4</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272</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4</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339,576</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4</w:t>
            </w:r>
          </w:p>
        </w:tc>
        <w:tc>
          <w:tcPr>
            <w:tcW w:w="98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72,621</w:t>
            </w:r>
          </w:p>
        </w:tc>
        <w:tc>
          <w:tcPr>
            <w:tcW w:w="54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6</w:t>
            </w:r>
          </w:p>
        </w:tc>
      </w:tr>
      <w:tr w:rsidR="00245B24" w:rsidRPr="003571FD" w:rsidTr="005636B8">
        <w:trPr>
          <w:trHeight w:val="332"/>
        </w:trPr>
        <w:tc>
          <w:tcPr>
            <w:tcW w:w="1710" w:type="dxa"/>
            <w:shd w:val="clear" w:color="auto" w:fill="auto"/>
            <w:noWrap/>
            <w:vAlign w:val="bottom"/>
          </w:tcPr>
          <w:p w:rsidR="00245B24" w:rsidRPr="003571FD" w:rsidRDefault="0049515F" w:rsidP="009A3811">
            <w:pPr>
              <w:spacing w:after="0" w:line="240" w:lineRule="auto"/>
              <w:contextualSpacing/>
              <w:rPr>
                <w:rFonts w:ascii="Times New Roman" w:hAnsi="Times New Roman" w:cs="Times New Roman"/>
                <w:b/>
                <w:bCs/>
                <w:sz w:val="16"/>
                <w:szCs w:val="16"/>
              </w:rPr>
            </w:pPr>
            <w:r w:rsidRPr="003571FD">
              <w:rPr>
                <w:rFonts w:ascii="Times New Roman" w:hAnsi="Times New Roman" w:cs="Times New Roman"/>
                <w:b/>
                <w:bCs/>
                <w:sz w:val="16"/>
                <w:szCs w:val="16"/>
              </w:rPr>
              <w:t>IFDs</w:t>
            </w:r>
          </w:p>
        </w:tc>
        <w:tc>
          <w:tcPr>
            <w:tcW w:w="487"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13</w:t>
            </w:r>
          </w:p>
        </w:tc>
        <w:tc>
          <w:tcPr>
            <w:tcW w:w="880" w:type="dxa"/>
            <w:shd w:val="clear" w:color="auto" w:fill="auto"/>
            <w:noWrap/>
            <w:vAlign w:val="bottom"/>
          </w:tcPr>
          <w:p w:rsidR="00245B24" w:rsidRPr="003571FD" w:rsidRDefault="00245B24" w:rsidP="00021CE8">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273</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2</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0</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235</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3</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0</w:t>
            </w:r>
          </w:p>
        </w:tc>
        <w:tc>
          <w:tcPr>
            <w:tcW w:w="98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sz w:val="16"/>
                <w:szCs w:val="16"/>
              </w:rPr>
            </w:pPr>
            <w:r w:rsidRPr="003571FD">
              <w:rPr>
                <w:rFonts w:ascii="Times New Roman" w:hAnsi="Times New Roman" w:cs="Times New Roman"/>
                <w:sz w:val="16"/>
                <w:szCs w:val="16"/>
              </w:rPr>
              <w:t>369,040</w:t>
            </w:r>
          </w:p>
        </w:tc>
        <w:tc>
          <w:tcPr>
            <w:tcW w:w="54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i/>
                <w:sz w:val="16"/>
                <w:szCs w:val="16"/>
              </w:rPr>
            </w:pPr>
            <w:r w:rsidRPr="003571FD">
              <w:rPr>
                <w:rFonts w:ascii="Times New Roman" w:hAnsi="Times New Roman" w:cs="Times New Roman"/>
                <w:i/>
                <w:sz w:val="16"/>
                <w:szCs w:val="16"/>
              </w:rPr>
              <w:t>29</w:t>
            </w:r>
          </w:p>
        </w:tc>
      </w:tr>
      <w:tr w:rsidR="00245B24" w:rsidRPr="003571FD" w:rsidTr="005636B8">
        <w:trPr>
          <w:trHeight w:val="316"/>
        </w:trPr>
        <w:tc>
          <w:tcPr>
            <w:tcW w:w="1710" w:type="dxa"/>
            <w:shd w:val="clear" w:color="auto" w:fill="auto"/>
            <w:noWrap/>
            <w:vAlign w:val="bottom"/>
          </w:tcPr>
          <w:p w:rsidR="00245B24" w:rsidRPr="003571FD" w:rsidRDefault="00245B24" w:rsidP="00EF773C">
            <w:pPr>
              <w:spacing w:after="0" w:line="240" w:lineRule="auto"/>
              <w:contextualSpacing/>
              <w:rPr>
                <w:rFonts w:ascii="Times New Roman" w:hAnsi="Times New Roman" w:cs="Times New Roman"/>
                <w:b/>
                <w:bCs/>
                <w:sz w:val="16"/>
                <w:szCs w:val="16"/>
              </w:rPr>
            </w:pPr>
            <w:r w:rsidRPr="003571FD">
              <w:rPr>
                <w:rFonts w:ascii="Times New Roman" w:hAnsi="Times New Roman" w:cs="Times New Roman"/>
                <w:b/>
                <w:bCs/>
                <w:sz w:val="16"/>
                <w:szCs w:val="16"/>
              </w:rPr>
              <w:t>Total unregulated</w:t>
            </w:r>
          </w:p>
        </w:tc>
        <w:tc>
          <w:tcPr>
            <w:tcW w:w="487"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76</w:t>
            </w:r>
          </w:p>
        </w:tc>
        <w:tc>
          <w:tcPr>
            <w:tcW w:w="880"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665</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i/>
                <w:sz w:val="16"/>
                <w:szCs w:val="16"/>
              </w:rPr>
            </w:pPr>
            <w:r w:rsidRPr="003571FD">
              <w:rPr>
                <w:rFonts w:ascii="Times New Roman" w:hAnsi="Times New Roman" w:cs="Times New Roman"/>
                <w:b/>
                <w:bCs/>
                <w:i/>
                <w:sz w:val="16"/>
                <w:szCs w:val="16"/>
              </w:rPr>
              <w:t>6</w:t>
            </w:r>
          </w:p>
        </w:tc>
        <w:tc>
          <w:tcPr>
            <w:tcW w:w="881" w:type="dxa"/>
            <w:shd w:val="clear" w:color="auto" w:fill="auto"/>
            <w:noWrap/>
            <w:vAlign w:val="bottom"/>
          </w:tcPr>
          <w:p w:rsidR="00245B24" w:rsidRPr="003571FD" w:rsidRDefault="00245B24" w:rsidP="00021CE8">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353</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i/>
                <w:sz w:val="16"/>
                <w:szCs w:val="16"/>
              </w:rPr>
            </w:pPr>
            <w:r w:rsidRPr="003571FD">
              <w:rPr>
                <w:rFonts w:ascii="Times New Roman" w:hAnsi="Times New Roman" w:cs="Times New Roman"/>
                <w:b/>
                <w:bCs/>
                <w:i/>
                <w:sz w:val="16"/>
                <w:szCs w:val="16"/>
              </w:rPr>
              <w:t>4</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506</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i/>
                <w:sz w:val="16"/>
                <w:szCs w:val="16"/>
              </w:rPr>
            </w:pPr>
            <w:r w:rsidRPr="003571FD">
              <w:rPr>
                <w:rFonts w:ascii="Times New Roman" w:hAnsi="Times New Roman" w:cs="Times New Roman"/>
                <w:b/>
                <w:bCs/>
                <w:i/>
                <w:sz w:val="16"/>
                <w:szCs w:val="16"/>
              </w:rPr>
              <w:t>7</w:t>
            </w:r>
          </w:p>
        </w:tc>
        <w:tc>
          <w:tcPr>
            <w:tcW w:w="881"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339,576</w:t>
            </w:r>
          </w:p>
        </w:tc>
        <w:tc>
          <w:tcPr>
            <w:tcW w:w="552"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i/>
                <w:sz w:val="16"/>
                <w:szCs w:val="16"/>
              </w:rPr>
            </w:pPr>
            <w:r w:rsidRPr="003571FD">
              <w:rPr>
                <w:rFonts w:ascii="Times New Roman" w:hAnsi="Times New Roman" w:cs="Times New Roman"/>
                <w:b/>
                <w:bCs/>
                <w:i/>
                <w:sz w:val="16"/>
                <w:szCs w:val="16"/>
              </w:rPr>
              <w:t>4</w:t>
            </w:r>
          </w:p>
        </w:tc>
        <w:tc>
          <w:tcPr>
            <w:tcW w:w="98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sz w:val="16"/>
                <w:szCs w:val="16"/>
              </w:rPr>
            </w:pPr>
            <w:r w:rsidRPr="003571FD">
              <w:rPr>
                <w:rFonts w:ascii="Times New Roman" w:hAnsi="Times New Roman" w:cs="Times New Roman"/>
                <w:b/>
                <w:bCs/>
                <w:sz w:val="16"/>
                <w:szCs w:val="16"/>
              </w:rPr>
              <w:t>441,661</w:t>
            </w:r>
          </w:p>
        </w:tc>
        <w:tc>
          <w:tcPr>
            <w:tcW w:w="546" w:type="dxa"/>
            <w:shd w:val="clear" w:color="auto" w:fill="auto"/>
            <w:noWrap/>
            <w:vAlign w:val="bottom"/>
          </w:tcPr>
          <w:p w:rsidR="00245B24" w:rsidRPr="003571FD" w:rsidRDefault="00245B24" w:rsidP="00EF773C">
            <w:pPr>
              <w:spacing w:after="0" w:line="240" w:lineRule="auto"/>
              <w:contextualSpacing/>
              <w:jc w:val="center"/>
              <w:rPr>
                <w:rFonts w:ascii="Times New Roman" w:hAnsi="Times New Roman" w:cs="Times New Roman"/>
                <w:b/>
                <w:bCs/>
                <w:i/>
                <w:sz w:val="16"/>
                <w:szCs w:val="16"/>
              </w:rPr>
            </w:pPr>
            <w:r w:rsidRPr="003571FD">
              <w:rPr>
                <w:rFonts w:ascii="Times New Roman" w:hAnsi="Times New Roman" w:cs="Times New Roman"/>
                <w:b/>
                <w:bCs/>
                <w:i/>
                <w:sz w:val="16"/>
                <w:szCs w:val="16"/>
              </w:rPr>
              <w:t>34</w:t>
            </w:r>
          </w:p>
        </w:tc>
      </w:tr>
      <w:tr w:rsidR="00245B24" w:rsidRPr="003571FD" w:rsidTr="005636B8">
        <w:trPr>
          <w:trHeight w:val="344"/>
        </w:trPr>
        <w:tc>
          <w:tcPr>
            <w:tcW w:w="1710"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rPr>
                <w:rFonts w:ascii="Times New Roman" w:hAnsi="Times New Roman" w:cs="Times New Roman"/>
                <w:b/>
                <w:bCs/>
                <w:i/>
                <w:iCs/>
                <w:sz w:val="16"/>
                <w:szCs w:val="16"/>
              </w:rPr>
            </w:pPr>
            <w:r w:rsidRPr="003571FD">
              <w:rPr>
                <w:rFonts w:ascii="Times New Roman" w:hAnsi="Times New Roman" w:cs="Times New Roman"/>
                <w:b/>
                <w:bCs/>
                <w:i/>
                <w:iCs/>
                <w:sz w:val="16"/>
                <w:szCs w:val="16"/>
              </w:rPr>
              <w:t>TOTAL</w:t>
            </w:r>
          </w:p>
        </w:tc>
        <w:tc>
          <w:tcPr>
            <w:tcW w:w="487"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138</w:t>
            </w:r>
          </w:p>
        </w:tc>
        <w:tc>
          <w:tcPr>
            <w:tcW w:w="880"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11,992</w:t>
            </w:r>
          </w:p>
        </w:tc>
        <w:tc>
          <w:tcPr>
            <w:tcW w:w="552"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100</w:t>
            </w:r>
          </w:p>
        </w:tc>
        <w:tc>
          <w:tcPr>
            <w:tcW w:w="881"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9,486</w:t>
            </w:r>
          </w:p>
        </w:tc>
        <w:tc>
          <w:tcPr>
            <w:tcW w:w="552"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100</w:t>
            </w:r>
          </w:p>
        </w:tc>
        <w:tc>
          <w:tcPr>
            <w:tcW w:w="881"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7,093</w:t>
            </w:r>
          </w:p>
        </w:tc>
        <w:tc>
          <w:tcPr>
            <w:tcW w:w="552"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100</w:t>
            </w:r>
          </w:p>
        </w:tc>
        <w:tc>
          <w:tcPr>
            <w:tcW w:w="881" w:type="dxa"/>
            <w:tcBorders>
              <w:bottom w:val="single" w:sz="4" w:space="0" w:color="auto"/>
            </w:tcBorders>
            <w:shd w:val="clear" w:color="auto" w:fill="D9D9D9"/>
            <w:noWrap/>
            <w:vAlign w:val="bottom"/>
          </w:tcPr>
          <w:p w:rsidR="00245B24" w:rsidRPr="003571FD" w:rsidRDefault="00245B24" w:rsidP="00021CE8">
            <w:pPr>
              <w:spacing w:after="0" w:line="240" w:lineRule="auto"/>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5,281,337</w:t>
            </w:r>
          </w:p>
        </w:tc>
        <w:tc>
          <w:tcPr>
            <w:tcW w:w="552"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100</w:t>
            </w:r>
          </w:p>
        </w:tc>
        <w:tc>
          <w:tcPr>
            <w:tcW w:w="986"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1,289,220</w:t>
            </w:r>
          </w:p>
        </w:tc>
        <w:tc>
          <w:tcPr>
            <w:tcW w:w="546" w:type="dxa"/>
            <w:tcBorders>
              <w:bottom w:val="single" w:sz="4" w:space="0" w:color="auto"/>
            </w:tcBorders>
            <w:shd w:val="clear" w:color="auto" w:fill="D9D9D9"/>
            <w:noWrap/>
            <w:vAlign w:val="bottom"/>
          </w:tcPr>
          <w:p w:rsidR="00245B24" w:rsidRPr="003571FD" w:rsidRDefault="00245B24" w:rsidP="00EF773C">
            <w:pPr>
              <w:spacing w:after="0" w:line="240" w:lineRule="auto"/>
              <w:contextualSpacing/>
              <w:jc w:val="center"/>
              <w:rPr>
                <w:rFonts w:ascii="Times New Roman" w:hAnsi="Times New Roman" w:cs="Times New Roman"/>
                <w:b/>
                <w:bCs/>
                <w:i/>
                <w:iCs/>
                <w:sz w:val="16"/>
                <w:szCs w:val="16"/>
              </w:rPr>
            </w:pPr>
            <w:r w:rsidRPr="003571FD">
              <w:rPr>
                <w:rFonts w:ascii="Times New Roman" w:hAnsi="Times New Roman" w:cs="Times New Roman"/>
                <w:b/>
                <w:bCs/>
                <w:i/>
                <w:iCs/>
                <w:sz w:val="16"/>
                <w:szCs w:val="16"/>
              </w:rPr>
              <w:t>100</w:t>
            </w:r>
          </w:p>
        </w:tc>
      </w:tr>
      <w:tr w:rsidR="00942B4C" w:rsidRPr="003571FD" w:rsidTr="005636B8">
        <w:trPr>
          <w:trHeight w:val="344"/>
        </w:trPr>
        <w:tc>
          <w:tcPr>
            <w:tcW w:w="9460" w:type="dxa"/>
            <w:gridSpan w:val="12"/>
            <w:tcBorders>
              <w:left w:val="nil"/>
              <w:bottom w:val="nil"/>
              <w:right w:val="nil"/>
            </w:tcBorders>
            <w:shd w:val="clear" w:color="auto" w:fill="auto"/>
            <w:noWrap/>
            <w:vAlign w:val="bottom"/>
          </w:tcPr>
          <w:p w:rsidR="00942B4C" w:rsidRPr="003571FD" w:rsidRDefault="00942B4C" w:rsidP="00072908">
            <w:pPr>
              <w:jc w:val="both"/>
              <w:rPr>
                <w:rFonts w:ascii="Times New Roman" w:hAnsi="Times New Roman" w:cs="Times New Roman"/>
                <w:i/>
                <w:sz w:val="28"/>
                <w:szCs w:val="24"/>
              </w:rPr>
            </w:pPr>
            <w:r w:rsidRPr="003571FD">
              <w:rPr>
                <w:rFonts w:ascii="Times New Roman" w:hAnsi="Times New Roman" w:cs="Times New Roman"/>
                <w:i/>
                <w:sz w:val="18"/>
                <w:szCs w:val="16"/>
              </w:rPr>
              <w:t>Source: ASFI</w:t>
            </w:r>
            <w:r w:rsidR="003C6718">
              <w:rPr>
                <w:rFonts w:ascii="Times New Roman" w:hAnsi="Times New Roman" w:cs="Times New Roman"/>
                <w:i/>
                <w:sz w:val="18"/>
                <w:szCs w:val="16"/>
              </w:rPr>
              <w:t xml:space="preserve"> (data for November</w:t>
            </w:r>
            <w:r w:rsidR="00072908">
              <w:rPr>
                <w:rFonts w:ascii="Times New Roman" w:hAnsi="Times New Roman" w:cs="Times New Roman"/>
                <w:i/>
                <w:sz w:val="18"/>
                <w:szCs w:val="16"/>
              </w:rPr>
              <w:t xml:space="preserve"> 2010</w:t>
            </w:r>
            <w:r w:rsidR="003C6718">
              <w:rPr>
                <w:rFonts w:ascii="Times New Roman" w:hAnsi="Times New Roman" w:cs="Times New Roman"/>
                <w:i/>
                <w:sz w:val="18"/>
                <w:szCs w:val="16"/>
              </w:rPr>
              <w:t>)</w:t>
            </w:r>
            <w:r w:rsidRPr="003571FD">
              <w:rPr>
                <w:rFonts w:ascii="Times New Roman" w:hAnsi="Times New Roman" w:cs="Times New Roman"/>
                <w:i/>
                <w:sz w:val="18"/>
                <w:szCs w:val="16"/>
              </w:rPr>
              <w:t>, ASOFIN (for number of MFI bank borrowers, data for December 2010).</w:t>
            </w:r>
            <w:r w:rsidR="003C6718">
              <w:rPr>
                <w:rFonts w:ascii="Times New Roman" w:hAnsi="Times New Roman" w:cs="Times New Roman"/>
                <w:i/>
                <w:sz w:val="18"/>
                <w:szCs w:val="16"/>
              </w:rPr>
              <w:t xml:space="preserve"> </w:t>
            </w:r>
          </w:p>
        </w:tc>
      </w:tr>
    </w:tbl>
    <w:p w:rsidR="00E2292F" w:rsidRPr="003571FD" w:rsidRDefault="00E2292F" w:rsidP="00E2292F">
      <w:pPr>
        <w:pStyle w:val="ListParagraph"/>
        <w:ind w:left="360"/>
        <w:jc w:val="both"/>
        <w:rPr>
          <w:rFonts w:ascii="Times New Roman" w:hAnsi="Times New Roman" w:cs="Times New Roman"/>
          <w:sz w:val="24"/>
          <w:szCs w:val="24"/>
        </w:rPr>
      </w:pPr>
    </w:p>
    <w:p w:rsidR="00E2292F" w:rsidRPr="003571FD" w:rsidRDefault="00245B24"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In addition to the formal financial system, there are a significant number of hitherto unregulated financial institutions, which </w:t>
      </w:r>
      <w:r w:rsidR="00733CF1" w:rsidRPr="003571FD">
        <w:rPr>
          <w:rFonts w:ascii="Times New Roman" w:hAnsi="Times New Roman" w:cs="Times New Roman"/>
          <w:b/>
          <w:sz w:val="24"/>
          <w:szCs w:val="24"/>
        </w:rPr>
        <w:t xml:space="preserve">also </w:t>
      </w:r>
      <w:r w:rsidRPr="003571FD">
        <w:rPr>
          <w:rFonts w:ascii="Times New Roman" w:hAnsi="Times New Roman" w:cs="Times New Roman"/>
          <w:b/>
          <w:sz w:val="24"/>
          <w:szCs w:val="24"/>
        </w:rPr>
        <w:t xml:space="preserve">cater to otherwise under-banked segments of the population. </w:t>
      </w:r>
      <w:r w:rsidRPr="003571FD">
        <w:rPr>
          <w:rFonts w:ascii="Times New Roman" w:hAnsi="Times New Roman" w:cs="Times New Roman"/>
          <w:sz w:val="24"/>
          <w:szCs w:val="24"/>
        </w:rPr>
        <w:t xml:space="preserve">According to </w:t>
      </w:r>
      <w:r w:rsidR="00CB26EC">
        <w:rPr>
          <w:rFonts w:ascii="Times New Roman" w:hAnsi="Times New Roman" w:cs="Times New Roman"/>
          <w:sz w:val="24"/>
          <w:szCs w:val="24"/>
        </w:rPr>
        <w:t xml:space="preserve">Finrural and </w:t>
      </w:r>
      <w:r w:rsidRPr="003571FD">
        <w:rPr>
          <w:rFonts w:ascii="Times New Roman" w:hAnsi="Times New Roman" w:cs="Times New Roman"/>
          <w:sz w:val="24"/>
          <w:szCs w:val="24"/>
        </w:rPr>
        <w:t xml:space="preserve">ASFI, there were an estimated 55 </w:t>
      </w:r>
      <w:r w:rsidR="0049515F" w:rsidRPr="003571FD">
        <w:rPr>
          <w:rFonts w:ascii="Times New Roman" w:hAnsi="Times New Roman" w:cs="Times New Roman"/>
          <w:sz w:val="24"/>
          <w:szCs w:val="24"/>
        </w:rPr>
        <w:t>IFDs</w:t>
      </w:r>
      <w:r w:rsidRPr="003571FD">
        <w:rPr>
          <w:rFonts w:ascii="Times New Roman" w:hAnsi="Times New Roman" w:cs="Times New Roman"/>
          <w:sz w:val="24"/>
          <w:szCs w:val="24"/>
        </w:rPr>
        <w:t xml:space="preserve"> </w:t>
      </w:r>
      <w:r w:rsidR="00BA1C19" w:rsidRPr="003571FD">
        <w:rPr>
          <w:rFonts w:ascii="Times New Roman" w:hAnsi="Times New Roman" w:cs="Times New Roman"/>
          <w:sz w:val="24"/>
          <w:szCs w:val="24"/>
        </w:rPr>
        <w:t>(</w:t>
      </w:r>
      <w:r w:rsidR="0049515F" w:rsidRPr="003571FD">
        <w:rPr>
          <w:rFonts w:ascii="Times New Roman" w:hAnsi="Times New Roman" w:cs="Times New Roman"/>
          <w:i/>
          <w:sz w:val="24"/>
          <w:szCs w:val="24"/>
        </w:rPr>
        <w:t>microfinance NGOs</w:t>
      </w:r>
      <w:r w:rsidR="0049515F" w:rsidRPr="003571FD">
        <w:rPr>
          <w:rFonts w:ascii="Times New Roman" w:hAnsi="Times New Roman" w:cs="Times New Roman"/>
          <w:sz w:val="24"/>
          <w:szCs w:val="24"/>
        </w:rPr>
        <w:t xml:space="preserve"> </w:t>
      </w:r>
      <w:r w:rsidR="00BA1C19" w:rsidRPr="003571FD">
        <w:rPr>
          <w:rFonts w:ascii="Times New Roman" w:hAnsi="Times New Roman" w:cs="Times New Roman"/>
          <w:sz w:val="24"/>
          <w:szCs w:val="24"/>
        </w:rPr>
        <w:t xml:space="preserve">called </w:t>
      </w:r>
      <w:r w:rsidR="00BA1C19" w:rsidRPr="003571FD">
        <w:rPr>
          <w:rFonts w:ascii="Times New Roman" w:hAnsi="Times New Roman" w:cs="Times New Roman"/>
          <w:i/>
          <w:sz w:val="24"/>
          <w:szCs w:val="24"/>
        </w:rPr>
        <w:t>Instituciones Financieras de Desarrollo</w:t>
      </w:r>
      <w:r w:rsidR="00BA1C19"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and 411 closed cooperatives </w:t>
      </w:r>
      <w:r w:rsidR="00BA1C19" w:rsidRPr="003571FD">
        <w:rPr>
          <w:rFonts w:ascii="Times New Roman" w:hAnsi="Times New Roman" w:cs="Times New Roman"/>
          <w:sz w:val="24"/>
          <w:szCs w:val="24"/>
        </w:rPr>
        <w:t xml:space="preserve">(so-called </w:t>
      </w:r>
      <w:r w:rsidR="00BA1C19" w:rsidRPr="003571FD">
        <w:rPr>
          <w:rFonts w:ascii="Times New Roman" w:hAnsi="Times New Roman" w:cs="Times New Roman"/>
          <w:i/>
          <w:sz w:val="24"/>
          <w:szCs w:val="24"/>
        </w:rPr>
        <w:t>Cooperativas Societarias</w:t>
      </w:r>
      <w:r w:rsidR="00BA1C19"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as of October 2010, which in many instances cater to clients in rural and peri-urban areas. With the exception of 13 </w:t>
      </w:r>
      <w:r w:rsidR="0049515F" w:rsidRPr="003571FD">
        <w:rPr>
          <w:rFonts w:ascii="Times New Roman" w:hAnsi="Times New Roman" w:cs="Times New Roman"/>
          <w:sz w:val="24"/>
          <w:szCs w:val="24"/>
        </w:rPr>
        <w:t>IFD</w:t>
      </w:r>
      <w:r w:rsidRPr="003571FD">
        <w:rPr>
          <w:rFonts w:ascii="Times New Roman" w:hAnsi="Times New Roman" w:cs="Times New Roman"/>
          <w:sz w:val="24"/>
          <w:szCs w:val="24"/>
        </w:rPr>
        <w:t>s organized in FINRURAL</w:t>
      </w:r>
      <w:r w:rsidRPr="003571FD">
        <w:rPr>
          <w:vertAlign w:val="superscript"/>
        </w:rPr>
        <w:footnoteReference w:id="28"/>
      </w:r>
      <w:r w:rsidRPr="003571FD">
        <w:rPr>
          <w:rFonts w:ascii="Times New Roman" w:hAnsi="Times New Roman" w:cs="Times New Roman"/>
          <w:sz w:val="24"/>
          <w:szCs w:val="24"/>
        </w:rPr>
        <w:t>, there is limited data available on these entities, their assets, activities as well as actual status of operation, as none of the government entities in charge of licensing these institutions has collected their financial data</w:t>
      </w:r>
      <w:r w:rsidR="007D6FFF" w:rsidRPr="003571FD">
        <w:rPr>
          <w:rStyle w:val="FootnoteReference"/>
          <w:rFonts w:ascii="Times New Roman" w:hAnsi="Times New Roman" w:cs="Times New Roman"/>
          <w:sz w:val="24"/>
          <w:szCs w:val="24"/>
        </w:rPr>
        <w:footnoteReference w:id="29"/>
      </w:r>
      <w:r w:rsidRPr="003571FD">
        <w:rPr>
          <w:rFonts w:ascii="Times New Roman" w:hAnsi="Times New Roman" w:cs="Times New Roman"/>
          <w:sz w:val="24"/>
          <w:szCs w:val="24"/>
        </w:rPr>
        <w:t xml:space="preserve">. </w:t>
      </w:r>
    </w:p>
    <w:p w:rsidR="00245B24" w:rsidRPr="003571FD" w:rsidRDefault="00245B24"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lastRenderedPageBreak/>
        <w:t xml:space="preserve">Given their outreach and the fact that closed cooperatives take deposits, ASFI issued in 2008 a new law to bring closed cooperatives and </w:t>
      </w:r>
      <w:r w:rsidR="0049515F" w:rsidRPr="003571FD">
        <w:rPr>
          <w:rFonts w:ascii="Times New Roman" w:hAnsi="Times New Roman" w:cs="Times New Roman"/>
          <w:b/>
          <w:sz w:val="24"/>
          <w:szCs w:val="24"/>
        </w:rPr>
        <w:t>IFD</w:t>
      </w:r>
      <w:r w:rsidRPr="003571FD">
        <w:rPr>
          <w:rFonts w:ascii="Times New Roman" w:hAnsi="Times New Roman" w:cs="Times New Roman"/>
          <w:b/>
          <w:sz w:val="24"/>
          <w:szCs w:val="24"/>
        </w:rPr>
        <w:t>s under their prudential oversight.</w:t>
      </w:r>
      <w:r w:rsidRPr="003571FD">
        <w:rPr>
          <w:rFonts w:ascii="Times New Roman" w:hAnsi="Times New Roman" w:cs="Times New Roman"/>
          <w:sz w:val="24"/>
          <w:szCs w:val="24"/>
        </w:rPr>
        <w:t xml:space="preserve"> So far 14 </w:t>
      </w:r>
      <w:r w:rsidR="0049515F" w:rsidRPr="003571FD">
        <w:rPr>
          <w:rFonts w:ascii="Times New Roman" w:hAnsi="Times New Roman" w:cs="Times New Roman"/>
          <w:sz w:val="24"/>
          <w:szCs w:val="24"/>
        </w:rPr>
        <w:t>IFD</w:t>
      </w:r>
      <w:r w:rsidRPr="003571FD">
        <w:rPr>
          <w:rFonts w:ascii="Times New Roman" w:hAnsi="Times New Roman" w:cs="Times New Roman"/>
          <w:sz w:val="24"/>
          <w:szCs w:val="24"/>
        </w:rPr>
        <w:t xml:space="preserve">s and 63 closed cooperatives complied and initiated the transition process. Based on available data </w:t>
      </w:r>
      <w:r w:rsidR="00733CF1" w:rsidRPr="003571FD">
        <w:rPr>
          <w:rFonts w:ascii="Times New Roman" w:hAnsi="Times New Roman" w:cs="Times New Roman"/>
          <w:sz w:val="24"/>
          <w:szCs w:val="24"/>
        </w:rPr>
        <w:t>from ASFI</w:t>
      </w:r>
      <w:r w:rsidRPr="003571FD">
        <w:rPr>
          <w:rFonts w:ascii="Times New Roman" w:hAnsi="Times New Roman" w:cs="Times New Roman"/>
          <w:sz w:val="24"/>
          <w:szCs w:val="24"/>
        </w:rPr>
        <w:t>, the 63 closed cooperat</w:t>
      </w:r>
      <w:r w:rsidR="00733CF1" w:rsidRPr="003571FD">
        <w:rPr>
          <w:rFonts w:ascii="Times New Roman" w:hAnsi="Times New Roman" w:cs="Times New Roman"/>
          <w:sz w:val="24"/>
          <w:szCs w:val="24"/>
        </w:rPr>
        <w:t xml:space="preserve">ives report assets of close to </w:t>
      </w:r>
      <w:r w:rsidR="00BA26E9" w:rsidRPr="003571FD">
        <w:rPr>
          <w:rFonts w:ascii="Times New Roman" w:hAnsi="Times New Roman" w:cs="Times New Roman"/>
          <w:sz w:val="24"/>
          <w:szCs w:val="24"/>
        </w:rPr>
        <w:t xml:space="preserve">USD </w:t>
      </w:r>
      <w:r w:rsidR="00733CF1" w:rsidRPr="003571FD">
        <w:rPr>
          <w:rFonts w:ascii="Times New Roman" w:hAnsi="Times New Roman" w:cs="Times New Roman"/>
          <w:sz w:val="24"/>
          <w:szCs w:val="24"/>
        </w:rPr>
        <w:t>4</w:t>
      </w:r>
      <w:r w:rsidRPr="003571FD">
        <w:rPr>
          <w:rFonts w:ascii="Times New Roman" w:hAnsi="Times New Roman" w:cs="Times New Roman"/>
          <w:sz w:val="24"/>
          <w:szCs w:val="24"/>
        </w:rPr>
        <w:t>00 million, and provide deposit, payment a</w:t>
      </w:r>
      <w:r w:rsidR="00BA26E9" w:rsidRPr="003571FD">
        <w:rPr>
          <w:rFonts w:ascii="Times New Roman" w:hAnsi="Times New Roman" w:cs="Times New Roman"/>
          <w:sz w:val="24"/>
          <w:szCs w:val="24"/>
        </w:rPr>
        <w:t>nd loan services to roughly 600,</w:t>
      </w:r>
      <w:r w:rsidRPr="003571FD">
        <w:rPr>
          <w:rFonts w:ascii="Times New Roman" w:hAnsi="Times New Roman" w:cs="Times New Roman"/>
          <w:sz w:val="24"/>
          <w:szCs w:val="24"/>
        </w:rPr>
        <w:t xml:space="preserve">000 members. The </w:t>
      </w:r>
      <w:r w:rsidR="0049515F" w:rsidRPr="003571FD">
        <w:rPr>
          <w:rFonts w:ascii="Times New Roman" w:hAnsi="Times New Roman" w:cs="Times New Roman"/>
          <w:sz w:val="24"/>
          <w:szCs w:val="24"/>
        </w:rPr>
        <w:t>IFD</w:t>
      </w:r>
      <w:r w:rsidRPr="003571FD">
        <w:rPr>
          <w:rFonts w:ascii="Times New Roman" w:hAnsi="Times New Roman" w:cs="Times New Roman"/>
          <w:sz w:val="24"/>
          <w:szCs w:val="24"/>
        </w:rPr>
        <w:t xml:space="preserve">s do not take deposits, and so far rely on donors and other external sources for funding. The 13 </w:t>
      </w:r>
      <w:r w:rsidR="0049515F" w:rsidRPr="003571FD">
        <w:rPr>
          <w:rFonts w:ascii="Times New Roman" w:hAnsi="Times New Roman" w:cs="Times New Roman"/>
          <w:sz w:val="24"/>
          <w:szCs w:val="24"/>
        </w:rPr>
        <w:t>IFD</w:t>
      </w:r>
      <w:r w:rsidRPr="003571FD">
        <w:rPr>
          <w:rFonts w:ascii="Times New Roman" w:hAnsi="Times New Roman" w:cs="Times New Roman"/>
          <w:sz w:val="24"/>
          <w:szCs w:val="24"/>
        </w:rPr>
        <w:t xml:space="preserve">s reporting to FINRURAL reached a loan portfolio of </w:t>
      </w:r>
      <w:r w:rsidR="00482425" w:rsidRPr="003571FD">
        <w:rPr>
          <w:rFonts w:ascii="Times New Roman" w:hAnsi="Times New Roman" w:cs="Times New Roman"/>
          <w:sz w:val="24"/>
          <w:szCs w:val="24"/>
        </w:rPr>
        <w:t xml:space="preserve">USD </w:t>
      </w:r>
      <w:r w:rsidRPr="003571FD">
        <w:rPr>
          <w:rFonts w:ascii="Times New Roman" w:hAnsi="Times New Roman" w:cs="Times New Roman"/>
          <w:sz w:val="24"/>
          <w:szCs w:val="24"/>
        </w:rPr>
        <w:t xml:space="preserve">270 million at the end of 2010, and cater to 370,000 borrowers, mostly </w:t>
      </w:r>
      <w:r w:rsidR="00A5755B" w:rsidRPr="003571FD">
        <w:rPr>
          <w:rFonts w:ascii="Times New Roman" w:hAnsi="Times New Roman" w:cs="Times New Roman"/>
          <w:sz w:val="24"/>
          <w:szCs w:val="24"/>
        </w:rPr>
        <w:t xml:space="preserve">low income </w:t>
      </w:r>
      <w:r w:rsidRPr="003571FD">
        <w:rPr>
          <w:rFonts w:ascii="Times New Roman" w:hAnsi="Times New Roman" w:cs="Times New Roman"/>
          <w:sz w:val="24"/>
          <w:szCs w:val="24"/>
        </w:rPr>
        <w:t>women. Together, those 7</w:t>
      </w:r>
      <w:r w:rsidR="001F5B9C" w:rsidRPr="003571FD">
        <w:rPr>
          <w:rFonts w:ascii="Times New Roman" w:hAnsi="Times New Roman" w:cs="Times New Roman"/>
          <w:sz w:val="24"/>
          <w:szCs w:val="24"/>
        </w:rPr>
        <w:t>7</w:t>
      </w:r>
      <w:r w:rsidRPr="003571FD">
        <w:rPr>
          <w:rFonts w:ascii="Times New Roman" w:hAnsi="Times New Roman" w:cs="Times New Roman"/>
          <w:sz w:val="24"/>
          <w:szCs w:val="24"/>
        </w:rPr>
        <w:t xml:space="preserve"> institutions account for an equivalent of 6 percent of assets in the financial system and for an estimated </w:t>
      </w:r>
      <w:r w:rsidR="001F5B9C" w:rsidRPr="003571FD">
        <w:rPr>
          <w:rFonts w:ascii="Times New Roman" w:hAnsi="Times New Roman" w:cs="Times New Roman"/>
          <w:sz w:val="24"/>
          <w:szCs w:val="24"/>
        </w:rPr>
        <w:t>3</w:t>
      </w:r>
      <w:r w:rsidRPr="003571FD">
        <w:rPr>
          <w:rFonts w:ascii="Times New Roman" w:hAnsi="Times New Roman" w:cs="Times New Roman"/>
          <w:sz w:val="24"/>
          <w:szCs w:val="24"/>
        </w:rPr>
        <w:t>4 percent of all borrowers</w:t>
      </w:r>
      <w:r w:rsidRPr="003571FD">
        <w:rPr>
          <w:rStyle w:val="FootnoteReference"/>
          <w:rFonts w:ascii="Times New Roman" w:hAnsi="Times New Roman" w:cs="Times New Roman"/>
          <w:sz w:val="24"/>
          <w:szCs w:val="24"/>
        </w:rPr>
        <w:footnoteReference w:id="30"/>
      </w:r>
      <w:r w:rsidRPr="003571FD">
        <w:rPr>
          <w:rFonts w:ascii="Times New Roman" w:hAnsi="Times New Roman" w:cs="Times New Roman"/>
          <w:sz w:val="24"/>
          <w:szCs w:val="24"/>
        </w:rPr>
        <w:t>. Given their size and importance for lending to lower income segments of the population</w:t>
      </w:r>
      <w:r w:rsidR="00F43D6E" w:rsidRPr="003571FD">
        <w:rPr>
          <w:rFonts w:ascii="Times New Roman" w:hAnsi="Times New Roman" w:cs="Times New Roman"/>
          <w:sz w:val="24"/>
          <w:szCs w:val="24"/>
          <w:vertAlign w:val="superscript"/>
        </w:rPr>
        <w:footnoteReference w:id="31"/>
      </w:r>
      <w:r w:rsidRPr="003571FD">
        <w:rPr>
          <w:rFonts w:ascii="Times New Roman" w:hAnsi="Times New Roman" w:cs="Times New Roman"/>
          <w:sz w:val="24"/>
          <w:szCs w:val="24"/>
        </w:rPr>
        <w:t>, bringing them under prudential oversight is a positive development, but will likely need time and additional support to facilitate the transition</w:t>
      </w:r>
      <w:r w:rsidRPr="003571FD">
        <w:rPr>
          <w:rStyle w:val="FootnoteReference"/>
          <w:rFonts w:ascii="Times New Roman" w:hAnsi="Times New Roman" w:cs="Times New Roman"/>
          <w:sz w:val="24"/>
          <w:szCs w:val="24"/>
        </w:rPr>
        <w:footnoteReference w:id="32"/>
      </w:r>
      <w:r w:rsidR="00D12414" w:rsidRPr="003571FD">
        <w:rPr>
          <w:rFonts w:ascii="Times New Roman" w:hAnsi="Times New Roman" w:cs="Times New Roman"/>
          <w:sz w:val="24"/>
          <w:szCs w:val="24"/>
        </w:rPr>
        <w:t xml:space="preserve"> and must consider the cost-benefit balance for these entities</w:t>
      </w:r>
      <w:r w:rsidRPr="003571FD">
        <w:rPr>
          <w:rFonts w:ascii="Times New Roman" w:hAnsi="Times New Roman" w:cs="Times New Roman"/>
          <w:sz w:val="24"/>
          <w:szCs w:val="24"/>
        </w:rPr>
        <w:t xml:space="preserve">. </w:t>
      </w:r>
    </w:p>
    <w:p w:rsidR="00672BBB" w:rsidRPr="003571FD" w:rsidRDefault="00672BBB" w:rsidP="00517669">
      <w:pPr>
        <w:pStyle w:val="Heading2"/>
      </w:pPr>
      <w:r w:rsidRPr="003571FD">
        <w:t xml:space="preserve"> </w:t>
      </w:r>
      <w:bookmarkStart w:id="20" w:name="_Toc312319493"/>
      <w:r w:rsidR="00F03AC0" w:rsidRPr="003571FD">
        <w:t>Financial d</w:t>
      </w:r>
      <w:r w:rsidRPr="003571FD">
        <w:t>epth and level of financial inclusion – an international comparison</w:t>
      </w:r>
      <w:bookmarkEnd w:id="20"/>
      <w:r w:rsidRPr="003571FD">
        <w:t xml:space="preserve"> </w:t>
      </w:r>
    </w:p>
    <w:p w:rsidR="00672BBB" w:rsidRPr="003571FD" w:rsidRDefault="00672BBB" w:rsidP="00EF773C">
      <w:pPr>
        <w:jc w:val="both"/>
        <w:rPr>
          <w:rFonts w:ascii="Times New Roman" w:hAnsi="Times New Roman" w:cs="Times New Roman"/>
          <w:b/>
          <w:sz w:val="24"/>
          <w:szCs w:val="24"/>
        </w:rPr>
      </w:pPr>
    </w:p>
    <w:p w:rsidR="00E2292F"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With </w:t>
      </w:r>
      <w:r w:rsidR="0049515F" w:rsidRPr="003571FD">
        <w:rPr>
          <w:rFonts w:ascii="Times New Roman" w:hAnsi="Times New Roman" w:cs="Times New Roman"/>
          <w:b/>
          <w:sz w:val="24"/>
          <w:szCs w:val="24"/>
        </w:rPr>
        <w:t xml:space="preserve">a </w:t>
      </w:r>
      <w:r w:rsidRPr="003571FD">
        <w:rPr>
          <w:rFonts w:ascii="Times New Roman" w:hAnsi="Times New Roman" w:cs="Times New Roman"/>
          <w:b/>
          <w:sz w:val="24"/>
          <w:szCs w:val="24"/>
        </w:rPr>
        <w:t>deposit to GDP ratio of 4</w:t>
      </w:r>
      <w:r w:rsidR="00EF773C" w:rsidRPr="003571FD">
        <w:rPr>
          <w:rFonts w:ascii="Times New Roman" w:hAnsi="Times New Roman" w:cs="Times New Roman"/>
          <w:b/>
          <w:sz w:val="24"/>
          <w:szCs w:val="24"/>
        </w:rPr>
        <w:t>8</w:t>
      </w:r>
      <w:r w:rsidR="00482425" w:rsidRPr="003571FD">
        <w:rPr>
          <w:rFonts w:ascii="Times New Roman" w:hAnsi="Times New Roman" w:cs="Times New Roman"/>
          <w:b/>
          <w:sz w:val="24"/>
          <w:szCs w:val="24"/>
        </w:rPr>
        <w:t xml:space="preserve"> percent</w:t>
      </w:r>
      <w:r w:rsidRPr="003571FD">
        <w:rPr>
          <w:rFonts w:ascii="Times New Roman" w:hAnsi="Times New Roman" w:cs="Times New Roman"/>
          <w:b/>
          <w:sz w:val="24"/>
          <w:szCs w:val="24"/>
        </w:rPr>
        <w:t xml:space="preserve">, Bolivia surpasses many of its peers in the region and income level with regard to financial depth. </w:t>
      </w:r>
      <w:r w:rsidRPr="003571FD">
        <w:rPr>
          <w:rFonts w:ascii="Times New Roman" w:hAnsi="Times New Roman" w:cs="Times New Roman"/>
          <w:sz w:val="24"/>
          <w:szCs w:val="24"/>
        </w:rPr>
        <w:t>According to calculations of the World Bank, a country with similar structural factors is expected to have a median deposit and credit to GDP ratio of around 22 percent (for both)</w:t>
      </w:r>
      <w:r w:rsidRPr="003571FD">
        <w:rPr>
          <w:rStyle w:val="FootnoteReference"/>
          <w:rFonts w:ascii="Times New Roman" w:hAnsi="Times New Roman" w:cs="Times New Roman"/>
          <w:sz w:val="24"/>
          <w:szCs w:val="24"/>
        </w:rPr>
        <w:footnoteReference w:id="33"/>
      </w:r>
      <w:r w:rsidRPr="003571FD">
        <w:rPr>
          <w:rFonts w:ascii="Times New Roman" w:hAnsi="Times New Roman" w:cs="Times New Roman"/>
          <w:sz w:val="24"/>
          <w:szCs w:val="24"/>
        </w:rPr>
        <w:t xml:space="preserve"> – a value that Bolivia with its vibrant microfinance sector easily achieves (see </w:t>
      </w:r>
      <w:r w:rsidR="007A7B9C" w:rsidRPr="003571FD">
        <w:rPr>
          <w:rFonts w:ascii="Times New Roman" w:hAnsi="Times New Roman" w:cs="Times New Roman"/>
          <w:sz w:val="24"/>
          <w:szCs w:val="24"/>
        </w:rPr>
        <w:t>C</w:t>
      </w:r>
      <w:r w:rsidRPr="003571FD">
        <w:rPr>
          <w:rFonts w:ascii="Times New Roman" w:hAnsi="Times New Roman" w:cs="Times New Roman"/>
          <w:sz w:val="24"/>
          <w:szCs w:val="24"/>
        </w:rPr>
        <w:t>hart 1). Bolivia’s private sector credit and deposit to GDP ratios are ahead of other countries in the region such as Paraguay, Peru, the Dominican Republic and Guatemala, and also compare favorably to selected countries in Africa, which have recently made headways in spearheading modern technologies for access to finance by low-income populations. Yet, there is untapped potential for additional depth in those ratios as some countries in Eastern Europe, the Middle Eastern Region and in the L</w:t>
      </w:r>
      <w:r w:rsidR="00482425" w:rsidRPr="003571FD">
        <w:rPr>
          <w:rFonts w:ascii="Times New Roman" w:hAnsi="Times New Roman" w:cs="Times New Roman"/>
          <w:sz w:val="24"/>
          <w:szCs w:val="24"/>
        </w:rPr>
        <w:t>atin America and Caribbean (LAC)</w:t>
      </w:r>
      <w:r w:rsidRPr="003571FD">
        <w:rPr>
          <w:rFonts w:ascii="Times New Roman" w:hAnsi="Times New Roman" w:cs="Times New Roman"/>
          <w:sz w:val="24"/>
          <w:szCs w:val="24"/>
        </w:rPr>
        <w:t xml:space="preserve"> region show. </w:t>
      </w:r>
    </w:p>
    <w:p w:rsidR="00E2292F" w:rsidRPr="003571FD" w:rsidRDefault="00E2292F" w:rsidP="00E2292F">
      <w:pPr>
        <w:pStyle w:val="ListParagraph"/>
        <w:spacing w:before="240"/>
        <w:ind w:left="360"/>
        <w:jc w:val="both"/>
        <w:rPr>
          <w:rFonts w:ascii="Times New Roman" w:hAnsi="Times New Roman" w:cs="Times New Roman"/>
          <w:sz w:val="24"/>
          <w:szCs w:val="24"/>
        </w:rPr>
      </w:pPr>
    </w:p>
    <w:p w:rsidR="00B6791F"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Like in most countries, the actual level of access and use of financial services in Bolivia cannot be determined with some certainty</w:t>
      </w:r>
      <w:r w:rsidRPr="003571FD">
        <w:rPr>
          <w:rFonts w:ascii="Times New Roman" w:hAnsi="Times New Roman" w:cs="Times New Roman"/>
          <w:sz w:val="24"/>
          <w:szCs w:val="24"/>
        </w:rPr>
        <w:t xml:space="preserve">. A number of surveys are regularly </w:t>
      </w:r>
      <w:r w:rsidRPr="003571FD">
        <w:rPr>
          <w:rFonts w:ascii="Times New Roman" w:hAnsi="Times New Roman" w:cs="Times New Roman"/>
          <w:sz w:val="24"/>
          <w:szCs w:val="24"/>
        </w:rPr>
        <w:lastRenderedPageBreak/>
        <w:t>conducted in Bolivia, but generally do not include questions on the actual access and use of financial services in the country</w:t>
      </w:r>
      <w:r w:rsidRPr="003571FD">
        <w:rPr>
          <w:rStyle w:val="FootnoteReference"/>
          <w:rFonts w:ascii="Times New Roman" w:hAnsi="Times New Roman" w:cs="Times New Roman"/>
          <w:sz w:val="24"/>
          <w:szCs w:val="24"/>
        </w:rPr>
        <w:footnoteReference w:id="34"/>
      </w:r>
      <w:r w:rsidRPr="003571FD">
        <w:rPr>
          <w:rFonts w:ascii="Times New Roman" w:hAnsi="Times New Roman" w:cs="Times New Roman"/>
          <w:sz w:val="24"/>
          <w:szCs w:val="24"/>
        </w:rPr>
        <w:t>. Neither are private sector estimates or assessments of the actual level of access available. The World Bank (2007) estimated that in mid 2000 around 30 percent of the population had access to formal financial services, but findings from the mission</w:t>
      </w:r>
      <w:r w:rsidR="0049515F" w:rsidRPr="003571FD">
        <w:rPr>
          <w:rFonts w:ascii="Times New Roman" w:hAnsi="Times New Roman" w:cs="Times New Roman"/>
          <w:sz w:val="24"/>
          <w:szCs w:val="24"/>
        </w:rPr>
        <w:t>s</w:t>
      </w:r>
      <w:r w:rsidRPr="003571FD">
        <w:rPr>
          <w:rFonts w:ascii="Times New Roman" w:hAnsi="Times New Roman" w:cs="Times New Roman"/>
          <w:sz w:val="24"/>
          <w:szCs w:val="24"/>
        </w:rPr>
        <w:t xml:space="preserve"> suggest that </w:t>
      </w:r>
      <w:r w:rsidR="00672BBB" w:rsidRPr="003571FD">
        <w:rPr>
          <w:rFonts w:ascii="Times New Roman" w:hAnsi="Times New Roman" w:cs="Times New Roman"/>
          <w:sz w:val="24"/>
          <w:szCs w:val="24"/>
        </w:rPr>
        <w:t xml:space="preserve">currently </w:t>
      </w:r>
      <w:r w:rsidRPr="003571FD">
        <w:rPr>
          <w:rFonts w:ascii="Times New Roman" w:hAnsi="Times New Roman" w:cs="Times New Roman"/>
          <w:sz w:val="24"/>
          <w:szCs w:val="24"/>
        </w:rPr>
        <w:t xml:space="preserve">a much larger share of the population </w:t>
      </w:r>
      <w:r w:rsidR="00672BBB" w:rsidRPr="003571FD">
        <w:rPr>
          <w:rFonts w:ascii="Times New Roman" w:hAnsi="Times New Roman" w:cs="Times New Roman"/>
          <w:sz w:val="24"/>
          <w:szCs w:val="24"/>
        </w:rPr>
        <w:t xml:space="preserve">has access and </w:t>
      </w:r>
      <w:r w:rsidRPr="003571FD">
        <w:rPr>
          <w:rFonts w:ascii="Times New Roman" w:hAnsi="Times New Roman" w:cs="Times New Roman"/>
          <w:sz w:val="24"/>
          <w:szCs w:val="24"/>
        </w:rPr>
        <w:t xml:space="preserve">uses the financial system </w:t>
      </w:r>
      <w:r w:rsidR="00672BBB" w:rsidRPr="003571FD">
        <w:rPr>
          <w:rFonts w:ascii="Times New Roman" w:hAnsi="Times New Roman" w:cs="Times New Roman"/>
          <w:sz w:val="24"/>
          <w:szCs w:val="24"/>
        </w:rPr>
        <w:t xml:space="preserve">at least </w:t>
      </w:r>
      <w:r w:rsidRPr="003571FD">
        <w:rPr>
          <w:rFonts w:ascii="Times New Roman" w:hAnsi="Times New Roman" w:cs="Times New Roman"/>
          <w:sz w:val="24"/>
          <w:szCs w:val="24"/>
        </w:rPr>
        <w:t xml:space="preserve">for cash-based transactional purposes. The lack of solid data is not unusual, as most countries in the region and also worldwide are only starting to include questions on the use of financial services and level of financial education in their household surveys. However, the absence of demand side data makes </w:t>
      </w:r>
      <w:r w:rsidR="00B6791F" w:rsidRPr="003571FD">
        <w:rPr>
          <w:rFonts w:ascii="Times New Roman" w:hAnsi="Times New Roman" w:cs="Times New Roman"/>
          <w:sz w:val="24"/>
          <w:szCs w:val="24"/>
        </w:rPr>
        <w:t>a gap assessment difficult, and can lead to significant inefficiencies in the programming and targeting of government interventions. To tackle this issue, the authorities are considering options to incorporate demand side questions on the use of financial services in their household surveys, and also to occasionally conduct stand-alone in-depth surveys on financial literacy</w:t>
      </w:r>
      <w:r w:rsidR="0049515F" w:rsidRPr="003571FD">
        <w:rPr>
          <w:rFonts w:ascii="Times New Roman" w:hAnsi="Times New Roman" w:cs="Times New Roman"/>
          <w:sz w:val="24"/>
          <w:szCs w:val="24"/>
        </w:rPr>
        <w:t>.</w:t>
      </w:r>
      <w:r w:rsidR="00B6791F" w:rsidRPr="003571FD" w:rsidDel="00B55462">
        <w:rPr>
          <w:rFonts w:ascii="Times New Roman" w:hAnsi="Times New Roman" w:cs="Times New Roman"/>
          <w:sz w:val="24"/>
          <w:szCs w:val="24"/>
        </w:rPr>
        <w:t xml:space="preserve"> </w:t>
      </w:r>
    </w:p>
    <w:p w:rsidR="00716F83" w:rsidRPr="003571FD" w:rsidRDefault="00716F83" w:rsidP="00716F83">
      <w:pPr>
        <w:pStyle w:val="ListParagraph"/>
        <w:spacing w:after="240"/>
        <w:ind w:left="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231833" w:rsidRPr="003571FD">
        <w:tc>
          <w:tcPr>
            <w:tcW w:w="9576" w:type="dxa"/>
            <w:gridSpan w:val="2"/>
          </w:tcPr>
          <w:p w:rsidR="00231833" w:rsidRPr="003571FD" w:rsidRDefault="00231833" w:rsidP="00231833">
            <w:pPr>
              <w:pStyle w:val="Caption"/>
              <w:keepNext/>
              <w:rPr>
                <w:rFonts w:ascii="Times New Roman" w:hAnsi="Times New Roman" w:cs="Times New Roman"/>
                <w:sz w:val="24"/>
                <w:szCs w:val="24"/>
              </w:rPr>
            </w:pPr>
            <w:bookmarkStart w:id="21" w:name="_Toc312317267"/>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Deposits and credit to the private sector (as % of GDP) – an international comparison</w:t>
            </w:r>
            <w:bookmarkEnd w:id="21"/>
          </w:p>
        </w:tc>
      </w:tr>
      <w:tr w:rsidR="00942B4C" w:rsidRPr="003571FD">
        <w:tc>
          <w:tcPr>
            <w:tcW w:w="4788" w:type="dxa"/>
          </w:tcPr>
          <w:p w:rsidR="00942B4C" w:rsidRPr="003571FD" w:rsidRDefault="00231833" w:rsidP="00942B4C">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2066925"/>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895600" cy="2066925"/>
                          </a:xfrm>
                          <a:prstGeom prst="rect">
                            <a:avLst/>
                          </a:prstGeom>
                          <a:noFill/>
                          <a:ln w="9525">
                            <a:noFill/>
                            <a:miter lim="800000"/>
                            <a:headEnd/>
                            <a:tailEnd/>
                          </a:ln>
                        </pic:spPr>
                      </pic:pic>
                    </a:graphicData>
                  </a:graphic>
                </wp:inline>
              </w:drawing>
            </w:r>
          </w:p>
        </w:tc>
        <w:tc>
          <w:tcPr>
            <w:tcW w:w="4788" w:type="dxa"/>
          </w:tcPr>
          <w:p w:rsidR="00942B4C" w:rsidRPr="003571FD" w:rsidRDefault="00231833">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2066925"/>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895600" cy="2066925"/>
                          </a:xfrm>
                          <a:prstGeom prst="rect">
                            <a:avLst/>
                          </a:prstGeom>
                          <a:noFill/>
                          <a:ln w="9525">
                            <a:noFill/>
                            <a:miter lim="800000"/>
                            <a:headEnd/>
                            <a:tailEnd/>
                          </a:ln>
                        </pic:spPr>
                      </pic:pic>
                    </a:graphicData>
                  </a:graphic>
                </wp:inline>
              </w:drawing>
            </w:r>
          </w:p>
        </w:tc>
      </w:tr>
      <w:tr w:rsidR="00942B4C" w:rsidRPr="003571FD">
        <w:tc>
          <w:tcPr>
            <w:tcW w:w="9576" w:type="dxa"/>
            <w:gridSpan w:val="2"/>
          </w:tcPr>
          <w:p w:rsidR="00942B4C" w:rsidRPr="003571FD" w:rsidRDefault="00942B4C" w:rsidP="0060526F">
            <w:pPr>
              <w:rPr>
                <w:rFonts w:ascii="Times New Roman" w:hAnsi="Times New Roman" w:cs="Times New Roman"/>
                <w:i/>
                <w:noProof/>
                <w:sz w:val="24"/>
                <w:szCs w:val="24"/>
              </w:rPr>
            </w:pPr>
            <w:r w:rsidRPr="003571FD">
              <w:rPr>
                <w:rFonts w:ascii="Times New Roman" w:hAnsi="Times New Roman" w:cs="Times New Roman"/>
                <w:i/>
                <w:noProof/>
                <w:sz w:val="18"/>
                <w:szCs w:val="24"/>
              </w:rPr>
              <w:t xml:space="preserve">Source: </w:t>
            </w:r>
            <w:r w:rsidR="00B6791F" w:rsidRPr="003571FD">
              <w:rPr>
                <w:rFonts w:ascii="Times New Roman" w:hAnsi="Times New Roman" w:cs="Times New Roman"/>
                <w:i/>
                <w:noProof/>
                <w:sz w:val="18"/>
                <w:szCs w:val="24"/>
              </w:rPr>
              <w:t>IMF IFS data</w:t>
            </w:r>
            <w:r w:rsidR="00482425" w:rsidRPr="003571FD">
              <w:rPr>
                <w:rFonts w:ascii="Times New Roman" w:hAnsi="Times New Roman" w:cs="Times New Roman"/>
                <w:i/>
                <w:noProof/>
                <w:sz w:val="18"/>
                <w:szCs w:val="24"/>
              </w:rPr>
              <w:t xml:space="preserve"> and World Bank’s FinStat database</w:t>
            </w:r>
            <w:r w:rsidR="00A229CE" w:rsidRPr="003571FD">
              <w:rPr>
                <w:rFonts w:ascii="Times New Roman" w:hAnsi="Times New Roman" w:cs="Times New Roman"/>
                <w:i/>
                <w:noProof/>
                <w:sz w:val="18"/>
                <w:szCs w:val="24"/>
              </w:rPr>
              <w:t xml:space="preserve">, which </w:t>
            </w:r>
            <w:r w:rsidR="0060526F" w:rsidRPr="003571FD">
              <w:rPr>
                <w:rFonts w:ascii="Times New Roman" w:hAnsi="Times New Roman" w:cs="Times New Roman"/>
                <w:i/>
                <w:noProof/>
                <w:sz w:val="18"/>
                <w:szCs w:val="24"/>
              </w:rPr>
              <w:t>include entire</w:t>
            </w:r>
            <w:r w:rsidR="00A229CE" w:rsidRPr="003571FD">
              <w:rPr>
                <w:rFonts w:ascii="Times New Roman" w:hAnsi="Times New Roman" w:cs="Times New Roman"/>
                <w:i/>
                <w:noProof/>
                <w:sz w:val="18"/>
                <w:szCs w:val="24"/>
              </w:rPr>
              <w:t xml:space="preserve"> </w:t>
            </w:r>
            <w:r w:rsidR="0060526F" w:rsidRPr="003571FD">
              <w:rPr>
                <w:rFonts w:ascii="Times New Roman" w:hAnsi="Times New Roman" w:cs="Times New Roman"/>
                <w:i/>
                <w:noProof/>
                <w:sz w:val="18"/>
                <w:szCs w:val="24"/>
              </w:rPr>
              <w:t>formal systems.</w:t>
            </w:r>
          </w:p>
        </w:tc>
      </w:tr>
    </w:tbl>
    <w:p w:rsidR="00B6791F" w:rsidRPr="003571FD" w:rsidRDefault="00B6791F" w:rsidP="00B6791F">
      <w:pPr>
        <w:rPr>
          <w:rFonts w:ascii="Times New Roman" w:hAnsi="Times New Roman" w:cs="Times New Roman"/>
          <w:sz w:val="24"/>
          <w:szCs w:val="24"/>
        </w:rPr>
      </w:pPr>
    </w:p>
    <w:p w:rsidR="00EF773C" w:rsidRPr="003571FD" w:rsidRDefault="001C22BF" w:rsidP="00B6791F">
      <w:pPr>
        <w:rPr>
          <w:rFonts w:ascii="Times New Roman" w:hAnsi="Times New Roman" w:cs="Times New Roman"/>
          <w:sz w:val="24"/>
          <w:szCs w:val="24"/>
        </w:rPr>
      </w:pPr>
      <w:r w:rsidRPr="003571FD">
        <w:rPr>
          <w:rFonts w:ascii="Times New Roman" w:hAnsi="Times New Roman" w:cs="Times New Roman"/>
          <w:i/>
          <w:sz w:val="24"/>
          <w:szCs w:val="24"/>
        </w:rPr>
        <w:t>Deposits</w:t>
      </w:r>
    </w:p>
    <w:p w:rsidR="00E2292F"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Deposits in the formal financial system saw unprecedented growth rates in the last few years.</w:t>
      </w:r>
      <w:r w:rsidRPr="003571FD">
        <w:rPr>
          <w:rFonts w:ascii="Times New Roman" w:hAnsi="Times New Roman" w:cs="Times New Roman"/>
          <w:sz w:val="24"/>
          <w:szCs w:val="24"/>
        </w:rPr>
        <w:t xml:space="preserve"> Deposits account for around 90 percent of liabilities and – as in most countries - are the core funding sources for financial entities. The value of deposits in the deposit taking institutions more than doubled in nominal terms during the last 5 years, reaching the equivalent of </w:t>
      </w:r>
      <w:r w:rsidR="00716F83" w:rsidRPr="003571FD">
        <w:rPr>
          <w:rFonts w:ascii="Times New Roman" w:hAnsi="Times New Roman" w:cs="Times New Roman"/>
          <w:sz w:val="24"/>
          <w:szCs w:val="24"/>
        </w:rPr>
        <w:t xml:space="preserve">USD </w:t>
      </w:r>
      <w:r w:rsidRPr="003571FD">
        <w:rPr>
          <w:rFonts w:ascii="Times New Roman" w:hAnsi="Times New Roman" w:cs="Times New Roman"/>
          <w:sz w:val="24"/>
          <w:szCs w:val="24"/>
        </w:rPr>
        <w:t xml:space="preserve">9 billion. These growth rates were high in international comparison </w:t>
      </w:r>
      <w:r w:rsidR="00F03AC0" w:rsidRPr="003571FD">
        <w:rPr>
          <w:rFonts w:ascii="Times New Roman" w:hAnsi="Times New Roman" w:cs="Times New Roman"/>
          <w:sz w:val="24"/>
          <w:szCs w:val="24"/>
        </w:rPr>
        <w:t xml:space="preserve">(see Chart 2) </w:t>
      </w:r>
      <w:r w:rsidRPr="003571FD">
        <w:rPr>
          <w:rFonts w:ascii="Times New Roman" w:hAnsi="Times New Roman" w:cs="Times New Roman"/>
          <w:sz w:val="24"/>
          <w:szCs w:val="24"/>
        </w:rPr>
        <w:t>and outpaced GDP growth, leading to an increase in deposits as percent of GDP from 36 percent of GDP in 2006 to 48 percent in 2010</w:t>
      </w:r>
      <w:r w:rsidRPr="003571FD">
        <w:rPr>
          <w:rStyle w:val="FootnoteReference"/>
          <w:rFonts w:ascii="Times New Roman" w:hAnsi="Times New Roman" w:cs="Times New Roman"/>
          <w:sz w:val="24"/>
          <w:szCs w:val="24"/>
        </w:rPr>
        <w:footnoteReference w:id="35"/>
      </w:r>
      <w:r w:rsidRPr="003571FD">
        <w:rPr>
          <w:rStyle w:val="CommentReference"/>
          <w:rFonts w:ascii="Times New Roman" w:hAnsi="Times New Roman" w:cs="Times New Roman"/>
          <w:sz w:val="24"/>
          <w:szCs w:val="24"/>
        </w:rPr>
        <w:t>.</w:t>
      </w:r>
      <w:r w:rsidRPr="003571FD">
        <w:rPr>
          <w:rFonts w:ascii="Times New Roman" w:hAnsi="Times New Roman" w:cs="Times New Roman"/>
          <w:sz w:val="24"/>
          <w:szCs w:val="24"/>
        </w:rPr>
        <w:t xml:space="preserve"> The increase in deposits was particularly pronounced in </w:t>
      </w:r>
      <w:r w:rsidRPr="003571FD">
        <w:rPr>
          <w:rFonts w:ascii="Times New Roman" w:hAnsi="Times New Roman" w:cs="Times New Roman"/>
          <w:sz w:val="24"/>
          <w:szCs w:val="24"/>
        </w:rPr>
        <w:lastRenderedPageBreak/>
        <w:t>sight deposits</w:t>
      </w:r>
      <w:r w:rsidRPr="003571FD">
        <w:rPr>
          <w:rStyle w:val="FootnoteReference"/>
          <w:rFonts w:ascii="Times New Roman" w:hAnsi="Times New Roman" w:cs="Times New Roman"/>
          <w:sz w:val="24"/>
          <w:szCs w:val="24"/>
        </w:rPr>
        <w:footnoteReference w:id="36"/>
      </w:r>
      <w:r w:rsidRPr="003571FD">
        <w:rPr>
          <w:rFonts w:ascii="Times New Roman" w:hAnsi="Times New Roman" w:cs="Times New Roman"/>
          <w:sz w:val="24"/>
          <w:szCs w:val="24"/>
        </w:rPr>
        <w:t xml:space="preserve">, which now account for two-third of all deposits in commercial banks, the public bank and </w:t>
      </w:r>
      <w:r w:rsidR="001A11A8" w:rsidRPr="003571FD">
        <w:rPr>
          <w:rFonts w:ascii="Times New Roman" w:hAnsi="Times New Roman" w:cs="Times New Roman"/>
          <w:sz w:val="24"/>
          <w:szCs w:val="24"/>
        </w:rPr>
        <w:t>SLAs</w:t>
      </w:r>
      <w:r w:rsidR="00FE3DC7">
        <w:rPr>
          <w:rFonts w:ascii="Times New Roman" w:hAnsi="Times New Roman" w:cs="Times New Roman"/>
          <w:sz w:val="24"/>
          <w:szCs w:val="24"/>
        </w:rPr>
        <w:t>.</w:t>
      </w:r>
    </w:p>
    <w:p w:rsidR="00E2292F" w:rsidRPr="003571FD" w:rsidRDefault="00E2292F" w:rsidP="00E2292F">
      <w:pPr>
        <w:pStyle w:val="ListParagraph"/>
        <w:ind w:left="360"/>
        <w:jc w:val="both"/>
        <w:rPr>
          <w:rFonts w:ascii="Times New Roman" w:hAnsi="Times New Roman" w:cs="Times New Roman"/>
          <w:sz w:val="24"/>
          <w:szCs w:val="24"/>
        </w:rPr>
      </w:pPr>
    </w:p>
    <w:p w:rsidR="00EF773C"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number of deposit accounts in the formal financial system also more than doubled between 2006 and November 2010, reaching close to 5 million accounts in December 2010</w:t>
      </w:r>
      <w:r w:rsidRPr="003571FD">
        <w:rPr>
          <w:rStyle w:val="FootnoteReference"/>
          <w:rFonts w:ascii="Times New Roman" w:hAnsi="Times New Roman" w:cs="Times New Roman"/>
          <w:b/>
          <w:sz w:val="24"/>
          <w:szCs w:val="24"/>
        </w:rPr>
        <w:footnoteReference w:id="37"/>
      </w:r>
      <w:r w:rsidRPr="003571FD">
        <w:rPr>
          <w:rFonts w:ascii="Times New Roman" w:hAnsi="Times New Roman" w:cs="Times New Roman"/>
          <w:b/>
          <w:sz w:val="24"/>
          <w:szCs w:val="24"/>
        </w:rPr>
        <w:t xml:space="preserve">. </w:t>
      </w:r>
      <w:r w:rsidR="008E5D0C" w:rsidRPr="003571FD">
        <w:rPr>
          <w:rFonts w:ascii="Times New Roman" w:hAnsi="Times New Roman" w:cs="Times New Roman"/>
          <w:sz w:val="24"/>
          <w:szCs w:val="24"/>
        </w:rPr>
        <w:t xml:space="preserve">The growth in deposit volume and number of accounts was mostly due the opening of savings accounts with </w:t>
      </w:r>
      <w:r w:rsidR="00E21FCE" w:rsidRPr="003571FD">
        <w:rPr>
          <w:rFonts w:ascii="Times New Roman" w:hAnsi="Times New Roman" w:cs="Times New Roman"/>
          <w:sz w:val="24"/>
          <w:szCs w:val="24"/>
        </w:rPr>
        <w:t xml:space="preserve">an account balance of less </w:t>
      </w:r>
      <w:r w:rsidR="008E5D0C" w:rsidRPr="003571FD">
        <w:rPr>
          <w:rFonts w:ascii="Times New Roman" w:hAnsi="Times New Roman" w:cs="Times New Roman"/>
          <w:sz w:val="24"/>
          <w:szCs w:val="24"/>
        </w:rPr>
        <w:t xml:space="preserve">than </w:t>
      </w:r>
      <w:r w:rsidR="00716F83" w:rsidRPr="003571FD">
        <w:rPr>
          <w:rFonts w:ascii="Times New Roman" w:hAnsi="Times New Roman" w:cs="Times New Roman"/>
          <w:sz w:val="24"/>
          <w:szCs w:val="24"/>
        </w:rPr>
        <w:t>USD 500</w:t>
      </w:r>
      <w:r w:rsidR="008E5D0C" w:rsidRPr="003571FD">
        <w:rPr>
          <w:rFonts w:ascii="Times New Roman" w:hAnsi="Times New Roman" w:cs="Times New Roman"/>
          <w:sz w:val="24"/>
          <w:szCs w:val="24"/>
        </w:rPr>
        <w:t xml:space="preserve">, indicating that new clients with lower income levels </w:t>
      </w:r>
      <w:r w:rsidR="00F03AC0" w:rsidRPr="003571FD">
        <w:rPr>
          <w:rFonts w:ascii="Times New Roman" w:hAnsi="Times New Roman" w:cs="Times New Roman"/>
          <w:sz w:val="24"/>
          <w:szCs w:val="24"/>
        </w:rPr>
        <w:t>are increasingly being banked</w:t>
      </w:r>
      <w:r w:rsidR="008E5D0C" w:rsidRPr="00517669">
        <w:rPr>
          <w:rFonts w:ascii="Times New Roman" w:hAnsi="Times New Roman" w:cs="Times New Roman"/>
          <w:sz w:val="24"/>
          <w:szCs w:val="24"/>
        </w:rPr>
        <w:t xml:space="preserve">. </w:t>
      </w:r>
      <w:r w:rsidR="00781E2F" w:rsidRPr="00517669">
        <w:rPr>
          <w:rFonts w:ascii="Times New Roman" w:hAnsi="Times New Roman" w:cs="Times New Roman"/>
          <w:sz w:val="24"/>
          <w:szCs w:val="24"/>
        </w:rPr>
        <w:t>In the absence of demand side information, it is not clear what triggered this strong growth, but interviews and transaction volumes indicate that m</w:t>
      </w:r>
      <w:r w:rsidR="00E21FCE" w:rsidRPr="00517669">
        <w:rPr>
          <w:rFonts w:ascii="Times New Roman" w:hAnsi="Times New Roman" w:cs="Times New Roman"/>
          <w:sz w:val="24"/>
          <w:szCs w:val="24"/>
        </w:rPr>
        <w:t>os</w:t>
      </w:r>
      <w:r w:rsidR="00E21FCE" w:rsidRPr="003571FD">
        <w:rPr>
          <w:rFonts w:ascii="Times New Roman" w:hAnsi="Times New Roman" w:cs="Times New Roman"/>
          <w:sz w:val="24"/>
          <w:szCs w:val="24"/>
        </w:rPr>
        <w:t xml:space="preserve">t of the accounts are used for savings purposes only. </w:t>
      </w:r>
      <w:r w:rsidR="008E5D0C" w:rsidRPr="003571FD">
        <w:rPr>
          <w:rFonts w:ascii="Times New Roman" w:hAnsi="Times New Roman" w:cs="Times New Roman"/>
          <w:sz w:val="24"/>
          <w:szCs w:val="24"/>
        </w:rPr>
        <w:t>There are now on average</w:t>
      </w:r>
      <w:r w:rsidRPr="003571FD">
        <w:rPr>
          <w:rFonts w:ascii="Times New Roman" w:hAnsi="Times New Roman" w:cs="Times New Roman"/>
          <w:sz w:val="24"/>
          <w:szCs w:val="24"/>
        </w:rPr>
        <w:t xml:space="preserve"> 7 accounts for 10 adults in Bolivia - a comparatively good result for a country of Bolivia’s income level. Pakistan, Paraguay and Nicaragua show for example ratios of 2 to 5 accounts per 10 adults. Yet, richer regional peers report more than 1 deposit or checking account per adult, indicating </w:t>
      </w:r>
      <w:r w:rsidR="00F03AC0" w:rsidRPr="003571FD">
        <w:rPr>
          <w:rFonts w:ascii="Times New Roman" w:hAnsi="Times New Roman" w:cs="Times New Roman"/>
          <w:sz w:val="24"/>
          <w:szCs w:val="24"/>
        </w:rPr>
        <w:t>the population’s use of various</w:t>
      </w:r>
      <w:r w:rsidR="00624DDA" w:rsidRPr="003571FD">
        <w:rPr>
          <w:rFonts w:ascii="Times New Roman" w:hAnsi="Times New Roman" w:cs="Times New Roman"/>
          <w:sz w:val="24"/>
          <w:szCs w:val="24"/>
        </w:rPr>
        <w:t xml:space="preserve"> accounts for transactional and savings purposes. This is an area in which Bolivia still has </w:t>
      </w:r>
      <w:r w:rsidRPr="003571FD">
        <w:rPr>
          <w:rFonts w:ascii="Times New Roman" w:hAnsi="Times New Roman" w:cs="Times New Roman"/>
          <w:sz w:val="24"/>
          <w:szCs w:val="24"/>
        </w:rPr>
        <w:t>further room for growth</w:t>
      </w:r>
      <w:r w:rsidRPr="003571FD">
        <w:rPr>
          <w:rStyle w:val="FootnoteReference"/>
          <w:rFonts w:ascii="Times New Roman" w:hAnsi="Times New Roman" w:cs="Times New Roman"/>
          <w:sz w:val="24"/>
          <w:szCs w:val="24"/>
        </w:rPr>
        <w:footnoteReference w:id="38"/>
      </w:r>
      <w:r w:rsidRPr="003571FD">
        <w:rPr>
          <w:rFonts w:ascii="Times New Roman" w:hAnsi="Times New Roman" w:cs="Times New Roman"/>
          <w:sz w:val="24"/>
          <w:szCs w:val="24"/>
        </w:rPr>
        <w:t xml:space="preserve"> </w:t>
      </w:r>
      <w:r w:rsidR="00E21FCE" w:rsidRPr="003571FD">
        <w:rPr>
          <w:rFonts w:ascii="Times New Roman" w:hAnsi="Times New Roman" w:cs="Times New Roman"/>
          <w:sz w:val="24"/>
          <w:szCs w:val="24"/>
        </w:rPr>
        <w:t>as will be discussed below</w:t>
      </w:r>
      <w:r w:rsidRPr="003571FD">
        <w:rPr>
          <w:rFonts w:ascii="Times New Roman" w:hAnsi="Times New Roman" w:cs="Times New Roman"/>
          <w:sz w:val="24"/>
          <w:szCs w:val="24"/>
        </w:rPr>
        <w:t xml:space="preserve">. </w:t>
      </w:r>
      <w:r w:rsidR="00E21FCE" w:rsidRPr="003571FD">
        <w:rPr>
          <w:rFonts w:ascii="Times New Roman" w:hAnsi="Times New Roman" w:cs="Times New Roman"/>
          <w:sz w:val="24"/>
          <w:szCs w:val="24"/>
        </w:rPr>
        <w:t>The stronger inclusion of clients with lower income levels led to a drop in a</w:t>
      </w:r>
      <w:r w:rsidR="008E5D0C" w:rsidRPr="003571FD">
        <w:rPr>
          <w:rFonts w:ascii="Times New Roman" w:hAnsi="Times New Roman" w:cs="Times New Roman"/>
          <w:sz w:val="24"/>
          <w:szCs w:val="24"/>
        </w:rPr>
        <w:t>verage deposit values to 239 percent of income per capita</w:t>
      </w:r>
      <w:r w:rsidR="00176309" w:rsidRPr="003571FD">
        <w:rPr>
          <w:rFonts w:ascii="Times New Roman" w:hAnsi="Times New Roman" w:cs="Times New Roman"/>
          <w:sz w:val="24"/>
          <w:szCs w:val="24"/>
        </w:rPr>
        <w:t>.</w:t>
      </w:r>
      <w:r w:rsidR="008E5D0C" w:rsidRPr="003571FD">
        <w:rPr>
          <w:rStyle w:val="FootnoteReference"/>
          <w:rFonts w:ascii="Times New Roman" w:hAnsi="Times New Roman" w:cs="Times New Roman"/>
          <w:sz w:val="24"/>
          <w:szCs w:val="24"/>
        </w:rPr>
        <w:footnoteReference w:id="39"/>
      </w:r>
      <w:r w:rsidR="00E21FCE"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Bolivia is now ahead of other countries in the region such as Panama, Paraguay and Nicaragua who report average deposit values of between 330-800 percent of per capita income. </w:t>
      </w:r>
    </w:p>
    <w:p w:rsidR="00CC341B" w:rsidRPr="003571FD" w:rsidRDefault="00CC341B" w:rsidP="00CC341B">
      <w:pPr>
        <w:pStyle w:val="ListParagraph"/>
        <w:spacing w:after="240"/>
        <w:ind w:left="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231833" w:rsidRPr="003571FD">
        <w:tc>
          <w:tcPr>
            <w:tcW w:w="9576" w:type="dxa"/>
            <w:gridSpan w:val="2"/>
          </w:tcPr>
          <w:p w:rsidR="00231833" w:rsidRPr="003571FD" w:rsidRDefault="00231833" w:rsidP="009438EF">
            <w:pPr>
              <w:pStyle w:val="Caption"/>
              <w:keepNext/>
              <w:rPr>
                <w:rFonts w:ascii="Times New Roman" w:hAnsi="Times New Roman" w:cs="Times New Roman"/>
                <w:sz w:val="24"/>
                <w:szCs w:val="24"/>
              </w:rPr>
            </w:pPr>
            <w:bookmarkStart w:id="22" w:name="_Toc312317268"/>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2</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xml:space="preserve">: </w:t>
            </w:r>
            <w:r w:rsidR="009438EF" w:rsidRPr="003571FD">
              <w:rPr>
                <w:rFonts w:ascii="Times New Roman" w:hAnsi="Times New Roman" w:cs="Times New Roman"/>
                <w:color w:val="auto"/>
              </w:rPr>
              <w:t>Deposits – international comparison of growth rates and number of accounts</w:t>
            </w:r>
            <w:bookmarkEnd w:id="22"/>
          </w:p>
        </w:tc>
      </w:tr>
      <w:tr w:rsidR="00231833" w:rsidRPr="003571FD">
        <w:tc>
          <w:tcPr>
            <w:tcW w:w="4788" w:type="dxa"/>
          </w:tcPr>
          <w:p w:rsidR="00231833" w:rsidRPr="003571FD" w:rsidRDefault="009438EF" w:rsidP="00231833">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33550"/>
                  <wp:effectExtent l="1905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c>
          <w:tcPr>
            <w:tcW w:w="4788" w:type="dxa"/>
          </w:tcPr>
          <w:p w:rsidR="00231833" w:rsidRPr="003571FD" w:rsidRDefault="009438EF" w:rsidP="00231833">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905125" cy="1924050"/>
                  <wp:effectExtent l="1905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2905125" cy="1924050"/>
                          </a:xfrm>
                          <a:prstGeom prst="rect">
                            <a:avLst/>
                          </a:prstGeom>
                          <a:noFill/>
                          <a:ln w="9525">
                            <a:noFill/>
                            <a:miter lim="800000"/>
                            <a:headEnd/>
                            <a:tailEnd/>
                          </a:ln>
                        </pic:spPr>
                      </pic:pic>
                    </a:graphicData>
                  </a:graphic>
                </wp:inline>
              </w:drawing>
            </w:r>
          </w:p>
        </w:tc>
      </w:tr>
      <w:tr w:rsidR="00231833" w:rsidRPr="003571FD">
        <w:tc>
          <w:tcPr>
            <w:tcW w:w="9576" w:type="dxa"/>
            <w:gridSpan w:val="2"/>
          </w:tcPr>
          <w:p w:rsidR="00231833" w:rsidRPr="003571FD" w:rsidRDefault="00231833" w:rsidP="00C97C97">
            <w:pPr>
              <w:rPr>
                <w:rFonts w:ascii="Times New Roman" w:hAnsi="Times New Roman" w:cs="Times New Roman"/>
                <w:i/>
                <w:noProof/>
                <w:sz w:val="24"/>
                <w:szCs w:val="24"/>
              </w:rPr>
            </w:pPr>
            <w:r w:rsidRPr="003571FD">
              <w:rPr>
                <w:rFonts w:ascii="Times New Roman" w:hAnsi="Times New Roman" w:cs="Times New Roman"/>
                <w:i/>
                <w:noProof/>
                <w:sz w:val="18"/>
                <w:szCs w:val="24"/>
              </w:rPr>
              <w:t xml:space="preserve">Source: </w:t>
            </w:r>
            <w:r w:rsidR="009438EF" w:rsidRPr="003571FD">
              <w:rPr>
                <w:rFonts w:ascii="Times New Roman" w:hAnsi="Times New Roman" w:cs="Times New Roman"/>
                <w:i/>
                <w:noProof/>
                <w:sz w:val="18"/>
                <w:szCs w:val="24"/>
              </w:rPr>
              <w:t>CGAP Financial Access</w:t>
            </w:r>
            <w:r w:rsidR="00D50836" w:rsidRPr="003571FD">
              <w:rPr>
                <w:rFonts w:ascii="Times New Roman" w:hAnsi="Times New Roman" w:cs="Times New Roman"/>
                <w:i/>
                <w:noProof/>
                <w:sz w:val="18"/>
                <w:szCs w:val="24"/>
              </w:rPr>
              <w:t xml:space="preserve"> </w:t>
            </w:r>
            <w:r w:rsidR="00C15D70" w:rsidRPr="003571FD">
              <w:rPr>
                <w:rFonts w:ascii="Times New Roman" w:hAnsi="Times New Roman" w:cs="Times New Roman"/>
                <w:i/>
                <w:noProof/>
                <w:sz w:val="18"/>
                <w:szCs w:val="24"/>
              </w:rPr>
              <w:t>d</w:t>
            </w:r>
            <w:r w:rsidR="009438EF" w:rsidRPr="003571FD">
              <w:rPr>
                <w:rFonts w:ascii="Times New Roman" w:hAnsi="Times New Roman" w:cs="Times New Roman"/>
                <w:i/>
                <w:noProof/>
                <w:sz w:val="18"/>
                <w:szCs w:val="24"/>
              </w:rPr>
              <w:t>atabase</w:t>
            </w:r>
            <w:r w:rsidR="00D50836" w:rsidRPr="003571FD">
              <w:rPr>
                <w:rFonts w:ascii="Times New Roman" w:hAnsi="Times New Roman" w:cs="Times New Roman"/>
                <w:i/>
                <w:noProof/>
                <w:sz w:val="18"/>
                <w:szCs w:val="24"/>
              </w:rPr>
              <w:t xml:space="preserve"> (2009)</w:t>
            </w:r>
            <w:r w:rsidR="009438EF" w:rsidRPr="003571FD">
              <w:rPr>
                <w:rFonts w:ascii="Times New Roman" w:hAnsi="Times New Roman" w:cs="Times New Roman"/>
                <w:i/>
                <w:noProof/>
                <w:sz w:val="18"/>
                <w:szCs w:val="24"/>
              </w:rPr>
              <w:t xml:space="preserve">, </w:t>
            </w:r>
            <w:r w:rsidR="00C15D70" w:rsidRPr="003571FD">
              <w:rPr>
                <w:rFonts w:ascii="Times New Roman" w:hAnsi="Times New Roman" w:cs="Times New Roman"/>
                <w:i/>
                <w:noProof/>
                <w:sz w:val="18"/>
                <w:szCs w:val="24"/>
              </w:rPr>
              <w:t xml:space="preserve">IMF IFS data, </w:t>
            </w:r>
            <w:r w:rsidR="009438EF" w:rsidRPr="003571FD">
              <w:rPr>
                <w:rFonts w:ascii="Times New Roman" w:hAnsi="Times New Roman" w:cs="Times New Roman"/>
                <w:i/>
                <w:noProof/>
                <w:sz w:val="18"/>
                <w:szCs w:val="24"/>
              </w:rPr>
              <w:t>ASFI and World Bank’s own calculation</w:t>
            </w:r>
            <w:r w:rsidR="00C97C97" w:rsidRPr="003571FD">
              <w:rPr>
                <w:rFonts w:ascii="Times New Roman" w:hAnsi="Times New Roman" w:cs="Times New Roman"/>
                <w:i/>
                <w:noProof/>
                <w:sz w:val="18"/>
                <w:szCs w:val="24"/>
              </w:rPr>
              <w:t>s (</w:t>
            </w:r>
            <w:r w:rsidR="0060526F" w:rsidRPr="003571FD">
              <w:rPr>
                <w:rFonts w:ascii="Times New Roman" w:hAnsi="Times New Roman" w:cs="Times New Roman"/>
                <w:i/>
                <w:noProof/>
                <w:sz w:val="18"/>
                <w:szCs w:val="24"/>
              </w:rPr>
              <w:t xml:space="preserve"> entire formal system</w:t>
            </w:r>
            <w:r w:rsidR="00C97C97" w:rsidRPr="003571FD">
              <w:rPr>
                <w:rFonts w:ascii="Times New Roman" w:hAnsi="Times New Roman" w:cs="Times New Roman"/>
                <w:i/>
                <w:noProof/>
                <w:sz w:val="18"/>
                <w:szCs w:val="24"/>
              </w:rPr>
              <w:t>)</w:t>
            </w:r>
            <w:r w:rsidR="0060526F" w:rsidRPr="003571FD">
              <w:rPr>
                <w:rFonts w:ascii="Times New Roman" w:hAnsi="Times New Roman" w:cs="Times New Roman"/>
                <w:i/>
                <w:noProof/>
                <w:sz w:val="18"/>
                <w:szCs w:val="24"/>
              </w:rPr>
              <w:t>.</w:t>
            </w:r>
          </w:p>
        </w:tc>
      </w:tr>
    </w:tbl>
    <w:p w:rsidR="00CC341B" w:rsidRPr="003571FD" w:rsidRDefault="00CC341B" w:rsidP="00EF773C">
      <w:pPr>
        <w:jc w:val="both"/>
        <w:rPr>
          <w:rFonts w:ascii="Times New Roman" w:hAnsi="Times New Roman" w:cs="Times New Roman"/>
          <w:i/>
          <w:sz w:val="24"/>
          <w:szCs w:val="24"/>
        </w:rPr>
      </w:pPr>
    </w:p>
    <w:p w:rsidR="00F43D6E" w:rsidRPr="003571FD" w:rsidRDefault="00F43D6E">
      <w:pPr>
        <w:rPr>
          <w:rFonts w:ascii="Times New Roman" w:hAnsi="Times New Roman" w:cs="Times New Roman"/>
          <w:i/>
          <w:sz w:val="24"/>
          <w:szCs w:val="24"/>
        </w:rPr>
      </w:pPr>
      <w:r w:rsidRPr="003571FD">
        <w:rPr>
          <w:rFonts w:ascii="Times New Roman" w:hAnsi="Times New Roman" w:cs="Times New Roman"/>
          <w:i/>
          <w:sz w:val="24"/>
          <w:szCs w:val="24"/>
        </w:rPr>
        <w:br w:type="page"/>
      </w:r>
    </w:p>
    <w:p w:rsidR="00EF773C" w:rsidRPr="003571FD" w:rsidRDefault="001C22BF" w:rsidP="00EF773C">
      <w:pPr>
        <w:jc w:val="both"/>
        <w:rPr>
          <w:rFonts w:ascii="Times New Roman" w:hAnsi="Times New Roman" w:cs="Times New Roman"/>
          <w:i/>
          <w:sz w:val="24"/>
          <w:szCs w:val="24"/>
        </w:rPr>
      </w:pPr>
      <w:r w:rsidRPr="003571FD">
        <w:rPr>
          <w:rFonts w:ascii="Times New Roman" w:hAnsi="Times New Roman" w:cs="Times New Roman"/>
          <w:i/>
          <w:sz w:val="24"/>
          <w:szCs w:val="24"/>
        </w:rPr>
        <w:lastRenderedPageBreak/>
        <w:t>Credit</w:t>
      </w: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tblGrid>
      <w:tr w:rsidR="00011C0C" w:rsidRPr="003571FD">
        <w:trPr>
          <w:trHeight w:val="353"/>
        </w:trPr>
        <w:tc>
          <w:tcPr>
            <w:tcW w:w="5226" w:type="dxa"/>
          </w:tcPr>
          <w:p w:rsidR="00DB7F98" w:rsidRDefault="00DB7F98" w:rsidP="00F03AC0">
            <w:pPr>
              <w:jc w:val="both"/>
              <w:rPr>
                <w:rFonts w:ascii="Times New Roman" w:hAnsi="Times New Roman" w:cs="Times New Roman"/>
                <w:b/>
                <w:sz w:val="18"/>
              </w:rPr>
            </w:pPr>
          </w:p>
          <w:p w:rsidR="00011C0C" w:rsidRPr="00795642" w:rsidRDefault="00492725" w:rsidP="00F03AC0">
            <w:pPr>
              <w:jc w:val="both"/>
              <w:rPr>
                <w:rFonts w:ascii="Times New Roman" w:hAnsi="Times New Roman" w:cs="Times New Roman"/>
                <w:b/>
                <w:sz w:val="24"/>
                <w:szCs w:val="24"/>
              </w:rPr>
            </w:pPr>
            <w:bookmarkStart w:id="23" w:name="_Toc312317269"/>
            <w:r w:rsidRPr="00795642">
              <w:rPr>
                <w:rFonts w:ascii="Times New Roman" w:hAnsi="Times New Roman" w:cs="Times New Roman"/>
                <w:b/>
                <w:sz w:val="18"/>
              </w:rPr>
              <w:t xml:space="preserve">Chart </w:t>
            </w:r>
            <w:r w:rsidR="005744EE" w:rsidRPr="00795642">
              <w:rPr>
                <w:rFonts w:ascii="Times New Roman" w:hAnsi="Times New Roman" w:cs="Times New Roman"/>
                <w:b/>
                <w:sz w:val="18"/>
              </w:rPr>
              <w:fldChar w:fldCharType="begin"/>
            </w:r>
            <w:r w:rsidRPr="00795642">
              <w:rPr>
                <w:rFonts w:ascii="Times New Roman" w:hAnsi="Times New Roman" w:cs="Times New Roman"/>
                <w:b/>
                <w:sz w:val="18"/>
              </w:rPr>
              <w:instrText xml:space="preserve"> SEQ Chart \* ARABIC </w:instrText>
            </w:r>
            <w:r w:rsidR="005744EE" w:rsidRPr="00795642">
              <w:rPr>
                <w:rFonts w:ascii="Times New Roman" w:hAnsi="Times New Roman" w:cs="Times New Roman"/>
                <w:b/>
                <w:sz w:val="18"/>
              </w:rPr>
              <w:fldChar w:fldCharType="separate"/>
            </w:r>
            <w:r w:rsidR="00064A1B" w:rsidRPr="00795642">
              <w:rPr>
                <w:rFonts w:ascii="Times New Roman" w:hAnsi="Times New Roman" w:cs="Times New Roman"/>
                <w:b/>
                <w:noProof/>
                <w:sz w:val="18"/>
              </w:rPr>
              <w:t>3</w:t>
            </w:r>
            <w:r w:rsidR="005744EE" w:rsidRPr="00795642">
              <w:rPr>
                <w:rFonts w:ascii="Times New Roman" w:hAnsi="Times New Roman" w:cs="Times New Roman"/>
                <w:b/>
                <w:sz w:val="18"/>
              </w:rPr>
              <w:fldChar w:fldCharType="end"/>
            </w:r>
            <w:r w:rsidRPr="00795642">
              <w:rPr>
                <w:rFonts w:ascii="Times New Roman" w:hAnsi="Times New Roman" w:cs="Times New Roman"/>
                <w:b/>
                <w:sz w:val="18"/>
              </w:rPr>
              <w:t>:</w:t>
            </w:r>
            <w:r w:rsidR="00B07DFB" w:rsidRPr="00795642">
              <w:rPr>
                <w:rFonts w:ascii="Times New Roman" w:hAnsi="Times New Roman" w:cs="Times New Roman"/>
                <w:b/>
                <w:sz w:val="18"/>
              </w:rPr>
              <w:t xml:space="preserve"> </w:t>
            </w:r>
            <w:r w:rsidRPr="00795642">
              <w:rPr>
                <w:rFonts w:ascii="Times New Roman" w:hAnsi="Times New Roman" w:cs="Times New Roman"/>
                <w:b/>
                <w:sz w:val="18"/>
              </w:rPr>
              <w:t xml:space="preserve">Credit, deposits and GDP </w:t>
            </w:r>
            <w:r w:rsidR="00F03AC0" w:rsidRPr="00795642">
              <w:rPr>
                <w:rFonts w:ascii="Times New Roman" w:hAnsi="Times New Roman" w:cs="Times New Roman"/>
                <w:b/>
                <w:sz w:val="18"/>
              </w:rPr>
              <w:t>(</w:t>
            </w:r>
            <w:r w:rsidRPr="00795642">
              <w:rPr>
                <w:rFonts w:ascii="Times New Roman" w:hAnsi="Times New Roman" w:cs="Times New Roman"/>
                <w:b/>
                <w:sz w:val="18"/>
              </w:rPr>
              <w:t xml:space="preserve">in </w:t>
            </w:r>
            <w:r w:rsidR="00F03AC0" w:rsidRPr="00795642">
              <w:rPr>
                <w:rFonts w:ascii="Times New Roman" w:hAnsi="Times New Roman" w:cs="Times New Roman"/>
                <w:b/>
                <w:sz w:val="18"/>
              </w:rPr>
              <w:t xml:space="preserve">billion </w:t>
            </w:r>
            <w:r w:rsidR="00634D54" w:rsidRPr="00795642">
              <w:rPr>
                <w:rFonts w:ascii="Times New Roman" w:hAnsi="Times New Roman" w:cs="Times New Roman"/>
                <w:b/>
                <w:sz w:val="18"/>
              </w:rPr>
              <w:t>Bs.</w:t>
            </w:r>
            <w:r w:rsidRPr="00795642">
              <w:rPr>
                <w:rFonts w:ascii="Times New Roman" w:hAnsi="Times New Roman" w:cs="Times New Roman"/>
                <w:b/>
                <w:sz w:val="18"/>
              </w:rPr>
              <w:t>)</w:t>
            </w:r>
            <w:bookmarkEnd w:id="23"/>
          </w:p>
        </w:tc>
      </w:tr>
      <w:tr w:rsidR="00011C0C" w:rsidRPr="003571FD">
        <w:trPr>
          <w:trHeight w:val="3143"/>
        </w:trPr>
        <w:tc>
          <w:tcPr>
            <w:tcW w:w="5226" w:type="dxa"/>
          </w:tcPr>
          <w:p w:rsidR="00011C0C" w:rsidRPr="003571FD" w:rsidRDefault="00492725" w:rsidP="00011C0C">
            <w:pPr>
              <w:jc w:val="both"/>
              <w:rPr>
                <w:rFonts w:ascii="Times New Roman" w:hAnsi="Times New Roman" w:cs="Times New Roman"/>
                <w:b/>
                <w:sz w:val="24"/>
                <w:szCs w:val="24"/>
              </w:rPr>
            </w:pPr>
            <w:r w:rsidRPr="003571FD">
              <w:rPr>
                <w:rFonts w:ascii="Times New Roman" w:hAnsi="Times New Roman" w:cs="Times New Roman"/>
                <w:b/>
                <w:noProof/>
                <w:sz w:val="24"/>
                <w:szCs w:val="24"/>
              </w:rPr>
              <w:drawing>
                <wp:inline distT="0" distB="0" distL="0" distR="0">
                  <wp:extent cx="3152775" cy="1895475"/>
                  <wp:effectExtent l="19050" t="0" r="9525"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3152775" cy="1895475"/>
                          </a:xfrm>
                          <a:prstGeom prst="rect">
                            <a:avLst/>
                          </a:prstGeom>
                          <a:noFill/>
                          <a:ln w="9525">
                            <a:noFill/>
                            <a:miter lim="800000"/>
                            <a:headEnd/>
                            <a:tailEnd/>
                          </a:ln>
                        </pic:spPr>
                      </pic:pic>
                    </a:graphicData>
                  </a:graphic>
                </wp:inline>
              </w:drawing>
            </w:r>
          </w:p>
        </w:tc>
      </w:tr>
      <w:tr w:rsidR="00011C0C" w:rsidRPr="003571FD">
        <w:trPr>
          <w:trHeight w:val="350"/>
        </w:trPr>
        <w:tc>
          <w:tcPr>
            <w:tcW w:w="5226" w:type="dxa"/>
          </w:tcPr>
          <w:p w:rsidR="00011C0C" w:rsidRPr="003571FD" w:rsidRDefault="00492725" w:rsidP="00492725">
            <w:pPr>
              <w:jc w:val="both"/>
              <w:rPr>
                <w:rFonts w:ascii="Times New Roman" w:hAnsi="Times New Roman" w:cs="Times New Roman"/>
                <w:b/>
                <w:sz w:val="24"/>
                <w:szCs w:val="24"/>
              </w:rPr>
            </w:pPr>
            <w:r w:rsidRPr="003571FD">
              <w:rPr>
                <w:rFonts w:ascii="Times New Roman" w:hAnsi="Times New Roman" w:cs="Times New Roman"/>
                <w:i/>
                <w:noProof/>
                <w:sz w:val="18"/>
                <w:szCs w:val="24"/>
              </w:rPr>
              <w:t>Source: IMF IFS data and World Bank’s own calculations.</w:t>
            </w:r>
          </w:p>
        </w:tc>
      </w:tr>
    </w:tbl>
    <w:p w:rsidR="00011C0C"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Credit to the private sector also increased in the last 5 years, but the growth was not sufficient to keep up with deposit and GDP growth rates.</w:t>
      </w:r>
      <w:r w:rsidRPr="003571FD">
        <w:rPr>
          <w:rFonts w:ascii="Times New Roman" w:hAnsi="Times New Roman" w:cs="Times New Roman"/>
          <w:sz w:val="24"/>
          <w:szCs w:val="24"/>
        </w:rPr>
        <w:t xml:space="preserve"> Based on IMF data, credit to the private sector increased in nominal terms on average by 6.5 percent annually between 2005 and 2008, which was below </w:t>
      </w:r>
      <w:r w:rsidR="005D0823" w:rsidRPr="003571FD">
        <w:rPr>
          <w:rFonts w:ascii="Times New Roman" w:hAnsi="Times New Roman" w:cs="Times New Roman"/>
          <w:sz w:val="24"/>
          <w:szCs w:val="24"/>
        </w:rPr>
        <w:t xml:space="preserve">the </w:t>
      </w:r>
      <w:r w:rsidRPr="003571FD">
        <w:rPr>
          <w:rFonts w:ascii="Times New Roman" w:hAnsi="Times New Roman" w:cs="Times New Roman"/>
          <w:sz w:val="24"/>
          <w:szCs w:val="24"/>
        </w:rPr>
        <w:t xml:space="preserve">growth rates achieved in other countries in the region and income bracket (see </w:t>
      </w:r>
      <w:r w:rsidR="00BA64F5" w:rsidRPr="003571FD">
        <w:rPr>
          <w:rFonts w:ascii="Times New Roman" w:hAnsi="Times New Roman" w:cs="Times New Roman"/>
          <w:sz w:val="24"/>
          <w:szCs w:val="24"/>
        </w:rPr>
        <w:t>C</w:t>
      </w:r>
      <w:r w:rsidRPr="003571FD">
        <w:rPr>
          <w:rFonts w:ascii="Times New Roman" w:hAnsi="Times New Roman" w:cs="Times New Roman"/>
          <w:sz w:val="24"/>
          <w:szCs w:val="24"/>
        </w:rPr>
        <w:t xml:space="preserve">hart </w:t>
      </w:r>
      <w:r w:rsidR="00F03AC0" w:rsidRPr="003571FD">
        <w:rPr>
          <w:rFonts w:ascii="Times New Roman" w:hAnsi="Times New Roman" w:cs="Times New Roman"/>
          <w:sz w:val="24"/>
          <w:szCs w:val="24"/>
        </w:rPr>
        <w:t>4</w:t>
      </w:r>
      <w:r w:rsidRPr="003571FD">
        <w:rPr>
          <w:rFonts w:ascii="Times New Roman" w:hAnsi="Times New Roman" w:cs="Times New Roman"/>
          <w:sz w:val="24"/>
          <w:szCs w:val="24"/>
        </w:rPr>
        <w:t xml:space="preserve">), and well below deposit and GDP growth. As a result, credit to the private sector in percent of GDP decreased from around 40 percent in 2005 to 34 percent in 2009. The different growth dynamic to deposits led to a widening of the intermediation gap, with now only two thirds of the deposits being intermediated into loans compared to 91 percent in 2005. However, it should be noted that this trend reversed in 2010, as credit growth accelerated to 20 percent – now one of the highest in the region - and deposit growth slowed </w:t>
      </w:r>
      <w:r w:rsidR="005D0823" w:rsidRPr="003571FD">
        <w:rPr>
          <w:rFonts w:ascii="Times New Roman" w:hAnsi="Times New Roman" w:cs="Times New Roman"/>
          <w:sz w:val="24"/>
          <w:szCs w:val="24"/>
        </w:rPr>
        <w:t xml:space="preserve">down </w:t>
      </w:r>
      <w:r w:rsidRPr="003571FD">
        <w:rPr>
          <w:rFonts w:ascii="Times New Roman" w:hAnsi="Times New Roman" w:cs="Times New Roman"/>
          <w:sz w:val="24"/>
          <w:szCs w:val="24"/>
        </w:rPr>
        <w:t xml:space="preserve">(see </w:t>
      </w:r>
      <w:r w:rsidR="00BA64F5" w:rsidRPr="003571FD">
        <w:rPr>
          <w:rFonts w:ascii="Times New Roman" w:hAnsi="Times New Roman" w:cs="Times New Roman"/>
          <w:sz w:val="24"/>
          <w:szCs w:val="24"/>
        </w:rPr>
        <w:t>C</w:t>
      </w:r>
      <w:r w:rsidRPr="003571FD">
        <w:rPr>
          <w:rFonts w:ascii="Times New Roman" w:hAnsi="Times New Roman" w:cs="Times New Roman"/>
          <w:sz w:val="24"/>
          <w:szCs w:val="24"/>
        </w:rPr>
        <w:t xml:space="preserve">hart </w:t>
      </w:r>
      <w:r w:rsidR="00F65072" w:rsidRPr="003571FD">
        <w:rPr>
          <w:rFonts w:ascii="Times New Roman" w:hAnsi="Times New Roman" w:cs="Times New Roman"/>
          <w:sz w:val="24"/>
          <w:szCs w:val="24"/>
        </w:rPr>
        <w:t>3</w:t>
      </w:r>
      <w:r w:rsidR="00716F83" w:rsidRPr="003571FD">
        <w:rPr>
          <w:rFonts w:ascii="Times New Roman" w:hAnsi="Times New Roman" w:cs="Times New Roman"/>
          <w:sz w:val="24"/>
          <w:szCs w:val="24"/>
        </w:rPr>
        <w:t xml:space="preserve"> and 4</w:t>
      </w:r>
      <w:r w:rsidRPr="003571FD">
        <w:rPr>
          <w:rFonts w:ascii="Times New Roman" w:hAnsi="Times New Roman" w:cs="Times New Roman"/>
          <w:sz w:val="24"/>
          <w:szCs w:val="24"/>
        </w:rPr>
        <w:t>).</w:t>
      </w:r>
      <w:r w:rsidR="002D45E3" w:rsidRPr="003571FD">
        <w:rPr>
          <w:rFonts w:ascii="Times New Roman" w:hAnsi="Times New Roman" w:cs="Times New Roman"/>
          <w:b/>
          <w:sz w:val="24"/>
          <w:szCs w:val="24"/>
        </w:rPr>
        <w:t xml:space="preserve"> </w:t>
      </w:r>
      <w:r w:rsidR="00011C0C" w:rsidRPr="003571FD">
        <w:rPr>
          <w:rFonts w:ascii="Times New Roman" w:hAnsi="Times New Roman" w:cs="Times New Roman"/>
          <w:sz w:val="24"/>
          <w:szCs w:val="24"/>
        </w:rPr>
        <w:t>Both supply and demand side factors contributed to the comparatively weak growth of credit volume, as will be discussed in more depth in Chapter 6</w:t>
      </w:r>
      <w:r w:rsidR="00F03AC0" w:rsidRPr="003571FD">
        <w:rPr>
          <w:rFonts w:ascii="Times New Roman" w:hAnsi="Times New Roman" w:cs="Times New Roman"/>
          <w:sz w:val="24"/>
          <w:szCs w:val="24"/>
        </w:rPr>
        <w:t>.</w:t>
      </w:r>
      <w:r w:rsidR="00011C0C" w:rsidRPr="003571FD">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C15D70" w:rsidRPr="003571FD">
        <w:tc>
          <w:tcPr>
            <w:tcW w:w="9576" w:type="dxa"/>
            <w:gridSpan w:val="2"/>
          </w:tcPr>
          <w:p w:rsidR="00C15D70" w:rsidRPr="003571FD" w:rsidRDefault="00C15D70" w:rsidP="00C15D70">
            <w:pPr>
              <w:pStyle w:val="Caption"/>
              <w:keepNext/>
              <w:rPr>
                <w:rFonts w:ascii="Times New Roman" w:hAnsi="Times New Roman" w:cs="Times New Roman"/>
                <w:sz w:val="24"/>
                <w:szCs w:val="24"/>
              </w:rPr>
            </w:pPr>
            <w:bookmarkStart w:id="24" w:name="_Toc312317270"/>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4</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Credit – international comparison of growth rates and number of loans</w:t>
            </w:r>
            <w:bookmarkEnd w:id="24"/>
          </w:p>
        </w:tc>
      </w:tr>
      <w:tr w:rsidR="00C15D70" w:rsidRPr="003571FD">
        <w:tc>
          <w:tcPr>
            <w:tcW w:w="4788" w:type="dxa"/>
          </w:tcPr>
          <w:p w:rsidR="00C15D70" w:rsidRPr="003571FD" w:rsidRDefault="00C15D70" w:rsidP="00C15D70">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33550"/>
                  <wp:effectExtent l="19050" t="0" r="0" b="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895600" cy="1733550"/>
                          </a:xfrm>
                          <a:prstGeom prst="rect">
                            <a:avLst/>
                          </a:prstGeom>
                          <a:noFill/>
                          <a:ln w="9525">
                            <a:noFill/>
                            <a:miter lim="800000"/>
                            <a:headEnd/>
                            <a:tailEnd/>
                          </a:ln>
                        </pic:spPr>
                      </pic:pic>
                    </a:graphicData>
                  </a:graphic>
                </wp:inline>
              </w:drawing>
            </w:r>
          </w:p>
        </w:tc>
        <w:tc>
          <w:tcPr>
            <w:tcW w:w="4788" w:type="dxa"/>
          </w:tcPr>
          <w:p w:rsidR="00C15D70" w:rsidRPr="003571FD" w:rsidRDefault="00C15D70" w:rsidP="00C15D70">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905125" cy="1924050"/>
                  <wp:effectExtent l="19050" t="0" r="9525"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2905125" cy="1924050"/>
                          </a:xfrm>
                          <a:prstGeom prst="rect">
                            <a:avLst/>
                          </a:prstGeom>
                          <a:noFill/>
                          <a:ln w="9525">
                            <a:noFill/>
                            <a:miter lim="800000"/>
                            <a:headEnd/>
                            <a:tailEnd/>
                          </a:ln>
                        </pic:spPr>
                      </pic:pic>
                    </a:graphicData>
                  </a:graphic>
                </wp:inline>
              </w:drawing>
            </w:r>
          </w:p>
        </w:tc>
      </w:tr>
      <w:tr w:rsidR="00C15D70" w:rsidRPr="003571FD">
        <w:tc>
          <w:tcPr>
            <w:tcW w:w="9576" w:type="dxa"/>
            <w:gridSpan w:val="2"/>
          </w:tcPr>
          <w:p w:rsidR="00C15D70" w:rsidRPr="003571FD" w:rsidRDefault="00C15D70" w:rsidP="00C97C97">
            <w:pPr>
              <w:rPr>
                <w:rFonts w:ascii="Times New Roman" w:hAnsi="Times New Roman" w:cs="Times New Roman"/>
                <w:i/>
                <w:noProof/>
                <w:sz w:val="24"/>
                <w:szCs w:val="24"/>
              </w:rPr>
            </w:pPr>
            <w:r w:rsidRPr="003571FD">
              <w:rPr>
                <w:rFonts w:ascii="Times New Roman" w:hAnsi="Times New Roman" w:cs="Times New Roman"/>
                <w:i/>
                <w:noProof/>
                <w:sz w:val="18"/>
                <w:szCs w:val="24"/>
              </w:rPr>
              <w:t>Source: CGAP Financial Access database</w:t>
            </w:r>
            <w:r w:rsidR="00D50836" w:rsidRPr="003571FD">
              <w:rPr>
                <w:rFonts w:ascii="Times New Roman" w:hAnsi="Times New Roman" w:cs="Times New Roman"/>
                <w:i/>
                <w:noProof/>
                <w:sz w:val="18"/>
                <w:szCs w:val="24"/>
              </w:rPr>
              <w:t xml:space="preserve"> (2009)</w:t>
            </w:r>
            <w:r w:rsidRPr="003571FD">
              <w:rPr>
                <w:rFonts w:ascii="Times New Roman" w:hAnsi="Times New Roman" w:cs="Times New Roman"/>
                <w:i/>
                <w:noProof/>
                <w:sz w:val="18"/>
                <w:szCs w:val="24"/>
              </w:rPr>
              <w:t>, IMF IFS data, ASFI and World Bank’s own calculations</w:t>
            </w:r>
            <w:r w:rsidR="00C97C97" w:rsidRPr="003571FD">
              <w:rPr>
                <w:rFonts w:ascii="Times New Roman" w:hAnsi="Times New Roman" w:cs="Times New Roman"/>
                <w:i/>
                <w:noProof/>
                <w:sz w:val="18"/>
                <w:szCs w:val="24"/>
              </w:rPr>
              <w:t xml:space="preserve"> (</w:t>
            </w:r>
            <w:r w:rsidR="0060526F" w:rsidRPr="003571FD">
              <w:rPr>
                <w:rFonts w:ascii="Times New Roman" w:hAnsi="Times New Roman" w:cs="Times New Roman"/>
                <w:i/>
                <w:noProof/>
                <w:sz w:val="18"/>
                <w:szCs w:val="24"/>
              </w:rPr>
              <w:t>entire formal system</w:t>
            </w:r>
            <w:r w:rsidR="00C97C97" w:rsidRPr="003571FD">
              <w:rPr>
                <w:rFonts w:ascii="Times New Roman" w:hAnsi="Times New Roman" w:cs="Times New Roman"/>
                <w:i/>
                <w:noProof/>
                <w:sz w:val="18"/>
                <w:szCs w:val="24"/>
              </w:rPr>
              <w:t>)</w:t>
            </w:r>
            <w:r w:rsidR="0060526F" w:rsidRPr="003571FD">
              <w:rPr>
                <w:rFonts w:ascii="Times New Roman" w:hAnsi="Times New Roman" w:cs="Times New Roman"/>
                <w:i/>
                <w:noProof/>
                <w:sz w:val="18"/>
                <w:szCs w:val="24"/>
              </w:rPr>
              <w:t>.</w:t>
            </w:r>
          </w:p>
        </w:tc>
      </w:tr>
    </w:tbl>
    <w:p w:rsidR="0060526F" w:rsidRPr="003571FD" w:rsidRDefault="0060526F" w:rsidP="0060526F">
      <w:pPr>
        <w:pStyle w:val="ListParagraph"/>
        <w:spacing w:after="240"/>
        <w:ind w:left="0"/>
        <w:jc w:val="both"/>
        <w:rPr>
          <w:rFonts w:ascii="Times New Roman" w:hAnsi="Times New Roman" w:cs="Times New Roman"/>
          <w:sz w:val="24"/>
          <w:szCs w:val="24"/>
        </w:rPr>
      </w:pPr>
    </w:p>
    <w:p w:rsidR="00E2292F"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Since 2006, the number of borrowers in the formal financial system increased by 50 percent, leading to a larger share of borrowers with small to medium sized credits</w:t>
      </w:r>
      <w:r w:rsidRPr="003571FD">
        <w:rPr>
          <w:rFonts w:ascii="Times New Roman" w:hAnsi="Times New Roman" w:cs="Times New Roman"/>
          <w:sz w:val="24"/>
          <w:szCs w:val="24"/>
        </w:rPr>
        <w:t>. There are currently over 850,000 borrowers in the formal financial sy</w:t>
      </w:r>
      <w:r w:rsidR="008F1D29" w:rsidRPr="003571FD">
        <w:rPr>
          <w:rFonts w:ascii="Times New Roman" w:hAnsi="Times New Roman" w:cs="Times New Roman"/>
          <w:sz w:val="24"/>
          <w:szCs w:val="24"/>
        </w:rPr>
        <w:t>stem, which represent around 15</w:t>
      </w:r>
      <w:r w:rsidR="00816A16" w:rsidRPr="003571FD">
        <w:rPr>
          <w:rFonts w:ascii="Times New Roman" w:hAnsi="Times New Roman" w:cs="Times New Roman"/>
          <w:sz w:val="24"/>
          <w:szCs w:val="24"/>
        </w:rPr>
        <w:t xml:space="preserve"> </w:t>
      </w:r>
      <w:r w:rsidRPr="003571FD">
        <w:rPr>
          <w:rFonts w:ascii="Times New Roman" w:hAnsi="Times New Roman" w:cs="Times New Roman"/>
          <w:sz w:val="24"/>
          <w:szCs w:val="24"/>
        </w:rPr>
        <w:t>percent of the adult population or in terms of number of loans equals 0</w:t>
      </w:r>
      <w:r w:rsidR="00BA64F5" w:rsidRPr="003571FD">
        <w:rPr>
          <w:rFonts w:ascii="Times New Roman" w:hAnsi="Times New Roman" w:cs="Times New Roman"/>
          <w:sz w:val="24"/>
          <w:szCs w:val="24"/>
        </w:rPr>
        <w:t>.</w:t>
      </w:r>
      <w:r w:rsidRPr="003571FD">
        <w:rPr>
          <w:rFonts w:ascii="Times New Roman" w:hAnsi="Times New Roman" w:cs="Times New Roman"/>
          <w:sz w:val="24"/>
          <w:szCs w:val="24"/>
        </w:rPr>
        <w:t xml:space="preserve">6 loans per adult. The latter is above international peers and regional averages (see </w:t>
      </w:r>
      <w:r w:rsidR="00BA64F5" w:rsidRPr="003571FD">
        <w:rPr>
          <w:rFonts w:ascii="Times New Roman" w:hAnsi="Times New Roman" w:cs="Times New Roman"/>
          <w:sz w:val="24"/>
          <w:szCs w:val="24"/>
        </w:rPr>
        <w:t>C</w:t>
      </w:r>
      <w:r w:rsidRPr="003571FD">
        <w:rPr>
          <w:rFonts w:ascii="Times New Roman" w:hAnsi="Times New Roman" w:cs="Times New Roman"/>
          <w:sz w:val="24"/>
          <w:szCs w:val="24"/>
        </w:rPr>
        <w:t xml:space="preserve">hart </w:t>
      </w:r>
      <w:r w:rsidR="00F03AC0" w:rsidRPr="003571FD">
        <w:rPr>
          <w:rFonts w:ascii="Times New Roman" w:hAnsi="Times New Roman" w:cs="Times New Roman"/>
          <w:sz w:val="24"/>
          <w:szCs w:val="24"/>
        </w:rPr>
        <w:t>4</w:t>
      </w:r>
      <w:r w:rsidRPr="003571FD">
        <w:rPr>
          <w:rFonts w:ascii="Times New Roman" w:hAnsi="Times New Roman" w:cs="Times New Roman"/>
          <w:sz w:val="24"/>
          <w:szCs w:val="24"/>
        </w:rPr>
        <w:t>), reflecting the strong micro</w:t>
      </w:r>
      <w:r w:rsidR="00F03AC0" w:rsidRPr="003571FD">
        <w:rPr>
          <w:rFonts w:ascii="Times New Roman" w:hAnsi="Times New Roman" w:cs="Times New Roman"/>
          <w:sz w:val="24"/>
          <w:szCs w:val="24"/>
        </w:rPr>
        <w:t xml:space="preserve">finance system in the country. </w:t>
      </w:r>
      <w:r w:rsidRPr="003571FD">
        <w:rPr>
          <w:rFonts w:ascii="Times New Roman" w:hAnsi="Times New Roman" w:cs="Times New Roman"/>
          <w:sz w:val="24"/>
          <w:szCs w:val="24"/>
        </w:rPr>
        <w:t xml:space="preserve">The data for the formal financial system reveal a significant </w:t>
      </w:r>
      <w:r w:rsidRPr="003571FD">
        <w:rPr>
          <w:rFonts w:ascii="Times New Roman" w:hAnsi="Times New Roman" w:cs="Times New Roman"/>
          <w:sz w:val="24"/>
          <w:szCs w:val="24"/>
        </w:rPr>
        <w:lastRenderedPageBreak/>
        <w:t xml:space="preserve">shift in the composition to micro- and small clients with a loan portfolio of between </w:t>
      </w:r>
      <w:r w:rsidR="009958C5" w:rsidRPr="003571FD">
        <w:rPr>
          <w:rFonts w:ascii="Times New Roman" w:hAnsi="Times New Roman" w:cs="Times New Roman"/>
          <w:sz w:val="24"/>
          <w:szCs w:val="24"/>
        </w:rPr>
        <w:t xml:space="preserve">USD </w:t>
      </w:r>
      <w:r w:rsidRPr="003571FD">
        <w:rPr>
          <w:rFonts w:ascii="Times New Roman" w:hAnsi="Times New Roman" w:cs="Times New Roman"/>
          <w:sz w:val="24"/>
          <w:szCs w:val="24"/>
        </w:rPr>
        <w:t>1</w:t>
      </w:r>
      <w:r w:rsidR="00B55897" w:rsidRPr="003571FD">
        <w:rPr>
          <w:rFonts w:ascii="Times New Roman" w:hAnsi="Times New Roman" w:cs="Times New Roman"/>
          <w:sz w:val="24"/>
          <w:szCs w:val="24"/>
        </w:rPr>
        <w:t>,000</w:t>
      </w:r>
      <w:r w:rsidRPr="003571FD">
        <w:rPr>
          <w:rFonts w:ascii="Times New Roman" w:hAnsi="Times New Roman" w:cs="Times New Roman"/>
          <w:sz w:val="24"/>
          <w:szCs w:val="24"/>
        </w:rPr>
        <w:t xml:space="preserve"> to 30,000. Yet, less than 1 percent of the borrowers still account for over 40 percent of the loan portfolio by volume, leading to a high average lending value of over 500 percent of GDP per capita. This is comparatively high for the region, and also for other countries in the same income category, but masks the fact that the system does cater to a substantial part to micro- and small enterprises</w:t>
      </w:r>
      <w:r w:rsidRPr="003571FD">
        <w:rPr>
          <w:rStyle w:val="FootnoteReference"/>
          <w:rFonts w:ascii="Times New Roman" w:hAnsi="Times New Roman" w:cs="Times New Roman"/>
          <w:sz w:val="24"/>
          <w:szCs w:val="24"/>
        </w:rPr>
        <w:footnoteReference w:id="40"/>
      </w:r>
      <w:r w:rsidRPr="003571FD">
        <w:rPr>
          <w:rFonts w:ascii="Times New Roman" w:hAnsi="Times New Roman" w:cs="Times New Roman"/>
          <w:sz w:val="24"/>
          <w:szCs w:val="24"/>
        </w:rPr>
        <w:t xml:space="preserve">. In addition to the formal financial sector, it is estimated that the </w:t>
      </w:r>
      <w:r w:rsidR="0042062D" w:rsidRPr="003571FD">
        <w:rPr>
          <w:rFonts w:ascii="Times New Roman" w:hAnsi="Times New Roman" w:cs="Times New Roman"/>
          <w:sz w:val="24"/>
          <w:szCs w:val="24"/>
        </w:rPr>
        <w:t>IFD</w:t>
      </w:r>
      <w:r w:rsidRPr="003571FD">
        <w:rPr>
          <w:rFonts w:ascii="Times New Roman" w:hAnsi="Times New Roman" w:cs="Times New Roman"/>
          <w:sz w:val="24"/>
          <w:szCs w:val="24"/>
        </w:rPr>
        <w:t xml:space="preserve">s and closed cooperatives </w:t>
      </w:r>
      <w:r w:rsidR="00AA0AF1" w:rsidRPr="003571FD">
        <w:rPr>
          <w:rFonts w:ascii="Times New Roman" w:hAnsi="Times New Roman" w:cs="Times New Roman"/>
          <w:sz w:val="24"/>
          <w:szCs w:val="24"/>
        </w:rPr>
        <w:t>are serving around 44</w:t>
      </w:r>
      <w:r w:rsidRPr="003571FD">
        <w:rPr>
          <w:rFonts w:ascii="Times New Roman" w:hAnsi="Times New Roman" w:cs="Times New Roman"/>
          <w:sz w:val="24"/>
          <w:szCs w:val="24"/>
        </w:rPr>
        <w:t>0,000 borrowers.</w:t>
      </w:r>
    </w:p>
    <w:p w:rsidR="00E2292F" w:rsidRPr="003571FD" w:rsidRDefault="00E2292F" w:rsidP="00E2292F">
      <w:pPr>
        <w:pStyle w:val="ListParagraph"/>
        <w:ind w:left="360"/>
        <w:jc w:val="both"/>
        <w:rPr>
          <w:rFonts w:ascii="Times New Roman" w:hAnsi="Times New Roman" w:cs="Times New Roman"/>
          <w:sz w:val="24"/>
          <w:szCs w:val="24"/>
        </w:rPr>
      </w:pPr>
    </w:p>
    <w:p w:rsidR="00E2292F"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Demand side data confirm that formal enterprises have access to funding from the formal financial sector, but mostly in the form of working capital and with high collateral requirements</w:t>
      </w:r>
      <w:r w:rsidRPr="003571FD">
        <w:rPr>
          <w:rFonts w:ascii="Times New Roman" w:hAnsi="Times New Roman" w:cs="Times New Roman"/>
          <w:sz w:val="24"/>
          <w:szCs w:val="24"/>
        </w:rPr>
        <w:t xml:space="preserve">. As can be seen in </w:t>
      </w:r>
      <w:r w:rsidR="00BA64F5" w:rsidRPr="003571FD">
        <w:rPr>
          <w:rFonts w:ascii="Times New Roman" w:hAnsi="Times New Roman" w:cs="Times New Roman"/>
          <w:sz w:val="24"/>
          <w:szCs w:val="24"/>
        </w:rPr>
        <w:t>T</w:t>
      </w:r>
      <w:r w:rsidRPr="003571FD">
        <w:rPr>
          <w:rFonts w:ascii="Times New Roman" w:hAnsi="Times New Roman" w:cs="Times New Roman"/>
          <w:sz w:val="24"/>
          <w:szCs w:val="24"/>
        </w:rPr>
        <w:t xml:space="preserve">able </w:t>
      </w:r>
      <w:r w:rsidR="00BA1C19" w:rsidRPr="003571FD">
        <w:rPr>
          <w:rFonts w:ascii="Times New Roman" w:hAnsi="Times New Roman" w:cs="Times New Roman"/>
          <w:sz w:val="24"/>
          <w:szCs w:val="24"/>
        </w:rPr>
        <w:t>2</w:t>
      </w:r>
      <w:r w:rsidRPr="003571FD">
        <w:rPr>
          <w:rFonts w:ascii="Times New Roman" w:hAnsi="Times New Roman" w:cs="Times New Roman"/>
          <w:sz w:val="24"/>
          <w:szCs w:val="24"/>
        </w:rPr>
        <w:t xml:space="preserve">, 50 percent of the 651 firms interviewed for the </w:t>
      </w:r>
      <w:r w:rsidR="0042062D" w:rsidRPr="003571FD">
        <w:rPr>
          <w:rFonts w:ascii="Times New Roman" w:hAnsi="Times New Roman" w:cs="Times New Roman"/>
          <w:sz w:val="24"/>
          <w:szCs w:val="24"/>
        </w:rPr>
        <w:t xml:space="preserve">World Bank’s </w:t>
      </w:r>
      <w:r w:rsidRPr="003571FD">
        <w:rPr>
          <w:rFonts w:ascii="Times New Roman" w:hAnsi="Times New Roman" w:cs="Times New Roman"/>
          <w:sz w:val="24"/>
          <w:szCs w:val="24"/>
        </w:rPr>
        <w:t xml:space="preserve">Enterprise Survey in 2006 had access to short-term funding in the form of lines of credit and a large share reported </w:t>
      </w:r>
      <w:r w:rsidR="00F03AC0" w:rsidRPr="003571FD">
        <w:rPr>
          <w:rFonts w:ascii="Times New Roman" w:hAnsi="Times New Roman" w:cs="Times New Roman"/>
          <w:sz w:val="24"/>
          <w:szCs w:val="24"/>
        </w:rPr>
        <w:t>being</w:t>
      </w:r>
      <w:r w:rsidRPr="003571FD">
        <w:rPr>
          <w:rFonts w:ascii="Times New Roman" w:hAnsi="Times New Roman" w:cs="Times New Roman"/>
          <w:sz w:val="24"/>
          <w:szCs w:val="24"/>
        </w:rPr>
        <w:t xml:space="preserve"> able to </w:t>
      </w:r>
      <w:r w:rsidR="00AA0AF1" w:rsidRPr="003571FD">
        <w:rPr>
          <w:rFonts w:ascii="Times New Roman" w:hAnsi="Times New Roman" w:cs="Times New Roman"/>
          <w:sz w:val="24"/>
          <w:szCs w:val="24"/>
        </w:rPr>
        <w:t xml:space="preserve">obtain </w:t>
      </w:r>
      <w:r w:rsidR="00F03AC0" w:rsidRPr="003571FD">
        <w:rPr>
          <w:rFonts w:ascii="Times New Roman" w:hAnsi="Times New Roman" w:cs="Times New Roman"/>
          <w:sz w:val="24"/>
          <w:szCs w:val="24"/>
        </w:rPr>
        <w:t xml:space="preserve">working capital </w:t>
      </w:r>
      <w:r w:rsidR="00AA0AF1" w:rsidRPr="003571FD">
        <w:rPr>
          <w:rFonts w:ascii="Times New Roman" w:hAnsi="Times New Roman" w:cs="Times New Roman"/>
          <w:sz w:val="24"/>
          <w:szCs w:val="24"/>
        </w:rPr>
        <w:t>from banks</w:t>
      </w:r>
      <w:r w:rsidRPr="003571FD">
        <w:rPr>
          <w:rFonts w:ascii="Times New Roman" w:hAnsi="Times New Roman" w:cs="Times New Roman"/>
          <w:sz w:val="24"/>
          <w:szCs w:val="24"/>
        </w:rPr>
        <w:t xml:space="preserve">. Thus, only 20 percent of the surveyed formal companies’ perceived access to finance as a bottleneck for their business compared to 28 percent for the Latin American region, and 31 for all sample countries worldwide. Smaller companies reported a slightly lower level of access to financing </w:t>
      </w:r>
      <w:r w:rsidR="00F03AC0" w:rsidRPr="003571FD">
        <w:rPr>
          <w:rFonts w:ascii="Times New Roman" w:hAnsi="Times New Roman" w:cs="Times New Roman"/>
          <w:sz w:val="24"/>
          <w:szCs w:val="24"/>
        </w:rPr>
        <w:t>(</w:t>
      </w:r>
      <w:r w:rsidRPr="003571FD">
        <w:rPr>
          <w:rFonts w:ascii="Times New Roman" w:hAnsi="Times New Roman" w:cs="Times New Roman"/>
          <w:sz w:val="24"/>
          <w:szCs w:val="24"/>
        </w:rPr>
        <w:t>40 percent</w:t>
      </w:r>
      <w:r w:rsidR="00F03AC0" w:rsidRPr="003571FD">
        <w:rPr>
          <w:rFonts w:ascii="Times New Roman" w:hAnsi="Times New Roman" w:cs="Times New Roman"/>
          <w:sz w:val="24"/>
          <w:szCs w:val="24"/>
        </w:rPr>
        <w:t>)</w:t>
      </w:r>
      <w:r w:rsidRPr="003571FD">
        <w:rPr>
          <w:rFonts w:ascii="Times New Roman" w:hAnsi="Times New Roman" w:cs="Times New Roman"/>
          <w:sz w:val="24"/>
          <w:szCs w:val="24"/>
        </w:rPr>
        <w:t>, which however is still comparatively good. Investment financing is only used by 22 percent of the companies, and collateral requirements are in general high. Thus</w:t>
      </w:r>
      <w:r w:rsidR="00F65072" w:rsidRPr="003571FD">
        <w:rPr>
          <w:rFonts w:ascii="Times New Roman" w:hAnsi="Times New Roman" w:cs="Times New Roman"/>
          <w:sz w:val="24"/>
          <w:szCs w:val="24"/>
        </w:rPr>
        <w:t xml:space="preserve">, </w:t>
      </w:r>
      <w:r w:rsidRPr="003571FD">
        <w:rPr>
          <w:rFonts w:ascii="Times New Roman" w:hAnsi="Times New Roman" w:cs="Times New Roman"/>
          <w:sz w:val="24"/>
          <w:szCs w:val="24"/>
        </w:rPr>
        <w:t>while working capital financing appears to be sufficiently available overall</w:t>
      </w:r>
      <w:r w:rsidR="00F65072" w:rsidRPr="003571FD">
        <w:rPr>
          <w:rFonts w:ascii="Times New Roman" w:hAnsi="Times New Roman" w:cs="Times New Roman"/>
          <w:sz w:val="24"/>
          <w:szCs w:val="24"/>
        </w:rPr>
        <w:t>,</w:t>
      </w:r>
      <w:r w:rsidRPr="003571FD">
        <w:rPr>
          <w:rFonts w:ascii="Times New Roman" w:hAnsi="Times New Roman" w:cs="Times New Roman"/>
          <w:sz w:val="24"/>
          <w:szCs w:val="24"/>
        </w:rPr>
        <w:t xml:space="preserve"> funding for investment capital appears constrain</w:t>
      </w:r>
      <w:r w:rsidR="00AA0AF1" w:rsidRPr="003571FD">
        <w:rPr>
          <w:rFonts w:ascii="Times New Roman" w:hAnsi="Times New Roman" w:cs="Times New Roman"/>
          <w:sz w:val="24"/>
          <w:szCs w:val="24"/>
        </w:rPr>
        <w:t>ed</w:t>
      </w:r>
      <w:r w:rsidRPr="003571FD">
        <w:rPr>
          <w:rFonts w:ascii="Times New Roman" w:hAnsi="Times New Roman" w:cs="Times New Roman"/>
          <w:sz w:val="24"/>
          <w:szCs w:val="24"/>
        </w:rPr>
        <w:t xml:space="preserve"> and limited by the requirements for collateral</w:t>
      </w:r>
      <w:r w:rsidR="009A68BF">
        <w:rPr>
          <w:rStyle w:val="FootnoteReference"/>
          <w:rFonts w:ascii="Times New Roman" w:hAnsi="Times New Roman" w:cs="Times New Roman"/>
          <w:sz w:val="24"/>
          <w:szCs w:val="24"/>
        </w:rPr>
        <w:footnoteReference w:id="41"/>
      </w:r>
      <w:r w:rsidRPr="003571FD">
        <w:rPr>
          <w:rFonts w:ascii="Times New Roman" w:hAnsi="Times New Roman" w:cs="Times New Roman"/>
          <w:sz w:val="24"/>
          <w:szCs w:val="24"/>
        </w:rPr>
        <w:t xml:space="preserve">. The findings from the enterprise survey were confirmed by interviews in the field for both formal and informal enterprises. </w:t>
      </w:r>
    </w:p>
    <w:p w:rsidR="00CF7BD4" w:rsidRPr="003571FD" w:rsidRDefault="00CF7BD4" w:rsidP="00CF7BD4">
      <w:pPr>
        <w:pStyle w:val="Caption"/>
        <w:keepNext/>
        <w:rPr>
          <w:rFonts w:ascii="Times New Roman" w:hAnsi="Times New Roman" w:cs="Times New Roman"/>
          <w:color w:val="auto"/>
        </w:rPr>
      </w:pPr>
      <w:bookmarkStart w:id="25" w:name="_Toc312317349"/>
      <w:r w:rsidRPr="003571FD">
        <w:rPr>
          <w:rFonts w:ascii="Times New Roman" w:hAnsi="Times New Roman" w:cs="Times New Roman"/>
          <w:color w:val="auto"/>
        </w:rPr>
        <w:t xml:space="preserve">Table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2</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w:t>
      </w:r>
      <w:r w:rsidR="00B07DFB" w:rsidRPr="003571FD">
        <w:rPr>
          <w:rFonts w:ascii="Times New Roman" w:hAnsi="Times New Roman" w:cs="Times New Roman"/>
          <w:color w:val="auto"/>
        </w:rPr>
        <w:t xml:space="preserve"> </w:t>
      </w:r>
      <w:r w:rsidRPr="003571FD">
        <w:rPr>
          <w:rFonts w:ascii="Times New Roman" w:hAnsi="Times New Roman" w:cs="Times New Roman"/>
          <w:color w:val="auto"/>
        </w:rPr>
        <w:t>Survey results for formal enterprise’s access to credit fro</w:t>
      </w:r>
      <w:r w:rsidR="00F03AC0" w:rsidRPr="003571FD">
        <w:rPr>
          <w:rFonts w:ascii="Times New Roman" w:hAnsi="Times New Roman" w:cs="Times New Roman"/>
          <w:color w:val="auto"/>
        </w:rPr>
        <w:t>m formal financial institutions</w:t>
      </w:r>
      <w:bookmarkEnd w:id="25"/>
    </w:p>
    <w:tbl>
      <w:tblPr>
        <w:tblW w:w="9411" w:type="dxa"/>
        <w:tblInd w:w="115" w:type="dxa"/>
        <w:tblLayout w:type="fixed"/>
        <w:tblCellMar>
          <w:left w:w="115" w:type="dxa"/>
          <w:right w:w="115" w:type="dxa"/>
        </w:tblCellMar>
        <w:tblLook w:val="0000" w:firstRow="0" w:lastRow="0" w:firstColumn="0" w:lastColumn="0" w:noHBand="0" w:noVBand="0"/>
      </w:tblPr>
      <w:tblGrid>
        <w:gridCol w:w="5652"/>
        <w:gridCol w:w="1412"/>
        <w:gridCol w:w="1170"/>
        <w:gridCol w:w="1177"/>
      </w:tblGrid>
      <w:tr w:rsidR="00EF773C" w:rsidRPr="003571FD" w:rsidTr="00CC341B">
        <w:trPr>
          <w:trHeight w:val="261"/>
        </w:trPr>
        <w:tc>
          <w:tcPr>
            <w:tcW w:w="565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EF773C" w:rsidP="00EF773C">
            <w:pPr>
              <w:spacing w:after="100" w:afterAutospacing="1"/>
              <w:contextualSpacing/>
              <w:jc w:val="center"/>
              <w:rPr>
                <w:rFonts w:ascii="Times New Roman" w:hAnsi="Times New Roman" w:cs="Times New Roman"/>
                <w:b/>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EF773C" w:rsidRPr="003571FD" w:rsidRDefault="00EF773C" w:rsidP="00EF773C">
            <w:pPr>
              <w:spacing w:after="100" w:afterAutospacing="1"/>
              <w:contextualSpacing/>
              <w:jc w:val="center"/>
              <w:rPr>
                <w:rFonts w:ascii="Times New Roman" w:hAnsi="Times New Roman" w:cs="Times New Roman"/>
                <w:b/>
                <w:sz w:val="20"/>
                <w:szCs w:val="20"/>
              </w:rPr>
            </w:pPr>
          </w:p>
          <w:p w:rsidR="00EF773C" w:rsidRPr="003571FD" w:rsidRDefault="001C22BF" w:rsidP="00EF773C">
            <w:pPr>
              <w:spacing w:after="100" w:afterAutospacing="1"/>
              <w:contextualSpacing/>
              <w:jc w:val="center"/>
              <w:rPr>
                <w:rFonts w:ascii="Times New Roman" w:hAnsi="Times New Roman" w:cs="Times New Roman"/>
                <w:b/>
                <w:sz w:val="20"/>
                <w:szCs w:val="20"/>
              </w:rPr>
            </w:pPr>
            <w:r w:rsidRPr="003571FD">
              <w:rPr>
                <w:rFonts w:ascii="Times New Roman" w:hAnsi="Times New Roman" w:cs="Times New Roman"/>
                <w:b/>
                <w:sz w:val="20"/>
                <w:szCs w:val="20"/>
              </w:rPr>
              <w:t>Bolivia</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EF773C" w:rsidRPr="003571FD" w:rsidRDefault="00EF773C" w:rsidP="00EF773C">
            <w:pPr>
              <w:spacing w:after="100" w:afterAutospacing="1"/>
              <w:contextualSpacing/>
              <w:jc w:val="center"/>
              <w:rPr>
                <w:rFonts w:ascii="Times New Roman" w:hAnsi="Times New Roman" w:cs="Times New Roman"/>
                <w:b/>
                <w:sz w:val="20"/>
                <w:szCs w:val="20"/>
              </w:rPr>
            </w:pPr>
          </w:p>
          <w:p w:rsidR="00EF773C" w:rsidRPr="003571FD" w:rsidRDefault="001C22BF" w:rsidP="00EF773C">
            <w:pPr>
              <w:spacing w:after="100" w:afterAutospacing="1"/>
              <w:contextualSpacing/>
              <w:jc w:val="center"/>
              <w:rPr>
                <w:rFonts w:ascii="Times New Roman" w:hAnsi="Times New Roman" w:cs="Times New Roman"/>
                <w:b/>
                <w:sz w:val="20"/>
                <w:szCs w:val="20"/>
              </w:rPr>
            </w:pPr>
            <w:r w:rsidRPr="003571FD">
              <w:rPr>
                <w:rFonts w:ascii="Times New Roman" w:hAnsi="Times New Roman" w:cs="Times New Roman"/>
                <w:b/>
                <w:sz w:val="20"/>
                <w:szCs w:val="20"/>
              </w:rPr>
              <w:t>Region</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tcPr>
          <w:p w:rsidR="00EF773C" w:rsidRPr="003571FD" w:rsidRDefault="001C22BF" w:rsidP="00EF773C">
            <w:pPr>
              <w:spacing w:after="100" w:afterAutospacing="1"/>
              <w:contextualSpacing/>
              <w:jc w:val="center"/>
              <w:rPr>
                <w:rFonts w:ascii="Times New Roman" w:hAnsi="Times New Roman" w:cs="Times New Roman"/>
                <w:b/>
                <w:sz w:val="20"/>
                <w:szCs w:val="20"/>
              </w:rPr>
            </w:pPr>
            <w:r w:rsidRPr="003571FD">
              <w:rPr>
                <w:rFonts w:ascii="Times New Roman" w:hAnsi="Times New Roman" w:cs="Times New Roman"/>
                <w:b/>
                <w:sz w:val="20"/>
                <w:szCs w:val="20"/>
              </w:rPr>
              <w:t>All countries</w:t>
            </w:r>
          </w:p>
        </w:tc>
      </w:tr>
      <w:tr w:rsidR="00EF773C" w:rsidRPr="003571FD" w:rsidTr="00CC341B">
        <w:trPr>
          <w:trHeight w:val="288"/>
        </w:trPr>
        <w:tc>
          <w:tcPr>
            <w:tcW w:w="565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EF773C">
            <w:pPr>
              <w:spacing w:after="100" w:afterAutospacing="1"/>
              <w:contextualSpacing/>
              <w:rPr>
                <w:rFonts w:ascii="Times New Roman" w:hAnsi="Times New Roman" w:cs="Times New Roman"/>
                <w:sz w:val="20"/>
                <w:szCs w:val="20"/>
              </w:rPr>
            </w:pPr>
            <w:r w:rsidRPr="003571FD">
              <w:rPr>
                <w:rFonts w:ascii="Times New Roman" w:hAnsi="Times New Roman" w:cs="Times New Roman"/>
                <w:sz w:val="20"/>
                <w:szCs w:val="20"/>
              </w:rPr>
              <w:t>% of Firms with Line of Credit or Loans from Financial Institutions</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47</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34</w:t>
            </w:r>
          </w:p>
        </w:tc>
      </w:tr>
      <w:tr w:rsidR="00EF773C" w:rsidRPr="003571FD" w:rsidTr="00CC341B">
        <w:trPr>
          <w:trHeight w:val="288"/>
        </w:trPr>
        <w:tc>
          <w:tcPr>
            <w:tcW w:w="565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EF773C">
            <w:pPr>
              <w:spacing w:after="100" w:afterAutospacing="1"/>
              <w:contextualSpacing/>
              <w:rPr>
                <w:rFonts w:ascii="Times New Roman" w:hAnsi="Times New Roman" w:cs="Times New Roman"/>
                <w:sz w:val="20"/>
                <w:szCs w:val="20"/>
              </w:rPr>
            </w:pPr>
            <w:r w:rsidRPr="003571FD">
              <w:rPr>
                <w:rFonts w:ascii="Times New Roman" w:hAnsi="Times New Roman" w:cs="Times New Roman"/>
                <w:sz w:val="20"/>
                <w:szCs w:val="20"/>
              </w:rPr>
              <w:t>% of Firms Using Banks to Finance Investments</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22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EF773C">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2</w:t>
            </w:r>
            <w:r w:rsidR="00AA0AF1" w:rsidRPr="003571FD">
              <w:rPr>
                <w:rFonts w:ascii="Times New Roman" w:hAnsi="Times New Roman" w:cs="Times New Roman"/>
                <w:sz w:val="20"/>
                <w:szCs w:val="20"/>
              </w:rPr>
              <w:t>1</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2</w:t>
            </w:r>
            <w:r w:rsidR="00AA0AF1" w:rsidRPr="003571FD">
              <w:rPr>
                <w:rFonts w:ascii="Times New Roman" w:hAnsi="Times New Roman" w:cs="Times New Roman"/>
                <w:sz w:val="20"/>
                <w:szCs w:val="20"/>
              </w:rPr>
              <w:t>4</w:t>
            </w:r>
          </w:p>
        </w:tc>
      </w:tr>
      <w:tr w:rsidR="00EF773C" w:rsidRPr="003571FD" w:rsidTr="00CC341B">
        <w:trPr>
          <w:trHeight w:val="288"/>
        </w:trPr>
        <w:tc>
          <w:tcPr>
            <w:tcW w:w="565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1F794A">
            <w:pPr>
              <w:spacing w:after="100" w:afterAutospacing="1"/>
              <w:contextualSpacing/>
              <w:rPr>
                <w:rFonts w:ascii="Times New Roman" w:hAnsi="Times New Roman" w:cs="Times New Roman"/>
                <w:sz w:val="20"/>
                <w:szCs w:val="20"/>
              </w:rPr>
            </w:pPr>
            <w:r w:rsidRPr="003571FD">
              <w:rPr>
                <w:rFonts w:ascii="Times New Roman" w:hAnsi="Times New Roman" w:cs="Times New Roman"/>
                <w:sz w:val="20"/>
                <w:szCs w:val="20"/>
              </w:rPr>
              <w:t xml:space="preserve">% of Firms Using Banks to Finance </w:t>
            </w:r>
            <w:r w:rsidR="001F794A" w:rsidRPr="003571FD">
              <w:rPr>
                <w:rFonts w:ascii="Times New Roman" w:hAnsi="Times New Roman" w:cs="Times New Roman"/>
                <w:sz w:val="20"/>
                <w:szCs w:val="20"/>
              </w:rPr>
              <w:t>Working Capital</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39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EF773C">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36</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2</w:t>
            </w:r>
            <w:r w:rsidR="00AA0AF1" w:rsidRPr="003571FD">
              <w:rPr>
                <w:rFonts w:ascii="Times New Roman" w:hAnsi="Times New Roman" w:cs="Times New Roman"/>
                <w:sz w:val="20"/>
                <w:szCs w:val="20"/>
              </w:rPr>
              <w:t>8</w:t>
            </w:r>
          </w:p>
        </w:tc>
      </w:tr>
      <w:tr w:rsidR="00EF773C" w:rsidRPr="003571FD" w:rsidTr="00CC341B">
        <w:trPr>
          <w:trHeight w:val="288"/>
        </w:trPr>
        <w:tc>
          <w:tcPr>
            <w:tcW w:w="565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EF773C">
            <w:pPr>
              <w:spacing w:after="100" w:afterAutospacing="1"/>
              <w:contextualSpacing/>
              <w:rPr>
                <w:rFonts w:ascii="Times New Roman" w:hAnsi="Times New Roman" w:cs="Times New Roman"/>
                <w:sz w:val="20"/>
                <w:szCs w:val="20"/>
              </w:rPr>
            </w:pPr>
            <w:r w:rsidRPr="003571FD">
              <w:rPr>
                <w:rFonts w:ascii="Times New Roman" w:hAnsi="Times New Roman" w:cs="Times New Roman"/>
                <w:sz w:val="20"/>
                <w:szCs w:val="20"/>
              </w:rPr>
              <w:t>Value of Collateral Needed for a Loan (% of the Loan Amount)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AA0AF1"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188</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13</w:t>
            </w:r>
            <w:r w:rsidR="00AA0AF1" w:rsidRPr="003571FD">
              <w:rPr>
                <w:rFonts w:ascii="Times New Roman" w:hAnsi="Times New Roman" w:cs="Times New Roman"/>
                <w:sz w:val="20"/>
                <w:szCs w:val="20"/>
              </w:rPr>
              <w:t>4</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144</w:t>
            </w:r>
          </w:p>
        </w:tc>
      </w:tr>
      <w:tr w:rsidR="00EF773C" w:rsidRPr="003571FD" w:rsidTr="00CC341B">
        <w:trPr>
          <w:trHeight w:val="288"/>
        </w:trPr>
        <w:tc>
          <w:tcPr>
            <w:tcW w:w="565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EF773C">
            <w:pPr>
              <w:spacing w:after="100" w:afterAutospacing="1"/>
              <w:contextualSpacing/>
              <w:rPr>
                <w:rFonts w:ascii="Times New Roman" w:hAnsi="Times New Roman" w:cs="Times New Roman"/>
                <w:sz w:val="20"/>
                <w:szCs w:val="20"/>
              </w:rPr>
            </w:pPr>
            <w:r w:rsidRPr="003571FD">
              <w:rPr>
                <w:rFonts w:ascii="Times New Roman" w:hAnsi="Times New Roman" w:cs="Times New Roman"/>
                <w:sz w:val="20"/>
                <w:szCs w:val="20"/>
              </w:rPr>
              <w:t>% of Firms Identifying Access to Finance as a Major Constraint</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AA0AF1" w:rsidP="00EF773C">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20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28</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bottom"/>
          </w:tcPr>
          <w:p w:rsidR="00EF773C" w:rsidRPr="003571FD" w:rsidRDefault="001C22BF" w:rsidP="00AA0AF1">
            <w:pPr>
              <w:spacing w:after="100" w:afterAutospacing="1"/>
              <w:contextualSpacing/>
              <w:jc w:val="center"/>
              <w:rPr>
                <w:rFonts w:ascii="Times New Roman" w:hAnsi="Times New Roman" w:cs="Times New Roman"/>
                <w:sz w:val="20"/>
                <w:szCs w:val="20"/>
              </w:rPr>
            </w:pPr>
            <w:r w:rsidRPr="003571FD">
              <w:rPr>
                <w:rFonts w:ascii="Times New Roman" w:hAnsi="Times New Roman" w:cs="Times New Roman"/>
                <w:sz w:val="20"/>
                <w:szCs w:val="20"/>
              </w:rPr>
              <w:t>31</w:t>
            </w:r>
          </w:p>
        </w:tc>
      </w:tr>
    </w:tbl>
    <w:p w:rsidR="00EF773C" w:rsidRPr="003571FD" w:rsidRDefault="001C22BF" w:rsidP="00EF773C">
      <w:pPr>
        <w:jc w:val="both"/>
        <w:rPr>
          <w:rFonts w:ascii="Times New Roman" w:hAnsi="Times New Roman" w:cs="Times New Roman"/>
          <w:i/>
          <w:sz w:val="18"/>
          <w:szCs w:val="18"/>
        </w:rPr>
      </w:pPr>
      <w:r w:rsidRPr="003571FD">
        <w:rPr>
          <w:rFonts w:ascii="Times New Roman" w:hAnsi="Times New Roman" w:cs="Times New Roman"/>
          <w:i/>
          <w:sz w:val="18"/>
          <w:szCs w:val="18"/>
        </w:rPr>
        <w:t>Source: World Bank, Enterprise Survey (2006).</w:t>
      </w:r>
    </w:p>
    <w:p w:rsidR="00EF773C" w:rsidRPr="003571FD" w:rsidRDefault="001C22BF" w:rsidP="00EF773C">
      <w:pPr>
        <w:jc w:val="both"/>
        <w:rPr>
          <w:rFonts w:ascii="Times New Roman" w:hAnsi="Times New Roman" w:cs="Times New Roman"/>
          <w:i/>
          <w:sz w:val="24"/>
          <w:szCs w:val="24"/>
        </w:rPr>
      </w:pPr>
      <w:r w:rsidRPr="003571FD">
        <w:rPr>
          <w:rFonts w:ascii="Times New Roman" w:hAnsi="Times New Roman" w:cs="Times New Roman"/>
          <w:i/>
          <w:sz w:val="24"/>
          <w:szCs w:val="24"/>
        </w:rPr>
        <w:t>Geographic outreach</w:t>
      </w:r>
    </w:p>
    <w:p w:rsidR="00EF773C"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Supported by government reform measures, Bolivia’s core indicators of financial access showed a significant improvement over the last 3 years</w:t>
      </w:r>
      <w:r w:rsidRPr="003571FD">
        <w:rPr>
          <w:rFonts w:ascii="Times New Roman" w:hAnsi="Times New Roman" w:cs="Times New Roman"/>
          <w:sz w:val="24"/>
          <w:szCs w:val="24"/>
        </w:rPr>
        <w:t>. The number of branches</w:t>
      </w:r>
      <w:r w:rsidRPr="003571FD">
        <w:rPr>
          <w:rStyle w:val="FootnoteReference"/>
          <w:rFonts w:ascii="Times New Roman" w:hAnsi="Times New Roman" w:cs="Times New Roman"/>
          <w:sz w:val="24"/>
          <w:szCs w:val="24"/>
        </w:rPr>
        <w:footnoteReference w:id="42"/>
      </w:r>
      <w:r w:rsidRPr="003571FD">
        <w:rPr>
          <w:rFonts w:ascii="Times New Roman" w:hAnsi="Times New Roman" w:cs="Times New Roman"/>
          <w:sz w:val="24"/>
          <w:szCs w:val="24"/>
        </w:rPr>
        <w:t xml:space="preserve"> of formal financial institutions increased by 66 percent since 2007</w:t>
      </w:r>
      <w:r w:rsidR="00BA1C19" w:rsidRPr="003571FD">
        <w:rPr>
          <w:rFonts w:ascii="Times New Roman" w:hAnsi="Times New Roman" w:cs="Times New Roman"/>
          <w:sz w:val="24"/>
          <w:szCs w:val="24"/>
        </w:rPr>
        <w:t xml:space="preserve"> (equivalent to 484 new branches</w:t>
      </w:r>
      <w:r w:rsidR="00AB361B" w:rsidRPr="003571FD">
        <w:rPr>
          <w:rFonts w:ascii="Times New Roman" w:hAnsi="Times New Roman" w:cs="Times New Roman"/>
          <w:sz w:val="24"/>
          <w:szCs w:val="24"/>
        </w:rPr>
        <w:t xml:space="preserve">, </w:t>
      </w:r>
      <w:r w:rsidR="00AB361B" w:rsidRPr="003571FD">
        <w:rPr>
          <w:rFonts w:ascii="Times New Roman" w:hAnsi="Times New Roman" w:cs="Times New Roman"/>
          <w:sz w:val="24"/>
          <w:szCs w:val="24"/>
        </w:rPr>
        <w:lastRenderedPageBreak/>
        <w:t>see Table 3</w:t>
      </w:r>
      <w:r w:rsidR="00BA1C19" w:rsidRPr="003571FD">
        <w:rPr>
          <w:rFonts w:ascii="Times New Roman" w:hAnsi="Times New Roman" w:cs="Times New Roman"/>
          <w:sz w:val="24"/>
          <w:szCs w:val="24"/>
        </w:rPr>
        <w:t>)</w:t>
      </w:r>
      <w:r w:rsidRPr="003571FD">
        <w:rPr>
          <w:rFonts w:ascii="Times New Roman" w:hAnsi="Times New Roman" w:cs="Times New Roman"/>
          <w:sz w:val="24"/>
          <w:szCs w:val="24"/>
        </w:rPr>
        <w:t xml:space="preserve">, reaching nowadays 1,218 branches. This growth was in particular fueled by a rapid expansion of branches of microfinance banks and finance companies (+85 percent), which by April 2010 accounted for 55 percent of all branches in the formal financial system (up from 45 percent in 2007). In addition to branches from the formal sector, </w:t>
      </w:r>
      <w:r w:rsidR="0042062D" w:rsidRPr="003571FD">
        <w:rPr>
          <w:rFonts w:ascii="Times New Roman" w:hAnsi="Times New Roman" w:cs="Times New Roman"/>
          <w:sz w:val="24"/>
          <w:szCs w:val="24"/>
        </w:rPr>
        <w:t>IFD</w:t>
      </w:r>
      <w:r w:rsidRPr="003571FD">
        <w:rPr>
          <w:rFonts w:ascii="Times New Roman" w:hAnsi="Times New Roman" w:cs="Times New Roman"/>
          <w:sz w:val="24"/>
          <w:szCs w:val="24"/>
        </w:rPr>
        <w:t xml:space="preserve">s reporting to FINRURAL currently operate a total of 330 branches and the closed cooperatives which have initiated the transition into being regulated another 128. </w:t>
      </w:r>
    </w:p>
    <w:p w:rsidR="00CF7BD4" w:rsidRPr="003571FD" w:rsidRDefault="00CF7BD4" w:rsidP="00CF7BD4">
      <w:pPr>
        <w:pStyle w:val="Caption"/>
        <w:keepNext/>
        <w:rPr>
          <w:rFonts w:ascii="Times New Roman" w:hAnsi="Times New Roman" w:cs="Times New Roman"/>
          <w:color w:val="auto"/>
        </w:rPr>
      </w:pPr>
      <w:bookmarkStart w:id="26" w:name="_Toc312317350"/>
      <w:r w:rsidRPr="003571FD">
        <w:rPr>
          <w:rFonts w:ascii="Times New Roman" w:hAnsi="Times New Roman" w:cs="Times New Roman"/>
          <w:color w:val="auto"/>
        </w:rPr>
        <w:t xml:space="preserve">Table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3</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Evolution of branches in the formal</w:t>
      </w:r>
      <w:r w:rsidR="00F03AC0" w:rsidRPr="003571FD">
        <w:rPr>
          <w:rFonts w:ascii="Times New Roman" w:hAnsi="Times New Roman" w:cs="Times New Roman"/>
          <w:color w:val="auto"/>
        </w:rPr>
        <w:t xml:space="preserve"> financial system by department</w:t>
      </w:r>
      <w:bookmarkEnd w:id="26"/>
    </w:p>
    <w:tbl>
      <w:tblPr>
        <w:tblW w:w="4887" w:type="pct"/>
        <w:tblInd w:w="108" w:type="dxa"/>
        <w:tblLook w:val="0000" w:firstRow="0" w:lastRow="0" w:firstColumn="0" w:lastColumn="0" w:noHBand="0" w:noVBand="0"/>
      </w:tblPr>
      <w:tblGrid>
        <w:gridCol w:w="1900"/>
        <w:gridCol w:w="1262"/>
        <w:gridCol w:w="1262"/>
        <w:gridCol w:w="1262"/>
        <w:gridCol w:w="1262"/>
        <w:gridCol w:w="1264"/>
        <w:gridCol w:w="1148"/>
      </w:tblGrid>
      <w:tr w:rsidR="0052726A" w:rsidRPr="003571FD" w:rsidTr="00DB7F98">
        <w:trPr>
          <w:trHeight w:val="485"/>
        </w:trPr>
        <w:tc>
          <w:tcPr>
            <w:tcW w:w="1015"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16"/>
              </w:rPr>
            </w:pPr>
            <w:r w:rsidRPr="003571FD">
              <w:rPr>
                <w:rFonts w:ascii="Times New Roman" w:hAnsi="Times New Roman" w:cs="Times New Roman"/>
                <w:sz w:val="20"/>
                <w:szCs w:val="16"/>
              </w:rPr>
              <w:t> </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jc w:val="center"/>
              <w:rPr>
                <w:rFonts w:ascii="Times New Roman" w:hAnsi="Times New Roman" w:cs="Times New Roman"/>
                <w:b/>
                <w:bCs/>
                <w:sz w:val="20"/>
                <w:szCs w:val="16"/>
              </w:rPr>
            </w:pPr>
            <w:r w:rsidRPr="003571FD">
              <w:rPr>
                <w:rFonts w:ascii="Times New Roman" w:hAnsi="Times New Roman" w:cs="Times New Roman"/>
                <w:b/>
                <w:bCs/>
                <w:sz w:val="20"/>
                <w:szCs w:val="16"/>
              </w:rPr>
              <w:t>Dec-07</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jc w:val="center"/>
              <w:rPr>
                <w:rFonts w:ascii="Times New Roman" w:hAnsi="Times New Roman" w:cs="Times New Roman"/>
                <w:b/>
                <w:bCs/>
                <w:sz w:val="20"/>
                <w:szCs w:val="16"/>
              </w:rPr>
            </w:pPr>
            <w:r w:rsidRPr="003571FD">
              <w:rPr>
                <w:rFonts w:ascii="Times New Roman" w:hAnsi="Times New Roman" w:cs="Times New Roman"/>
                <w:b/>
                <w:bCs/>
                <w:sz w:val="20"/>
                <w:szCs w:val="16"/>
              </w:rPr>
              <w:t>Jan-11</w:t>
            </w: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jc w:val="center"/>
              <w:rPr>
                <w:rFonts w:ascii="Times New Roman" w:hAnsi="Times New Roman" w:cs="Times New Roman"/>
                <w:b/>
                <w:bCs/>
                <w:sz w:val="20"/>
                <w:szCs w:val="16"/>
              </w:rPr>
            </w:pPr>
            <w:r w:rsidRPr="003571FD">
              <w:rPr>
                <w:rFonts w:ascii="Times New Roman" w:hAnsi="Times New Roman" w:cs="Times New Roman"/>
                <w:b/>
                <w:bCs/>
                <w:sz w:val="20"/>
                <w:szCs w:val="16"/>
              </w:rPr>
              <w:t>Growth (Dec 07-Jan 11)</w:t>
            </w:r>
          </w:p>
        </w:tc>
        <w:tc>
          <w:tcPr>
            <w:tcW w:w="134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2726A" w:rsidRPr="003571FD" w:rsidRDefault="0052726A" w:rsidP="00EF773C">
            <w:pPr>
              <w:spacing w:after="0" w:line="240" w:lineRule="auto"/>
              <w:contextualSpacing/>
              <w:jc w:val="center"/>
              <w:rPr>
                <w:rFonts w:ascii="Times New Roman" w:hAnsi="Times New Roman" w:cs="Times New Roman"/>
                <w:b/>
                <w:bCs/>
                <w:sz w:val="20"/>
                <w:szCs w:val="16"/>
              </w:rPr>
            </w:pPr>
            <w:r w:rsidRPr="003571FD">
              <w:rPr>
                <w:rFonts w:ascii="Times New Roman" w:hAnsi="Times New Roman" w:cs="Times New Roman"/>
                <w:b/>
                <w:bCs/>
                <w:sz w:val="20"/>
                <w:szCs w:val="16"/>
              </w:rPr>
              <w:t>Points per</w:t>
            </w:r>
          </w:p>
          <w:p w:rsidR="0052726A" w:rsidRPr="003571FD" w:rsidRDefault="0052726A" w:rsidP="00EF773C">
            <w:pPr>
              <w:spacing w:after="0" w:line="240" w:lineRule="auto"/>
              <w:contextualSpacing/>
              <w:jc w:val="center"/>
              <w:rPr>
                <w:rFonts w:ascii="Times New Roman" w:hAnsi="Times New Roman" w:cs="Times New Roman"/>
                <w:b/>
                <w:bCs/>
                <w:sz w:val="20"/>
                <w:szCs w:val="16"/>
              </w:rPr>
            </w:pPr>
            <w:r w:rsidRPr="003571FD">
              <w:rPr>
                <w:rFonts w:ascii="Times New Roman" w:hAnsi="Times New Roman" w:cs="Times New Roman"/>
                <w:b/>
                <w:bCs/>
                <w:sz w:val="20"/>
                <w:szCs w:val="16"/>
              </w:rPr>
              <w:t>10,000 adults</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jc w:val="center"/>
              <w:rPr>
                <w:rFonts w:ascii="Times New Roman" w:hAnsi="Times New Roman" w:cs="Times New Roman"/>
                <w:b/>
                <w:bCs/>
                <w:sz w:val="20"/>
                <w:szCs w:val="16"/>
              </w:rPr>
            </w:pPr>
            <w:r w:rsidRPr="003571FD">
              <w:rPr>
                <w:rFonts w:ascii="Times New Roman" w:hAnsi="Times New Roman" w:cs="Times New Roman"/>
                <w:b/>
                <w:bCs/>
                <w:sz w:val="20"/>
                <w:szCs w:val="16"/>
              </w:rPr>
              <w:t>Share of total</w:t>
            </w:r>
          </w:p>
        </w:tc>
      </w:tr>
      <w:tr w:rsidR="0052726A" w:rsidRPr="003571FD" w:rsidTr="00DB7F98">
        <w:trPr>
          <w:trHeight w:val="260"/>
        </w:trPr>
        <w:tc>
          <w:tcPr>
            <w:tcW w:w="1015" w:type="pct"/>
            <w:vMerge/>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rPr>
                <w:rFonts w:ascii="Times New Roman" w:hAnsi="Times New Roman" w:cs="Times New Roman"/>
                <w:sz w:val="20"/>
                <w:szCs w:val="16"/>
              </w:rPr>
            </w:pPr>
          </w:p>
        </w:tc>
        <w:tc>
          <w:tcPr>
            <w:tcW w:w="6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rPr>
                <w:rFonts w:ascii="Times New Roman" w:hAnsi="Times New Roman" w:cs="Times New Roman"/>
                <w:b/>
                <w:bCs/>
                <w:sz w:val="20"/>
                <w:szCs w:val="16"/>
              </w:rPr>
            </w:pPr>
          </w:p>
        </w:tc>
        <w:tc>
          <w:tcPr>
            <w:tcW w:w="6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rPr>
                <w:rFonts w:ascii="Times New Roman" w:hAnsi="Times New Roman" w:cs="Times New Roman"/>
                <w:b/>
                <w:bCs/>
                <w:sz w:val="20"/>
                <w:szCs w:val="16"/>
              </w:rPr>
            </w:pPr>
          </w:p>
        </w:tc>
        <w:tc>
          <w:tcPr>
            <w:tcW w:w="674" w:type="pct"/>
            <w:vMerge/>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rPr>
                <w:rFonts w:ascii="Times New Roman" w:hAnsi="Times New Roman" w:cs="Times New Roman"/>
                <w:b/>
                <w:bCs/>
                <w:sz w:val="20"/>
                <w:szCs w:val="16"/>
              </w:rPr>
            </w:pPr>
          </w:p>
        </w:tc>
        <w:tc>
          <w:tcPr>
            <w:tcW w:w="674" w:type="pct"/>
            <w:tcBorders>
              <w:top w:val="single" w:sz="4" w:space="0" w:color="auto"/>
              <w:left w:val="single" w:sz="4" w:space="0" w:color="auto"/>
              <w:bottom w:val="single" w:sz="4" w:space="0" w:color="auto"/>
              <w:right w:val="single" w:sz="4" w:space="0" w:color="auto"/>
            </w:tcBorders>
            <w:shd w:val="clear" w:color="auto" w:fill="auto"/>
            <w:vAlign w:val="bottom"/>
          </w:tcPr>
          <w:p w:rsidR="0052726A" w:rsidRPr="003571FD" w:rsidRDefault="0052726A" w:rsidP="00EF773C">
            <w:pPr>
              <w:spacing w:after="0" w:line="240" w:lineRule="auto"/>
              <w:contextualSpacing/>
              <w:jc w:val="center"/>
              <w:rPr>
                <w:rFonts w:ascii="Times New Roman" w:hAnsi="Times New Roman" w:cs="Times New Roman"/>
                <w:b/>
                <w:bCs/>
                <w:sz w:val="20"/>
                <w:szCs w:val="16"/>
              </w:rPr>
            </w:pPr>
            <w:r w:rsidRPr="003571FD">
              <w:rPr>
                <w:rFonts w:ascii="Times New Roman" w:hAnsi="Times New Roman" w:cs="Times New Roman"/>
                <w:b/>
                <w:bCs/>
                <w:sz w:val="20"/>
                <w:szCs w:val="16"/>
              </w:rPr>
              <w:t>Dec-07</w:t>
            </w:r>
          </w:p>
        </w:tc>
        <w:tc>
          <w:tcPr>
            <w:tcW w:w="675" w:type="pct"/>
            <w:tcBorders>
              <w:top w:val="single" w:sz="4" w:space="0" w:color="auto"/>
              <w:left w:val="single" w:sz="4" w:space="0" w:color="auto"/>
              <w:bottom w:val="single" w:sz="4" w:space="0" w:color="auto"/>
              <w:right w:val="single" w:sz="4" w:space="0" w:color="auto"/>
            </w:tcBorders>
            <w:shd w:val="clear" w:color="auto" w:fill="auto"/>
            <w:vAlign w:val="bottom"/>
          </w:tcPr>
          <w:p w:rsidR="0052726A" w:rsidRPr="003571FD" w:rsidRDefault="0052726A" w:rsidP="00EF773C">
            <w:pPr>
              <w:spacing w:after="0" w:line="240" w:lineRule="auto"/>
              <w:contextualSpacing/>
              <w:jc w:val="center"/>
              <w:rPr>
                <w:rFonts w:ascii="Times New Roman" w:hAnsi="Times New Roman" w:cs="Times New Roman"/>
                <w:b/>
                <w:bCs/>
                <w:sz w:val="20"/>
                <w:szCs w:val="16"/>
              </w:rPr>
            </w:pPr>
            <w:r w:rsidRPr="003571FD">
              <w:rPr>
                <w:rFonts w:ascii="Times New Roman" w:hAnsi="Times New Roman" w:cs="Times New Roman"/>
                <w:b/>
                <w:bCs/>
                <w:sz w:val="20"/>
                <w:szCs w:val="16"/>
              </w:rPr>
              <w:t>Jan-11</w:t>
            </w:r>
          </w:p>
        </w:tc>
        <w:tc>
          <w:tcPr>
            <w:tcW w:w="613" w:type="pct"/>
            <w:vMerge/>
            <w:tcBorders>
              <w:top w:val="single" w:sz="4" w:space="0" w:color="auto"/>
              <w:left w:val="single" w:sz="4" w:space="0" w:color="auto"/>
              <w:bottom w:val="single" w:sz="4" w:space="0" w:color="auto"/>
              <w:right w:val="single" w:sz="4" w:space="0" w:color="auto"/>
            </w:tcBorders>
            <w:shd w:val="clear" w:color="auto" w:fill="auto"/>
            <w:vAlign w:val="center"/>
          </w:tcPr>
          <w:p w:rsidR="0052726A" w:rsidRPr="003571FD" w:rsidRDefault="0052726A" w:rsidP="00EF773C">
            <w:pPr>
              <w:spacing w:after="0" w:line="240" w:lineRule="auto"/>
              <w:contextualSpacing/>
              <w:rPr>
                <w:rFonts w:ascii="Times New Roman" w:hAnsi="Times New Roman" w:cs="Times New Roman"/>
                <w:b/>
                <w:bCs/>
                <w:sz w:val="20"/>
                <w:szCs w:val="16"/>
              </w:rPr>
            </w:pPr>
          </w:p>
        </w:tc>
      </w:tr>
      <w:tr w:rsidR="0052726A" w:rsidRPr="003571FD" w:rsidTr="00DB7F98">
        <w:trPr>
          <w:trHeight w:val="240"/>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La Paz</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210</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362</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72%</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1.3</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2.1</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30%</w:t>
            </w:r>
          </w:p>
        </w:tc>
      </w:tr>
      <w:tr w:rsidR="0052726A" w:rsidRPr="003571FD" w:rsidTr="00DB7F98">
        <w:trPr>
          <w:trHeight w:val="240"/>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Santa Cruz</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206</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341</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66%</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1.5</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2.2</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28%</w:t>
            </w:r>
          </w:p>
        </w:tc>
      </w:tr>
      <w:tr w:rsidR="0052726A" w:rsidRPr="003571FD" w:rsidTr="00DB7F98">
        <w:trPr>
          <w:trHeight w:val="240"/>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Cochabamba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114</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193</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69%</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1.1</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1.8</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16%</w:t>
            </w:r>
          </w:p>
        </w:tc>
      </w:tr>
      <w:tr w:rsidR="0052726A" w:rsidRPr="003571FD" w:rsidTr="00DB7F98">
        <w:trPr>
          <w:trHeight w:val="240"/>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Oruro</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17</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37</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118%</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0.7</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1.4</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w:t>
            </w:r>
          </w:p>
        </w:tc>
      </w:tr>
      <w:tr w:rsidR="0052726A" w:rsidRPr="003571FD" w:rsidTr="00DB7F98">
        <w:trPr>
          <w:trHeight w:val="240"/>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Pando</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9</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13</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44%</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2.4</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3.0</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w:t>
            </w:r>
          </w:p>
        </w:tc>
      </w:tr>
      <w:tr w:rsidR="0052726A" w:rsidRPr="003571FD" w:rsidTr="00DB7F98">
        <w:trPr>
          <w:trHeight w:val="240"/>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Potosí</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49</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67</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37%</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1.2</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1.6</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6%</w:t>
            </w:r>
          </w:p>
        </w:tc>
      </w:tr>
      <w:tr w:rsidR="0052726A" w:rsidRPr="003571FD" w:rsidTr="00DB7F98">
        <w:trPr>
          <w:trHeight w:val="240"/>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Tarija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48</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88</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83%</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1.7</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2.8</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7%</w:t>
            </w:r>
          </w:p>
        </w:tc>
      </w:tr>
      <w:tr w:rsidR="0052726A" w:rsidRPr="003571FD" w:rsidTr="00DB7F98">
        <w:trPr>
          <w:trHeight w:val="240"/>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Beni</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43</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57</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33%</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2.0</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2.4</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5%</w:t>
            </w:r>
          </w:p>
        </w:tc>
      </w:tr>
      <w:tr w:rsidR="0052726A" w:rsidRPr="003571FD" w:rsidTr="00DB7F98">
        <w:trPr>
          <w:trHeight w:val="287"/>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Chuquisaca</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38</w:t>
            </w:r>
          </w:p>
        </w:tc>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60</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58%</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1.2</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1.7</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5%</w:t>
            </w:r>
          </w:p>
        </w:tc>
      </w:tr>
      <w:tr w:rsidR="0052726A" w:rsidRPr="003571FD" w:rsidTr="00DB7F98">
        <w:trPr>
          <w:trHeight w:val="260"/>
        </w:trPr>
        <w:tc>
          <w:tcPr>
            <w:tcW w:w="101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rPr>
                <w:rFonts w:ascii="Times New Roman" w:hAnsi="Times New Roman" w:cs="Times New Roman"/>
                <w:bCs/>
                <w:sz w:val="20"/>
                <w:szCs w:val="20"/>
              </w:rPr>
            </w:pPr>
            <w:r w:rsidRPr="003571FD">
              <w:rPr>
                <w:rFonts w:ascii="Times New Roman" w:hAnsi="Times New Roman" w:cs="Times New Roman"/>
                <w:bCs/>
                <w:sz w:val="20"/>
                <w:szCs w:val="20"/>
              </w:rPr>
              <w:t>TOTAL</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734</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1,218</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66%</w:t>
            </w:r>
          </w:p>
        </w:tc>
        <w:tc>
          <w:tcPr>
            <w:tcW w:w="674"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1.3</w:t>
            </w:r>
          </w:p>
        </w:tc>
        <w:tc>
          <w:tcPr>
            <w:tcW w:w="675"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2.03</w:t>
            </w:r>
          </w:p>
        </w:tc>
        <w:tc>
          <w:tcPr>
            <w:tcW w:w="613" w:type="pct"/>
            <w:tcBorders>
              <w:top w:val="nil"/>
              <w:left w:val="single" w:sz="4" w:space="0" w:color="auto"/>
              <w:bottom w:val="single" w:sz="4" w:space="0" w:color="auto"/>
              <w:right w:val="single" w:sz="4" w:space="0" w:color="auto"/>
            </w:tcBorders>
            <w:shd w:val="clear" w:color="auto" w:fill="auto"/>
            <w:noWrap/>
            <w:vAlign w:val="bottom"/>
          </w:tcPr>
          <w:p w:rsidR="0052726A" w:rsidRPr="003571FD" w:rsidRDefault="0052726A" w:rsidP="00EF773C">
            <w:pPr>
              <w:spacing w:after="0" w:line="240" w:lineRule="auto"/>
              <w:contextualSpacing/>
              <w:jc w:val="center"/>
              <w:rPr>
                <w:rFonts w:ascii="Times New Roman" w:hAnsi="Times New Roman" w:cs="Times New Roman"/>
                <w:sz w:val="20"/>
                <w:szCs w:val="20"/>
              </w:rPr>
            </w:pPr>
            <w:r w:rsidRPr="003571FD">
              <w:rPr>
                <w:rFonts w:ascii="Times New Roman" w:hAnsi="Times New Roman" w:cs="Times New Roman"/>
                <w:sz w:val="20"/>
                <w:szCs w:val="20"/>
              </w:rPr>
              <w:t>100%</w:t>
            </w:r>
          </w:p>
        </w:tc>
      </w:tr>
    </w:tbl>
    <w:p w:rsidR="00CC341B" w:rsidRPr="003571FD" w:rsidRDefault="0052726A" w:rsidP="0052726A">
      <w:pPr>
        <w:jc w:val="both"/>
        <w:rPr>
          <w:rFonts w:ascii="Times New Roman" w:hAnsi="Times New Roman" w:cs="Times New Roman"/>
          <w:i/>
          <w:sz w:val="18"/>
          <w:lang w:val="es-PA"/>
        </w:rPr>
      </w:pPr>
      <w:r w:rsidRPr="003571FD">
        <w:rPr>
          <w:rFonts w:ascii="Times New Roman" w:hAnsi="Times New Roman" w:cs="Times New Roman"/>
          <w:i/>
          <w:sz w:val="18"/>
          <w:lang w:val="es-PA"/>
        </w:rPr>
        <w:t>Source: ASFI.</w:t>
      </w:r>
    </w:p>
    <w:p w:rsidR="00EF773C"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While the brunt of the service points continue to be located in urban areas, Bolivia has now bridged </w:t>
      </w:r>
      <w:r w:rsidR="00E14A81" w:rsidRPr="003571FD">
        <w:rPr>
          <w:rFonts w:ascii="Times New Roman" w:hAnsi="Times New Roman" w:cs="Times New Roman"/>
          <w:b/>
          <w:sz w:val="24"/>
          <w:szCs w:val="24"/>
        </w:rPr>
        <w:t>part</w:t>
      </w:r>
      <w:r w:rsidRPr="003571FD">
        <w:rPr>
          <w:rFonts w:ascii="Times New Roman" w:hAnsi="Times New Roman" w:cs="Times New Roman"/>
          <w:b/>
          <w:sz w:val="24"/>
          <w:szCs w:val="24"/>
        </w:rPr>
        <w:t xml:space="preserve"> of the distance to its regional peers with regard to geographic penetration rates of the formal system</w:t>
      </w:r>
      <w:r w:rsidRPr="003571FD">
        <w:rPr>
          <w:rFonts w:ascii="Times New Roman" w:hAnsi="Times New Roman" w:cs="Times New Roman"/>
          <w:sz w:val="24"/>
          <w:szCs w:val="24"/>
        </w:rPr>
        <w:t>. There are on average 2 branches per 10,000 adults (compared to 1.3 in December 2007), with penetration rates for the individual departments now ranging from 1.4 to 3 branches per 10,000 adults (compared to between 0.7 and 2.4 in 2007). This overall level of penetration is getting closer to the regional average of 2.5 branches per 10,000 adults in Latin America, 2.1 for East Asia &amp; Pacific, 2.3 for the Middle East and North Africa, and is well above the 1.1 and 1.2 branches reported for South Asia and Sub-Saharan Africa</w:t>
      </w:r>
      <w:r w:rsidR="00F65072" w:rsidRPr="003571FD">
        <w:rPr>
          <w:rFonts w:ascii="Times New Roman" w:hAnsi="Times New Roman" w:cs="Times New Roman"/>
          <w:sz w:val="24"/>
          <w:szCs w:val="24"/>
        </w:rPr>
        <w:t xml:space="preserve"> (see Chart 5)</w:t>
      </w:r>
      <w:r w:rsidRPr="003571FD">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352224" w:rsidRPr="003571FD">
        <w:tc>
          <w:tcPr>
            <w:tcW w:w="9576" w:type="dxa"/>
            <w:gridSpan w:val="2"/>
          </w:tcPr>
          <w:p w:rsidR="00352224" w:rsidRPr="003571FD" w:rsidRDefault="00352224" w:rsidP="00352224">
            <w:pPr>
              <w:pStyle w:val="Caption"/>
              <w:keepNext/>
              <w:rPr>
                <w:rFonts w:ascii="Times New Roman" w:hAnsi="Times New Roman" w:cs="Times New Roman"/>
                <w:sz w:val="24"/>
                <w:szCs w:val="24"/>
              </w:rPr>
            </w:pPr>
            <w:bookmarkStart w:id="27" w:name="_Toc312317271"/>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5</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Branch penetration rates – an international comparison</w:t>
            </w:r>
            <w:bookmarkEnd w:id="27"/>
          </w:p>
        </w:tc>
      </w:tr>
      <w:tr w:rsidR="00352224" w:rsidRPr="003571FD">
        <w:tc>
          <w:tcPr>
            <w:tcW w:w="4788" w:type="dxa"/>
          </w:tcPr>
          <w:p w:rsidR="00352224" w:rsidRPr="003571FD" w:rsidRDefault="00414CC3" w:rsidP="00352224">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905125" cy="18192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p>
        </w:tc>
        <w:tc>
          <w:tcPr>
            <w:tcW w:w="4788" w:type="dxa"/>
          </w:tcPr>
          <w:p w:rsidR="00352224" w:rsidRPr="003571FD" w:rsidRDefault="00352224" w:rsidP="00352224">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905125" cy="1819275"/>
                  <wp:effectExtent l="19050" t="0" r="9525"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p>
        </w:tc>
      </w:tr>
      <w:tr w:rsidR="00352224" w:rsidRPr="003571FD">
        <w:tc>
          <w:tcPr>
            <w:tcW w:w="9576" w:type="dxa"/>
            <w:gridSpan w:val="2"/>
          </w:tcPr>
          <w:p w:rsidR="00352224" w:rsidRPr="003571FD" w:rsidRDefault="00352224" w:rsidP="00D50836">
            <w:pPr>
              <w:rPr>
                <w:rFonts w:ascii="Times New Roman" w:hAnsi="Times New Roman" w:cs="Times New Roman"/>
                <w:i/>
                <w:noProof/>
                <w:sz w:val="24"/>
                <w:szCs w:val="24"/>
              </w:rPr>
            </w:pPr>
            <w:r w:rsidRPr="003571FD">
              <w:rPr>
                <w:rFonts w:ascii="Times New Roman" w:hAnsi="Times New Roman" w:cs="Times New Roman"/>
                <w:i/>
                <w:noProof/>
                <w:sz w:val="18"/>
                <w:szCs w:val="24"/>
              </w:rPr>
              <w:t>Source: CGAP Financial Access database</w:t>
            </w:r>
            <w:r w:rsidR="00D50836" w:rsidRPr="003571FD">
              <w:rPr>
                <w:rFonts w:ascii="Times New Roman" w:hAnsi="Times New Roman" w:cs="Times New Roman"/>
                <w:i/>
                <w:noProof/>
                <w:sz w:val="18"/>
                <w:szCs w:val="24"/>
              </w:rPr>
              <w:t xml:space="preserve"> (2009)</w:t>
            </w:r>
            <w:r w:rsidRPr="003571FD">
              <w:rPr>
                <w:rFonts w:ascii="Times New Roman" w:hAnsi="Times New Roman" w:cs="Times New Roman"/>
                <w:i/>
                <w:noProof/>
                <w:sz w:val="18"/>
                <w:szCs w:val="24"/>
              </w:rPr>
              <w:t xml:space="preserve"> and World Bank’s own calculations.</w:t>
            </w:r>
          </w:p>
        </w:tc>
      </w:tr>
    </w:tbl>
    <w:p w:rsidR="00CC341B" w:rsidRPr="003571FD" w:rsidRDefault="00CC341B" w:rsidP="00EF773C">
      <w:pPr>
        <w:jc w:val="both"/>
        <w:rPr>
          <w:rFonts w:ascii="Times New Roman" w:hAnsi="Times New Roman" w:cs="Times New Roman"/>
          <w:i/>
          <w:sz w:val="24"/>
          <w:szCs w:val="24"/>
        </w:rPr>
      </w:pPr>
    </w:p>
    <w:p w:rsidR="00EF773C" w:rsidRPr="003571FD" w:rsidRDefault="001C22BF" w:rsidP="00D41D1A">
      <w:pPr>
        <w:spacing w:line="240" w:lineRule="auto"/>
        <w:jc w:val="both"/>
        <w:rPr>
          <w:rFonts w:ascii="Times New Roman" w:hAnsi="Times New Roman" w:cs="Times New Roman"/>
          <w:i/>
          <w:sz w:val="24"/>
          <w:szCs w:val="24"/>
        </w:rPr>
      </w:pPr>
      <w:r w:rsidRPr="003571FD">
        <w:rPr>
          <w:rFonts w:ascii="Times New Roman" w:hAnsi="Times New Roman" w:cs="Times New Roman"/>
          <w:i/>
          <w:sz w:val="24"/>
          <w:szCs w:val="24"/>
        </w:rPr>
        <w:lastRenderedPageBreak/>
        <w:t>Payment system infrastructure</w:t>
      </w:r>
    </w:p>
    <w:p w:rsidR="00EF773C" w:rsidRPr="003571FD" w:rsidRDefault="001C22BF" w:rsidP="00D41D1A">
      <w:pPr>
        <w:pStyle w:val="ListParagraph"/>
        <w:numPr>
          <w:ilvl w:val="0"/>
          <w:numId w:val="8"/>
        </w:numPr>
        <w:spacing w:after="240" w:line="240" w:lineRule="auto"/>
        <w:jc w:val="both"/>
        <w:rPr>
          <w:rFonts w:ascii="Times New Roman" w:hAnsi="Times New Roman" w:cs="Times New Roman"/>
          <w:b/>
          <w:sz w:val="24"/>
          <w:szCs w:val="24"/>
        </w:rPr>
      </w:pPr>
      <w:r w:rsidRPr="003571FD">
        <w:rPr>
          <w:rFonts w:ascii="Times New Roman" w:hAnsi="Times New Roman" w:cs="Times New Roman"/>
          <w:b/>
          <w:sz w:val="24"/>
          <w:szCs w:val="24"/>
        </w:rPr>
        <w:t>The population does not make much use of the available electronic payment mechanisms in the market</w:t>
      </w:r>
      <w:r w:rsidRPr="003571FD">
        <w:rPr>
          <w:rFonts w:ascii="Times New Roman" w:hAnsi="Times New Roman" w:cs="Times New Roman"/>
          <w:sz w:val="24"/>
          <w:szCs w:val="24"/>
        </w:rPr>
        <w:t>. Surveys from the Bolivia’s Central Bank in 2009</w:t>
      </w:r>
      <w:r w:rsidRPr="003571FD">
        <w:rPr>
          <w:rStyle w:val="FootnoteReference"/>
          <w:rFonts w:ascii="Times New Roman" w:hAnsi="Times New Roman" w:cs="Times New Roman"/>
          <w:sz w:val="24"/>
          <w:szCs w:val="24"/>
        </w:rPr>
        <w:footnoteReference w:id="43"/>
      </w:r>
      <w:r w:rsidRPr="003571FD">
        <w:rPr>
          <w:rFonts w:ascii="Times New Roman" w:hAnsi="Times New Roman" w:cs="Times New Roman"/>
          <w:sz w:val="24"/>
          <w:szCs w:val="24"/>
        </w:rPr>
        <w:t xml:space="preserve"> indicate that only 10 percent of the population in the four largest cities used some form of electronic </w:t>
      </w:r>
      <w:r w:rsidR="00E14A81" w:rsidRPr="003571FD">
        <w:rPr>
          <w:rFonts w:ascii="Times New Roman" w:hAnsi="Times New Roman" w:cs="Times New Roman"/>
          <w:sz w:val="24"/>
          <w:szCs w:val="24"/>
        </w:rPr>
        <w:t>means of payment</w:t>
      </w:r>
      <w:r w:rsidRPr="003571FD">
        <w:rPr>
          <w:rFonts w:ascii="Times New Roman" w:hAnsi="Times New Roman" w:cs="Times New Roman"/>
          <w:sz w:val="24"/>
          <w:szCs w:val="24"/>
        </w:rPr>
        <w:t xml:space="preserve">, while the rest uses </w:t>
      </w:r>
      <w:r w:rsidR="00E14A81" w:rsidRPr="003571FD">
        <w:rPr>
          <w:rFonts w:ascii="Times New Roman" w:hAnsi="Times New Roman" w:cs="Times New Roman"/>
          <w:sz w:val="24"/>
          <w:szCs w:val="24"/>
        </w:rPr>
        <w:t xml:space="preserve">predominantly </w:t>
      </w:r>
      <w:r w:rsidRPr="003571FD">
        <w:rPr>
          <w:rFonts w:ascii="Times New Roman" w:hAnsi="Times New Roman" w:cs="Times New Roman"/>
          <w:sz w:val="24"/>
          <w:szCs w:val="24"/>
        </w:rPr>
        <w:t>cash</w:t>
      </w:r>
      <w:r w:rsidR="005F6273" w:rsidRPr="003571FD">
        <w:rPr>
          <w:rFonts w:ascii="Times New Roman" w:hAnsi="Times New Roman" w:cs="Times New Roman"/>
          <w:sz w:val="24"/>
          <w:szCs w:val="24"/>
        </w:rPr>
        <w:t xml:space="preserve"> for their payments, even when involving financial institutions for utility payments</w:t>
      </w:r>
      <w:r w:rsidRPr="003571FD">
        <w:rPr>
          <w:rFonts w:ascii="Times New Roman" w:hAnsi="Times New Roman" w:cs="Times New Roman"/>
          <w:sz w:val="24"/>
          <w:szCs w:val="24"/>
        </w:rPr>
        <w:t>.</w:t>
      </w:r>
      <w:r w:rsidR="00B07DFB"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Between 60-80 percent of the interviewed population had some knowledge about checks, credit and to some extent also debit cards, but only 10-20 percent </w:t>
      </w:r>
      <w:r w:rsidR="00957A88" w:rsidRPr="003571FD">
        <w:rPr>
          <w:rFonts w:ascii="Times New Roman" w:hAnsi="Times New Roman" w:cs="Times New Roman"/>
          <w:sz w:val="24"/>
          <w:szCs w:val="24"/>
        </w:rPr>
        <w:t>knew</w:t>
      </w:r>
      <w:r w:rsidRPr="003571FD">
        <w:rPr>
          <w:rFonts w:ascii="Times New Roman" w:hAnsi="Times New Roman" w:cs="Times New Roman"/>
          <w:sz w:val="24"/>
          <w:szCs w:val="24"/>
        </w:rPr>
        <w:t xml:space="preserve"> of electronic transfers and direct debits. The survey also indicates that the population associates higher risks with electronic payment</w:t>
      </w:r>
      <w:r w:rsidR="00957A88" w:rsidRPr="003571FD">
        <w:rPr>
          <w:rFonts w:ascii="Times New Roman" w:hAnsi="Times New Roman" w:cs="Times New Roman"/>
          <w:sz w:val="24"/>
          <w:szCs w:val="24"/>
        </w:rPr>
        <w:t>s</w:t>
      </w:r>
      <w:r w:rsidRPr="003571FD">
        <w:rPr>
          <w:rFonts w:ascii="Times New Roman" w:hAnsi="Times New Roman" w:cs="Times New Roman"/>
          <w:sz w:val="24"/>
          <w:szCs w:val="24"/>
        </w:rPr>
        <w:t>. These findings were confirmed in conversations with some financial entities and a utility company</w:t>
      </w:r>
      <w:r w:rsidR="005F6273" w:rsidRPr="003571FD">
        <w:rPr>
          <w:rFonts w:ascii="Times New Roman" w:hAnsi="Times New Roman" w:cs="Times New Roman"/>
          <w:sz w:val="24"/>
          <w:szCs w:val="24"/>
        </w:rPr>
        <w:t>, which</w:t>
      </w:r>
      <w:r w:rsidRPr="003571FD">
        <w:rPr>
          <w:rFonts w:ascii="Times New Roman" w:hAnsi="Times New Roman" w:cs="Times New Roman"/>
          <w:sz w:val="24"/>
          <w:szCs w:val="24"/>
        </w:rPr>
        <w:t xml:space="preserve"> </w:t>
      </w:r>
      <w:r w:rsidR="005F6273" w:rsidRPr="003571FD">
        <w:rPr>
          <w:rFonts w:ascii="Times New Roman" w:hAnsi="Times New Roman" w:cs="Times New Roman"/>
          <w:sz w:val="24"/>
          <w:szCs w:val="24"/>
        </w:rPr>
        <w:t xml:space="preserve">reported </w:t>
      </w:r>
      <w:r w:rsidRPr="003571FD">
        <w:rPr>
          <w:rFonts w:ascii="Times New Roman" w:hAnsi="Times New Roman" w:cs="Times New Roman"/>
          <w:sz w:val="24"/>
          <w:szCs w:val="24"/>
        </w:rPr>
        <w:t xml:space="preserve">for example of the difficulty of motivating clients to pay bills electronically via automatic debit programs or through internet banking, and of the preference of employees to receive their salaries in cash instead of </w:t>
      </w:r>
      <w:r w:rsidR="00E14A81" w:rsidRPr="003571FD">
        <w:rPr>
          <w:rFonts w:ascii="Times New Roman" w:hAnsi="Times New Roman" w:cs="Times New Roman"/>
          <w:sz w:val="24"/>
          <w:szCs w:val="24"/>
        </w:rPr>
        <w:t xml:space="preserve">a deposit </w:t>
      </w:r>
      <w:r w:rsidRPr="003571FD">
        <w:rPr>
          <w:rFonts w:ascii="Times New Roman" w:hAnsi="Times New Roman" w:cs="Times New Roman"/>
          <w:sz w:val="24"/>
          <w:szCs w:val="24"/>
        </w:rPr>
        <w:t xml:space="preserve">into their savings </w:t>
      </w:r>
      <w:r w:rsidR="00E14A81" w:rsidRPr="003571FD">
        <w:rPr>
          <w:rFonts w:ascii="Times New Roman" w:hAnsi="Times New Roman" w:cs="Times New Roman"/>
          <w:sz w:val="24"/>
          <w:szCs w:val="24"/>
        </w:rPr>
        <w:t xml:space="preserve">or checking </w:t>
      </w:r>
      <w:r w:rsidRPr="003571FD">
        <w:rPr>
          <w:rFonts w:ascii="Times New Roman" w:hAnsi="Times New Roman" w:cs="Times New Roman"/>
          <w:sz w:val="24"/>
          <w:szCs w:val="24"/>
        </w:rPr>
        <w:t>accounts. These findings reveal significant cultural factors that impede the use of modern forms of payments</w:t>
      </w:r>
      <w:r w:rsidR="00A13965">
        <w:rPr>
          <w:rFonts w:ascii="Times New Roman" w:hAnsi="Times New Roman" w:cs="Times New Roman"/>
          <w:sz w:val="24"/>
          <w:szCs w:val="24"/>
        </w:rPr>
        <w:t>, and suggest the need for both government and private-led initiatives to foster financial education</w:t>
      </w:r>
      <w:r w:rsidRPr="003571FD">
        <w:rPr>
          <w:rFonts w:ascii="Times New Roman" w:hAnsi="Times New Roman" w:cs="Times New Roman"/>
          <w:sz w:val="24"/>
          <w:szCs w:val="24"/>
        </w:rPr>
        <w:t xml:space="preserve">. </w:t>
      </w:r>
    </w:p>
    <w:p w:rsidR="00352224" w:rsidRPr="003571FD" w:rsidRDefault="00352224" w:rsidP="00D41D1A">
      <w:pPr>
        <w:pStyle w:val="Caption"/>
        <w:keepNext/>
        <w:spacing w:after="0"/>
        <w:rPr>
          <w:rFonts w:ascii="Times New Roman" w:hAnsi="Times New Roman" w:cs="Times New Roman"/>
          <w:color w:val="auto"/>
        </w:rPr>
      </w:pPr>
      <w:bookmarkStart w:id="28" w:name="_Toc312317351"/>
      <w:r w:rsidRPr="003571FD">
        <w:rPr>
          <w:rFonts w:ascii="Times New Roman" w:hAnsi="Times New Roman" w:cs="Times New Roman"/>
          <w:color w:val="auto"/>
        </w:rPr>
        <w:t xml:space="preserve">Table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4</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Evolution of payment system infrastructure in Bolivia (2</w:t>
      </w:r>
      <w:r w:rsidR="008F1D29" w:rsidRPr="003571FD">
        <w:rPr>
          <w:rFonts w:ascii="Times New Roman" w:hAnsi="Times New Roman" w:cs="Times New Roman"/>
          <w:color w:val="auto"/>
        </w:rPr>
        <w:t>0</w:t>
      </w:r>
      <w:r w:rsidRPr="003571FD">
        <w:rPr>
          <w:rFonts w:ascii="Times New Roman" w:hAnsi="Times New Roman" w:cs="Times New Roman"/>
          <w:color w:val="auto"/>
        </w:rPr>
        <w:t>04-2009)</w:t>
      </w:r>
      <w:bookmarkEnd w:id="28"/>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1170"/>
        <w:gridCol w:w="1170"/>
        <w:gridCol w:w="1170"/>
        <w:gridCol w:w="1170"/>
        <w:gridCol w:w="1170"/>
        <w:gridCol w:w="1098"/>
      </w:tblGrid>
      <w:tr w:rsidR="00EF773C" w:rsidRPr="003571FD">
        <w:trPr>
          <w:trHeight w:val="305"/>
        </w:trPr>
        <w:tc>
          <w:tcPr>
            <w:tcW w:w="2520" w:type="dxa"/>
          </w:tcPr>
          <w:p w:rsidR="00EF773C" w:rsidRPr="003571FD" w:rsidRDefault="00EF773C" w:rsidP="00D41D1A">
            <w:pPr>
              <w:rPr>
                <w:rFonts w:ascii="Times New Roman" w:hAnsi="Times New Roman" w:cs="Times New Roman"/>
                <w:sz w:val="20"/>
              </w:rPr>
            </w:pPr>
          </w:p>
        </w:tc>
        <w:tc>
          <w:tcPr>
            <w:tcW w:w="1170" w:type="dxa"/>
          </w:tcPr>
          <w:p w:rsidR="00EF773C" w:rsidRPr="003571FD" w:rsidRDefault="001C22BF" w:rsidP="00D41D1A">
            <w:pPr>
              <w:jc w:val="center"/>
              <w:rPr>
                <w:rFonts w:ascii="Times New Roman" w:hAnsi="Times New Roman" w:cs="Times New Roman"/>
                <w:b/>
                <w:sz w:val="20"/>
              </w:rPr>
            </w:pPr>
            <w:r w:rsidRPr="003571FD">
              <w:rPr>
                <w:rFonts w:ascii="Times New Roman" w:hAnsi="Times New Roman" w:cs="Times New Roman"/>
                <w:b/>
                <w:sz w:val="20"/>
              </w:rPr>
              <w:t>2004</w:t>
            </w:r>
          </w:p>
        </w:tc>
        <w:tc>
          <w:tcPr>
            <w:tcW w:w="1170" w:type="dxa"/>
          </w:tcPr>
          <w:p w:rsidR="00EF773C" w:rsidRPr="003571FD" w:rsidRDefault="001C22BF" w:rsidP="00D41D1A">
            <w:pPr>
              <w:jc w:val="center"/>
              <w:rPr>
                <w:rFonts w:ascii="Times New Roman" w:hAnsi="Times New Roman" w:cs="Times New Roman"/>
                <w:b/>
                <w:sz w:val="20"/>
              </w:rPr>
            </w:pPr>
            <w:r w:rsidRPr="003571FD">
              <w:rPr>
                <w:rFonts w:ascii="Times New Roman" w:hAnsi="Times New Roman" w:cs="Times New Roman"/>
                <w:b/>
                <w:sz w:val="20"/>
              </w:rPr>
              <w:t>2005</w:t>
            </w:r>
          </w:p>
        </w:tc>
        <w:tc>
          <w:tcPr>
            <w:tcW w:w="1170" w:type="dxa"/>
          </w:tcPr>
          <w:p w:rsidR="00EF773C" w:rsidRPr="003571FD" w:rsidRDefault="001C22BF" w:rsidP="00D41D1A">
            <w:pPr>
              <w:jc w:val="center"/>
              <w:rPr>
                <w:rFonts w:ascii="Times New Roman" w:hAnsi="Times New Roman" w:cs="Times New Roman"/>
                <w:b/>
                <w:sz w:val="20"/>
              </w:rPr>
            </w:pPr>
            <w:r w:rsidRPr="003571FD">
              <w:rPr>
                <w:rFonts w:ascii="Times New Roman" w:hAnsi="Times New Roman" w:cs="Times New Roman"/>
                <w:b/>
                <w:sz w:val="20"/>
              </w:rPr>
              <w:t>2006</w:t>
            </w:r>
          </w:p>
        </w:tc>
        <w:tc>
          <w:tcPr>
            <w:tcW w:w="1170" w:type="dxa"/>
          </w:tcPr>
          <w:p w:rsidR="00EF773C" w:rsidRPr="003571FD" w:rsidRDefault="001C22BF" w:rsidP="00D41D1A">
            <w:pPr>
              <w:jc w:val="center"/>
              <w:rPr>
                <w:rFonts w:ascii="Times New Roman" w:hAnsi="Times New Roman" w:cs="Times New Roman"/>
                <w:b/>
                <w:sz w:val="20"/>
              </w:rPr>
            </w:pPr>
            <w:r w:rsidRPr="003571FD">
              <w:rPr>
                <w:rFonts w:ascii="Times New Roman" w:hAnsi="Times New Roman" w:cs="Times New Roman"/>
                <w:b/>
                <w:sz w:val="20"/>
              </w:rPr>
              <w:t>2007</w:t>
            </w:r>
          </w:p>
        </w:tc>
        <w:tc>
          <w:tcPr>
            <w:tcW w:w="1170" w:type="dxa"/>
          </w:tcPr>
          <w:p w:rsidR="00EF773C" w:rsidRPr="003571FD" w:rsidRDefault="001C22BF" w:rsidP="00D41D1A">
            <w:pPr>
              <w:jc w:val="center"/>
              <w:rPr>
                <w:rFonts w:ascii="Times New Roman" w:hAnsi="Times New Roman" w:cs="Times New Roman"/>
                <w:b/>
                <w:sz w:val="20"/>
              </w:rPr>
            </w:pPr>
            <w:r w:rsidRPr="003571FD">
              <w:rPr>
                <w:rFonts w:ascii="Times New Roman" w:hAnsi="Times New Roman" w:cs="Times New Roman"/>
                <w:b/>
                <w:sz w:val="20"/>
              </w:rPr>
              <w:t>2008</w:t>
            </w:r>
          </w:p>
        </w:tc>
        <w:tc>
          <w:tcPr>
            <w:tcW w:w="1098" w:type="dxa"/>
          </w:tcPr>
          <w:p w:rsidR="00EF773C" w:rsidRPr="003571FD" w:rsidRDefault="001C22BF" w:rsidP="00D41D1A">
            <w:pPr>
              <w:jc w:val="center"/>
              <w:rPr>
                <w:rFonts w:ascii="Times New Roman" w:hAnsi="Times New Roman" w:cs="Times New Roman"/>
                <w:b/>
                <w:sz w:val="20"/>
              </w:rPr>
            </w:pPr>
            <w:r w:rsidRPr="003571FD">
              <w:rPr>
                <w:rFonts w:ascii="Times New Roman" w:hAnsi="Times New Roman" w:cs="Times New Roman"/>
                <w:b/>
                <w:sz w:val="20"/>
              </w:rPr>
              <w:t>2009</w:t>
            </w:r>
          </w:p>
        </w:tc>
      </w:tr>
      <w:tr w:rsidR="00EF773C" w:rsidRPr="003571FD">
        <w:tc>
          <w:tcPr>
            <w:tcW w:w="2520" w:type="dxa"/>
          </w:tcPr>
          <w:p w:rsidR="00EF773C" w:rsidRPr="003571FD" w:rsidRDefault="001C22BF" w:rsidP="00D41D1A">
            <w:pPr>
              <w:rPr>
                <w:rFonts w:ascii="Times New Roman" w:hAnsi="Times New Roman" w:cs="Times New Roman"/>
                <w:sz w:val="20"/>
              </w:rPr>
            </w:pPr>
            <w:r w:rsidRPr="003571FD">
              <w:rPr>
                <w:rFonts w:ascii="Times New Roman" w:hAnsi="Times New Roman" w:cs="Times New Roman"/>
                <w:sz w:val="20"/>
              </w:rPr>
              <w:t>Number of ATMs</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416</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490</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517</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566</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738</w:t>
            </w:r>
          </w:p>
        </w:tc>
        <w:tc>
          <w:tcPr>
            <w:tcW w:w="1098"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859</w:t>
            </w:r>
          </w:p>
        </w:tc>
      </w:tr>
      <w:tr w:rsidR="00EF773C" w:rsidRPr="003571FD">
        <w:tc>
          <w:tcPr>
            <w:tcW w:w="2520" w:type="dxa"/>
          </w:tcPr>
          <w:p w:rsidR="00EF773C" w:rsidRPr="003571FD" w:rsidRDefault="001C22BF" w:rsidP="00EF773C">
            <w:pPr>
              <w:rPr>
                <w:rFonts w:ascii="Times New Roman" w:hAnsi="Times New Roman" w:cs="Times New Roman"/>
                <w:sz w:val="20"/>
              </w:rPr>
            </w:pPr>
            <w:r w:rsidRPr="003571FD">
              <w:rPr>
                <w:rFonts w:ascii="Times New Roman" w:hAnsi="Times New Roman" w:cs="Times New Roman"/>
                <w:sz w:val="20"/>
              </w:rPr>
              <w:t>Number of POS</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1,570</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1,837</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1,735</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1,827</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2,481</w:t>
            </w:r>
          </w:p>
        </w:tc>
        <w:tc>
          <w:tcPr>
            <w:tcW w:w="1098"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3,389</w:t>
            </w:r>
          </w:p>
        </w:tc>
      </w:tr>
      <w:tr w:rsidR="00EF773C" w:rsidRPr="003571FD">
        <w:tc>
          <w:tcPr>
            <w:tcW w:w="2520" w:type="dxa"/>
          </w:tcPr>
          <w:p w:rsidR="00EF773C" w:rsidRPr="003571FD" w:rsidRDefault="001C22BF" w:rsidP="00EF773C">
            <w:pPr>
              <w:rPr>
                <w:rFonts w:ascii="Times New Roman" w:hAnsi="Times New Roman" w:cs="Times New Roman"/>
                <w:sz w:val="20"/>
              </w:rPr>
            </w:pPr>
            <w:r w:rsidRPr="003571FD">
              <w:rPr>
                <w:rFonts w:ascii="Times New Roman" w:hAnsi="Times New Roman" w:cs="Times New Roman"/>
                <w:sz w:val="20"/>
              </w:rPr>
              <w:t>Number of Debit Cards</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376,478</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406,291</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526,000</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616,000</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927,900</w:t>
            </w:r>
          </w:p>
        </w:tc>
        <w:tc>
          <w:tcPr>
            <w:tcW w:w="1098"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1,169,653</w:t>
            </w:r>
          </w:p>
        </w:tc>
      </w:tr>
      <w:tr w:rsidR="00EF773C" w:rsidRPr="003571FD">
        <w:tc>
          <w:tcPr>
            <w:tcW w:w="2520" w:type="dxa"/>
          </w:tcPr>
          <w:p w:rsidR="00EF773C" w:rsidRPr="003571FD" w:rsidRDefault="001C22BF" w:rsidP="00EF773C">
            <w:pPr>
              <w:rPr>
                <w:rFonts w:ascii="Times New Roman" w:hAnsi="Times New Roman" w:cs="Times New Roman"/>
                <w:sz w:val="20"/>
              </w:rPr>
            </w:pPr>
            <w:r w:rsidRPr="003571FD">
              <w:rPr>
                <w:rFonts w:ascii="Times New Roman" w:hAnsi="Times New Roman" w:cs="Times New Roman"/>
                <w:sz w:val="20"/>
              </w:rPr>
              <w:t>Number of Credit Cards</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57,486</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56,040</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51,557</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53,410</w:t>
            </w:r>
          </w:p>
        </w:tc>
        <w:tc>
          <w:tcPr>
            <w:tcW w:w="1170"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66,709</w:t>
            </w:r>
          </w:p>
        </w:tc>
        <w:tc>
          <w:tcPr>
            <w:tcW w:w="1098" w:type="dxa"/>
          </w:tcPr>
          <w:p w:rsidR="00EF773C" w:rsidRPr="003571FD" w:rsidRDefault="001C22BF" w:rsidP="00EF773C">
            <w:pPr>
              <w:jc w:val="center"/>
              <w:rPr>
                <w:rFonts w:ascii="Times New Roman" w:hAnsi="Times New Roman" w:cs="Times New Roman"/>
                <w:sz w:val="20"/>
              </w:rPr>
            </w:pPr>
            <w:r w:rsidRPr="003571FD">
              <w:rPr>
                <w:rFonts w:ascii="Times New Roman" w:hAnsi="Times New Roman" w:cs="Times New Roman"/>
                <w:sz w:val="20"/>
              </w:rPr>
              <w:t>70,734</w:t>
            </w:r>
          </w:p>
        </w:tc>
      </w:tr>
    </w:tbl>
    <w:p w:rsidR="00CC341B" w:rsidRPr="003571FD" w:rsidRDefault="001C22BF" w:rsidP="00EF773C">
      <w:pPr>
        <w:jc w:val="both"/>
        <w:rPr>
          <w:rFonts w:ascii="Times New Roman" w:hAnsi="Times New Roman" w:cs="Times New Roman"/>
          <w:i/>
          <w:sz w:val="18"/>
        </w:rPr>
      </w:pPr>
      <w:r w:rsidRPr="003571FD">
        <w:rPr>
          <w:rFonts w:ascii="Times New Roman" w:hAnsi="Times New Roman" w:cs="Times New Roman"/>
          <w:i/>
          <w:sz w:val="18"/>
        </w:rPr>
        <w:t>Source: Central Bank of Bolivia.</w:t>
      </w:r>
    </w:p>
    <w:p w:rsidR="00D41D1A" w:rsidRPr="00D41D1A" w:rsidRDefault="00F03AC0"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 xml:space="preserve">In the absence of demand for more modern means of payment, the available financial payment infrastructure is mostly used for interbank clearance and transfers. </w:t>
      </w:r>
      <w:r w:rsidRPr="003571FD">
        <w:rPr>
          <w:rFonts w:ascii="Times New Roman" w:hAnsi="Times New Roman" w:cs="Times New Roman"/>
          <w:sz w:val="24"/>
          <w:szCs w:val="24"/>
        </w:rPr>
        <w:t>The number of automated teller machines (ATMs) and point of sales (POS) in the system increased significantly since 2007 (+42 percent</w:t>
      </w:r>
      <w:r w:rsidR="00F65072" w:rsidRPr="003571FD">
        <w:rPr>
          <w:rFonts w:ascii="Times New Roman" w:hAnsi="Times New Roman" w:cs="Times New Roman"/>
          <w:sz w:val="24"/>
          <w:szCs w:val="24"/>
        </w:rPr>
        <w:t>, see Table 4</w:t>
      </w:r>
      <w:r w:rsidRPr="003571FD">
        <w:rPr>
          <w:rFonts w:ascii="Times New Roman" w:hAnsi="Times New Roman" w:cs="Times New Roman"/>
          <w:sz w:val="24"/>
          <w:szCs w:val="24"/>
        </w:rPr>
        <w:t xml:space="preserve">), but this increase was not sufficient to catch up with coverage ratios reached by neighboring and peer countries (see Chart </w:t>
      </w:r>
      <w:r w:rsidR="009958C5" w:rsidRPr="003571FD">
        <w:rPr>
          <w:rFonts w:ascii="Times New Roman" w:hAnsi="Times New Roman" w:cs="Times New Roman"/>
          <w:sz w:val="24"/>
          <w:szCs w:val="24"/>
        </w:rPr>
        <w:t>6</w:t>
      </w:r>
      <w:r w:rsidRPr="003571FD">
        <w:rPr>
          <w:rFonts w:ascii="Times New Roman" w:hAnsi="Times New Roman" w:cs="Times New Roman"/>
          <w:sz w:val="24"/>
          <w:szCs w:val="24"/>
        </w:rPr>
        <w:t xml:space="preserve">). </w:t>
      </w:r>
    </w:p>
    <w:tbl>
      <w:tblPr>
        <w:tblStyle w:val="TableGrid"/>
        <w:tblW w:w="9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7"/>
        <w:gridCol w:w="4918"/>
      </w:tblGrid>
      <w:tr w:rsidR="00D41D1A" w:rsidRPr="003571FD" w:rsidTr="00D41D1A">
        <w:trPr>
          <w:trHeight w:val="133"/>
        </w:trPr>
        <w:tc>
          <w:tcPr>
            <w:tcW w:w="9834" w:type="dxa"/>
            <w:gridSpan w:val="2"/>
          </w:tcPr>
          <w:p w:rsidR="00D41D1A" w:rsidRPr="003571FD" w:rsidRDefault="00D41D1A" w:rsidP="00D41D1A">
            <w:pPr>
              <w:pStyle w:val="Caption"/>
              <w:keepNext/>
              <w:rPr>
                <w:rFonts w:ascii="Times New Roman" w:hAnsi="Times New Roman" w:cs="Times New Roman"/>
                <w:sz w:val="24"/>
                <w:szCs w:val="24"/>
              </w:rPr>
            </w:pPr>
            <w:bookmarkStart w:id="29" w:name="_Toc312317272"/>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6</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ATM and POS – an international comparison</w:t>
            </w:r>
            <w:bookmarkEnd w:id="29"/>
          </w:p>
        </w:tc>
      </w:tr>
      <w:tr w:rsidR="00D41D1A" w:rsidRPr="003571FD" w:rsidTr="00D41D1A">
        <w:trPr>
          <w:trHeight w:val="3307"/>
        </w:trPr>
        <w:tc>
          <w:tcPr>
            <w:tcW w:w="4917" w:type="dxa"/>
          </w:tcPr>
          <w:p w:rsidR="00D41D1A" w:rsidRPr="003571FD" w:rsidRDefault="00D41D1A" w:rsidP="00D41D1A">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962150"/>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2895600" cy="1962150"/>
                          </a:xfrm>
                          <a:prstGeom prst="rect">
                            <a:avLst/>
                          </a:prstGeom>
                          <a:noFill/>
                          <a:ln w="9525">
                            <a:noFill/>
                            <a:miter lim="800000"/>
                            <a:headEnd/>
                            <a:tailEnd/>
                          </a:ln>
                        </pic:spPr>
                      </pic:pic>
                    </a:graphicData>
                  </a:graphic>
                </wp:inline>
              </w:drawing>
            </w:r>
          </w:p>
        </w:tc>
        <w:tc>
          <w:tcPr>
            <w:tcW w:w="4918" w:type="dxa"/>
          </w:tcPr>
          <w:p w:rsidR="00D41D1A" w:rsidRPr="003571FD" w:rsidRDefault="00D41D1A" w:rsidP="00D41D1A">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2009775"/>
                  <wp:effectExtent l="1905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srcRect/>
                          <a:stretch>
                            <a:fillRect/>
                          </a:stretch>
                        </pic:blipFill>
                        <pic:spPr bwMode="auto">
                          <a:xfrm>
                            <a:off x="0" y="0"/>
                            <a:ext cx="2895600" cy="2009775"/>
                          </a:xfrm>
                          <a:prstGeom prst="rect">
                            <a:avLst/>
                          </a:prstGeom>
                          <a:noFill/>
                          <a:ln w="9525">
                            <a:noFill/>
                            <a:miter lim="800000"/>
                            <a:headEnd/>
                            <a:tailEnd/>
                          </a:ln>
                        </pic:spPr>
                      </pic:pic>
                    </a:graphicData>
                  </a:graphic>
                </wp:inline>
              </w:drawing>
            </w:r>
          </w:p>
        </w:tc>
      </w:tr>
      <w:tr w:rsidR="00D41D1A" w:rsidRPr="003571FD" w:rsidTr="00D41D1A">
        <w:trPr>
          <w:trHeight w:val="77"/>
        </w:trPr>
        <w:tc>
          <w:tcPr>
            <w:tcW w:w="9834" w:type="dxa"/>
            <w:gridSpan w:val="2"/>
          </w:tcPr>
          <w:p w:rsidR="00D41D1A" w:rsidRPr="003571FD" w:rsidRDefault="00D41D1A" w:rsidP="00D41D1A">
            <w:pPr>
              <w:rPr>
                <w:rFonts w:ascii="Times New Roman" w:hAnsi="Times New Roman" w:cs="Times New Roman"/>
                <w:i/>
                <w:noProof/>
                <w:sz w:val="24"/>
                <w:szCs w:val="24"/>
              </w:rPr>
            </w:pPr>
            <w:r w:rsidRPr="003571FD">
              <w:rPr>
                <w:rFonts w:ascii="Times New Roman" w:hAnsi="Times New Roman" w:cs="Times New Roman"/>
                <w:i/>
                <w:noProof/>
                <w:sz w:val="18"/>
                <w:szCs w:val="24"/>
              </w:rPr>
              <w:t>Source: CGAP Financial Access database (2009) and World Bank’s own calculations.</w:t>
            </w:r>
          </w:p>
        </w:tc>
      </w:tr>
    </w:tbl>
    <w:p w:rsidR="00927878" w:rsidRPr="00D41D1A" w:rsidRDefault="00F03AC0" w:rsidP="00D41D1A">
      <w:pPr>
        <w:pStyle w:val="ListParagraph"/>
        <w:spacing w:after="240"/>
        <w:ind w:left="0"/>
        <w:jc w:val="both"/>
        <w:rPr>
          <w:rFonts w:ascii="Times New Roman" w:hAnsi="Times New Roman" w:cs="Times New Roman"/>
          <w:b/>
          <w:sz w:val="24"/>
          <w:szCs w:val="24"/>
        </w:rPr>
      </w:pPr>
      <w:r w:rsidRPr="003571FD">
        <w:rPr>
          <w:rFonts w:ascii="Times New Roman" w:hAnsi="Times New Roman" w:cs="Times New Roman"/>
          <w:sz w:val="24"/>
          <w:szCs w:val="24"/>
        </w:rPr>
        <w:lastRenderedPageBreak/>
        <w:t xml:space="preserve">In many instances the available payment system infrastructure is not well connected, and clients are encouraged to use it only for transactions within the same financial institution. Many of the financial institutions still only offer bill payments in cash to the </w:t>
      </w:r>
      <w:r w:rsidR="006F5FAF" w:rsidRPr="003571FD">
        <w:rPr>
          <w:rFonts w:ascii="Times New Roman" w:hAnsi="Times New Roman" w:cs="Times New Roman"/>
          <w:sz w:val="24"/>
          <w:szCs w:val="24"/>
        </w:rPr>
        <w:t>population</w:t>
      </w:r>
      <w:r w:rsidRPr="003571FD">
        <w:rPr>
          <w:rFonts w:ascii="Times New Roman" w:hAnsi="Times New Roman" w:cs="Times New Roman"/>
          <w:sz w:val="24"/>
          <w:szCs w:val="24"/>
        </w:rPr>
        <w:t xml:space="preserve"> and only </w:t>
      </w:r>
      <w:proofErr w:type="gramStart"/>
      <w:r w:rsidRPr="003571FD">
        <w:rPr>
          <w:rFonts w:ascii="Times New Roman" w:hAnsi="Times New Roman" w:cs="Times New Roman"/>
          <w:sz w:val="24"/>
          <w:szCs w:val="24"/>
        </w:rPr>
        <w:t>to a limited extent electronic transfers</w:t>
      </w:r>
      <w:proofErr w:type="gramEnd"/>
      <w:r w:rsidRPr="003571FD">
        <w:rPr>
          <w:rFonts w:ascii="Times New Roman" w:hAnsi="Times New Roman" w:cs="Times New Roman"/>
          <w:sz w:val="24"/>
          <w:szCs w:val="24"/>
        </w:rPr>
        <w:t xml:space="preserve"> to third parties as a service</w:t>
      </w:r>
      <w:r w:rsidRPr="003571FD">
        <w:rPr>
          <w:rStyle w:val="FootnoteReference"/>
          <w:rFonts w:ascii="Times New Roman" w:hAnsi="Times New Roman" w:cs="Times New Roman"/>
          <w:sz w:val="24"/>
          <w:szCs w:val="24"/>
        </w:rPr>
        <w:footnoteReference w:id="44"/>
      </w:r>
      <w:r w:rsidRPr="003571FD">
        <w:rPr>
          <w:rFonts w:ascii="Times New Roman" w:hAnsi="Times New Roman" w:cs="Times New Roman"/>
          <w:sz w:val="24"/>
          <w:szCs w:val="24"/>
        </w:rPr>
        <w:t>.</w:t>
      </w:r>
      <w:r w:rsidRPr="003571FD">
        <w:rPr>
          <w:rFonts w:ascii="Times New Roman" w:hAnsi="Times New Roman" w:cs="Times New Roman"/>
          <w:b/>
          <w:sz w:val="24"/>
          <w:szCs w:val="24"/>
        </w:rPr>
        <w:t xml:space="preserve"> </w:t>
      </w:r>
    </w:p>
    <w:p w:rsidR="00927878" w:rsidRPr="003571FD" w:rsidRDefault="00927878" w:rsidP="00927878">
      <w:pPr>
        <w:rPr>
          <w:rFonts w:eastAsiaTheme="majorEastAsia"/>
          <w:sz w:val="28"/>
          <w:szCs w:val="28"/>
        </w:rPr>
      </w:pPr>
      <w:r w:rsidRPr="003571FD">
        <w:br w:type="page"/>
      </w:r>
    </w:p>
    <w:p w:rsidR="00EF773C" w:rsidRPr="003571FD" w:rsidRDefault="00E831E7" w:rsidP="00AA3DAB">
      <w:pPr>
        <w:pStyle w:val="Heading1"/>
        <w:jc w:val="both"/>
        <w:rPr>
          <w:rFonts w:cs="Times New Roman"/>
        </w:rPr>
      </w:pPr>
      <w:bookmarkStart w:id="30" w:name="_Toc312319494"/>
      <w:r w:rsidRPr="003571FD">
        <w:rPr>
          <w:rFonts w:cs="Times New Roman"/>
        </w:rPr>
        <w:lastRenderedPageBreak/>
        <w:t>Competition and financial soundness of the</w:t>
      </w:r>
      <w:r w:rsidR="001C22BF" w:rsidRPr="003571FD">
        <w:rPr>
          <w:rFonts w:cs="Times New Roman"/>
        </w:rPr>
        <w:t xml:space="preserve"> financial system</w:t>
      </w:r>
      <w:bookmarkEnd w:id="30"/>
      <w:r w:rsidR="001C22BF" w:rsidRPr="003571FD">
        <w:rPr>
          <w:rFonts w:cs="Times New Roman"/>
        </w:rPr>
        <w:t xml:space="preserve"> </w:t>
      </w:r>
    </w:p>
    <w:p w:rsidR="00EF773C" w:rsidRPr="003571FD" w:rsidRDefault="00EF773C" w:rsidP="00EF773C">
      <w:pPr>
        <w:jc w:val="both"/>
        <w:rPr>
          <w:rFonts w:ascii="Times New Roman" w:hAnsi="Times New Roman" w:cs="Times New Roman"/>
        </w:rPr>
      </w:pPr>
    </w:p>
    <w:p w:rsidR="00EF773C" w:rsidRPr="003571FD" w:rsidRDefault="001C22BF" w:rsidP="00EF773C">
      <w:pPr>
        <w:jc w:val="both"/>
        <w:rPr>
          <w:rFonts w:ascii="Times New Roman" w:hAnsi="Times New Roman" w:cs="Times New Roman"/>
          <w:i/>
          <w:sz w:val="24"/>
          <w:szCs w:val="24"/>
        </w:rPr>
      </w:pPr>
      <w:r w:rsidRPr="003571FD">
        <w:rPr>
          <w:rFonts w:ascii="Times New Roman" w:hAnsi="Times New Roman" w:cs="Times New Roman"/>
          <w:i/>
          <w:sz w:val="24"/>
          <w:szCs w:val="24"/>
        </w:rPr>
        <w:t xml:space="preserve">The </w:t>
      </w:r>
      <w:r w:rsidR="00E831E7" w:rsidRPr="003571FD">
        <w:rPr>
          <w:rFonts w:ascii="Times New Roman" w:hAnsi="Times New Roman" w:cs="Times New Roman"/>
          <w:i/>
          <w:sz w:val="24"/>
          <w:szCs w:val="24"/>
        </w:rPr>
        <w:t>o</w:t>
      </w:r>
      <w:r w:rsidRPr="003571FD">
        <w:rPr>
          <w:rFonts w:ascii="Times New Roman" w:hAnsi="Times New Roman" w:cs="Times New Roman"/>
          <w:i/>
          <w:sz w:val="24"/>
          <w:szCs w:val="24"/>
        </w:rPr>
        <w:t>verall level</w:t>
      </w:r>
      <w:r w:rsidR="008C2105" w:rsidRPr="003571FD">
        <w:rPr>
          <w:rFonts w:ascii="Times New Roman" w:hAnsi="Times New Roman" w:cs="Times New Roman"/>
          <w:i/>
          <w:sz w:val="24"/>
          <w:szCs w:val="24"/>
        </w:rPr>
        <w:t>s</w:t>
      </w:r>
      <w:r w:rsidRPr="003571FD">
        <w:rPr>
          <w:rFonts w:ascii="Times New Roman" w:hAnsi="Times New Roman" w:cs="Times New Roman"/>
          <w:i/>
          <w:sz w:val="24"/>
          <w:szCs w:val="24"/>
        </w:rPr>
        <w:t xml:space="preserve"> of competition</w:t>
      </w:r>
      <w:r w:rsidR="00E831E7" w:rsidRPr="003571FD">
        <w:rPr>
          <w:rFonts w:ascii="Times New Roman" w:hAnsi="Times New Roman" w:cs="Times New Roman"/>
          <w:i/>
          <w:sz w:val="24"/>
          <w:szCs w:val="24"/>
        </w:rPr>
        <w:t xml:space="preserve"> as well a</w:t>
      </w:r>
      <w:r w:rsidR="007716BE" w:rsidRPr="003571FD">
        <w:rPr>
          <w:rFonts w:ascii="Times New Roman" w:hAnsi="Times New Roman" w:cs="Times New Roman"/>
          <w:i/>
          <w:sz w:val="24"/>
          <w:szCs w:val="24"/>
        </w:rPr>
        <w:t>s</w:t>
      </w:r>
      <w:r w:rsidR="00E831E7" w:rsidRPr="003571FD">
        <w:rPr>
          <w:rFonts w:ascii="Times New Roman" w:hAnsi="Times New Roman" w:cs="Times New Roman"/>
          <w:i/>
          <w:sz w:val="24"/>
          <w:szCs w:val="24"/>
        </w:rPr>
        <w:t xml:space="preserve"> profitability</w:t>
      </w:r>
      <w:r w:rsidRPr="003571FD">
        <w:rPr>
          <w:rFonts w:ascii="Times New Roman" w:hAnsi="Times New Roman" w:cs="Times New Roman"/>
          <w:i/>
          <w:sz w:val="24"/>
          <w:szCs w:val="24"/>
        </w:rPr>
        <w:t xml:space="preserve"> play an important role for the development and deepening of the market.</w:t>
      </w:r>
      <w:r w:rsidR="00D803D0" w:rsidRPr="003571FD">
        <w:rPr>
          <w:rFonts w:ascii="Times New Roman" w:hAnsi="Times New Roman" w:cs="Times New Roman"/>
          <w:i/>
          <w:sz w:val="24"/>
          <w:szCs w:val="24"/>
        </w:rPr>
        <w:t xml:space="preserve"> </w:t>
      </w:r>
      <w:r w:rsidRPr="003571FD">
        <w:rPr>
          <w:rFonts w:ascii="Times New Roman" w:hAnsi="Times New Roman" w:cs="Times New Roman"/>
          <w:i/>
          <w:sz w:val="24"/>
          <w:szCs w:val="24"/>
        </w:rPr>
        <w:t xml:space="preserve">The analysis </w:t>
      </w:r>
      <w:r w:rsidR="00E831E7" w:rsidRPr="003571FD">
        <w:rPr>
          <w:rFonts w:ascii="Times New Roman" w:hAnsi="Times New Roman" w:cs="Times New Roman"/>
          <w:i/>
          <w:sz w:val="24"/>
          <w:szCs w:val="24"/>
        </w:rPr>
        <w:t xml:space="preserve">of the core </w:t>
      </w:r>
      <w:r w:rsidR="007716BE" w:rsidRPr="003571FD">
        <w:rPr>
          <w:rFonts w:ascii="Times New Roman" w:hAnsi="Times New Roman" w:cs="Times New Roman"/>
          <w:i/>
          <w:sz w:val="24"/>
          <w:szCs w:val="24"/>
        </w:rPr>
        <w:t xml:space="preserve">competition and financial soundness </w:t>
      </w:r>
      <w:r w:rsidR="00E831E7" w:rsidRPr="003571FD">
        <w:rPr>
          <w:rFonts w:ascii="Times New Roman" w:hAnsi="Times New Roman" w:cs="Times New Roman"/>
          <w:i/>
          <w:sz w:val="24"/>
          <w:szCs w:val="24"/>
        </w:rPr>
        <w:t xml:space="preserve">indicators </w:t>
      </w:r>
      <w:r w:rsidRPr="003571FD">
        <w:rPr>
          <w:rFonts w:ascii="Times New Roman" w:hAnsi="Times New Roman" w:cs="Times New Roman"/>
          <w:i/>
          <w:sz w:val="24"/>
          <w:szCs w:val="24"/>
        </w:rPr>
        <w:t xml:space="preserve">suggests that the financial system is open for new entrants, shows sufficient levels of competition and efficiency, and has adequate levels of capital to weather the most common shocks. </w:t>
      </w:r>
      <w:r w:rsidR="007716BE" w:rsidRPr="003571FD">
        <w:rPr>
          <w:rFonts w:ascii="Times New Roman" w:hAnsi="Times New Roman" w:cs="Times New Roman"/>
          <w:i/>
          <w:sz w:val="24"/>
          <w:szCs w:val="24"/>
        </w:rPr>
        <w:t xml:space="preserve">Much progress was made in reducing the share of foreign exchange denominated assets and liabilities, and in bringing the level of non-performing loans down. </w:t>
      </w:r>
      <w:r w:rsidR="00E831E7" w:rsidRPr="003571FD">
        <w:rPr>
          <w:rFonts w:ascii="Times New Roman" w:hAnsi="Times New Roman" w:cs="Times New Roman"/>
          <w:i/>
          <w:sz w:val="24"/>
          <w:szCs w:val="24"/>
        </w:rPr>
        <w:t xml:space="preserve">There is no indication that barriers to market development exist from this side. </w:t>
      </w:r>
    </w:p>
    <w:p w:rsidR="00EF773C" w:rsidRPr="003571FD" w:rsidRDefault="001C22BF" w:rsidP="00D41D1A">
      <w:pPr>
        <w:pStyle w:val="Heading2"/>
      </w:pPr>
      <w:bookmarkStart w:id="31" w:name="_Toc312319495"/>
      <w:r w:rsidRPr="003571FD">
        <w:t>Concentration and competition</w:t>
      </w:r>
      <w:bookmarkEnd w:id="31"/>
    </w:p>
    <w:p w:rsidR="00957A88" w:rsidRPr="003571FD" w:rsidRDefault="00957A88" w:rsidP="00957A88">
      <w:pPr>
        <w:jc w:val="both"/>
        <w:rPr>
          <w:rFonts w:ascii="Times New Roman" w:hAnsi="Times New Roman" w:cs="Times New Roman"/>
          <w:b/>
          <w:sz w:val="24"/>
          <w:szCs w:val="24"/>
        </w:rPr>
      </w:pPr>
    </w:p>
    <w:tbl>
      <w:tblPr>
        <w:tblStyle w:val="TableGrid"/>
        <w:tblpPr w:leftFromText="180" w:rightFromText="180" w:vertAnchor="text" w:horzAnchor="margin" w:tblpXSpec="right" w:tblpY="1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tblGrid>
      <w:tr w:rsidR="00CA07A0" w:rsidRPr="003571FD" w:rsidTr="00CA07A0">
        <w:trPr>
          <w:trHeight w:val="353"/>
        </w:trPr>
        <w:tc>
          <w:tcPr>
            <w:tcW w:w="5226" w:type="dxa"/>
          </w:tcPr>
          <w:p w:rsidR="00CA07A0" w:rsidRPr="00795642" w:rsidRDefault="00CA07A0" w:rsidP="00CA07A0">
            <w:pPr>
              <w:jc w:val="both"/>
              <w:rPr>
                <w:rFonts w:ascii="Times New Roman" w:hAnsi="Times New Roman" w:cs="Times New Roman"/>
                <w:b/>
                <w:sz w:val="24"/>
                <w:szCs w:val="24"/>
              </w:rPr>
            </w:pPr>
            <w:bookmarkStart w:id="32" w:name="_Toc312317273"/>
            <w:r w:rsidRPr="00795642">
              <w:rPr>
                <w:rFonts w:ascii="Times New Roman" w:hAnsi="Times New Roman" w:cs="Times New Roman"/>
                <w:b/>
                <w:sz w:val="18"/>
              </w:rPr>
              <w:t xml:space="preserve">Chart </w:t>
            </w:r>
            <w:r w:rsidR="005744EE" w:rsidRPr="00795642">
              <w:rPr>
                <w:rFonts w:ascii="Times New Roman" w:hAnsi="Times New Roman" w:cs="Times New Roman"/>
                <w:b/>
                <w:sz w:val="18"/>
              </w:rPr>
              <w:fldChar w:fldCharType="begin"/>
            </w:r>
            <w:r w:rsidRPr="00795642">
              <w:rPr>
                <w:rFonts w:ascii="Times New Roman" w:hAnsi="Times New Roman" w:cs="Times New Roman"/>
                <w:b/>
                <w:sz w:val="18"/>
              </w:rPr>
              <w:instrText xml:space="preserve"> SEQ Chart \* ARABIC </w:instrText>
            </w:r>
            <w:r w:rsidR="005744EE" w:rsidRPr="00795642">
              <w:rPr>
                <w:rFonts w:ascii="Times New Roman" w:hAnsi="Times New Roman" w:cs="Times New Roman"/>
                <w:b/>
                <w:sz w:val="18"/>
              </w:rPr>
              <w:fldChar w:fldCharType="separate"/>
            </w:r>
            <w:r w:rsidR="00064A1B" w:rsidRPr="00795642">
              <w:rPr>
                <w:rFonts w:ascii="Times New Roman" w:hAnsi="Times New Roman" w:cs="Times New Roman"/>
                <w:b/>
                <w:noProof/>
                <w:sz w:val="18"/>
              </w:rPr>
              <w:t>7</w:t>
            </w:r>
            <w:r w:rsidR="005744EE" w:rsidRPr="00795642">
              <w:rPr>
                <w:rFonts w:ascii="Times New Roman" w:hAnsi="Times New Roman" w:cs="Times New Roman"/>
                <w:b/>
                <w:sz w:val="18"/>
              </w:rPr>
              <w:fldChar w:fldCharType="end"/>
            </w:r>
            <w:r w:rsidRPr="00795642">
              <w:rPr>
                <w:rFonts w:ascii="Times New Roman" w:hAnsi="Times New Roman" w:cs="Times New Roman"/>
                <w:b/>
                <w:sz w:val="18"/>
              </w:rPr>
              <w:t>: 3 largest banks’ assets to total assets of formal system</w:t>
            </w:r>
            <w:bookmarkEnd w:id="32"/>
          </w:p>
        </w:tc>
      </w:tr>
      <w:tr w:rsidR="00CA07A0" w:rsidRPr="003571FD" w:rsidTr="00CA07A0">
        <w:trPr>
          <w:trHeight w:val="2447"/>
        </w:trPr>
        <w:tc>
          <w:tcPr>
            <w:tcW w:w="5226" w:type="dxa"/>
          </w:tcPr>
          <w:p w:rsidR="00CA07A0" w:rsidRPr="003571FD" w:rsidRDefault="00CA07A0" w:rsidP="00CA07A0">
            <w:pPr>
              <w:jc w:val="both"/>
              <w:rPr>
                <w:rFonts w:ascii="Times New Roman" w:hAnsi="Times New Roman" w:cs="Times New Roman"/>
                <w:b/>
                <w:sz w:val="24"/>
                <w:szCs w:val="24"/>
              </w:rPr>
            </w:pPr>
            <w:r w:rsidRPr="003571FD">
              <w:rPr>
                <w:rFonts w:ascii="Times New Roman" w:hAnsi="Times New Roman" w:cs="Times New Roman"/>
                <w:b/>
                <w:noProof/>
                <w:sz w:val="24"/>
                <w:szCs w:val="24"/>
              </w:rPr>
              <w:drawing>
                <wp:inline distT="0" distB="0" distL="0" distR="0">
                  <wp:extent cx="2924175" cy="1543050"/>
                  <wp:effectExtent l="19050" t="0" r="9525" b="0"/>
                  <wp:docPr id="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2930533" cy="1546405"/>
                          </a:xfrm>
                          <a:prstGeom prst="rect">
                            <a:avLst/>
                          </a:prstGeom>
                          <a:noFill/>
                          <a:ln w="9525">
                            <a:noFill/>
                            <a:miter lim="800000"/>
                            <a:headEnd/>
                            <a:tailEnd/>
                          </a:ln>
                        </pic:spPr>
                      </pic:pic>
                    </a:graphicData>
                  </a:graphic>
                </wp:inline>
              </w:drawing>
            </w:r>
          </w:p>
          <w:p w:rsidR="00CA07A0" w:rsidRPr="003571FD" w:rsidRDefault="00CA07A0" w:rsidP="00CA07A0">
            <w:pPr>
              <w:tabs>
                <w:tab w:val="left" w:pos="900"/>
              </w:tabs>
              <w:rPr>
                <w:rFonts w:ascii="Times New Roman" w:hAnsi="Times New Roman" w:cs="Times New Roman"/>
                <w:sz w:val="24"/>
                <w:szCs w:val="24"/>
              </w:rPr>
            </w:pPr>
          </w:p>
        </w:tc>
      </w:tr>
      <w:tr w:rsidR="00CA07A0" w:rsidRPr="003571FD" w:rsidTr="00CA07A0">
        <w:trPr>
          <w:trHeight w:val="350"/>
        </w:trPr>
        <w:tc>
          <w:tcPr>
            <w:tcW w:w="5226" w:type="dxa"/>
          </w:tcPr>
          <w:p w:rsidR="00CA07A0" w:rsidRPr="003571FD" w:rsidRDefault="00CA07A0" w:rsidP="00CA07A0">
            <w:pPr>
              <w:jc w:val="both"/>
              <w:rPr>
                <w:rFonts w:ascii="Times New Roman" w:hAnsi="Times New Roman" w:cs="Times New Roman"/>
                <w:b/>
                <w:sz w:val="24"/>
                <w:szCs w:val="24"/>
              </w:rPr>
            </w:pPr>
            <w:r w:rsidRPr="003571FD">
              <w:rPr>
                <w:rFonts w:ascii="Times New Roman" w:hAnsi="Times New Roman" w:cs="Times New Roman"/>
                <w:i/>
                <w:noProof/>
                <w:sz w:val="18"/>
                <w:szCs w:val="24"/>
              </w:rPr>
              <w:t>Source: World Bank’s FinStat database 2009 (Bankscope).</w:t>
            </w:r>
          </w:p>
        </w:tc>
      </w:tr>
    </w:tbl>
    <w:p w:rsidR="00EF773C" w:rsidRDefault="00957A88"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composition of the system as well as common measures of competition point to an open financial system, in which market forces are generally at play</w:t>
      </w:r>
      <w:r w:rsidR="00CA07A0" w:rsidRPr="003571FD">
        <w:rPr>
          <w:rFonts w:ascii="Times New Roman" w:hAnsi="Times New Roman" w:cs="Times New Roman"/>
          <w:sz w:val="24"/>
          <w:szCs w:val="24"/>
        </w:rPr>
        <w:t>.</w:t>
      </w:r>
      <w:r w:rsidR="00CA07A0" w:rsidRPr="003571FD">
        <w:rPr>
          <w:rFonts w:ascii="Times New Roman" w:hAnsi="Times New Roman" w:cs="Times New Roman"/>
          <w:b/>
          <w:sz w:val="24"/>
          <w:szCs w:val="24"/>
        </w:rPr>
        <w:t xml:space="preserve"> </w:t>
      </w:r>
      <w:r w:rsidR="00CA07A0" w:rsidRPr="003571FD">
        <w:rPr>
          <w:rFonts w:ascii="Times New Roman" w:hAnsi="Times New Roman" w:cs="Times New Roman"/>
          <w:sz w:val="24"/>
          <w:szCs w:val="24"/>
        </w:rPr>
        <w:t xml:space="preserve">Several measures of concentration point to a moderately competitive banking system, with market pressures on the rise due to the strong growth of microfinance institutions. The Herfindahl index, which </w:t>
      </w:r>
      <w:r w:rsidR="004025A4">
        <w:rPr>
          <w:rFonts w:ascii="Times New Roman" w:hAnsi="Times New Roman" w:cs="Times New Roman"/>
          <w:sz w:val="24"/>
          <w:szCs w:val="24"/>
        </w:rPr>
        <w:t>is commonly</w:t>
      </w:r>
      <w:r w:rsidR="00447841">
        <w:rPr>
          <w:rFonts w:ascii="Times New Roman" w:hAnsi="Times New Roman" w:cs="Times New Roman"/>
          <w:sz w:val="24"/>
          <w:szCs w:val="24"/>
        </w:rPr>
        <w:t xml:space="preserve"> used to </w:t>
      </w:r>
      <w:r w:rsidR="00CA07A0" w:rsidRPr="003571FD">
        <w:rPr>
          <w:rFonts w:ascii="Times New Roman" w:hAnsi="Times New Roman" w:cs="Times New Roman"/>
          <w:sz w:val="24"/>
          <w:szCs w:val="24"/>
        </w:rPr>
        <w:t xml:space="preserve">measure the </w:t>
      </w:r>
      <w:r w:rsidR="00447841">
        <w:rPr>
          <w:rFonts w:ascii="Times New Roman" w:hAnsi="Times New Roman" w:cs="Times New Roman"/>
          <w:sz w:val="24"/>
          <w:szCs w:val="24"/>
        </w:rPr>
        <w:t xml:space="preserve">level of </w:t>
      </w:r>
      <w:r w:rsidR="00CA07A0" w:rsidRPr="003571FD">
        <w:rPr>
          <w:rFonts w:ascii="Times New Roman" w:hAnsi="Times New Roman" w:cs="Times New Roman"/>
          <w:sz w:val="24"/>
          <w:szCs w:val="24"/>
        </w:rPr>
        <w:t xml:space="preserve">competition </w:t>
      </w:r>
      <w:r w:rsidR="004025A4">
        <w:rPr>
          <w:rFonts w:ascii="Times New Roman" w:hAnsi="Times New Roman" w:cs="Times New Roman"/>
          <w:sz w:val="24"/>
          <w:szCs w:val="24"/>
        </w:rPr>
        <w:t>between banks</w:t>
      </w:r>
      <w:r w:rsidR="00CA07A0" w:rsidRPr="003571FD">
        <w:rPr>
          <w:rFonts w:ascii="Times New Roman" w:hAnsi="Times New Roman" w:cs="Times New Roman"/>
          <w:sz w:val="24"/>
          <w:szCs w:val="24"/>
        </w:rPr>
        <w:t xml:space="preserve">, recently </w:t>
      </w:r>
      <w:r w:rsidR="004025A4">
        <w:rPr>
          <w:rFonts w:ascii="Times New Roman" w:hAnsi="Times New Roman" w:cs="Times New Roman"/>
          <w:sz w:val="24"/>
          <w:szCs w:val="24"/>
        </w:rPr>
        <w:t>improved</w:t>
      </w:r>
      <w:r w:rsidR="004025A4" w:rsidRPr="003571FD">
        <w:rPr>
          <w:rFonts w:ascii="Times New Roman" w:hAnsi="Times New Roman" w:cs="Times New Roman"/>
          <w:sz w:val="24"/>
          <w:szCs w:val="24"/>
        </w:rPr>
        <w:t xml:space="preserve"> </w:t>
      </w:r>
      <w:r w:rsidR="00CA07A0" w:rsidRPr="003571FD">
        <w:rPr>
          <w:rFonts w:ascii="Times New Roman" w:hAnsi="Times New Roman" w:cs="Times New Roman"/>
          <w:sz w:val="24"/>
          <w:szCs w:val="24"/>
        </w:rPr>
        <w:t>from close to 1,500 in 2008 to 1,250 in 2010</w:t>
      </w:r>
      <w:r w:rsidR="00447841">
        <w:rPr>
          <w:rStyle w:val="FootnoteReference"/>
          <w:rFonts w:ascii="Times New Roman" w:hAnsi="Times New Roman" w:cs="Times New Roman"/>
          <w:sz w:val="24"/>
          <w:szCs w:val="24"/>
        </w:rPr>
        <w:footnoteReference w:id="45"/>
      </w:r>
      <w:r w:rsidR="004025A4">
        <w:rPr>
          <w:rFonts w:ascii="Times New Roman" w:hAnsi="Times New Roman" w:cs="Times New Roman"/>
          <w:sz w:val="24"/>
          <w:szCs w:val="24"/>
        </w:rPr>
        <w:t>.</w:t>
      </w:r>
      <w:r w:rsidR="00CA07A0" w:rsidRPr="003571FD">
        <w:rPr>
          <w:rFonts w:ascii="Times New Roman" w:hAnsi="Times New Roman" w:cs="Times New Roman"/>
          <w:sz w:val="24"/>
          <w:szCs w:val="24"/>
        </w:rPr>
        <w:t>The market shares of the largest 3 and 5 banks also tended downwards over the last few years, and appear with currently 50</w:t>
      </w:r>
      <w:r w:rsidR="00CA07A0" w:rsidRPr="003571FD">
        <w:rPr>
          <w:rStyle w:val="FootnoteReference"/>
          <w:rFonts w:ascii="Times New Roman" w:hAnsi="Times New Roman" w:cs="Times New Roman"/>
          <w:sz w:val="24"/>
          <w:szCs w:val="24"/>
        </w:rPr>
        <w:footnoteReference w:id="46"/>
      </w:r>
      <w:r w:rsidR="00CA07A0" w:rsidRPr="003571FD">
        <w:rPr>
          <w:rFonts w:ascii="Times New Roman" w:hAnsi="Times New Roman" w:cs="Times New Roman"/>
          <w:sz w:val="24"/>
          <w:szCs w:val="24"/>
        </w:rPr>
        <w:t xml:space="preserve"> and 72 percent to be in the normal range for a country of this income level and size (see Chart 7)</w:t>
      </w:r>
      <w:r w:rsidR="00CA07A0" w:rsidRPr="003571FD">
        <w:rPr>
          <w:rStyle w:val="FootnoteReference"/>
          <w:rFonts w:ascii="Times New Roman" w:hAnsi="Times New Roman" w:cs="Times New Roman"/>
          <w:sz w:val="24"/>
          <w:szCs w:val="24"/>
        </w:rPr>
        <w:footnoteReference w:id="47"/>
      </w:r>
      <w:r w:rsidR="00CA07A0" w:rsidRPr="003571FD">
        <w:rPr>
          <w:rFonts w:ascii="Times New Roman" w:hAnsi="Times New Roman" w:cs="Times New Roman"/>
          <w:sz w:val="24"/>
          <w:szCs w:val="24"/>
        </w:rPr>
        <w:t xml:space="preserve">. This </w:t>
      </w:r>
      <w:r w:rsidR="004025A4">
        <w:rPr>
          <w:rFonts w:ascii="Times New Roman" w:hAnsi="Times New Roman" w:cs="Times New Roman"/>
          <w:sz w:val="24"/>
          <w:szCs w:val="24"/>
        </w:rPr>
        <w:t>increase in competition</w:t>
      </w:r>
      <w:r w:rsidR="00CA07A0" w:rsidRPr="003571FD">
        <w:rPr>
          <w:rFonts w:ascii="Times New Roman" w:hAnsi="Times New Roman" w:cs="Times New Roman"/>
          <w:sz w:val="24"/>
          <w:szCs w:val="24"/>
        </w:rPr>
        <w:t xml:space="preserve"> is mostly due to the strong push from microfinance institutions into becoming banks, and their rapid expansion over the last years.</w:t>
      </w:r>
    </w:p>
    <w:p w:rsidR="001B543D" w:rsidRDefault="001B543D">
      <w:pPr>
        <w:pStyle w:val="ListParagraph"/>
        <w:spacing w:after="240"/>
        <w:ind w:left="0"/>
        <w:jc w:val="both"/>
        <w:rPr>
          <w:rFonts w:ascii="Times New Roman" w:hAnsi="Times New Roman" w:cs="Times New Roman"/>
          <w:sz w:val="24"/>
          <w:szCs w:val="24"/>
        </w:rPr>
      </w:pPr>
    </w:p>
    <w:p w:rsidR="0068206F" w:rsidRPr="003571FD" w:rsidRDefault="00C54716"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There do not appear to be any market entry hurdles in place.</w:t>
      </w:r>
      <w:r w:rsidR="00147F9F" w:rsidRPr="003571FD">
        <w:rPr>
          <w:rFonts w:ascii="Times New Roman" w:hAnsi="Times New Roman" w:cs="Times New Roman"/>
          <w:b/>
          <w:sz w:val="24"/>
          <w:szCs w:val="24"/>
        </w:rPr>
        <w:t xml:space="preserve"> </w:t>
      </w:r>
      <w:r w:rsidR="00411760" w:rsidRPr="003571FD">
        <w:rPr>
          <w:rFonts w:ascii="Times New Roman" w:hAnsi="Times New Roman" w:cs="Times New Roman"/>
          <w:sz w:val="24"/>
          <w:szCs w:val="24"/>
        </w:rPr>
        <w:t>Banks are required to have a minimum capital of DEG 5.5 million (equivalent to USD 8.7 million)</w:t>
      </w:r>
      <w:r w:rsidR="00147F9F" w:rsidRPr="003571FD">
        <w:rPr>
          <w:rFonts w:ascii="Times New Roman" w:hAnsi="Times New Roman" w:cs="Times New Roman"/>
          <w:sz w:val="24"/>
          <w:szCs w:val="24"/>
        </w:rPr>
        <w:t>, which is for example below the around USD 10 million required in most of the Central American countries. Furthermore, financial entities can initially operate as finance company, which allows them to offer a significant range of products while only requiring a minimal capital of around USD 1 million. The latter seems to have been the most common approach in the last few years</w:t>
      </w:r>
      <w:r w:rsidR="00147F9F" w:rsidRPr="003571FD">
        <w:rPr>
          <w:rStyle w:val="FootnoteReference"/>
          <w:rFonts w:ascii="Times New Roman" w:hAnsi="Times New Roman" w:cs="Times New Roman"/>
          <w:sz w:val="24"/>
        </w:rPr>
        <w:footnoteReference w:id="48"/>
      </w:r>
      <w:r w:rsidR="00147F9F" w:rsidRPr="003571FD">
        <w:rPr>
          <w:rFonts w:ascii="Times New Roman" w:hAnsi="Times New Roman" w:cs="Times New Roman"/>
          <w:b/>
          <w:sz w:val="24"/>
          <w:szCs w:val="24"/>
        </w:rPr>
        <w:t xml:space="preserve">. </w:t>
      </w:r>
    </w:p>
    <w:p w:rsidR="0060526F" w:rsidRPr="003571FD" w:rsidRDefault="0060526F" w:rsidP="0060526F">
      <w:pPr>
        <w:pStyle w:val="ListParagraph"/>
        <w:spacing w:after="240"/>
        <w:ind w:left="0"/>
        <w:jc w:val="both"/>
        <w:rPr>
          <w:rFonts w:ascii="Times New Roman" w:hAnsi="Times New Roman" w:cs="Times New Roman"/>
          <w:sz w:val="24"/>
          <w:szCs w:val="24"/>
        </w:rPr>
      </w:pPr>
    </w:p>
    <w:p w:rsidR="00EF773C"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Market concentration rates for banks are higher in some of the smaller departments, but this is mitigated by the presence of non-bank financial institutions. </w:t>
      </w:r>
      <w:r w:rsidRPr="003571FD">
        <w:rPr>
          <w:rFonts w:ascii="Times New Roman" w:hAnsi="Times New Roman" w:cs="Times New Roman"/>
          <w:sz w:val="24"/>
          <w:szCs w:val="24"/>
        </w:rPr>
        <w:t>Some of the departments show a market</w:t>
      </w:r>
      <w:r w:rsidRPr="003571FD">
        <w:rPr>
          <w:rFonts w:ascii="Times New Roman" w:hAnsi="Times New Roman" w:cs="Times New Roman"/>
        </w:rPr>
        <w:t xml:space="preserve"> </w:t>
      </w:r>
      <w:r w:rsidRPr="003571FD">
        <w:rPr>
          <w:rFonts w:ascii="Times New Roman" w:hAnsi="Times New Roman" w:cs="Times New Roman"/>
          <w:sz w:val="24"/>
          <w:szCs w:val="24"/>
        </w:rPr>
        <w:t xml:space="preserve">share of the largest 3 banks of well above 70 percent for banking deposits, albeit with a downward trend over the last few years due to the emergence of microfinance banks and increases in the overall bank branch networks. Banks also compete with both formal and informal deposit taking financial institutions, as can for example be seen by the significant market share for credit of cooperatives and finance companies in </w:t>
      </w:r>
      <w:r w:rsidRPr="003571FD">
        <w:rPr>
          <w:rFonts w:ascii="Times New Roman" w:hAnsi="Times New Roman" w:cs="Times New Roman"/>
          <w:i/>
          <w:sz w:val="24"/>
          <w:szCs w:val="24"/>
        </w:rPr>
        <w:t>Potosi</w:t>
      </w:r>
      <w:r w:rsidRPr="003571FD">
        <w:rPr>
          <w:rFonts w:ascii="Times New Roman" w:hAnsi="Times New Roman" w:cs="Times New Roman"/>
          <w:sz w:val="24"/>
          <w:szCs w:val="24"/>
        </w:rPr>
        <w:t xml:space="preserve"> and </w:t>
      </w:r>
      <w:r w:rsidRPr="003571FD">
        <w:rPr>
          <w:rFonts w:ascii="Times New Roman" w:hAnsi="Times New Roman" w:cs="Times New Roman"/>
          <w:i/>
          <w:sz w:val="24"/>
          <w:szCs w:val="24"/>
        </w:rPr>
        <w:t>Tarija</w:t>
      </w:r>
      <w:r w:rsidRPr="003571FD">
        <w:rPr>
          <w:rFonts w:ascii="Times New Roman" w:hAnsi="Times New Roman" w:cs="Times New Roman"/>
          <w:sz w:val="24"/>
          <w:szCs w:val="24"/>
        </w:rPr>
        <w:t xml:space="preserve"> (see </w:t>
      </w:r>
      <w:r w:rsidR="009A3811" w:rsidRPr="003571FD">
        <w:rPr>
          <w:rFonts w:ascii="Times New Roman" w:hAnsi="Times New Roman" w:cs="Times New Roman"/>
          <w:sz w:val="24"/>
          <w:szCs w:val="24"/>
        </w:rPr>
        <w:t>T</w:t>
      </w:r>
      <w:r w:rsidRPr="003571FD">
        <w:rPr>
          <w:rFonts w:ascii="Times New Roman" w:hAnsi="Times New Roman" w:cs="Times New Roman"/>
          <w:sz w:val="24"/>
          <w:szCs w:val="24"/>
        </w:rPr>
        <w:t xml:space="preserve">able </w:t>
      </w:r>
      <w:r w:rsidR="009958C5" w:rsidRPr="003571FD">
        <w:rPr>
          <w:rFonts w:ascii="Times New Roman" w:hAnsi="Times New Roman" w:cs="Times New Roman"/>
          <w:sz w:val="24"/>
          <w:szCs w:val="24"/>
        </w:rPr>
        <w:t>5</w:t>
      </w:r>
      <w:r w:rsidRPr="003571FD">
        <w:rPr>
          <w:rFonts w:ascii="Times New Roman" w:hAnsi="Times New Roman" w:cs="Times New Roman"/>
          <w:sz w:val="24"/>
          <w:szCs w:val="24"/>
        </w:rPr>
        <w:t xml:space="preserve">). The competition between banks and more microfinance oriented financial entities is mostly for small and medium sized enterprises and formal employees, and in some sectors (i.e. forestry, construction, and commerce). </w:t>
      </w:r>
    </w:p>
    <w:p w:rsidR="009B1423" w:rsidRPr="003571FD" w:rsidRDefault="009B1423" w:rsidP="009B1423">
      <w:pPr>
        <w:pStyle w:val="Caption"/>
        <w:keepNext/>
        <w:spacing w:after="0"/>
        <w:rPr>
          <w:rFonts w:ascii="Times New Roman" w:hAnsi="Times New Roman" w:cs="Times New Roman"/>
          <w:color w:val="auto"/>
        </w:rPr>
      </w:pPr>
      <w:bookmarkStart w:id="33" w:name="_Toc312317352"/>
      <w:r w:rsidRPr="003571FD">
        <w:rPr>
          <w:rFonts w:ascii="Times New Roman" w:hAnsi="Times New Roman" w:cs="Times New Roman"/>
          <w:color w:val="auto"/>
        </w:rPr>
        <w:t xml:space="preserve">Table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5</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Market shares (for credit) of f</w:t>
      </w:r>
      <w:r w:rsidR="0030215C" w:rsidRPr="003571FD">
        <w:rPr>
          <w:rFonts w:ascii="Times New Roman" w:hAnsi="Times New Roman" w:cs="Times New Roman"/>
          <w:color w:val="auto"/>
        </w:rPr>
        <w:t>inancial entities by department</w:t>
      </w:r>
      <w:bookmarkEnd w:id="33"/>
    </w:p>
    <w:tbl>
      <w:tblPr>
        <w:tblW w:w="4944" w:type="pct"/>
        <w:tblInd w:w="108" w:type="dxa"/>
        <w:tblLook w:val="0000" w:firstRow="0" w:lastRow="0" w:firstColumn="0" w:lastColumn="0" w:noHBand="0" w:noVBand="0"/>
      </w:tblPr>
      <w:tblGrid>
        <w:gridCol w:w="1794"/>
        <w:gridCol w:w="1281"/>
        <w:gridCol w:w="1280"/>
        <w:gridCol w:w="1278"/>
        <w:gridCol w:w="1280"/>
        <w:gridCol w:w="1280"/>
        <w:gridCol w:w="1276"/>
      </w:tblGrid>
      <w:tr w:rsidR="00EF773C" w:rsidRPr="003571FD" w:rsidTr="00D41D1A">
        <w:trPr>
          <w:trHeight w:val="498"/>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b/>
                <w:sz w:val="20"/>
                <w:szCs w:val="20"/>
              </w:rPr>
            </w:pPr>
            <w:r w:rsidRPr="003571FD">
              <w:rPr>
                <w:rFonts w:ascii="Times New Roman" w:hAnsi="Times New Roman"/>
                <w:b/>
                <w:sz w:val="20"/>
                <w:szCs w:val="20"/>
              </w:rPr>
              <w:t>% </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EF773C" w:rsidRPr="003571FD" w:rsidRDefault="001C22BF" w:rsidP="009B1423">
            <w:pPr>
              <w:spacing w:before="2" w:after="2"/>
              <w:jc w:val="center"/>
              <w:rPr>
                <w:rFonts w:ascii="Times New Roman" w:hAnsi="Times New Roman"/>
                <w:b/>
                <w:bCs/>
                <w:sz w:val="20"/>
                <w:szCs w:val="20"/>
              </w:rPr>
            </w:pPr>
            <w:r w:rsidRPr="003571FD">
              <w:rPr>
                <w:rFonts w:ascii="Times New Roman" w:hAnsi="Times New Roman"/>
                <w:b/>
                <w:bCs/>
                <w:sz w:val="20"/>
                <w:szCs w:val="20"/>
              </w:rPr>
              <w:t>Banks</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EF773C" w:rsidRPr="003571FD" w:rsidRDefault="001A11A8" w:rsidP="009B1423">
            <w:pPr>
              <w:spacing w:before="2" w:after="2"/>
              <w:jc w:val="center"/>
              <w:rPr>
                <w:rFonts w:ascii="Times New Roman" w:hAnsi="Times New Roman"/>
                <w:b/>
                <w:bCs/>
                <w:sz w:val="20"/>
                <w:szCs w:val="20"/>
              </w:rPr>
            </w:pPr>
            <w:r w:rsidRPr="003571FD">
              <w:rPr>
                <w:rFonts w:ascii="Times New Roman" w:hAnsi="Times New Roman"/>
                <w:b/>
                <w:bCs/>
                <w:sz w:val="18"/>
                <w:szCs w:val="20"/>
              </w:rPr>
              <w:t xml:space="preserve">Open </w:t>
            </w:r>
            <w:r w:rsidR="0099118D" w:rsidRPr="003571FD">
              <w:rPr>
                <w:rFonts w:ascii="Times New Roman" w:hAnsi="Times New Roman"/>
                <w:b/>
                <w:bCs/>
                <w:sz w:val="18"/>
                <w:szCs w:val="20"/>
              </w:rPr>
              <w:t>Coopera</w:t>
            </w:r>
            <w:r w:rsidR="001C22BF" w:rsidRPr="003571FD">
              <w:rPr>
                <w:rFonts w:ascii="Times New Roman" w:hAnsi="Times New Roman"/>
                <w:b/>
                <w:bCs/>
                <w:sz w:val="18"/>
                <w:szCs w:val="20"/>
              </w:rPr>
              <w:t>tives</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EF773C" w:rsidRPr="003571FD" w:rsidRDefault="001C22BF" w:rsidP="009B1423">
            <w:pPr>
              <w:spacing w:before="2" w:after="2"/>
              <w:jc w:val="center"/>
              <w:rPr>
                <w:rFonts w:ascii="Times New Roman" w:hAnsi="Times New Roman"/>
                <w:b/>
                <w:bCs/>
                <w:sz w:val="20"/>
                <w:szCs w:val="20"/>
              </w:rPr>
            </w:pPr>
            <w:r w:rsidRPr="003571FD">
              <w:rPr>
                <w:rFonts w:ascii="Times New Roman" w:hAnsi="Times New Roman"/>
                <w:b/>
                <w:bCs/>
                <w:sz w:val="20"/>
                <w:szCs w:val="20"/>
              </w:rPr>
              <w:t>Finance Companies</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EF773C" w:rsidRPr="003571FD" w:rsidRDefault="001C22BF" w:rsidP="009B1423">
            <w:pPr>
              <w:spacing w:before="2" w:after="2"/>
              <w:jc w:val="center"/>
              <w:rPr>
                <w:rFonts w:ascii="Times New Roman" w:hAnsi="Times New Roman"/>
                <w:b/>
                <w:bCs/>
                <w:sz w:val="20"/>
                <w:szCs w:val="20"/>
              </w:rPr>
            </w:pPr>
            <w:r w:rsidRPr="003571FD">
              <w:rPr>
                <w:rFonts w:ascii="Times New Roman" w:hAnsi="Times New Roman"/>
                <w:b/>
                <w:bCs/>
                <w:sz w:val="20"/>
                <w:szCs w:val="20"/>
              </w:rPr>
              <w:t>SLAs</w:t>
            </w:r>
          </w:p>
        </w:tc>
        <w:tc>
          <w:tcPr>
            <w:tcW w:w="676" w:type="pct"/>
            <w:tcBorders>
              <w:top w:val="single" w:sz="4" w:space="0" w:color="auto"/>
              <w:left w:val="single" w:sz="4" w:space="0" w:color="auto"/>
              <w:bottom w:val="single" w:sz="4" w:space="0" w:color="auto"/>
              <w:right w:val="single" w:sz="4" w:space="0" w:color="auto"/>
            </w:tcBorders>
            <w:vAlign w:val="center"/>
          </w:tcPr>
          <w:p w:rsidR="00EF773C" w:rsidRPr="003571FD" w:rsidRDefault="00BB44AA" w:rsidP="009B1423">
            <w:pPr>
              <w:spacing w:before="2" w:after="2"/>
              <w:jc w:val="center"/>
              <w:rPr>
                <w:rFonts w:ascii="Times New Roman" w:hAnsi="Times New Roman"/>
                <w:b/>
                <w:bCs/>
                <w:sz w:val="20"/>
                <w:szCs w:val="20"/>
              </w:rPr>
            </w:pPr>
            <w:r w:rsidRPr="003571FD">
              <w:rPr>
                <w:rFonts w:ascii="Times New Roman" w:hAnsi="Times New Roman"/>
                <w:b/>
                <w:bCs/>
                <w:sz w:val="20"/>
                <w:szCs w:val="20"/>
              </w:rPr>
              <w:t>IFD</w:t>
            </w:r>
            <w:r w:rsidR="00FE409B" w:rsidRPr="003571FD">
              <w:rPr>
                <w:rFonts w:ascii="Times New Roman" w:hAnsi="Times New Roman"/>
                <w:b/>
                <w:bCs/>
                <w:sz w:val="20"/>
                <w:szCs w:val="20"/>
              </w:rPr>
              <w:t>s</w:t>
            </w:r>
          </w:p>
        </w:tc>
        <w:tc>
          <w:tcPr>
            <w:tcW w:w="675" w:type="pct"/>
            <w:tcBorders>
              <w:top w:val="single" w:sz="4" w:space="0" w:color="auto"/>
              <w:left w:val="single" w:sz="4" w:space="0" w:color="auto"/>
              <w:bottom w:val="single" w:sz="4" w:space="0" w:color="auto"/>
              <w:right w:val="single" w:sz="4" w:space="0" w:color="auto"/>
            </w:tcBorders>
            <w:vAlign w:val="center"/>
          </w:tcPr>
          <w:p w:rsidR="00EF773C" w:rsidRPr="003571FD" w:rsidRDefault="001C22BF" w:rsidP="009B1423">
            <w:pPr>
              <w:spacing w:before="2" w:after="2"/>
              <w:jc w:val="center"/>
              <w:rPr>
                <w:rFonts w:ascii="Times New Roman" w:hAnsi="Times New Roman"/>
                <w:b/>
                <w:bCs/>
                <w:sz w:val="20"/>
                <w:szCs w:val="20"/>
              </w:rPr>
            </w:pPr>
            <w:r w:rsidRPr="003571FD">
              <w:rPr>
                <w:rFonts w:ascii="Times New Roman" w:hAnsi="Times New Roman"/>
                <w:b/>
                <w:bCs/>
                <w:sz w:val="20"/>
                <w:szCs w:val="20"/>
              </w:rPr>
              <w:t>Total</w:t>
            </w:r>
          </w:p>
        </w:tc>
      </w:tr>
      <w:tr w:rsidR="00EF773C" w:rsidRPr="003571FD" w:rsidTr="00D41D1A">
        <w:trPr>
          <w:trHeight w:val="27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ind w:firstLine="81"/>
              <w:rPr>
                <w:rFonts w:ascii="Times New Roman" w:hAnsi="Times New Roman"/>
                <w:color w:val="000000"/>
                <w:sz w:val="20"/>
                <w:szCs w:val="20"/>
              </w:rPr>
            </w:pPr>
            <w:r w:rsidRPr="003571FD">
              <w:rPr>
                <w:rFonts w:ascii="Times New Roman" w:hAnsi="Times New Roman"/>
                <w:color w:val="000000"/>
                <w:sz w:val="20"/>
                <w:szCs w:val="20"/>
              </w:rPr>
              <w:t>La Paz</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77</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0</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8</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11</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4</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EF773C" w:rsidRPr="003571FD" w:rsidTr="00D41D1A">
        <w:trPr>
          <w:trHeight w:val="27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ind w:firstLine="81"/>
              <w:rPr>
                <w:rFonts w:ascii="Times New Roman" w:hAnsi="Times New Roman"/>
                <w:color w:val="000000"/>
                <w:sz w:val="20"/>
                <w:szCs w:val="20"/>
              </w:rPr>
            </w:pPr>
            <w:r w:rsidRPr="003571FD">
              <w:rPr>
                <w:rFonts w:ascii="Times New Roman" w:hAnsi="Times New Roman"/>
                <w:color w:val="000000"/>
                <w:sz w:val="20"/>
                <w:szCs w:val="20"/>
              </w:rPr>
              <w:t>Santa Cruz</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84</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7</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7</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0</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2</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EF773C" w:rsidRPr="003571FD" w:rsidTr="00D41D1A">
        <w:trPr>
          <w:trHeight w:val="25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ind w:firstLine="81"/>
              <w:rPr>
                <w:rFonts w:ascii="Times New Roman" w:hAnsi="Times New Roman"/>
                <w:color w:val="000000"/>
                <w:sz w:val="20"/>
                <w:szCs w:val="20"/>
              </w:rPr>
            </w:pPr>
            <w:r w:rsidRPr="003571FD">
              <w:rPr>
                <w:rFonts w:ascii="Times New Roman" w:hAnsi="Times New Roman"/>
                <w:color w:val="000000"/>
                <w:sz w:val="20"/>
                <w:szCs w:val="20"/>
              </w:rPr>
              <w:t>Cochabamba</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71</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8</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14</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4</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3</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EF773C" w:rsidRPr="003571FD" w:rsidTr="00D41D1A">
        <w:trPr>
          <w:trHeight w:val="25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ind w:firstLine="81"/>
              <w:rPr>
                <w:rFonts w:ascii="Times New Roman" w:hAnsi="Times New Roman"/>
                <w:color w:val="000000"/>
                <w:sz w:val="20"/>
                <w:szCs w:val="20"/>
              </w:rPr>
            </w:pPr>
            <w:r w:rsidRPr="003571FD">
              <w:rPr>
                <w:rFonts w:ascii="Times New Roman" w:hAnsi="Times New Roman"/>
                <w:color w:val="000000"/>
                <w:sz w:val="20"/>
                <w:szCs w:val="20"/>
              </w:rPr>
              <w:t>Oruro</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66</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13</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EF773C" w:rsidRPr="003571FD" w:rsidTr="00D41D1A">
        <w:trPr>
          <w:trHeight w:val="25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ind w:firstLine="81"/>
              <w:rPr>
                <w:rFonts w:ascii="Times New Roman" w:hAnsi="Times New Roman"/>
                <w:color w:val="000000"/>
                <w:sz w:val="20"/>
                <w:szCs w:val="20"/>
              </w:rPr>
            </w:pPr>
            <w:r w:rsidRPr="003571FD">
              <w:rPr>
                <w:rFonts w:ascii="Times New Roman" w:hAnsi="Times New Roman"/>
                <w:color w:val="000000"/>
                <w:sz w:val="20"/>
                <w:szCs w:val="20"/>
              </w:rPr>
              <w:t>Potosi</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50</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26</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15</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4</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5</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EF773C" w:rsidRPr="003571FD" w:rsidTr="00D41D1A">
        <w:trPr>
          <w:trHeight w:val="25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ind w:firstLine="81"/>
              <w:rPr>
                <w:rFonts w:ascii="Times New Roman" w:hAnsi="Times New Roman"/>
                <w:color w:val="000000"/>
                <w:sz w:val="20"/>
                <w:szCs w:val="20"/>
              </w:rPr>
            </w:pPr>
            <w:r w:rsidRPr="003571FD">
              <w:rPr>
                <w:rFonts w:ascii="Times New Roman" w:hAnsi="Times New Roman"/>
                <w:color w:val="000000"/>
                <w:sz w:val="20"/>
                <w:szCs w:val="20"/>
              </w:rPr>
              <w:t>Tarija</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65</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17</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12</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0</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6</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EF773C" w:rsidRPr="003571FD" w:rsidTr="00D41D1A">
        <w:trPr>
          <w:trHeight w:val="25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B07DFB" w:rsidP="009B1423">
            <w:pPr>
              <w:spacing w:before="2" w:after="2"/>
              <w:rPr>
                <w:rFonts w:ascii="Times New Roman" w:hAnsi="Times New Roman"/>
                <w:color w:val="000000"/>
                <w:sz w:val="20"/>
                <w:szCs w:val="20"/>
              </w:rPr>
            </w:pPr>
            <w:r w:rsidRPr="003571FD">
              <w:rPr>
                <w:rFonts w:ascii="Times New Roman" w:hAnsi="Times New Roman"/>
                <w:color w:val="000000"/>
                <w:sz w:val="20"/>
                <w:szCs w:val="20"/>
              </w:rPr>
              <w:t xml:space="preserve"> </w:t>
            </w:r>
            <w:r w:rsidR="001C22BF" w:rsidRPr="003571FD">
              <w:rPr>
                <w:rFonts w:ascii="Times New Roman" w:hAnsi="Times New Roman"/>
                <w:color w:val="000000"/>
                <w:sz w:val="20"/>
                <w:szCs w:val="20"/>
              </w:rPr>
              <w:t>Chuquisaca</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72</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4</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11</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8</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5</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EF773C" w:rsidRPr="003571FD" w:rsidTr="00D41D1A">
        <w:trPr>
          <w:trHeight w:val="25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B07DFB" w:rsidP="009B1423">
            <w:pPr>
              <w:spacing w:before="2" w:after="2"/>
              <w:rPr>
                <w:rFonts w:ascii="Times New Roman" w:hAnsi="Times New Roman"/>
                <w:color w:val="000000"/>
                <w:sz w:val="20"/>
                <w:szCs w:val="20"/>
              </w:rPr>
            </w:pPr>
            <w:r w:rsidRPr="003571FD">
              <w:rPr>
                <w:rFonts w:ascii="Times New Roman" w:hAnsi="Times New Roman"/>
                <w:color w:val="000000"/>
                <w:sz w:val="20"/>
                <w:szCs w:val="20"/>
              </w:rPr>
              <w:t xml:space="preserve"> </w:t>
            </w:r>
            <w:r w:rsidR="001C22BF" w:rsidRPr="003571FD">
              <w:rPr>
                <w:rFonts w:ascii="Times New Roman" w:hAnsi="Times New Roman"/>
                <w:color w:val="000000"/>
                <w:sz w:val="20"/>
                <w:szCs w:val="20"/>
              </w:rPr>
              <w:t>Beni</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57</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9</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22</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4</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9</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EF773C" w:rsidRPr="003571FD" w:rsidTr="00D41D1A">
        <w:trPr>
          <w:trHeight w:val="259"/>
        </w:trPr>
        <w:tc>
          <w:tcPr>
            <w:tcW w:w="94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B07DFB" w:rsidP="009B1423">
            <w:pPr>
              <w:spacing w:before="2" w:after="2"/>
              <w:rPr>
                <w:rFonts w:ascii="Times New Roman" w:hAnsi="Times New Roman"/>
                <w:color w:val="000000"/>
                <w:sz w:val="20"/>
                <w:szCs w:val="20"/>
              </w:rPr>
            </w:pPr>
            <w:r w:rsidRPr="003571FD">
              <w:rPr>
                <w:rFonts w:ascii="Times New Roman" w:hAnsi="Times New Roman"/>
                <w:color w:val="000000"/>
                <w:sz w:val="20"/>
                <w:szCs w:val="20"/>
              </w:rPr>
              <w:t xml:space="preserve"> </w:t>
            </w:r>
            <w:r w:rsidR="001C22BF" w:rsidRPr="003571FD">
              <w:rPr>
                <w:rFonts w:ascii="Times New Roman" w:hAnsi="Times New Roman"/>
                <w:color w:val="000000"/>
                <w:sz w:val="20"/>
                <w:szCs w:val="20"/>
              </w:rPr>
              <w:t>Pando</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49</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12</w:t>
            </w:r>
          </w:p>
        </w:tc>
        <w:tc>
          <w:tcPr>
            <w:tcW w:w="6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16</w:t>
            </w:r>
          </w:p>
        </w:tc>
        <w:tc>
          <w:tcPr>
            <w:tcW w:w="6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13</w:t>
            </w:r>
          </w:p>
        </w:tc>
        <w:tc>
          <w:tcPr>
            <w:tcW w:w="676"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w:t>
            </w:r>
          </w:p>
        </w:tc>
        <w:tc>
          <w:tcPr>
            <w:tcW w:w="675" w:type="pct"/>
            <w:tcBorders>
              <w:top w:val="single" w:sz="4" w:space="0" w:color="auto"/>
              <w:left w:val="single" w:sz="4" w:space="0" w:color="auto"/>
              <w:bottom w:val="single" w:sz="4" w:space="0" w:color="auto"/>
              <w:right w:val="single" w:sz="4" w:space="0" w:color="auto"/>
            </w:tcBorders>
          </w:tcPr>
          <w:p w:rsidR="00EF773C" w:rsidRPr="003571FD" w:rsidRDefault="001C22BF" w:rsidP="009B1423">
            <w:pPr>
              <w:spacing w:before="2" w:after="2"/>
              <w:jc w:val="center"/>
              <w:rPr>
                <w:rFonts w:ascii="Times New Roman" w:hAnsi="Times New Roman"/>
                <w:sz w:val="20"/>
                <w:szCs w:val="20"/>
              </w:rPr>
            </w:pPr>
            <w:r w:rsidRPr="003571FD">
              <w:rPr>
                <w:rFonts w:ascii="Times New Roman" w:hAnsi="Times New Roman"/>
                <w:sz w:val="20"/>
                <w:szCs w:val="20"/>
              </w:rPr>
              <w:t>100</w:t>
            </w:r>
          </w:p>
        </w:tc>
      </w:tr>
      <w:tr w:rsidR="000639A5" w:rsidRPr="003571FD" w:rsidTr="000639A5">
        <w:trPr>
          <w:trHeight w:val="259"/>
        </w:trPr>
        <w:tc>
          <w:tcPr>
            <w:tcW w:w="5000" w:type="pct"/>
            <w:gridSpan w:val="7"/>
            <w:tcBorders>
              <w:top w:val="single" w:sz="4" w:space="0" w:color="auto"/>
            </w:tcBorders>
            <w:shd w:val="clear" w:color="auto" w:fill="auto"/>
            <w:noWrap/>
            <w:vAlign w:val="bottom"/>
          </w:tcPr>
          <w:p w:rsidR="000639A5" w:rsidRPr="003571FD" w:rsidRDefault="000639A5" w:rsidP="000639A5">
            <w:pPr>
              <w:spacing w:before="2" w:after="2"/>
              <w:rPr>
                <w:rFonts w:ascii="Times New Roman" w:hAnsi="Times New Roman"/>
                <w:i/>
                <w:sz w:val="20"/>
                <w:szCs w:val="20"/>
              </w:rPr>
            </w:pPr>
            <w:r w:rsidRPr="003571FD">
              <w:rPr>
                <w:rFonts w:ascii="Times New Roman" w:hAnsi="Times New Roman"/>
                <w:i/>
                <w:sz w:val="18"/>
                <w:szCs w:val="20"/>
              </w:rPr>
              <w:t>Source: ASFI and FINRURAL.</w:t>
            </w:r>
          </w:p>
        </w:tc>
      </w:tr>
      <w:tr w:rsidR="000639A5" w:rsidRPr="003571FD" w:rsidTr="000639A5">
        <w:trPr>
          <w:trHeight w:val="259"/>
        </w:trPr>
        <w:tc>
          <w:tcPr>
            <w:tcW w:w="5000" w:type="pct"/>
            <w:gridSpan w:val="7"/>
            <w:shd w:val="clear" w:color="auto" w:fill="auto"/>
            <w:noWrap/>
            <w:vAlign w:val="bottom"/>
          </w:tcPr>
          <w:p w:rsidR="000639A5" w:rsidRPr="003571FD" w:rsidRDefault="000639A5" w:rsidP="000639A5">
            <w:pPr>
              <w:spacing w:before="2" w:after="2"/>
              <w:rPr>
                <w:rFonts w:ascii="Times New Roman" w:hAnsi="Times New Roman"/>
                <w:i/>
                <w:sz w:val="18"/>
                <w:szCs w:val="20"/>
              </w:rPr>
            </w:pPr>
          </w:p>
        </w:tc>
      </w:tr>
    </w:tbl>
    <w:p w:rsidR="00D41D1A" w:rsidRDefault="00D41D1A" w:rsidP="00D41D1A">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While the various types of financial institutions continue to focus on different client segments, the lines are becoming more blurred in the last years. </w:t>
      </w:r>
      <w:r w:rsidRPr="003571FD">
        <w:rPr>
          <w:rFonts w:ascii="Times New Roman" w:hAnsi="Times New Roman" w:cs="Times New Roman"/>
          <w:sz w:val="24"/>
          <w:szCs w:val="24"/>
        </w:rPr>
        <w:t>As can be seen in Table 6</w:t>
      </w:r>
      <w:r>
        <w:rPr>
          <w:rFonts w:ascii="Times New Roman" w:hAnsi="Times New Roman" w:cs="Times New Roman"/>
          <w:sz w:val="24"/>
          <w:szCs w:val="24"/>
        </w:rPr>
        <w:t>,</w:t>
      </w:r>
      <w:r w:rsidRPr="003571FD">
        <w:rPr>
          <w:rFonts w:ascii="Times New Roman" w:hAnsi="Times New Roman" w:cs="Times New Roman"/>
          <w:sz w:val="24"/>
          <w:szCs w:val="24"/>
        </w:rPr>
        <w:t xml:space="preserve"> the foreign subsidiaries and commercial banks – here understood as private commercial banks that do not have a micro-finance focus – tend to generally attract richer clients and larger enterprises, while the microfinance banks, finance companies and cooperatives focus on clients with lower income levels and thus show smaller average deposit and credit sizes. However, the </w:t>
      </w:r>
    </w:p>
    <w:tbl>
      <w:tblPr>
        <w:tblpPr w:leftFromText="180" w:rightFromText="180" w:vertAnchor="text" w:horzAnchor="margin" w:tblpXSpec="right" w:tblpY="46"/>
        <w:tblOverlap w:val="never"/>
        <w:tblW w:w="5828" w:type="dxa"/>
        <w:tblLayout w:type="fixed"/>
        <w:tblLook w:val="04A0" w:firstRow="1" w:lastRow="0" w:firstColumn="1" w:lastColumn="0" w:noHBand="0" w:noVBand="1"/>
      </w:tblPr>
      <w:tblGrid>
        <w:gridCol w:w="2088"/>
        <w:gridCol w:w="990"/>
        <w:gridCol w:w="990"/>
        <w:gridCol w:w="990"/>
        <w:gridCol w:w="770"/>
      </w:tblGrid>
      <w:tr w:rsidR="00046BEF" w:rsidRPr="003571FD" w:rsidTr="00046BEF">
        <w:trPr>
          <w:trHeight w:val="272"/>
        </w:trPr>
        <w:tc>
          <w:tcPr>
            <w:tcW w:w="5828" w:type="dxa"/>
            <w:gridSpan w:val="5"/>
            <w:tcBorders>
              <w:bottom w:val="single" w:sz="8" w:space="0" w:color="000000"/>
            </w:tcBorders>
            <w:shd w:val="clear" w:color="auto" w:fill="auto"/>
            <w:noWrap/>
            <w:vAlign w:val="bottom"/>
          </w:tcPr>
          <w:p w:rsidR="00046BEF" w:rsidRPr="003571FD" w:rsidRDefault="00046BEF" w:rsidP="00046BEF">
            <w:pPr>
              <w:pStyle w:val="Caption"/>
              <w:keepNext/>
              <w:spacing w:after="0"/>
              <w:rPr>
                <w:rFonts w:ascii="Times New Roman" w:hAnsi="Times New Roman" w:cs="Times New Roman"/>
                <w:color w:val="auto"/>
              </w:rPr>
            </w:pPr>
            <w:bookmarkStart w:id="34" w:name="_Toc312317353"/>
            <w:r w:rsidRPr="003571FD">
              <w:rPr>
                <w:rFonts w:ascii="Times New Roman" w:hAnsi="Times New Roman" w:cs="Times New Roman"/>
                <w:color w:val="auto"/>
              </w:rPr>
              <w:lastRenderedPageBreak/>
              <w:t xml:space="preserve">Table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6</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Market segmentation</w:t>
            </w:r>
            <w:bookmarkEnd w:id="34"/>
          </w:p>
        </w:tc>
      </w:tr>
      <w:tr w:rsidR="00046BEF" w:rsidRPr="003571FD" w:rsidTr="00046BEF">
        <w:trPr>
          <w:trHeight w:val="272"/>
        </w:trPr>
        <w:tc>
          <w:tcPr>
            <w:tcW w:w="2088" w:type="dxa"/>
            <w:tcBorders>
              <w:top w:val="single" w:sz="8" w:space="0" w:color="000000"/>
              <w:left w:val="single" w:sz="8" w:space="0" w:color="auto"/>
              <w:bottom w:val="nil"/>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 In USD</w:t>
            </w:r>
          </w:p>
        </w:tc>
        <w:tc>
          <w:tcPr>
            <w:tcW w:w="1980" w:type="dxa"/>
            <w:gridSpan w:val="2"/>
            <w:tcBorders>
              <w:top w:val="single" w:sz="8" w:space="0" w:color="000000"/>
              <w:left w:val="single" w:sz="8" w:space="0" w:color="auto"/>
              <w:bottom w:val="single" w:sz="4" w:space="0" w:color="auto"/>
              <w:right w:val="single" w:sz="8" w:space="0" w:color="000000"/>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b/>
                <w:bCs/>
                <w:sz w:val="20"/>
                <w:szCs w:val="20"/>
              </w:rPr>
            </w:pPr>
            <w:r w:rsidRPr="003571FD">
              <w:rPr>
                <w:rFonts w:ascii="Times New Roman" w:eastAsia="Times New Roman" w:hAnsi="Times New Roman" w:cs="Times New Roman"/>
                <w:b/>
                <w:bCs/>
                <w:sz w:val="20"/>
                <w:szCs w:val="20"/>
              </w:rPr>
              <w:t>Average loan size per borrower</w:t>
            </w:r>
          </w:p>
        </w:tc>
        <w:tc>
          <w:tcPr>
            <w:tcW w:w="1760" w:type="dxa"/>
            <w:gridSpan w:val="2"/>
            <w:tcBorders>
              <w:top w:val="single" w:sz="8" w:space="0" w:color="000000"/>
              <w:left w:val="nil"/>
              <w:bottom w:val="single" w:sz="4" w:space="0" w:color="auto"/>
              <w:right w:val="single" w:sz="8" w:space="0" w:color="000000"/>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b/>
                <w:bCs/>
                <w:sz w:val="20"/>
                <w:szCs w:val="20"/>
              </w:rPr>
            </w:pPr>
            <w:r w:rsidRPr="003571FD">
              <w:rPr>
                <w:rFonts w:ascii="Times New Roman" w:eastAsia="Times New Roman" w:hAnsi="Times New Roman" w:cs="Times New Roman"/>
                <w:b/>
                <w:bCs/>
                <w:sz w:val="20"/>
                <w:szCs w:val="20"/>
              </w:rPr>
              <w:t>Average deposit size</w:t>
            </w:r>
          </w:p>
        </w:tc>
      </w:tr>
      <w:tr w:rsidR="00046BEF" w:rsidRPr="003571FD" w:rsidTr="00046BEF">
        <w:trPr>
          <w:trHeight w:val="272"/>
        </w:trPr>
        <w:tc>
          <w:tcPr>
            <w:tcW w:w="2088" w:type="dxa"/>
            <w:tcBorders>
              <w:top w:val="nil"/>
              <w:left w:val="single" w:sz="8" w:space="0" w:color="auto"/>
              <w:bottom w:val="single" w:sz="8" w:space="0" w:color="auto"/>
              <w:right w:val="single" w:sz="4" w:space="0" w:color="auto"/>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b/>
                <w:bCs/>
                <w:sz w:val="20"/>
                <w:szCs w:val="20"/>
              </w:rPr>
            </w:pPr>
            <w:r w:rsidRPr="003571FD">
              <w:rPr>
                <w:rFonts w:ascii="Times New Roman" w:eastAsia="Times New Roman" w:hAnsi="Times New Roman" w:cs="Times New Roman"/>
                <w:b/>
                <w:bCs/>
                <w:sz w:val="20"/>
                <w:szCs w:val="20"/>
              </w:rPr>
              <w:t>2008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b/>
                <w:bCs/>
                <w:sz w:val="20"/>
                <w:szCs w:val="20"/>
              </w:rPr>
            </w:pPr>
            <w:r w:rsidRPr="003571FD">
              <w:rPr>
                <w:rFonts w:ascii="Times New Roman" w:eastAsia="Times New Roman" w:hAnsi="Times New Roman" w:cs="Times New Roman"/>
                <w:b/>
                <w:bCs/>
                <w:sz w:val="20"/>
                <w:szCs w:val="20"/>
              </w:rPr>
              <w:t>2010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b/>
                <w:bCs/>
                <w:sz w:val="20"/>
                <w:szCs w:val="20"/>
              </w:rPr>
            </w:pPr>
            <w:r w:rsidRPr="003571FD">
              <w:rPr>
                <w:rFonts w:ascii="Times New Roman" w:eastAsia="Times New Roman" w:hAnsi="Times New Roman" w:cs="Times New Roman"/>
                <w:b/>
                <w:bCs/>
                <w:sz w:val="20"/>
                <w:szCs w:val="20"/>
              </w:rPr>
              <w:t>2008</w:t>
            </w:r>
          </w:p>
        </w:tc>
        <w:tc>
          <w:tcPr>
            <w:tcW w:w="7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b/>
                <w:bCs/>
                <w:sz w:val="20"/>
                <w:szCs w:val="20"/>
              </w:rPr>
            </w:pPr>
            <w:r w:rsidRPr="003571FD">
              <w:rPr>
                <w:rFonts w:ascii="Times New Roman" w:eastAsia="Times New Roman" w:hAnsi="Times New Roman" w:cs="Times New Roman"/>
                <w:b/>
                <w:bCs/>
                <w:sz w:val="20"/>
                <w:szCs w:val="20"/>
              </w:rPr>
              <w:t>2010</w:t>
            </w:r>
          </w:p>
        </w:tc>
      </w:tr>
      <w:tr w:rsidR="00046BEF" w:rsidRPr="003571FD" w:rsidTr="00046BEF">
        <w:trPr>
          <w:trHeight w:val="258"/>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Banks</w:t>
            </w:r>
          </w:p>
        </w:tc>
        <w:tc>
          <w:tcPr>
            <w:tcW w:w="99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9,411</w:t>
            </w:r>
          </w:p>
        </w:tc>
        <w:tc>
          <w:tcPr>
            <w:tcW w:w="990" w:type="dxa"/>
            <w:tcBorders>
              <w:top w:val="single" w:sz="4" w:space="0" w:color="auto"/>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11,346</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3,958</w:t>
            </w:r>
          </w:p>
        </w:tc>
        <w:tc>
          <w:tcPr>
            <w:tcW w:w="770" w:type="dxa"/>
            <w:tcBorders>
              <w:top w:val="single" w:sz="4" w:space="0" w:color="auto"/>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2,794</w:t>
            </w:r>
          </w:p>
        </w:tc>
      </w:tr>
      <w:tr w:rsidR="00046BEF" w:rsidRPr="003571FD" w:rsidTr="00046BEF">
        <w:trPr>
          <w:trHeight w:val="272"/>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 xml:space="preserve"> Foreign subsidiaries</w:t>
            </w:r>
          </w:p>
        </w:tc>
        <w:tc>
          <w:tcPr>
            <w:tcW w:w="990" w:type="dxa"/>
            <w:tcBorders>
              <w:top w:val="nil"/>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227,850</w:t>
            </w:r>
          </w:p>
        </w:tc>
        <w:tc>
          <w:tcPr>
            <w:tcW w:w="99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161,044</w:t>
            </w:r>
          </w:p>
        </w:tc>
        <w:tc>
          <w:tcPr>
            <w:tcW w:w="99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7,999</w:t>
            </w:r>
          </w:p>
        </w:tc>
        <w:tc>
          <w:tcPr>
            <w:tcW w:w="77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13,614</w:t>
            </w:r>
          </w:p>
        </w:tc>
      </w:tr>
      <w:tr w:rsidR="00046BEF" w:rsidRPr="003571FD" w:rsidTr="00046BEF">
        <w:trPr>
          <w:trHeight w:val="272"/>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 xml:space="preserve"> Commercial banks</w:t>
            </w:r>
          </w:p>
        </w:tc>
        <w:tc>
          <w:tcPr>
            <w:tcW w:w="990" w:type="dxa"/>
            <w:tcBorders>
              <w:top w:val="nil"/>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21,480</w:t>
            </w:r>
          </w:p>
        </w:tc>
        <w:tc>
          <w:tcPr>
            <w:tcW w:w="99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24,293</w:t>
            </w:r>
          </w:p>
        </w:tc>
        <w:tc>
          <w:tcPr>
            <w:tcW w:w="99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6,753</w:t>
            </w:r>
          </w:p>
        </w:tc>
        <w:tc>
          <w:tcPr>
            <w:tcW w:w="77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4,016</w:t>
            </w:r>
          </w:p>
        </w:tc>
      </w:tr>
      <w:tr w:rsidR="00046BEF" w:rsidRPr="003571FD" w:rsidTr="00046BEF">
        <w:trPr>
          <w:trHeight w:val="272"/>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 xml:space="preserve"> MFI banks</w:t>
            </w:r>
          </w:p>
        </w:tc>
        <w:tc>
          <w:tcPr>
            <w:tcW w:w="990" w:type="dxa"/>
            <w:tcBorders>
              <w:top w:val="nil"/>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2,624</w:t>
            </w:r>
          </w:p>
        </w:tc>
        <w:tc>
          <w:tcPr>
            <w:tcW w:w="99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3,447</w:t>
            </w:r>
          </w:p>
        </w:tc>
        <w:tc>
          <w:tcPr>
            <w:tcW w:w="99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956</w:t>
            </w:r>
          </w:p>
        </w:tc>
        <w:tc>
          <w:tcPr>
            <w:tcW w:w="77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931</w:t>
            </w:r>
          </w:p>
        </w:tc>
      </w:tr>
      <w:tr w:rsidR="00046BEF" w:rsidRPr="003571FD" w:rsidTr="00046BEF">
        <w:trPr>
          <w:trHeight w:val="272"/>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 xml:space="preserve"> Public bank</w:t>
            </w:r>
          </w:p>
        </w:tc>
        <w:tc>
          <w:tcPr>
            <w:tcW w:w="990" w:type="dxa"/>
            <w:tcBorders>
              <w:top w:val="nil"/>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43,911</w:t>
            </w:r>
          </w:p>
        </w:tc>
        <w:tc>
          <w:tcPr>
            <w:tcW w:w="99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50,767</w:t>
            </w:r>
          </w:p>
        </w:tc>
        <w:tc>
          <w:tcPr>
            <w:tcW w:w="99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2,768</w:t>
            </w:r>
          </w:p>
        </w:tc>
        <w:tc>
          <w:tcPr>
            <w:tcW w:w="77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2,533</w:t>
            </w:r>
          </w:p>
        </w:tc>
      </w:tr>
      <w:tr w:rsidR="00046BEF" w:rsidRPr="003571FD" w:rsidTr="00046BEF">
        <w:trPr>
          <w:trHeight w:val="272"/>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SLAs</w:t>
            </w:r>
          </w:p>
        </w:tc>
        <w:tc>
          <w:tcPr>
            <w:tcW w:w="990" w:type="dxa"/>
            <w:tcBorders>
              <w:top w:val="nil"/>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14,565</w:t>
            </w:r>
          </w:p>
        </w:tc>
        <w:tc>
          <w:tcPr>
            <w:tcW w:w="99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17,340</w:t>
            </w:r>
          </w:p>
        </w:tc>
        <w:tc>
          <w:tcPr>
            <w:tcW w:w="99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1,220</w:t>
            </w:r>
          </w:p>
        </w:tc>
        <w:tc>
          <w:tcPr>
            <w:tcW w:w="77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1,182</w:t>
            </w:r>
          </w:p>
        </w:tc>
      </w:tr>
      <w:tr w:rsidR="00046BEF" w:rsidRPr="003571FD" w:rsidTr="00046BEF">
        <w:trPr>
          <w:trHeight w:val="272"/>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Finance Companies</w:t>
            </w:r>
          </w:p>
        </w:tc>
        <w:tc>
          <w:tcPr>
            <w:tcW w:w="990" w:type="dxa"/>
            <w:tcBorders>
              <w:top w:val="nil"/>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2,616</w:t>
            </w:r>
          </w:p>
        </w:tc>
        <w:tc>
          <w:tcPr>
            <w:tcW w:w="99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4,024</w:t>
            </w:r>
          </w:p>
        </w:tc>
        <w:tc>
          <w:tcPr>
            <w:tcW w:w="99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671</w:t>
            </w:r>
          </w:p>
        </w:tc>
        <w:tc>
          <w:tcPr>
            <w:tcW w:w="77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805</w:t>
            </w:r>
          </w:p>
        </w:tc>
      </w:tr>
      <w:tr w:rsidR="00046BEF" w:rsidRPr="003571FD" w:rsidTr="00046BEF">
        <w:trPr>
          <w:trHeight w:val="272"/>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Open Cooperatives</w:t>
            </w:r>
          </w:p>
        </w:tc>
        <w:tc>
          <w:tcPr>
            <w:tcW w:w="990" w:type="dxa"/>
            <w:tcBorders>
              <w:top w:val="nil"/>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3,882</w:t>
            </w:r>
          </w:p>
        </w:tc>
        <w:tc>
          <w:tcPr>
            <w:tcW w:w="99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4,962</w:t>
            </w:r>
          </w:p>
        </w:tc>
        <w:tc>
          <w:tcPr>
            <w:tcW w:w="99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483</w:t>
            </w:r>
          </w:p>
        </w:tc>
        <w:tc>
          <w:tcPr>
            <w:tcW w:w="77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579</w:t>
            </w:r>
          </w:p>
        </w:tc>
      </w:tr>
      <w:tr w:rsidR="00046BEF" w:rsidRPr="003571FD" w:rsidTr="00046BEF">
        <w:trPr>
          <w:trHeight w:val="272"/>
        </w:trPr>
        <w:tc>
          <w:tcPr>
            <w:tcW w:w="2088" w:type="dxa"/>
            <w:tcBorders>
              <w:top w:val="nil"/>
              <w:left w:val="single" w:sz="8" w:space="0" w:color="auto"/>
              <w:bottom w:val="single" w:sz="4" w:space="0" w:color="auto"/>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 </w:t>
            </w:r>
          </w:p>
        </w:tc>
        <w:tc>
          <w:tcPr>
            <w:tcW w:w="990" w:type="dxa"/>
            <w:tcBorders>
              <w:top w:val="nil"/>
              <w:left w:val="single" w:sz="8" w:space="0" w:color="auto"/>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p>
        </w:tc>
        <w:tc>
          <w:tcPr>
            <w:tcW w:w="99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p>
        </w:tc>
        <w:tc>
          <w:tcPr>
            <w:tcW w:w="990" w:type="dxa"/>
            <w:tcBorders>
              <w:top w:val="nil"/>
              <w:left w:val="nil"/>
              <w:bottom w:val="single" w:sz="4" w:space="0" w:color="auto"/>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p>
        </w:tc>
        <w:tc>
          <w:tcPr>
            <w:tcW w:w="770" w:type="dxa"/>
            <w:tcBorders>
              <w:top w:val="nil"/>
              <w:left w:val="nil"/>
              <w:bottom w:val="single" w:sz="4" w:space="0" w:color="auto"/>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p>
        </w:tc>
      </w:tr>
      <w:tr w:rsidR="00046BEF" w:rsidRPr="003571FD" w:rsidTr="00046BEF">
        <w:trPr>
          <w:trHeight w:val="272"/>
        </w:trPr>
        <w:tc>
          <w:tcPr>
            <w:tcW w:w="2088" w:type="dxa"/>
            <w:tcBorders>
              <w:top w:val="nil"/>
              <w:left w:val="single" w:sz="8" w:space="0" w:color="auto"/>
              <w:bottom w:val="single" w:sz="4" w:space="0" w:color="000000"/>
              <w:right w:val="nil"/>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Closed Cooperatives</w:t>
            </w:r>
          </w:p>
        </w:tc>
        <w:tc>
          <w:tcPr>
            <w:tcW w:w="990" w:type="dxa"/>
            <w:tcBorders>
              <w:top w:val="nil"/>
              <w:left w:val="single" w:sz="8" w:space="0" w:color="auto"/>
              <w:bottom w:val="single" w:sz="4" w:space="0" w:color="000000"/>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proofErr w:type="spellStart"/>
            <w:r w:rsidRPr="003571FD">
              <w:rPr>
                <w:rFonts w:ascii="Times New Roman" w:eastAsia="Times New Roman" w:hAnsi="Times New Roman" w:cs="Times New Roman"/>
                <w:sz w:val="20"/>
                <w:szCs w:val="20"/>
              </w:rPr>
              <w:t>n.a</w:t>
            </w:r>
            <w:proofErr w:type="spellEnd"/>
            <w:r w:rsidRPr="003571FD">
              <w:rPr>
                <w:rFonts w:ascii="Times New Roman" w:eastAsia="Times New Roman" w:hAnsi="Times New Roman" w:cs="Times New Roman"/>
                <w:sz w:val="20"/>
                <w:szCs w:val="20"/>
              </w:rPr>
              <w:t>.</w:t>
            </w:r>
          </w:p>
        </w:tc>
        <w:tc>
          <w:tcPr>
            <w:tcW w:w="990" w:type="dxa"/>
            <w:tcBorders>
              <w:top w:val="nil"/>
              <w:left w:val="nil"/>
              <w:bottom w:val="single" w:sz="4" w:space="0" w:color="000000"/>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3,745</w:t>
            </w:r>
          </w:p>
        </w:tc>
        <w:tc>
          <w:tcPr>
            <w:tcW w:w="990" w:type="dxa"/>
            <w:tcBorders>
              <w:top w:val="nil"/>
              <w:left w:val="nil"/>
              <w:bottom w:val="single" w:sz="4" w:space="0" w:color="000000"/>
              <w:right w:val="single" w:sz="4"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proofErr w:type="spellStart"/>
            <w:r w:rsidRPr="003571FD">
              <w:rPr>
                <w:rFonts w:ascii="Times New Roman" w:eastAsia="Times New Roman" w:hAnsi="Times New Roman" w:cs="Times New Roman"/>
                <w:sz w:val="20"/>
                <w:szCs w:val="20"/>
              </w:rPr>
              <w:t>n.a</w:t>
            </w:r>
            <w:proofErr w:type="spellEnd"/>
            <w:r w:rsidRPr="003571FD">
              <w:rPr>
                <w:rFonts w:ascii="Times New Roman" w:eastAsia="Times New Roman" w:hAnsi="Times New Roman" w:cs="Times New Roman"/>
                <w:sz w:val="20"/>
                <w:szCs w:val="20"/>
              </w:rPr>
              <w:t>.</w:t>
            </w:r>
          </w:p>
        </w:tc>
        <w:tc>
          <w:tcPr>
            <w:tcW w:w="770" w:type="dxa"/>
            <w:tcBorders>
              <w:top w:val="nil"/>
              <w:left w:val="nil"/>
              <w:bottom w:val="single" w:sz="4" w:space="0" w:color="000000"/>
              <w:right w:val="single" w:sz="8" w:space="0" w:color="auto"/>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1,040</w:t>
            </w:r>
          </w:p>
        </w:tc>
      </w:tr>
      <w:tr w:rsidR="00046BEF" w:rsidRPr="003571FD" w:rsidTr="00046BEF">
        <w:trPr>
          <w:trHeight w:val="272"/>
        </w:trPr>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bCs/>
                <w:sz w:val="20"/>
                <w:szCs w:val="20"/>
              </w:rPr>
            </w:pPr>
            <w:r w:rsidRPr="003571FD">
              <w:rPr>
                <w:rFonts w:ascii="Times New Roman" w:eastAsia="Times New Roman" w:hAnsi="Times New Roman" w:cs="Times New Roman"/>
                <w:bCs/>
                <w:sz w:val="20"/>
                <w:szCs w:val="20"/>
              </w:rPr>
              <w:t>IFDs</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500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r w:rsidRPr="003571FD">
              <w:rPr>
                <w:rFonts w:ascii="Times New Roman" w:eastAsia="Times New Roman" w:hAnsi="Times New Roman" w:cs="Times New Roman"/>
                <w:sz w:val="20"/>
                <w:szCs w:val="20"/>
              </w:rPr>
              <w:t>636</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proofErr w:type="spellStart"/>
            <w:r w:rsidRPr="003571FD">
              <w:rPr>
                <w:rFonts w:ascii="Times New Roman" w:eastAsia="Times New Roman" w:hAnsi="Times New Roman" w:cs="Times New Roman"/>
                <w:sz w:val="20"/>
                <w:szCs w:val="20"/>
              </w:rPr>
              <w:t>n.a</w:t>
            </w:r>
            <w:proofErr w:type="spellEnd"/>
            <w:r w:rsidRPr="003571FD">
              <w:rPr>
                <w:rFonts w:ascii="Times New Roman" w:eastAsia="Times New Roman" w:hAnsi="Times New Roman" w:cs="Times New Roman"/>
                <w:sz w:val="20"/>
                <w:szCs w:val="20"/>
              </w:rPr>
              <w:t>.</w:t>
            </w:r>
          </w:p>
        </w:tc>
        <w:tc>
          <w:tcPr>
            <w:tcW w:w="77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046BEF" w:rsidRPr="003571FD" w:rsidRDefault="00046BEF" w:rsidP="00046BEF">
            <w:pPr>
              <w:spacing w:after="0" w:line="240" w:lineRule="auto"/>
              <w:jc w:val="center"/>
              <w:rPr>
                <w:rFonts w:ascii="Times New Roman" w:eastAsia="Times New Roman" w:hAnsi="Times New Roman" w:cs="Times New Roman"/>
                <w:sz w:val="20"/>
                <w:szCs w:val="20"/>
              </w:rPr>
            </w:pPr>
            <w:proofErr w:type="spellStart"/>
            <w:r w:rsidRPr="003571FD">
              <w:rPr>
                <w:rFonts w:ascii="Times New Roman" w:eastAsia="Times New Roman" w:hAnsi="Times New Roman" w:cs="Times New Roman"/>
                <w:sz w:val="20"/>
                <w:szCs w:val="20"/>
              </w:rPr>
              <w:t>n.a</w:t>
            </w:r>
            <w:proofErr w:type="spellEnd"/>
            <w:r w:rsidRPr="003571FD">
              <w:rPr>
                <w:rFonts w:ascii="Times New Roman" w:eastAsia="Times New Roman" w:hAnsi="Times New Roman" w:cs="Times New Roman"/>
                <w:sz w:val="20"/>
                <w:szCs w:val="20"/>
              </w:rPr>
              <w:t>.</w:t>
            </w:r>
          </w:p>
        </w:tc>
      </w:tr>
      <w:tr w:rsidR="00046BEF" w:rsidRPr="003571FD" w:rsidTr="00046BEF">
        <w:trPr>
          <w:trHeight w:val="272"/>
        </w:trPr>
        <w:tc>
          <w:tcPr>
            <w:tcW w:w="5828" w:type="dxa"/>
            <w:gridSpan w:val="5"/>
            <w:tcBorders>
              <w:top w:val="single" w:sz="4" w:space="0" w:color="000000"/>
            </w:tcBorders>
            <w:shd w:val="clear" w:color="auto" w:fill="auto"/>
            <w:noWrap/>
            <w:vAlign w:val="bottom"/>
          </w:tcPr>
          <w:p w:rsidR="00046BEF" w:rsidRPr="003571FD" w:rsidRDefault="00046BEF" w:rsidP="00046BEF">
            <w:pPr>
              <w:spacing w:after="0" w:line="240" w:lineRule="auto"/>
              <w:rPr>
                <w:rFonts w:ascii="Times New Roman" w:eastAsia="Times New Roman" w:hAnsi="Times New Roman" w:cs="Times New Roman"/>
                <w:i/>
                <w:sz w:val="18"/>
                <w:szCs w:val="18"/>
              </w:rPr>
            </w:pPr>
            <w:r w:rsidRPr="003571FD">
              <w:rPr>
                <w:rFonts w:ascii="Times New Roman" w:eastAsia="Times New Roman" w:hAnsi="Times New Roman" w:cs="Times New Roman"/>
                <w:i/>
                <w:sz w:val="18"/>
                <w:szCs w:val="18"/>
              </w:rPr>
              <w:t xml:space="preserve">Source: </w:t>
            </w:r>
            <w:r w:rsidRPr="003571FD">
              <w:rPr>
                <w:rFonts w:ascii="Times New Roman" w:hAnsi="Times New Roman" w:cs="Times New Roman"/>
                <w:i/>
                <w:sz w:val="18"/>
                <w:szCs w:val="18"/>
              </w:rPr>
              <w:t>ASFI, ASOFIN, FINRURAL and World Bank’s calculations.</w:t>
            </w:r>
          </w:p>
        </w:tc>
      </w:tr>
    </w:tbl>
    <w:p w:rsidR="00D41D1A" w:rsidRPr="00046BEF" w:rsidRDefault="00D41D1A" w:rsidP="000639A5">
      <w:pPr>
        <w:pStyle w:val="ListParagraph"/>
        <w:spacing w:after="240"/>
        <w:ind w:left="0"/>
        <w:jc w:val="both"/>
        <w:rPr>
          <w:rFonts w:ascii="Times New Roman" w:hAnsi="Times New Roman" w:cs="Times New Roman"/>
          <w:sz w:val="24"/>
          <w:szCs w:val="24"/>
        </w:rPr>
      </w:pPr>
      <w:r w:rsidRPr="003571FD">
        <w:rPr>
          <w:rFonts w:ascii="Times New Roman" w:hAnsi="Times New Roman" w:cs="Times New Roman"/>
          <w:sz w:val="24"/>
          <w:szCs w:val="24"/>
        </w:rPr>
        <w:t xml:space="preserve">existing market segmentation is starting to blur, as commercial banks increasingly also </w:t>
      </w:r>
      <w:r>
        <w:rPr>
          <w:rFonts w:ascii="Times New Roman" w:hAnsi="Times New Roman" w:cs="Times New Roman"/>
          <w:sz w:val="24"/>
          <w:szCs w:val="24"/>
        </w:rPr>
        <w:t>reach out</w:t>
      </w:r>
      <w:r w:rsidRPr="003571FD">
        <w:rPr>
          <w:rFonts w:ascii="Times New Roman" w:hAnsi="Times New Roman" w:cs="Times New Roman"/>
          <w:sz w:val="24"/>
          <w:szCs w:val="24"/>
        </w:rPr>
        <w:t xml:space="preserve"> to clients with deposits of less than USD 500</w:t>
      </w:r>
      <w:r>
        <w:rPr>
          <w:rFonts w:ascii="Times New Roman" w:hAnsi="Times New Roman" w:cs="Times New Roman"/>
          <w:sz w:val="24"/>
          <w:szCs w:val="24"/>
        </w:rPr>
        <w:t xml:space="preserve"> in order to diversify their funding sources</w:t>
      </w:r>
      <w:r w:rsidRPr="003571FD">
        <w:rPr>
          <w:rFonts w:ascii="Times New Roman" w:hAnsi="Times New Roman" w:cs="Times New Roman"/>
          <w:sz w:val="24"/>
          <w:szCs w:val="24"/>
        </w:rPr>
        <w:t>, while microfinance institutions have attract larger depositors</w:t>
      </w:r>
      <w:r>
        <w:rPr>
          <w:rFonts w:ascii="Times New Roman" w:hAnsi="Times New Roman" w:cs="Times New Roman"/>
          <w:sz w:val="24"/>
          <w:szCs w:val="24"/>
        </w:rPr>
        <w:t xml:space="preserve"> with their slightly higher interest rates</w:t>
      </w:r>
      <w:r w:rsidRPr="003571FD">
        <w:rPr>
          <w:rFonts w:ascii="Times New Roman" w:hAnsi="Times New Roman" w:cs="Times New Roman"/>
          <w:sz w:val="24"/>
          <w:szCs w:val="24"/>
        </w:rPr>
        <w:t>. This is reflected in the evolution of the average deposit sizes, which for commercial banks came down, but increased for micro-finance institutions. As will be discussed later, this stronger competition contributed to a decline in lending rates for all types of borrowers, and a narrowing of the spreads between lending and deposit rates for individual types of loans.</w:t>
      </w:r>
    </w:p>
    <w:p w:rsidR="00EF773C" w:rsidRDefault="001C22BF" w:rsidP="00046BEF">
      <w:pPr>
        <w:pStyle w:val="Heading2"/>
      </w:pPr>
      <w:bookmarkStart w:id="35" w:name="_Toc312319496"/>
      <w:r w:rsidRPr="003571FD">
        <w:t>Selected financial soundness indicators and potential vulnerabilities</w:t>
      </w:r>
      <w:bookmarkEnd w:id="35"/>
    </w:p>
    <w:p w:rsidR="00046BEF" w:rsidRPr="00046BEF" w:rsidRDefault="00046BEF" w:rsidP="00046BEF"/>
    <w:p w:rsidR="00EF773C" w:rsidRPr="003571FD" w:rsidRDefault="00D803D0"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sz w:val="24"/>
          <w:szCs w:val="24"/>
        </w:rPr>
        <w:t>The assessment of financial soundness indicators does not point to imminent vulnerabilities in the financial system. Over the last years much progress was made in reducing the share of foreign exchange denominated assets and liabilities, and in bringing the level of non-performing loans down. With solid levels of capital and profitability, and a high level of overall liquidity, stress tests recently carried out confirm that the system appears in general resilient to the most common systemic shocks</w:t>
      </w:r>
      <w:r w:rsidR="00816A16" w:rsidRPr="003571FD">
        <w:rPr>
          <w:rFonts w:ascii="Times New Roman" w:hAnsi="Times New Roman" w:cs="Times New Roman"/>
          <w:sz w:val="24"/>
          <w:szCs w:val="24"/>
        </w:rPr>
        <w:t xml:space="preserve">. </w:t>
      </w:r>
      <w:r w:rsidR="00166B91" w:rsidRPr="003571FD">
        <w:rPr>
          <w:rFonts w:ascii="Times New Roman" w:hAnsi="Times New Roman" w:cs="Times New Roman"/>
          <w:sz w:val="24"/>
        </w:rPr>
        <w:t>However, the government needs to strike a fine balance in its policy measures to foster outreach and credit to not unduly lower the profitability in the financial sector and jeopardize the quality of the loan portfolio on the medium term, and as a result introduce vulnerability in an otherwise sound system</w:t>
      </w:r>
      <w:r w:rsidR="004F57E9" w:rsidRPr="003571FD">
        <w:rPr>
          <w:rFonts w:ascii="Times New Roman" w:hAnsi="Times New Roman" w:cs="Times New Roman"/>
          <w:sz w:val="24"/>
          <w:szCs w:val="24"/>
        </w:rPr>
        <w:t>.</w:t>
      </w:r>
      <w:r w:rsidRPr="003571FD">
        <w:rPr>
          <w:rFonts w:ascii="Times New Roman" w:hAnsi="Times New Roman" w:cs="Times New Roman"/>
          <w:sz w:val="24"/>
          <w:szCs w:val="24"/>
        </w:rPr>
        <w:t xml:space="preserve"> </w:t>
      </w:r>
      <w:r w:rsidR="004F57E9" w:rsidRPr="003571FD">
        <w:rPr>
          <w:rFonts w:ascii="Times New Roman" w:hAnsi="Times New Roman" w:cs="Times New Roman"/>
          <w:sz w:val="24"/>
        </w:rPr>
        <w:t>In particular, the strong push towards financing of the productive sector at comparatively low interest rates can lead to over-</w:t>
      </w:r>
      <w:r w:rsidR="004F57E9" w:rsidRPr="00F4263B">
        <w:rPr>
          <w:rFonts w:ascii="Times New Roman" w:hAnsi="Times New Roman" w:cs="Times New Roman"/>
          <w:sz w:val="24"/>
        </w:rPr>
        <w:t xml:space="preserve">indebtedness </w:t>
      </w:r>
      <w:r w:rsidR="00781E2F" w:rsidRPr="00F4263B">
        <w:rPr>
          <w:rFonts w:ascii="Times New Roman" w:hAnsi="Times New Roman" w:cs="Times New Roman"/>
          <w:sz w:val="24"/>
        </w:rPr>
        <w:t>of the clients or a deterioration of the repayment culture, if lending institutions cannot expand</w:t>
      </w:r>
      <w:r w:rsidR="004F57E9" w:rsidRPr="003571FD">
        <w:rPr>
          <w:rFonts w:ascii="Times New Roman" w:hAnsi="Times New Roman" w:cs="Times New Roman"/>
          <w:sz w:val="24"/>
        </w:rPr>
        <w:t xml:space="preserve"> their loan portfolios </w:t>
      </w:r>
      <w:r w:rsidR="000A1309">
        <w:rPr>
          <w:rFonts w:ascii="Times New Roman" w:hAnsi="Times New Roman" w:cs="Times New Roman"/>
          <w:sz w:val="24"/>
        </w:rPr>
        <w:t>by</w:t>
      </w:r>
      <w:r w:rsidR="004F57E9" w:rsidRPr="003571FD">
        <w:rPr>
          <w:rFonts w:ascii="Times New Roman" w:hAnsi="Times New Roman" w:cs="Times New Roman"/>
          <w:sz w:val="24"/>
        </w:rPr>
        <w:t xml:space="preserve"> maintain</w:t>
      </w:r>
      <w:r w:rsidR="000A1309">
        <w:rPr>
          <w:rFonts w:ascii="Times New Roman" w:hAnsi="Times New Roman" w:cs="Times New Roman"/>
          <w:sz w:val="24"/>
        </w:rPr>
        <w:t>ing</w:t>
      </w:r>
      <w:r w:rsidR="004F57E9" w:rsidRPr="003571FD">
        <w:rPr>
          <w:rFonts w:ascii="Times New Roman" w:hAnsi="Times New Roman" w:cs="Times New Roman"/>
          <w:sz w:val="24"/>
        </w:rPr>
        <w:t xml:space="preserve"> (or introduce) prudent lending practices and the push towards lending is </w:t>
      </w:r>
      <w:r w:rsidR="00147F9F" w:rsidRPr="003571FD">
        <w:rPr>
          <w:rFonts w:ascii="Times New Roman" w:hAnsi="Times New Roman" w:cs="Times New Roman"/>
          <w:sz w:val="24"/>
        </w:rPr>
        <w:t>not</w:t>
      </w:r>
      <w:r w:rsidR="00614471" w:rsidRPr="003571FD">
        <w:rPr>
          <w:rFonts w:ascii="Times New Roman" w:hAnsi="Times New Roman" w:cs="Times New Roman"/>
          <w:sz w:val="24"/>
        </w:rPr>
        <w:t xml:space="preserve"> </w:t>
      </w:r>
      <w:r w:rsidR="004F57E9" w:rsidRPr="003571FD">
        <w:rPr>
          <w:rFonts w:ascii="Times New Roman" w:hAnsi="Times New Roman" w:cs="Times New Roman"/>
          <w:sz w:val="24"/>
        </w:rPr>
        <w:t xml:space="preserve">accompanied with reforms to address bottlenecks in the business environment. Both over-indebtedness and lower repayment culture would be detrimental to achieving the declared government objective of fostering access to funding on the longer term. </w:t>
      </w:r>
    </w:p>
    <w:p w:rsidR="00EF773C" w:rsidRPr="003571FD" w:rsidRDefault="001C22BF" w:rsidP="00EF773C">
      <w:pPr>
        <w:jc w:val="both"/>
        <w:rPr>
          <w:rFonts w:ascii="Times New Roman" w:hAnsi="Times New Roman" w:cs="Times New Roman"/>
          <w:i/>
          <w:sz w:val="24"/>
        </w:rPr>
      </w:pPr>
      <w:r w:rsidRPr="003571FD">
        <w:rPr>
          <w:rFonts w:ascii="Times New Roman" w:hAnsi="Times New Roman" w:cs="Times New Roman"/>
          <w:i/>
          <w:sz w:val="24"/>
        </w:rPr>
        <w:t>Capital adequacy ratios</w:t>
      </w:r>
    </w:p>
    <w:p w:rsidR="00EF773C" w:rsidRPr="003571FD" w:rsidRDefault="001C22BF"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Bolivia’s banks report sufficient levels of capital to weather </w:t>
      </w:r>
      <w:r w:rsidR="0093088C" w:rsidRPr="003571FD">
        <w:rPr>
          <w:rFonts w:ascii="Times New Roman" w:hAnsi="Times New Roman" w:cs="Times New Roman"/>
          <w:b/>
          <w:sz w:val="24"/>
        </w:rPr>
        <w:t>unforeseen shocks</w:t>
      </w:r>
      <w:r w:rsidRPr="003571FD">
        <w:rPr>
          <w:rFonts w:ascii="Times New Roman" w:hAnsi="Times New Roman" w:cs="Times New Roman"/>
          <w:b/>
          <w:sz w:val="24"/>
        </w:rPr>
        <w:t>.</w:t>
      </w:r>
      <w:r w:rsidRPr="003571FD">
        <w:rPr>
          <w:rFonts w:ascii="Times New Roman" w:hAnsi="Times New Roman" w:cs="Times New Roman"/>
          <w:sz w:val="24"/>
        </w:rPr>
        <w:t xml:space="preserve"> Contrary to the evolution in some neighboring countries, the capital adequacy ratios (CAR) showed a downward trend over the last years, but with around 12 percent remain overall solid </w:t>
      </w:r>
      <w:r w:rsidRPr="003571FD">
        <w:rPr>
          <w:rFonts w:ascii="Times New Roman" w:hAnsi="Times New Roman" w:cs="Times New Roman"/>
          <w:sz w:val="24"/>
        </w:rPr>
        <w:lastRenderedPageBreak/>
        <w:t xml:space="preserve">(see </w:t>
      </w:r>
      <w:r w:rsidR="009A3811" w:rsidRPr="003571FD">
        <w:rPr>
          <w:rFonts w:ascii="Times New Roman" w:hAnsi="Times New Roman" w:cs="Times New Roman"/>
          <w:sz w:val="24"/>
        </w:rPr>
        <w:t>C</w:t>
      </w:r>
      <w:r w:rsidRPr="003571FD">
        <w:rPr>
          <w:rFonts w:ascii="Times New Roman" w:hAnsi="Times New Roman" w:cs="Times New Roman"/>
          <w:sz w:val="24"/>
        </w:rPr>
        <w:t xml:space="preserve">hart </w:t>
      </w:r>
      <w:r w:rsidR="0030215C" w:rsidRPr="003571FD">
        <w:rPr>
          <w:rFonts w:ascii="Times New Roman" w:hAnsi="Times New Roman" w:cs="Times New Roman"/>
          <w:sz w:val="24"/>
        </w:rPr>
        <w:t>8</w:t>
      </w:r>
      <w:r w:rsidRPr="003571FD">
        <w:rPr>
          <w:rFonts w:ascii="Times New Roman" w:hAnsi="Times New Roman" w:cs="Times New Roman"/>
          <w:sz w:val="24"/>
        </w:rPr>
        <w:t>). The downward trend was mostly due to the strong deposit related growth of assets, which led to a stronger leverage of capital, and increasing levels of provisions, which lowered retained earnings. The current risk-weighted capital adequacy ratios are well above the</w:t>
      </w:r>
      <w:r w:rsidR="00B07DFB" w:rsidRPr="003571FD">
        <w:rPr>
          <w:rFonts w:ascii="Times New Roman" w:hAnsi="Times New Roman" w:cs="Times New Roman"/>
          <w:sz w:val="24"/>
        </w:rPr>
        <w:t xml:space="preserve"> </w:t>
      </w:r>
      <w:r w:rsidR="002D18C8" w:rsidRPr="003571FD">
        <w:rPr>
          <w:rFonts w:ascii="Times New Roman" w:hAnsi="Times New Roman" w:cs="Times New Roman"/>
          <w:sz w:val="24"/>
        </w:rPr>
        <w:t>10</w:t>
      </w:r>
      <w:r w:rsidR="0019428F" w:rsidRPr="003571FD">
        <w:rPr>
          <w:rFonts w:ascii="Times New Roman" w:hAnsi="Times New Roman" w:cs="Times New Roman"/>
          <w:sz w:val="24"/>
        </w:rPr>
        <w:t xml:space="preserve"> </w:t>
      </w:r>
      <w:r w:rsidRPr="003571FD">
        <w:rPr>
          <w:rFonts w:ascii="Times New Roman" w:hAnsi="Times New Roman" w:cs="Times New Roman"/>
          <w:sz w:val="24"/>
        </w:rPr>
        <w:t>percent mandated by the regulatory framework and in line with international suggested levels of capital. Stress tests conducted conclude that banks have sufficient levels of capital to weather larger credit, interest rate and foreign exchange related</w:t>
      </w:r>
      <w:r w:rsidR="0093088C" w:rsidRPr="003571FD">
        <w:rPr>
          <w:rFonts w:ascii="Times New Roman" w:hAnsi="Times New Roman" w:cs="Times New Roman"/>
          <w:sz w:val="24"/>
        </w:rPr>
        <w:t xml:space="preserve"> shocks</w:t>
      </w:r>
      <w:r w:rsidRPr="003571FD">
        <w:rPr>
          <w:rFonts w:ascii="Times New Roman" w:hAnsi="Times New Roman" w:cs="Times New Roman"/>
          <w:sz w:val="24"/>
        </w:rPr>
        <w:t xml:space="preserve">. The non-bank financial institutions also report solid levels of risk-weighted capital, with some of the </w:t>
      </w:r>
      <w:r w:rsidR="009958C5" w:rsidRPr="003571FD">
        <w:rPr>
          <w:rFonts w:ascii="Times New Roman" w:hAnsi="Times New Roman" w:cs="Times New Roman"/>
          <w:sz w:val="24"/>
        </w:rPr>
        <w:t>s</w:t>
      </w:r>
      <w:r w:rsidRPr="003571FD">
        <w:rPr>
          <w:rFonts w:ascii="Times New Roman" w:hAnsi="Times New Roman" w:cs="Times New Roman"/>
          <w:sz w:val="24"/>
        </w:rPr>
        <w:t xml:space="preserve">avings and </w:t>
      </w:r>
      <w:r w:rsidR="009958C5" w:rsidRPr="003571FD">
        <w:rPr>
          <w:rFonts w:ascii="Times New Roman" w:hAnsi="Times New Roman" w:cs="Times New Roman"/>
          <w:sz w:val="24"/>
        </w:rPr>
        <w:t>l</w:t>
      </w:r>
      <w:r w:rsidRPr="003571FD">
        <w:rPr>
          <w:rFonts w:ascii="Times New Roman" w:hAnsi="Times New Roman" w:cs="Times New Roman"/>
          <w:sz w:val="24"/>
        </w:rPr>
        <w:t xml:space="preserve">oan </w:t>
      </w:r>
      <w:r w:rsidR="009958C5" w:rsidRPr="003571FD">
        <w:rPr>
          <w:rFonts w:ascii="Times New Roman" w:hAnsi="Times New Roman" w:cs="Times New Roman"/>
          <w:sz w:val="24"/>
        </w:rPr>
        <w:t>a</w:t>
      </w:r>
      <w:r w:rsidRPr="003571FD">
        <w:rPr>
          <w:rFonts w:ascii="Times New Roman" w:hAnsi="Times New Roman" w:cs="Times New Roman"/>
          <w:sz w:val="24"/>
        </w:rPr>
        <w:t xml:space="preserve">ssociations showing CARs of over 40 percent.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8309E5" w:rsidRPr="003571FD">
        <w:tc>
          <w:tcPr>
            <w:tcW w:w="9576" w:type="dxa"/>
            <w:gridSpan w:val="2"/>
          </w:tcPr>
          <w:p w:rsidR="008309E5" w:rsidRPr="003571FD" w:rsidRDefault="008309E5" w:rsidP="00151277">
            <w:pPr>
              <w:pStyle w:val="Caption"/>
              <w:keepNext/>
              <w:rPr>
                <w:rFonts w:ascii="Times New Roman" w:hAnsi="Times New Roman" w:cs="Times New Roman"/>
                <w:sz w:val="24"/>
                <w:szCs w:val="24"/>
              </w:rPr>
            </w:pPr>
            <w:bookmarkStart w:id="36" w:name="_Toc312317274"/>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8</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Capital adequacy – an international comparison and evolution</w:t>
            </w:r>
            <w:r w:rsidR="00D80C62" w:rsidRPr="003571FD">
              <w:rPr>
                <w:rFonts w:ascii="Times New Roman" w:hAnsi="Times New Roman" w:cs="Times New Roman"/>
                <w:color w:val="auto"/>
              </w:rPr>
              <w:t xml:space="preserve"> </w:t>
            </w:r>
            <w:r w:rsidRPr="003571FD">
              <w:rPr>
                <w:rFonts w:ascii="Times New Roman" w:hAnsi="Times New Roman" w:cs="Times New Roman"/>
                <w:color w:val="auto"/>
              </w:rPr>
              <w:t>(2005-2010</w:t>
            </w:r>
            <w:r w:rsidR="00151277" w:rsidRPr="003571FD">
              <w:rPr>
                <w:rFonts w:ascii="Times New Roman" w:hAnsi="Times New Roman" w:cs="Times New Roman"/>
                <w:color w:val="auto"/>
              </w:rPr>
              <w:t>, banks only</w:t>
            </w:r>
            <w:r w:rsidRPr="003571FD">
              <w:rPr>
                <w:rFonts w:ascii="Times New Roman" w:hAnsi="Times New Roman" w:cs="Times New Roman"/>
                <w:color w:val="auto"/>
              </w:rPr>
              <w:t>)</w:t>
            </w:r>
            <w:bookmarkEnd w:id="36"/>
          </w:p>
        </w:tc>
      </w:tr>
      <w:tr w:rsidR="008309E5" w:rsidRPr="003571FD">
        <w:tc>
          <w:tcPr>
            <w:tcW w:w="4788" w:type="dxa"/>
          </w:tcPr>
          <w:p w:rsidR="008309E5" w:rsidRPr="003571FD" w:rsidRDefault="008309E5" w:rsidP="008309E5">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43075"/>
                  <wp:effectExtent l="19050" t="0" r="0" b="0"/>
                  <wp:docPr id="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c>
          <w:tcPr>
            <w:tcW w:w="4788" w:type="dxa"/>
          </w:tcPr>
          <w:p w:rsidR="008309E5" w:rsidRPr="003571FD" w:rsidRDefault="00EB1DF9" w:rsidP="008309E5">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43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r>
      <w:tr w:rsidR="008309E5" w:rsidRPr="003571FD">
        <w:tc>
          <w:tcPr>
            <w:tcW w:w="9576" w:type="dxa"/>
            <w:gridSpan w:val="2"/>
          </w:tcPr>
          <w:p w:rsidR="008309E5" w:rsidRPr="003571FD" w:rsidRDefault="008309E5" w:rsidP="00151277">
            <w:pPr>
              <w:rPr>
                <w:rFonts w:ascii="Times New Roman" w:hAnsi="Times New Roman" w:cs="Times New Roman"/>
                <w:i/>
                <w:noProof/>
                <w:sz w:val="24"/>
                <w:szCs w:val="24"/>
              </w:rPr>
            </w:pPr>
            <w:r w:rsidRPr="003571FD">
              <w:rPr>
                <w:rFonts w:ascii="Times New Roman" w:hAnsi="Times New Roman" w:cs="Times New Roman"/>
                <w:i/>
                <w:noProof/>
                <w:sz w:val="18"/>
                <w:szCs w:val="24"/>
              </w:rPr>
              <w:t>Source: IMF Global Financial Stability Report</w:t>
            </w:r>
            <w:r w:rsidR="00B07DFB" w:rsidRPr="003571FD">
              <w:rPr>
                <w:rFonts w:ascii="Times New Roman" w:hAnsi="Times New Roman" w:cs="Times New Roman"/>
                <w:i/>
                <w:noProof/>
                <w:sz w:val="18"/>
                <w:szCs w:val="24"/>
              </w:rPr>
              <w:t xml:space="preserve"> </w:t>
            </w:r>
            <w:r w:rsidRPr="003571FD">
              <w:rPr>
                <w:rFonts w:ascii="Times New Roman" w:hAnsi="Times New Roman" w:cs="Times New Roman"/>
                <w:i/>
                <w:noProof/>
                <w:sz w:val="18"/>
                <w:szCs w:val="24"/>
              </w:rPr>
              <w:t>and World Bank’s own calculation</w:t>
            </w:r>
            <w:r w:rsidR="00151277" w:rsidRPr="003571FD">
              <w:rPr>
                <w:rFonts w:ascii="Times New Roman" w:hAnsi="Times New Roman" w:cs="Times New Roman"/>
                <w:i/>
                <w:noProof/>
                <w:sz w:val="18"/>
                <w:szCs w:val="24"/>
              </w:rPr>
              <w:t>s.</w:t>
            </w:r>
          </w:p>
        </w:tc>
      </w:tr>
    </w:tbl>
    <w:p w:rsidR="00E2292F" w:rsidRPr="003571FD" w:rsidRDefault="00E2292F" w:rsidP="00EF773C">
      <w:pPr>
        <w:jc w:val="both"/>
        <w:rPr>
          <w:rFonts w:ascii="Times New Roman" w:hAnsi="Times New Roman" w:cs="Times New Roman"/>
          <w:i/>
          <w:sz w:val="24"/>
          <w:szCs w:val="24"/>
        </w:rPr>
      </w:pPr>
    </w:p>
    <w:tbl>
      <w:tblPr>
        <w:tblStyle w:val="TableGrid"/>
        <w:tblpPr w:leftFromText="180" w:rightFromText="180" w:vertAnchor="text" w:horzAnchor="margin" w:tblpXSpec="right" w:tblpY="-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tblGrid>
      <w:tr w:rsidR="000639A5" w:rsidRPr="003571FD" w:rsidTr="00046BEF">
        <w:trPr>
          <w:trHeight w:val="584"/>
        </w:trPr>
        <w:tc>
          <w:tcPr>
            <w:tcW w:w="5586" w:type="dxa"/>
          </w:tcPr>
          <w:p w:rsidR="00046BEF" w:rsidRDefault="00046BEF" w:rsidP="00151277">
            <w:pPr>
              <w:jc w:val="both"/>
              <w:rPr>
                <w:rFonts w:ascii="Times New Roman" w:hAnsi="Times New Roman" w:cs="Times New Roman"/>
                <w:b/>
                <w:sz w:val="18"/>
              </w:rPr>
            </w:pPr>
          </w:p>
          <w:p w:rsidR="00046BEF" w:rsidRDefault="00046BEF" w:rsidP="00151277">
            <w:pPr>
              <w:jc w:val="both"/>
              <w:rPr>
                <w:rFonts w:ascii="Times New Roman" w:hAnsi="Times New Roman" w:cs="Times New Roman"/>
                <w:b/>
                <w:sz w:val="18"/>
              </w:rPr>
            </w:pPr>
          </w:p>
          <w:p w:rsidR="00046BEF" w:rsidRDefault="00046BEF" w:rsidP="00151277">
            <w:pPr>
              <w:jc w:val="both"/>
              <w:rPr>
                <w:rFonts w:ascii="Times New Roman" w:hAnsi="Times New Roman" w:cs="Times New Roman"/>
                <w:b/>
                <w:sz w:val="18"/>
              </w:rPr>
            </w:pPr>
          </w:p>
          <w:p w:rsidR="000639A5" w:rsidRPr="008B67D0" w:rsidRDefault="000639A5" w:rsidP="00151277">
            <w:pPr>
              <w:jc w:val="both"/>
              <w:rPr>
                <w:rFonts w:ascii="Times New Roman" w:hAnsi="Times New Roman" w:cs="Times New Roman"/>
                <w:sz w:val="24"/>
                <w:szCs w:val="24"/>
              </w:rPr>
            </w:pPr>
            <w:bookmarkStart w:id="37" w:name="_Toc312317275"/>
            <w:r w:rsidRPr="008B67D0">
              <w:rPr>
                <w:rFonts w:ascii="Times New Roman" w:hAnsi="Times New Roman" w:cs="Times New Roman"/>
                <w:sz w:val="18"/>
              </w:rPr>
              <w:t xml:space="preserve">Chart </w:t>
            </w:r>
            <w:r w:rsidR="005744EE" w:rsidRPr="008B67D0">
              <w:rPr>
                <w:rFonts w:ascii="Times New Roman" w:hAnsi="Times New Roman" w:cs="Times New Roman"/>
                <w:sz w:val="18"/>
              </w:rPr>
              <w:fldChar w:fldCharType="begin"/>
            </w:r>
            <w:r w:rsidRPr="008B67D0">
              <w:rPr>
                <w:rFonts w:ascii="Times New Roman" w:hAnsi="Times New Roman" w:cs="Times New Roman"/>
                <w:sz w:val="18"/>
              </w:rPr>
              <w:instrText xml:space="preserve"> SEQ Chart \* ARABIC </w:instrText>
            </w:r>
            <w:r w:rsidR="005744EE" w:rsidRPr="008B67D0">
              <w:rPr>
                <w:rFonts w:ascii="Times New Roman" w:hAnsi="Times New Roman" w:cs="Times New Roman"/>
                <w:sz w:val="18"/>
              </w:rPr>
              <w:fldChar w:fldCharType="separate"/>
            </w:r>
            <w:r w:rsidR="00064A1B">
              <w:rPr>
                <w:rFonts w:ascii="Times New Roman" w:hAnsi="Times New Roman" w:cs="Times New Roman"/>
                <w:noProof/>
                <w:sz w:val="18"/>
              </w:rPr>
              <w:t>9</w:t>
            </w:r>
            <w:r w:rsidR="005744EE" w:rsidRPr="008B67D0">
              <w:rPr>
                <w:rFonts w:ascii="Times New Roman" w:hAnsi="Times New Roman" w:cs="Times New Roman"/>
                <w:sz w:val="18"/>
              </w:rPr>
              <w:fldChar w:fldCharType="end"/>
            </w:r>
            <w:r w:rsidRPr="008B67D0">
              <w:rPr>
                <w:rFonts w:ascii="Times New Roman" w:hAnsi="Times New Roman" w:cs="Times New Roman"/>
                <w:sz w:val="18"/>
              </w:rPr>
              <w:t>: Return on equity in 2010</w:t>
            </w:r>
            <w:bookmarkEnd w:id="37"/>
            <w:r w:rsidRPr="008B67D0">
              <w:rPr>
                <w:rFonts w:ascii="Times New Roman" w:hAnsi="Times New Roman" w:cs="Times New Roman"/>
                <w:sz w:val="18"/>
              </w:rPr>
              <w:t xml:space="preserve"> </w:t>
            </w:r>
          </w:p>
        </w:tc>
      </w:tr>
      <w:tr w:rsidR="000639A5" w:rsidRPr="003571FD" w:rsidTr="00046BEF">
        <w:trPr>
          <w:trHeight w:val="3384"/>
        </w:trPr>
        <w:tc>
          <w:tcPr>
            <w:tcW w:w="5586" w:type="dxa"/>
          </w:tcPr>
          <w:p w:rsidR="000639A5" w:rsidRPr="003571FD" w:rsidRDefault="000639A5" w:rsidP="000639A5">
            <w:pPr>
              <w:jc w:val="both"/>
              <w:rPr>
                <w:rFonts w:ascii="Times New Roman" w:hAnsi="Times New Roman" w:cs="Times New Roman"/>
                <w:b/>
                <w:sz w:val="24"/>
                <w:szCs w:val="24"/>
              </w:rPr>
            </w:pPr>
            <w:r w:rsidRPr="003571FD">
              <w:rPr>
                <w:rFonts w:ascii="Times New Roman" w:hAnsi="Times New Roman" w:cs="Times New Roman"/>
                <w:b/>
                <w:noProof/>
                <w:sz w:val="24"/>
                <w:szCs w:val="24"/>
              </w:rPr>
              <w:drawing>
                <wp:inline distT="0" distB="0" distL="0" distR="0">
                  <wp:extent cx="3333750" cy="2105025"/>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3333750" cy="2105025"/>
                          </a:xfrm>
                          <a:prstGeom prst="rect">
                            <a:avLst/>
                          </a:prstGeom>
                          <a:noFill/>
                          <a:ln w="9525">
                            <a:noFill/>
                            <a:miter lim="800000"/>
                            <a:headEnd/>
                            <a:tailEnd/>
                          </a:ln>
                        </pic:spPr>
                      </pic:pic>
                    </a:graphicData>
                  </a:graphic>
                </wp:inline>
              </w:drawing>
            </w:r>
          </w:p>
        </w:tc>
      </w:tr>
      <w:tr w:rsidR="000639A5" w:rsidRPr="003571FD" w:rsidTr="00046BEF">
        <w:trPr>
          <w:trHeight w:val="377"/>
        </w:trPr>
        <w:tc>
          <w:tcPr>
            <w:tcW w:w="5586" w:type="dxa"/>
          </w:tcPr>
          <w:p w:rsidR="000639A5" w:rsidRPr="003571FD" w:rsidRDefault="000639A5" w:rsidP="00151277">
            <w:pPr>
              <w:jc w:val="both"/>
              <w:rPr>
                <w:rFonts w:ascii="Times New Roman" w:hAnsi="Times New Roman" w:cs="Times New Roman"/>
                <w:b/>
                <w:sz w:val="24"/>
                <w:szCs w:val="24"/>
              </w:rPr>
            </w:pPr>
            <w:r w:rsidRPr="003571FD">
              <w:rPr>
                <w:rFonts w:ascii="Times New Roman" w:hAnsi="Times New Roman" w:cs="Times New Roman"/>
                <w:i/>
                <w:noProof/>
                <w:sz w:val="18"/>
                <w:szCs w:val="24"/>
              </w:rPr>
              <w:t>Source: IMF Global Financial Stability Report a</w:t>
            </w:r>
            <w:r w:rsidR="00151277" w:rsidRPr="003571FD">
              <w:rPr>
                <w:rFonts w:ascii="Times New Roman" w:hAnsi="Times New Roman" w:cs="Times New Roman"/>
                <w:i/>
                <w:noProof/>
                <w:sz w:val="18"/>
                <w:szCs w:val="24"/>
              </w:rPr>
              <w:t>nd World Bank’s own calculation (last available, banks only)</w:t>
            </w:r>
          </w:p>
        </w:tc>
      </w:tr>
    </w:tbl>
    <w:p w:rsidR="000639A5" w:rsidRPr="003571FD" w:rsidRDefault="000639A5" w:rsidP="000639A5">
      <w:pPr>
        <w:jc w:val="both"/>
        <w:rPr>
          <w:rFonts w:ascii="Times New Roman" w:hAnsi="Times New Roman" w:cs="Times New Roman"/>
          <w:i/>
          <w:sz w:val="24"/>
          <w:szCs w:val="24"/>
        </w:rPr>
      </w:pPr>
      <w:r w:rsidRPr="003571FD">
        <w:rPr>
          <w:rFonts w:ascii="Times New Roman" w:hAnsi="Times New Roman" w:cs="Times New Roman"/>
          <w:i/>
          <w:sz w:val="24"/>
          <w:szCs w:val="24"/>
        </w:rPr>
        <w:t>Profitability</w:t>
      </w:r>
    </w:p>
    <w:p w:rsidR="000639A5" w:rsidRPr="003571FD" w:rsidRDefault="000639A5"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Profitability levels in the banking sector recovered since 2004, and are now in line with international peers.</w:t>
      </w:r>
      <w:r w:rsidRPr="003571FD">
        <w:rPr>
          <w:rFonts w:ascii="Times New Roman" w:hAnsi="Times New Roman" w:cs="Times New Roman"/>
          <w:sz w:val="24"/>
          <w:szCs w:val="24"/>
        </w:rPr>
        <w:t xml:space="preserve"> Having been close to zero in 2004, return on assets (ROA) and equity (ROE) increased again to over 1.7 and 16 percent in the banking sector. These ratios are currently slightly above regional averages, but in line with international levels, as can be seen in Chart 9</w:t>
      </w:r>
      <w:r w:rsidRPr="003571FD">
        <w:rPr>
          <w:rStyle w:val="FootnoteReference"/>
          <w:rFonts w:ascii="Times New Roman" w:hAnsi="Times New Roman" w:cs="Times New Roman"/>
          <w:sz w:val="24"/>
          <w:szCs w:val="24"/>
        </w:rPr>
        <w:footnoteReference w:id="49"/>
      </w:r>
      <w:r w:rsidRPr="003571FD">
        <w:rPr>
          <w:rFonts w:ascii="Times New Roman" w:hAnsi="Times New Roman" w:cs="Times New Roman"/>
          <w:sz w:val="24"/>
          <w:szCs w:val="24"/>
        </w:rPr>
        <w:t xml:space="preserve">. The profitability in MFI- and commercial banks continues to be carried to a large extent by intermediation related income, with particularly the MFI banks still deriving 94 percent of their gross financial results through lending related income. However, over time non-intermediation related income has increasingly become important for the banking </w:t>
      </w:r>
      <w:r w:rsidRPr="003571FD">
        <w:rPr>
          <w:rFonts w:ascii="Times New Roman" w:hAnsi="Times New Roman" w:cs="Times New Roman"/>
          <w:sz w:val="24"/>
          <w:szCs w:val="24"/>
        </w:rPr>
        <w:lastRenderedPageBreak/>
        <w:t xml:space="preserve">sector to sustain the levels of profitability. Foreign subsidiaries for example now achieve close to 80 percent of their income through foreign exchange related transactions and commissions for non-intermediation services (compared to 20 percent in 2005), and the public and commercial banks now derive around 50 percent of their income through non-intermediation commissions and sale of foreclosed assets. </w:t>
      </w:r>
    </w:p>
    <w:p w:rsidR="00E2292F" w:rsidRPr="003571FD" w:rsidRDefault="00E2292F" w:rsidP="00E2292F">
      <w:pPr>
        <w:pStyle w:val="ListParagraph"/>
        <w:ind w:left="360"/>
        <w:jc w:val="both"/>
        <w:rPr>
          <w:rFonts w:ascii="Times New Roman" w:hAnsi="Times New Roman" w:cs="Times New Roman"/>
          <w:sz w:val="24"/>
          <w:szCs w:val="24"/>
        </w:rPr>
      </w:pPr>
    </w:p>
    <w:p w:rsidR="00EF773C" w:rsidRPr="003571FD" w:rsidRDefault="001C22BF"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 xml:space="preserve">The banking system was able to enhance </w:t>
      </w:r>
      <w:r w:rsidR="00615A1E">
        <w:rPr>
          <w:rFonts w:ascii="Times New Roman" w:hAnsi="Times New Roman" w:cs="Times New Roman"/>
          <w:b/>
          <w:sz w:val="24"/>
          <w:szCs w:val="24"/>
        </w:rPr>
        <w:t xml:space="preserve">its </w:t>
      </w:r>
      <w:r w:rsidRPr="003571FD">
        <w:rPr>
          <w:rFonts w:ascii="Times New Roman" w:hAnsi="Times New Roman" w:cs="Times New Roman"/>
          <w:b/>
          <w:sz w:val="24"/>
          <w:szCs w:val="24"/>
        </w:rPr>
        <w:t>efficiency over the years, but common efficiency indicators continue to be below its peers.</w:t>
      </w:r>
      <w:r w:rsidRPr="003571FD">
        <w:rPr>
          <w:rFonts w:ascii="Times New Roman" w:hAnsi="Times New Roman" w:cs="Times New Roman"/>
          <w:sz w:val="24"/>
          <w:szCs w:val="24"/>
        </w:rPr>
        <w:t xml:space="preserve"> Operating expenses to assets </w:t>
      </w:r>
      <w:r w:rsidR="00CB26EC">
        <w:rPr>
          <w:rFonts w:ascii="Times New Roman" w:hAnsi="Times New Roman" w:cs="Times New Roman"/>
          <w:sz w:val="24"/>
          <w:szCs w:val="24"/>
        </w:rPr>
        <w:t xml:space="preserve">in the banking sector </w:t>
      </w:r>
      <w:r w:rsidRPr="003571FD">
        <w:rPr>
          <w:rFonts w:ascii="Times New Roman" w:hAnsi="Times New Roman" w:cs="Times New Roman"/>
          <w:sz w:val="24"/>
          <w:szCs w:val="24"/>
        </w:rPr>
        <w:t>came down from 4.5 in 2005 to now 4.</w:t>
      </w:r>
      <w:r w:rsidR="009958C5" w:rsidRPr="003571FD">
        <w:rPr>
          <w:rFonts w:ascii="Times New Roman" w:hAnsi="Times New Roman" w:cs="Times New Roman"/>
          <w:sz w:val="24"/>
          <w:szCs w:val="24"/>
        </w:rPr>
        <w:t>2</w:t>
      </w:r>
      <w:r w:rsidRPr="003571FD">
        <w:rPr>
          <w:rFonts w:ascii="Times New Roman" w:hAnsi="Times New Roman" w:cs="Times New Roman"/>
          <w:sz w:val="24"/>
          <w:szCs w:val="24"/>
        </w:rPr>
        <w:t xml:space="preserve"> percent, </w:t>
      </w:r>
      <w:r w:rsidR="00CB26EC">
        <w:rPr>
          <w:rFonts w:ascii="Times New Roman" w:hAnsi="Times New Roman" w:cs="Times New Roman"/>
          <w:sz w:val="24"/>
          <w:szCs w:val="24"/>
        </w:rPr>
        <w:t>with in particular the microfinance banks showing significant improvements in their</w:t>
      </w:r>
      <w:r w:rsidR="00615A1E">
        <w:rPr>
          <w:rFonts w:ascii="Times New Roman" w:hAnsi="Times New Roman" w:cs="Times New Roman"/>
          <w:sz w:val="24"/>
          <w:szCs w:val="24"/>
        </w:rPr>
        <w:t xml:space="preserve"> ratios </w:t>
      </w:r>
      <w:r w:rsidR="003365EA">
        <w:rPr>
          <w:rFonts w:ascii="Times New Roman" w:hAnsi="Times New Roman" w:cs="Times New Roman"/>
          <w:sz w:val="24"/>
          <w:szCs w:val="24"/>
        </w:rPr>
        <w:t xml:space="preserve">over time </w:t>
      </w:r>
      <w:r w:rsidR="00615A1E">
        <w:rPr>
          <w:rFonts w:ascii="Times New Roman" w:hAnsi="Times New Roman" w:cs="Times New Roman"/>
          <w:sz w:val="24"/>
          <w:szCs w:val="24"/>
        </w:rPr>
        <w:t xml:space="preserve">(see Chart 10). This positive development helped bring Bolivia’s banks closer to ratios reported </w:t>
      </w:r>
      <w:r w:rsidR="00F4263B">
        <w:rPr>
          <w:rFonts w:ascii="Times New Roman" w:hAnsi="Times New Roman" w:cs="Times New Roman"/>
          <w:sz w:val="24"/>
          <w:szCs w:val="24"/>
        </w:rPr>
        <w:t xml:space="preserve">by </w:t>
      </w:r>
      <w:r w:rsidR="00F4263B" w:rsidRPr="003571FD">
        <w:rPr>
          <w:rFonts w:ascii="Times New Roman" w:hAnsi="Times New Roman" w:cs="Times New Roman"/>
          <w:sz w:val="24"/>
          <w:szCs w:val="24"/>
        </w:rPr>
        <w:t>regional</w:t>
      </w:r>
      <w:r w:rsidRPr="003571FD">
        <w:rPr>
          <w:rFonts w:ascii="Times New Roman" w:hAnsi="Times New Roman" w:cs="Times New Roman"/>
          <w:sz w:val="24"/>
          <w:szCs w:val="24"/>
        </w:rPr>
        <w:t xml:space="preserve"> and international peers. </w:t>
      </w:r>
      <w:r w:rsidR="00615A1E">
        <w:rPr>
          <w:rFonts w:ascii="Times New Roman" w:hAnsi="Times New Roman" w:cs="Times New Roman"/>
          <w:sz w:val="24"/>
          <w:szCs w:val="24"/>
        </w:rPr>
        <w:t>C</w:t>
      </w:r>
      <w:r w:rsidRPr="003571FD">
        <w:rPr>
          <w:rFonts w:ascii="Times New Roman" w:hAnsi="Times New Roman" w:cs="Times New Roman"/>
          <w:sz w:val="24"/>
          <w:szCs w:val="24"/>
        </w:rPr>
        <w:t xml:space="preserve">ost to income ratios </w:t>
      </w:r>
      <w:r w:rsidR="00615A1E">
        <w:rPr>
          <w:rFonts w:ascii="Times New Roman" w:hAnsi="Times New Roman" w:cs="Times New Roman"/>
          <w:sz w:val="24"/>
          <w:szCs w:val="24"/>
        </w:rPr>
        <w:t>are</w:t>
      </w:r>
      <w:r w:rsidR="00615A1E" w:rsidRPr="003571FD">
        <w:rPr>
          <w:rFonts w:ascii="Times New Roman" w:hAnsi="Times New Roman" w:cs="Times New Roman"/>
          <w:sz w:val="24"/>
          <w:szCs w:val="24"/>
        </w:rPr>
        <w:t xml:space="preserve"> </w:t>
      </w:r>
      <w:r w:rsidR="00615A1E">
        <w:rPr>
          <w:rFonts w:ascii="Times New Roman" w:hAnsi="Times New Roman" w:cs="Times New Roman"/>
          <w:sz w:val="24"/>
          <w:szCs w:val="24"/>
        </w:rPr>
        <w:t xml:space="preserve">also </w:t>
      </w:r>
      <w:r w:rsidRPr="003571FD">
        <w:rPr>
          <w:rFonts w:ascii="Times New Roman" w:hAnsi="Times New Roman" w:cs="Times New Roman"/>
          <w:sz w:val="24"/>
          <w:szCs w:val="24"/>
        </w:rPr>
        <w:t>at the high end of the spectrum</w:t>
      </w:r>
      <w:r w:rsidR="00615A1E" w:rsidRPr="00615A1E">
        <w:rPr>
          <w:rFonts w:ascii="Times New Roman" w:hAnsi="Times New Roman" w:cs="Times New Roman"/>
          <w:sz w:val="24"/>
          <w:szCs w:val="24"/>
        </w:rPr>
        <w:t xml:space="preserve"> </w:t>
      </w:r>
      <w:r w:rsidR="00615A1E" w:rsidRPr="003571FD">
        <w:rPr>
          <w:rFonts w:ascii="Times New Roman" w:hAnsi="Times New Roman" w:cs="Times New Roman"/>
          <w:sz w:val="24"/>
          <w:szCs w:val="24"/>
        </w:rPr>
        <w:t>with over 70 percen</w:t>
      </w:r>
      <w:r w:rsidR="00615A1E">
        <w:rPr>
          <w:rFonts w:ascii="Times New Roman" w:hAnsi="Times New Roman" w:cs="Times New Roman"/>
          <w:sz w:val="24"/>
          <w:szCs w:val="24"/>
        </w:rPr>
        <w:t>t</w:t>
      </w:r>
      <w:r w:rsidRPr="003571FD">
        <w:rPr>
          <w:rFonts w:ascii="Times New Roman" w:hAnsi="Times New Roman" w:cs="Times New Roman"/>
          <w:sz w:val="24"/>
          <w:szCs w:val="24"/>
        </w:rPr>
        <w:t xml:space="preserve">. As will be discussed in more detail in Chapter 5, </w:t>
      </w:r>
      <w:r w:rsidR="003365EA">
        <w:rPr>
          <w:rFonts w:ascii="Times New Roman" w:hAnsi="Times New Roman" w:cs="Times New Roman"/>
          <w:sz w:val="24"/>
          <w:szCs w:val="24"/>
        </w:rPr>
        <w:t xml:space="preserve">some of the lower efficiency are the result of </w:t>
      </w:r>
      <w:r w:rsidRPr="003571FD">
        <w:rPr>
          <w:rFonts w:ascii="Times New Roman" w:hAnsi="Times New Roman" w:cs="Times New Roman"/>
          <w:sz w:val="24"/>
          <w:szCs w:val="24"/>
        </w:rPr>
        <w:t xml:space="preserve">the low population density, the high levels of informality in the economy, and deficiency in the financial infrastructure, which </w:t>
      </w:r>
      <w:r w:rsidR="003365EA">
        <w:rPr>
          <w:rFonts w:ascii="Times New Roman" w:hAnsi="Times New Roman" w:cs="Times New Roman"/>
          <w:sz w:val="24"/>
          <w:szCs w:val="24"/>
        </w:rPr>
        <w:t xml:space="preserve">- </w:t>
      </w:r>
      <w:r w:rsidRPr="003571FD">
        <w:rPr>
          <w:rFonts w:ascii="Times New Roman" w:hAnsi="Times New Roman" w:cs="Times New Roman"/>
          <w:sz w:val="24"/>
          <w:szCs w:val="24"/>
        </w:rPr>
        <w:t xml:space="preserve">together with recent efforts to expand coverage and measures taken by the government to reduce commission income for financial transactions </w:t>
      </w:r>
      <w:r w:rsidR="003365EA">
        <w:rPr>
          <w:rFonts w:ascii="Times New Roman" w:hAnsi="Times New Roman" w:cs="Times New Roman"/>
          <w:sz w:val="24"/>
          <w:szCs w:val="24"/>
        </w:rPr>
        <w:t xml:space="preserve">- </w:t>
      </w:r>
      <w:r w:rsidRPr="003571FD">
        <w:rPr>
          <w:rFonts w:ascii="Times New Roman" w:hAnsi="Times New Roman" w:cs="Times New Roman"/>
          <w:sz w:val="24"/>
          <w:szCs w:val="24"/>
        </w:rPr>
        <w:t xml:space="preserve">weigh on overall income and thus efficiency. </w:t>
      </w:r>
      <w:r w:rsidR="00D35F37">
        <w:rPr>
          <w:rFonts w:ascii="Times New Roman" w:hAnsi="Times New Roman" w:cs="Times New Roman"/>
          <w:sz w:val="24"/>
          <w:szCs w:val="24"/>
        </w:rPr>
        <w:t>Further e</w:t>
      </w:r>
      <w:r w:rsidRPr="003571FD">
        <w:rPr>
          <w:rFonts w:ascii="Times New Roman" w:hAnsi="Times New Roman" w:cs="Times New Roman"/>
          <w:sz w:val="24"/>
          <w:szCs w:val="24"/>
        </w:rPr>
        <w:t xml:space="preserve">nhancing efficiency will thus not only require additional efforts by individual institutions, but also hinge on further government supported reforms of the financial infrastructure.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D56D61" w:rsidRPr="003571FD">
        <w:tc>
          <w:tcPr>
            <w:tcW w:w="9576" w:type="dxa"/>
            <w:gridSpan w:val="2"/>
          </w:tcPr>
          <w:p w:rsidR="00D56D61" w:rsidRPr="003571FD" w:rsidRDefault="00D56D61" w:rsidP="00151277">
            <w:pPr>
              <w:pStyle w:val="Caption"/>
              <w:keepNext/>
              <w:rPr>
                <w:rFonts w:ascii="Times New Roman" w:hAnsi="Times New Roman" w:cs="Times New Roman"/>
                <w:sz w:val="24"/>
                <w:szCs w:val="24"/>
              </w:rPr>
            </w:pPr>
            <w:bookmarkStart w:id="38" w:name="_Toc312317276"/>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10</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xml:space="preserve">: Operating expenses to total assets – an international </w:t>
            </w:r>
            <w:r w:rsidR="009B589F" w:rsidRPr="003571FD">
              <w:rPr>
                <w:rFonts w:ascii="Times New Roman" w:hAnsi="Times New Roman" w:cs="Times New Roman"/>
                <w:color w:val="auto"/>
              </w:rPr>
              <w:t xml:space="preserve">and domestic </w:t>
            </w:r>
            <w:r w:rsidRPr="003571FD">
              <w:rPr>
                <w:rFonts w:ascii="Times New Roman" w:hAnsi="Times New Roman" w:cs="Times New Roman"/>
                <w:color w:val="auto"/>
              </w:rPr>
              <w:t>comparison</w:t>
            </w:r>
            <w:bookmarkEnd w:id="38"/>
            <w:r w:rsidRPr="003571FD">
              <w:rPr>
                <w:rFonts w:ascii="Times New Roman" w:hAnsi="Times New Roman" w:cs="Times New Roman"/>
                <w:color w:val="auto"/>
              </w:rPr>
              <w:t xml:space="preserve"> </w:t>
            </w:r>
          </w:p>
        </w:tc>
      </w:tr>
      <w:tr w:rsidR="00D56D61" w:rsidRPr="003571FD">
        <w:tc>
          <w:tcPr>
            <w:tcW w:w="4788" w:type="dxa"/>
          </w:tcPr>
          <w:p w:rsidR="00D56D61" w:rsidRPr="003571FD" w:rsidRDefault="009B589F" w:rsidP="00D56D61">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43075"/>
                  <wp:effectExtent l="19050" t="0" r="0"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c>
          <w:tcPr>
            <w:tcW w:w="4788" w:type="dxa"/>
          </w:tcPr>
          <w:p w:rsidR="00D56D61" w:rsidRPr="003571FD" w:rsidRDefault="009D7478" w:rsidP="00D56D61">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905125" cy="1819275"/>
                  <wp:effectExtent l="19050" t="0" r="9525"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p>
        </w:tc>
      </w:tr>
      <w:tr w:rsidR="00D56D61" w:rsidRPr="003571FD">
        <w:tc>
          <w:tcPr>
            <w:tcW w:w="9576" w:type="dxa"/>
            <w:gridSpan w:val="2"/>
          </w:tcPr>
          <w:p w:rsidR="00D56D61" w:rsidRPr="003571FD" w:rsidRDefault="00D56D61" w:rsidP="00151277">
            <w:pPr>
              <w:rPr>
                <w:rFonts w:ascii="Times New Roman" w:hAnsi="Times New Roman" w:cs="Times New Roman"/>
                <w:i/>
                <w:noProof/>
                <w:sz w:val="24"/>
                <w:szCs w:val="24"/>
              </w:rPr>
            </w:pPr>
            <w:r w:rsidRPr="003571FD">
              <w:rPr>
                <w:rFonts w:ascii="Times New Roman" w:hAnsi="Times New Roman" w:cs="Times New Roman"/>
                <w:i/>
                <w:noProof/>
                <w:sz w:val="18"/>
                <w:szCs w:val="24"/>
              </w:rPr>
              <w:t xml:space="preserve">Source: </w:t>
            </w:r>
            <w:r w:rsidR="00F15655" w:rsidRPr="003571FD">
              <w:rPr>
                <w:rFonts w:ascii="Times New Roman" w:hAnsi="Times New Roman" w:cs="Times New Roman"/>
                <w:i/>
                <w:noProof/>
                <w:sz w:val="18"/>
                <w:szCs w:val="24"/>
              </w:rPr>
              <w:t>ASFI and</w:t>
            </w:r>
            <w:r w:rsidRPr="003571FD">
              <w:rPr>
                <w:rFonts w:ascii="Times New Roman" w:hAnsi="Times New Roman" w:cs="Times New Roman"/>
                <w:i/>
                <w:noProof/>
                <w:sz w:val="18"/>
                <w:szCs w:val="24"/>
              </w:rPr>
              <w:t xml:space="preserve"> World Bank’s own calculation</w:t>
            </w:r>
            <w:r w:rsidR="00C97C97" w:rsidRPr="003571FD">
              <w:rPr>
                <w:rFonts w:ascii="Times New Roman" w:hAnsi="Times New Roman" w:cs="Times New Roman"/>
                <w:i/>
                <w:noProof/>
                <w:sz w:val="18"/>
                <w:szCs w:val="24"/>
              </w:rPr>
              <w:t xml:space="preserve"> </w:t>
            </w:r>
            <w:r w:rsidR="00151277" w:rsidRPr="003571FD">
              <w:rPr>
                <w:rFonts w:ascii="Times New Roman" w:hAnsi="Times New Roman" w:cs="Times New Roman"/>
                <w:i/>
                <w:noProof/>
                <w:sz w:val="18"/>
                <w:szCs w:val="24"/>
              </w:rPr>
              <w:t>(international comparison for banks only)</w:t>
            </w:r>
          </w:p>
        </w:tc>
      </w:tr>
    </w:tbl>
    <w:p w:rsidR="00F15655" w:rsidRPr="003571FD" w:rsidRDefault="00F15655" w:rsidP="00151277">
      <w:pPr>
        <w:spacing w:after="0"/>
        <w:jc w:val="both"/>
        <w:rPr>
          <w:rFonts w:ascii="Times New Roman" w:hAnsi="Times New Roman" w:cs="Times New Roman"/>
          <w:b/>
          <w:sz w:val="24"/>
          <w:szCs w:val="24"/>
        </w:rPr>
      </w:pPr>
    </w:p>
    <w:p w:rsidR="00EF773C" w:rsidRPr="003571FD" w:rsidRDefault="001C22BF" w:rsidP="00151277">
      <w:pPr>
        <w:pStyle w:val="ListParagraph"/>
        <w:numPr>
          <w:ilvl w:val="0"/>
          <w:numId w:val="8"/>
        </w:numPr>
        <w:spacing w:after="0"/>
        <w:jc w:val="both"/>
        <w:rPr>
          <w:rFonts w:ascii="Times New Roman" w:hAnsi="Times New Roman" w:cs="Times New Roman"/>
          <w:sz w:val="24"/>
          <w:szCs w:val="24"/>
        </w:rPr>
      </w:pPr>
      <w:r w:rsidRPr="003571FD">
        <w:rPr>
          <w:rFonts w:ascii="Times New Roman" w:hAnsi="Times New Roman" w:cs="Times New Roman"/>
          <w:b/>
          <w:sz w:val="24"/>
          <w:szCs w:val="24"/>
        </w:rPr>
        <w:t xml:space="preserve">Profitability and efficiency levels in non-bank deposit taking financial entities diverge strongly, with particularly cooperatives and savings and loan associations still showing room for improvements. </w:t>
      </w:r>
      <w:r w:rsidRPr="003571FD">
        <w:rPr>
          <w:rFonts w:ascii="Times New Roman" w:hAnsi="Times New Roman" w:cs="Times New Roman"/>
          <w:sz w:val="24"/>
          <w:szCs w:val="24"/>
        </w:rPr>
        <w:t>As for MFI</w:t>
      </w:r>
      <w:r w:rsidR="001A11A8" w:rsidRPr="003571FD">
        <w:rPr>
          <w:rFonts w:ascii="Times New Roman" w:hAnsi="Times New Roman" w:cs="Times New Roman"/>
          <w:sz w:val="24"/>
          <w:szCs w:val="24"/>
        </w:rPr>
        <w:t xml:space="preserve"> </w:t>
      </w:r>
      <w:r w:rsidRPr="003571FD">
        <w:rPr>
          <w:rFonts w:ascii="Times New Roman" w:hAnsi="Times New Roman" w:cs="Times New Roman"/>
          <w:sz w:val="24"/>
          <w:szCs w:val="24"/>
        </w:rPr>
        <w:t>banks, profitability in non-bank financial institutions hinges mostly on financial intermediation income through loans, but in some of the institutions is also supported by commission income through the handling of transactions for non-clients (such as for example the delivery of</w:t>
      </w:r>
      <w:r w:rsidR="009F2548" w:rsidRPr="003571FD">
        <w:rPr>
          <w:rFonts w:ascii="Times New Roman" w:hAnsi="Times New Roman" w:cs="Times New Roman"/>
          <w:sz w:val="24"/>
          <w:szCs w:val="24"/>
        </w:rPr>
        <w:t xml:space="preserve"> the cash transfer program</w:t>
      </w:r>
      <w:r w:rsidRPr="003571FD">
        <w:rPr>
          <w:rFonts w:ascii="Times New Roman" w:hAnsi="Times New Roman" w:cs="Times New Roman"/>
          <w:sz w:val="24"/>
          <w:szCs w:val="24"/>
        </w:rPr>
        <w:t xml:space="preserve"> </w:t>
      </w:r>
      <w:r w:rsidRPr="003571FD">
        <w:rPr>
          <w:rFonts w:ascii="Times New Roman" w:hAnsi="Times New Roman" w:cs="Times New Roman"/>
          <w:i/>
          <w:sz w:val="24"/>
          <w:szCs w:val="24"/>
        </w:rPr>
        <w:t>Renta Dignidad</w:t>
      </w:r>
      <w:r w:rsidRPr="003571FD">
        <w:rPr>
          <w:rFonts w:ascii="Times New Roman" w:hAnsi="Times New Roman" w:cs="Times New Roman"/>
          <w:sz w:val="24"/>
          <w:szCs w:val="24"/>
        </w:rPr>
        <w:t>, remittances and utility payments)</w:t>
      </w:r>
      <w:r w:rsidRPr="003571FD">
        <w:rPr>
          <w:rStyle w:val="FootnoteReference"/>
          <w:rFonts w:ascii="Times New Roman" w:hAnsi="Times New Roman" w:cs="Times New Roman"/>
          <w:sz w:val="24"/>
          <w:szCs w:val="24"/>
        </w:rPr>
        <w:footnoteReference w:id="50"/>
      </w:r>
      <w:r w:rsidRPr="003571FD">
        <w:rPr>
          <w:rFonts w:ascii="Times New Roman" w:hAnsi="Times New Roman" w:cs="Times New Roman"/>
          <w:sz w:val="24"/>
          <w:szCs w:val="24"/>
        </w:rPr>
        <w:t>. Finance companies are in general profitable</w:t>
      </w:r>
      <w:r w:rsidR="00615A1E">
        <w:rPr>
          <w:rFonts w:ascii="Times New Roman" w:hAnsi="Times New Roman" w:cs="Times New Roman"/>
          <w:sz w:val="24"/>
          <w:szCs w:val="24"/>
        </w:rPr>
        <w:t xml:space="preserve"> and have over </w:t>
      </w:r>
      <w:r w:rsidR="00615A1E">
        <w:rPr>
          <w:rFonts w:ascii="Times New Roman" w:hAnsi="Times New Roman" w:cs="Times New Roman"/>
          <w:sz w:val="24"/>
          <w:szCs w:val="24"/>
        </w:rPr>
        <w:lastRenderedPageBreak/>
        <w:t xml:space="preserve">the last few years significantly enhanced their cost to income and asset ratios. </w:t>
      </w:r>
      <w:r w:rsidRPr="003571FD">
        <w:rPr>
          <w:rFonts w:ascii="Times New Roman" w:hAnsi="Times New Roman" w:cs="Times New Roman"/>
          <w:sz w:val="24"/>
          <w:szCs w:val="24"/>
        </w:rPr>
        <w:t xml:space="preserve"> </w:t>
      </w:r>
      <w:r w:rsidR="00615A1E">
        <w:rPr>
          <w:rFonts w:ascii="Times New Roman" w:hAnsi="Times New Roman" w:cs="Times New Roman"/>
          <w:sz w:val="24"/>
          <w:szCs w:val="24"/>
        </w:rPr>
        <w:t>C</w:t>
      </w:r>
      <w:r w:rsidRPr="003571FD">
        <w:rPr>
          <w:rFonts w:ascii="Times New Roman" w:hAnsi="Times New Roman" w:cs="Times New Roman"/>
          <w:sz w:val="24"/>
          <w:szCs w:val="24"/>
        </w:rPr>
        <w:t>ompared to other microfinance institutions worldwide</w:t>
      </w:r>
      <w:r w:rsidR="00615A1E">
        <w:rPr>
          <w:rFonts w:ascii="Times New Roman" w:hAnsi="Times New Roman" w:cs="Times New Roman"/>
          <w:sz w:val="24"/>
          <w:szCs w:val="24"/>
        </w:rPr>
        <w:t>, they now</w:t>
      </w:r>
      <w:r w:rsidRPr="003571FD">
        <w:rPr>
          <w:rFonts w:ascii="Times New Roman" w:hAnsi="Times New Roman" w:cs="Times New Roman"/>
          <w:sz w:val="24"/>
          <w:szCs w:val="24"/>
        </w:rPr>
        <w:t xml:space="preserve"> show adequate efficiency indicators</w:t>
      </w:r>
      <w:r w:rsidRPr="003571FD">
        <w:rPr>
          <w:rFonts w:ascii="Times New Roman" w:hAnsi="Times New Roman" w:cs="Times New Roman"/>
          <w:i/>
          <w:sz w:val="24"/>
          <w:szCs w:val="24"/>
        </w:rPr>
        <w:t xml:space="preserve">. </w:t>
      </w:r>
      <w:r w:rsidRPr="003571FD">
        <w:rPr>
          <w:rFonts w:ascii="Times New Roman" w:hAnsi="Times New Roman" w:cs="Times New Roman"/>
          <w:sz w:val="24"/>
          <w:szCs w:val="24"/>
        </w:rPr>
        <w:t xml:space="preserve">On the other hand, </w:t>
      </w:r>
      <w:r w:rsidR="00D978AD"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D978AD"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8A6979" w:rsidRPr="003571FD">
        <w:rPr>
          <w:rFonts w:ascii="Times New Roman" w:hAnsi="Times New Roman" w:cs="Times New Roman"/>
          <w:sz w:val="24"/>
          <w:szCs w:val="24"/>
        </w:rPr>
        <w:t>a</w:t>
      </w:r>
      <w:r w:rsidRPr="003571FD">
        <w:rPr>
          <w:rFonts w:ascii="Times New Roman" w:hAnsi="Times New Roman" w:cs="Times New Roman"/>
          <w:sz w:val="24"/>
          <w:szCs w:val="24"/>
        </w:rPr>
        <w:t xml:space="preserve">ssociations and cooperatives report low levels of ROE, which stem from high capital ratios in the case of </w:t>
      </w:r>
      <w:r w:rsidR="00D978AD"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D978AD"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8A6979" w:rsidRPr="003571FD">
        <w:rPr>
          <w:rFonts w:ascii="Times New Roman" w:hAnsi="Times New Roman" w:cs="Times New Roman"/>
          <w:sz w:val="24"/>
          <w:szCs w:val="24"/>
        </w:rPr>
        <w:t>a</w:t>
      </w:r>
      <w:r w:rsidRPr="003571FD">
        <w:rPr>
          <w:rFonts w:ascii="Times New Roman" w:hAnsi="Times New Roman" w:cs="Times New Roman"/>
          <w:sz w:val="24"/>
          <w:szCs w:val="24"/>
        </w:rPr>
        <w:t>ssociations, lower lending spreads due to higher funding costs</w:t>
      </w:r>
      <w:r w:rsidR="003365EA">
        <w:rPr>
          <w:rFonts w:ascii="Times New Roman" w:hAnsi="Times New Roman" w:cs="Times New Roman"/>
          <w:sz w:val="24"/>
          <w:szCs w:val="24"/>
        </w:rPr>
        <w:t>, as well as</w:t>
      </w:r>
      <w:r w:rsidRPr="003571FD">
        <w:rPr>
          <w:rFonts w:ascii="Times New Roman" w:hAnsi="Times New Roman" w:cs="Times New Roman"/>
          <w:sz w:val="24"/>
          <w:szCs w:val="24"/>
        </w:rPr>
        <w:t xml:space="preserve"> lower overall efficiency indicators in particular for the cooperative sector. The lower level of efficiency in cooperatives is not unusual in international comparison, as these institutions tend to be smaller and also provide additional services to their members, but could be enhanced through an improved organizational structure of the sector and the creation of second tier institutions such as </w:t>
      </w:r>
      <w:r w:rsidR="00E27A39" w:rsidRPr="003571FD">
        <w:rPr>
          <w:rFonts w:ascii="Times New Roman" w:hAnsi="Times New Roman" w:cs="Times New Roman"/>
          <w:sz w:val="24"/>
          <w:szCs w:val="24"/>
        </w:rPr>
        <w:t xml:space="preserve">regional or national cooperative centers </w:t>
      </w:r>
      <w:r w:rsidR="005648A1" w:rsidRPr="003571FD">
        <w:rPr>
          <w:rFonts w:ascii="Times New Roman" w:hAnsi="Times New Roman" w:cs="Times New Roman"/>
          <w:sz w:val="24"/>
          <w:szCs w:val="24"/>
        </w:rPr>
        <w:t xml:space="preserve">or central banks </w:t>
      </w:r>
      <w:r w:rsidR="00E27A39" w:rsidRPr="003571FD">
        <w:rPr>
          <w:rFonts w:ascii="Times New Roman" w:hAnsi="Times New Roman" w:cs="Times New Roman"/>
          <w:sz w:val="24"/>
          <w:szCs w:val="24"/>
        </w:rPr>
        <w:t xml:space="preserve">(so called </w:t>
      </w:r>
      <w:r w:rsidRPr="003571FD">
        <w:rPr>
          <w:rFonts w:ascii="Times New Roman" w:hAnsi="Times New Roman" w:cs="Times New Roman"/>
          <w:i/>
          <w:sz w:val="24"/>
          <w:szCs w:val="24"/>
        </w:rPr>
        <w:t>Cajas Centrales</w:t>
      </w:r>
      <w:r w:rsidR="00E27A39" w:rsidRPr="003571FD">
        <w:rPr>
          <w:rFonts w:ascii="Times New Roman" w:hAnsi="Times New Roman" w:cs="Times New Roman"/>
          <w:i/>
          <w:sz w:val="24"/>
          <w:szCs w:val="24"/>
        </w:rPr>
        <w:t xml:space="preserve">) </w:t>
      </w:r>
      <w:r w:rsidR="00E27A39" w:rsidRPr="003365EA">
        <w:rPr>
          <w:rFonts w:ascii="Times New Roman" w:hAnsi="Times New Roman" w:cs="Times New Roman"/>
          <w:sz w:val="24"/>
          <w:szCs w:val="24"/>
        </w:rPr>
        <w:t>which can bundle liquidity management, facilitate access to payment systems and also offer other outsourcing services for their members</w:t>
      </w:r>
      <w:r w:rsidRPr="003365EA">
        <w:rPr>
          <w:rFonts w:ascii="Times New Roman" w:hAnsi="Times New Roman" w:cs="Times New Roman"/>
          <w:sz w:val="24"/>
          <w:szCs w:val="24"/>
        </w:rPr>
        <w:t>.</w:t>
      </w:r>
      <w:r w:rsidRPr="003571FD">
        <w:rPr>
          <w:rFonts w:ascii="Times New Roman" w:hAnsi="Times New Roman" w:cs="Times New Roman"/>
          <w:sz w:val="24"/>
          <w:szCs w:val="24"/>
        </w:rPr>
        <w:t xml:space="preserve"> The data for the </w:t>
      </w:r>
      <w:r w:rsidR="00D978AD"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D978AD"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D978AD" w:rsidRPr="003571FD">
        <w:rPr>
          <w:rFonts w:ascii="Times New Roman" w:hAnsi="Times New Roman" w:cs="Times New Roman"/>
          <w:sz w:val="24"/>
          <w:szCs w:val="24"/>
        </w:rPr>
        <w:t>a</w:t>
      </w:r>
      <w:r w:rsidRPr="003571FD">
        <w:rPr>
          <w:rFonts w:ascii="Times New Roman" w:hAnsi="Times New Roman" w:cs="Times New Roman"/>
          <w:sz w:val="24"/>
          <w:szCs w:val="24"/>
        </w:rPr>
        <w:t>ssociations and cooperatives also suggests that efficiency and profitability gains could be reaped through consolidation</w:t>
      </w:r>
      <w:r w:rsidR="00E27A39" w:rsidRPr="003571FD">
        <w:rPr>
          <w:rFonts w:ascii="Times New Roman" w:hAnsi="Times New Roman" w:cs="Times New Roman"/>
          <w:sz w:val="24"/>
          <w:szCs w:val="24"/>
        </w:rPr>
        <w:t xml:space="preserve"> to reach economies of scale or a broader regional coverage,</w:t>
      </w:r>
      <w:r w:rsidRPr="003571FD">
        <w:rPr>
          <w:rFonts w:ascii="Times New Roman" w:hAnsi="Times New Roman" w:cs="Times New Roman"/>
          <w:sz w:val="24"/>
          <w:szCs w:val="24"/>
        </w:rPr>
        <w:t xml:space="preserve"> and in the case of </w:t>
      </w:r>
      <w:r w:rsidR="00D978AD"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D978AD"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D978AD" w:rsidRPr="003571FD">
        <w:rPr>
          <w:rFonts w:ascii="Times New Roman" w:hAnsi="Times New Roman" w:cs="Times New Roman"/>
          <w:sz w:val="24"/>
          <w:szCs w:val="24"/>
        </w:rPr>
        <w:t>a</w:t>
      </w:r>
      <w:r w:rsidRPr="003571FD">
        <w:rPr>
          <w:rFonts w:ascii="Times New Roman" w:hAnsi="Times New Roman" w:cs="Times New Roman"/>
          <w:sz w:val="24"/>
          <w:szCs w:val="24"/>
        </w:rPr>
        <w:t>ssociations also through a re-orientation of their business model towards a broader focus.</w:t>
      </w:r>
      <w:r w:rsidR="00B07DFB" w:rsidRPr="003571FD">
        <w:rPr>
          <w:rFonts w:ascii="Times New Roman" w:hAnsi="Times New Roman" w:cs="Times New Roman"/>
          <w:sz w:val="24"/>
          <w:szCs w:val="24"/>
        </w:rPr>
        <w:t xml:space="preserve"> </w:t>
      </w:r>
    </w:p>
    <w:p w:rsidR="00151277" w:rsidRPr="003571FD" w:rsidRDefault="00151277" w:rsidP="00151277">
      <w:pPr>
        <w:pStyle w:val="ListParagraph"/>
        <w:spacing w:after="0"/>
        <w:ind w:left="0"/>
        <w:jc w:val="both"/>
        <w:rPr>
          <w:rFonts w:ascii="Times New Roman" w:hAnsi="Times New Roman" w:cs="Times New Roman"/>
          <w:sz w:val="24"/>
          <w:szCs w:val="24"/>
        </w:rPr>
      </w:pPr>
    </w:p>
    <w:p w:rsidR="00EF773C" w:rsidRPr="003571FD" w:rsidRDefault="001C22BF" w:rsidP="00EF773C">
      <w:pPr>
        <w:jc w:val="both"/>
        <w:rPr>
          <w:rFonts w:ascii="Times New Roman" w:hAnsi="Times New Roman" w:cs="Times New Roman"/>
          <w:i/>
          <w:sz w:val="24"/>
          <w:szCs w:val="24"/>
        </w:rPr>
      </w:pPr>
      <w:r w:rsidRPr="003571FD">
        <w:rPr>
          <w:rFonts w:ascii="Times New Roman" w:hAnsi="Times New Roman" w:cs="Times New Roman"/>
          <w:i/>
          <w:sz w:val="24"/>
          <w:szCs w:val="24"/>
        </w:rPr>
        <w:t xml:space="preserve">Liquidity </w:t>
      </w:r>
    </w:p>
    <w:p w:rsidR="002B6825"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The financial system is highly liquid. </w:t>
      </w:r>
      <w:r w:rsidRPr="003571FD">
        <w:rPr>
          <w:rFonts w:ascii="Times New Roman" w:hAnsi="Times New Roman" w:cs="Times New Roman"/>
          <w:sz w:val="24"/>
          <w:szCs w:val="24"/>
        </w:rPr>
        <w:t xml:space="preserve">As can be seen in </w:t>
      </w:r>
      <w:r w:rsidR="009A3811" w:rsidRPr="003571FD">
        <w:rPr>
          <w:rFonts w:ascii="Times New Roman" w:hAnsi="Times New Roman" w:cs="Times New Roman"/>
          <w:sz w:val="24"/>
          <w:szCs w:val="24"/>
        </w:rPr>
        <w:t xml:space="preserve">Chart </w:t>
      </w:r>
      <w:r w:rsidR="00166B91" w:rsidRPr="003571FD">
        <w:rPr>
          <w:rFonts w:ascii="Times New Roman" w:hAnsi="Times New Roman" w:cs="Times New Roman"/>
          <w:sz w:val="24"/>
          <w:szCs w:val="24"/>
        </w:rPr>
        <w:t>11</w:t>
      </w:r>
      <w:r w:rsidR="009A3811" w:rsidRPr="003571FD">
        <w:rPr>
          <w:rFonts w:ascii="Times New Roman" w:hAnsi="Times New Roman" w:cs="Times New Roman"/>
          <w:sz w:val="24"/>
          <w:szCs w:val="24"/>
        </w:rPr>
        <w:t>,</w:t>
      </w:r>
      <w:r w:rsidRPr="003571FD">
        <w:rPr>
          <w:rFonts w:ascii="Times New Roman" w:hAnsi="Times New Roman" w:cs="Times New Roman"/>
          <w:sz w:val="24"/>
          <w:szCs w:val="24"/>
        </w:rPr>
        <w:t xml:space="preserve"> the share of liquid assets steadily increased over the last few years, reaching a peak of 51 percent of assets in commercial banks between 2008 and 2009</w:t>
      </w:r>
      <w:r w:rsidRPr="003571FD">
        <w:rPr>
          <w:rStyle w:val="FootnoteReference"/>
          <w:rFonts w:ascii="Times New Roman" w:hAnsi="Times New Roman" w:cs="Times New Roman"/>
          <w:sz w:val="24"/>
          <w:szCs w:val="24"/>
        </w:rPr>
        <w:footnoteReference w:id="51"/>
      </w:r>
      <w:r w:rsidR="0067025D" w:rsidRPr="003571FD">
        <w:rPr>
          <w:rFonts w:ascii="Times New Roman" w:hAnsi="Times New Roman" w:cs="Times New Roman"/>
          <w:sz w:val="24"/>
          <w:szCs w:val="24"/>
        </w:rPr>
        <w:t>.</w:t>
      </w:r>
      <w:r w:rsidRPr="003571FD">
        <w:rPr>
          <w:rFonts w:ascii="Times New Roman" w:hAnsi="Times New Roman" w:cs="Times New Roman"/>
          <w:sz w:val="24"/>
          <w:szCs w:val="24"/>
        </w:rPr>
        <w:t xml:space="preserve"> This is high in international comparison, and given the current </w:t>
      </w:r>
      <w:r w:rsidR="009414AE">
        <w:rPr>
          <w:rFonts w:ascii="Times New Roman" w:hAnsi="Times New Roman" w:cs="Times New Roman"/>
          <w:sz w:val="24"/>
          <w:szCs w:val="24"/>
        </w:rPr>
        <w:t>interest rates offered on national and international bonds</w:t>
      </w:r>
      <w:r w:rsidRPr="003571FD">
        <w:rPr>
          <w:rFonts w:ascii="Times New Roman" w:hAnsi="Times New Roman" w:cs="Times New Roman"/>
          <w:sz w:val="24"/>
          <w:szCs w:val="24"/>
        </w:rPr>
        <w:t xml:space="preserve"> will likely negatively impact overall profitability</w:t>
      </w:r>
      <w:r w:rsidRPr="003571FD">
        <w:rPr>
          <w:rStyle w:val="FootnoteReference"/>
          <w:rFonts w:ascii="Times New Roman" w:hAnsi="Times New Roman" w:cs="Times New Roman"/>
          <w:sz w:val="24"/>
          <w:szCs w:val="24"/>
        </w:rPr>
        <w:footnoteReference w:id="52"/>
      </w:r>
      <w:r w:rsidRPr="003571FD">
        <w:rPr>
          <w:rFonts w:ascii="Times New Roman" w:hAnsi="Times New Roman" w:cs="Times New Roman"/>
          <w:sz w:val="24"/>
          <w:szCs w:val="24"/>
        </w:rPr>
        <w:t xml:space="preserve">. </w:t>
      </w:r>
      <w:r w:rsidR="000001F5">
        <w:rPr>
          <w:rFonts w:ascii="Times New Roman" w:hAnsi="Times New Roman" w:cs="Times New Roman"/>
          <w:sz w:val="24"/>
          <w:szCs w:val="24"/>
        </w:rPr>
        <w:t xml:space="preserve">It further </w:t>
      </w:r>
      <w:r w:rsidR="009414AE">
        <w:rPr>
          <w:rFonts w:ascii="Times New Roman" w:hAnsi="Times New Roman" w:cs="Times New Roman"/>
          <w:sz w:val="24"/>
          <w:szCs w:val="24"/>
        </w:rPr>
        <w:t>suggests</w:t>
      </w:r>
      <w:r w:rsidR="000001F5">
        <w:rPr>
          <w:rFonts w:ascii="Times New Roman" w:hAnsi="Times New Roman" w:cs="Times New Roman"/>
          <w:sz w:val="24"/>
          <w:szCs w:val="24"/>
        </w:rPr>
        <w:t xml:space="preserve">, as will be </w:t>
      </w:r>
      <w:r w:rsidR="009414AE">
        <w:rPr>
          <w:rFonts w:ascii="Times New Roman" w:hAnsi="Times New Roman" w:cs="Times New Roman"/>
          <w:sz w:val="24"/>
          <w:szCs w:val="24"/>
        </w:rPr>
        <w:t>assessed</w:t>
      </w:r>
      <w:r w:rsidR="000001F5">
        <w:rPr>
          <w:rFonts w:ascii="Times New Roman" w:hAnsi="Times New Roman" w:cs="Times New Roman"/>
          <w:sz w:val="24"/>
          <w:szCs w:val="24"/>
        </w:rPr>
        <w:t xml:space="preserve"> in more depth in Chapter 6, that barriers to the provision of credit exist, that will have to be addressed in order to </w:t>
      </w:r>
      <w:r w:rsidR="009414AE">
        <w:rPr>
          <w:rFonts w:ascii="Times New Roman" w:hAnsi="Times New Roman" w:cs="Times New Roman"/>
          <w:sz w:val="24"/>
          <w:szCs w:val="24"/>
        </w:rPr>
        <w:t>increase</w:t>
      </w:r>
      <w:r w:rsidR="000001F5">
        <w:rPr>
          <w:rFonts w:ascii="Times New Roman" w:hAnsi="Times New Roman" w:cs="Times New Roman"/>
          <w:sz w:val="24"/>
          <w:szCs w:val="24"/>
        </w:rPr>
        <w:t xml:space="preserve"> the level of financial intermediation. </w:t>
      </w:r>
      <w:r w:rsidRPr="003571FD">
        <w:rPr>
          <w:rFonts w:ascii="Times New Roman" w:hAnsi="Times New Roman" w:cs="Times New Roman"/>
          <w:sz w:val="24"/>
          <w:szCs w:val="24"/>
        </w:rPr>
        <w:t xml:space="preserve">The excess liquidity is held in the Central Bank (i.e. around 16 percent for banks), other domestic financial institutions (i.e. 12 and 21 percent for open cooperatives and </w:t>
      </w:r>
      <w:r w:rsidR="00D978AD"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D978AD" w:rsidRPr="003571FD">
        <w:rPr>
          <w:rFonts w:ascii="Times New Roman" w:hAnsi="Times New Roman" w:cs="Times New Roman"/>
          <w:sz w:val="24"/>
          <w:szCs w:val="24"/>
        </w:rPr>
        <w:t>l</w:t>
      </w:r>
      <w:r w:rsidRPr="003571FD">
        <w:rPr>
          <w:rFonts w:ascii="Times New Roman" w:hAnsi="Times New Roman" w:cs="Times New Roman"/>
          <w:sz w:val="24"/>
          <w:szCs w:val="24"/>
        </w:rPr>
        <w:t xml:space="preserve">oans </w:t>
      </w:r>
      <w:r w:rsidR="00D978AD" w:rsidRPr="003571FD">
        <w:rPr>
          <w:rFonts w:ascii="Times New Roman" w:hAnsi="Times New Roman" w:cs="Times New Roman"/>
          <w:sz w:val="24"/>
          <w:szCs w:val="24"/>
        </w:rPr>
        <w:t>a</w:t>
      </w:r>
      <w:r w:rsidRPr="003571FD">
        <w:rPr>
          <w:rFonts w:ascii="Times New Roman" w:hAnsi="Times New Roman" w:cs="Times New Roman"/>
          <w:sz w:val="24"/>
          <w:szCs w:val="24"/>
        </w:rPr>
        <w:t>ssociations), or in international assets (10 and 12 percent for commercial banks and open cooperatives). Liquid assets are sufficient to cover the short-term liabilities in all types of financial entities.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401260" w:rsidRPr="003571FD">
        <w:tc>
          <w:tcPr>
            <w:tcW w:w="9576" w:type="dxa"/>
            <w:gridSpan w:val="2"/>
          </w:tcPr>
          <w:p w:rsidR="00401260" w:rsidRPr="003571FD" w:rsidRDefault="00401260" w:rsidP="00401260">
            <w:pPr>
              <w:pStyle w:val="Caption"/>
              <w:keepNext/>
              <w:rPr>
                <w:rFonts w:ascii="Times New Roman" w:hAnsi="Times New Roman" w:cs="Times New Roman"/>
                <w:sz w:val="24"/>
                <w:szCs w:val="24"/>
              </w:rPr>
            </w:pPr>
            <w:bookmarkStart w:id="39" w:name="_Toc312317277"/>
            <w:r w:rsidRPr="003571FD">
              <w:rPr>
                <w:rFonts w:ascii="Times New Roman" w:hAnsi="Times New Roman" w:cs="Times New Roman"/>
                <w:color w:val="auto"/>
              </w:rPr>
              <w:lastRenderedPageBreak/>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11</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Liquid assets to total assets – an international and domestic comparison of liquidity</w:t>
            </w:r>
            <w:r w:rsidR="000639A5" w:rsidRPr="003571FD">
              <w:rPr>
                <w:rFonts w:ascii="Times New Roman" w:hAnsi="Times New Roman" w:cs="Times New Roman"/>
                <w:color w:val="auto"/>
              </w:rPr>
              <w:t xml:space="preserve"> of the formal system</w:t>
            </w:r>
            <w:bookmarkEnd w:id="39"/>
          </w:p>
        </w:tc>
      </w:tr>
      <w:tr w:rsidR="00401260" w:rsidRPr="003571FD">
        <w:tc>
          <w:tcPr>
            <w:tcW w:w="4788" w:type="dxa"/>
          </w:tcPr>
          <w:p w:rsidR="00401260" w:rsidRPr="003571FD" w:rsidRDefault="00401260" w:rsidP="00401260">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430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c>
          <w:tcPr>
            <w:tcW w:w="4788" w:type="dxa"/>
          </w:tcPr>
          <w:p w:rsidR="00401260" w:rsidRPr="003571FD" w:rsidRDefault="009D7478" w:rsidP="00401260">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905125" cy="1819275"/>
                  <wp:effectExtent l="1905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p>
        </w:tc>
      </w:tr>
      <w:tr w:rsidR="00401260" w:rsidRPr="003571FD">
        <w:tc>
          <w:tcPr>
            <w:tcW w:w="9576" w:type="dxa"/>
            <w:gridSpan w:val="2"/>
          </w:tcPr>
          <w:p w:rsidR="00401260" w:rsidRPr="003571FD" w:rsidRDefault="00401260" w:rsidP="00401260">
            <w:pPr>
              <w:rPr>
                <w:rFonts w:ascii="Times New Roman" w:hAnsi="Times New Roman" w:cs="Times New Roman"/>
                <w:i/>
                <w:noProof/>
                <w:sz w:val="24"/>
                <w:szCs w:val="24"/>
              </w:rPr>
            </w:pPr>
            <w:r w:rsidRPr="003571FD">
              <w:rPr>
                <w:rFonts w:ascii="Times New Roman" w:hAnsi="Times New Roman" w:cs="Times New Roman"/>
                <w:i/>
                <w:noProof/>
                <w:sz w:val="18"/>
                <w:szCs w:val="24"/>
              </w:rPr>
              <w:t>Source: ASFI and World Bank’s own calculation</w:t>
            </w:r>
            <w:r w:rsidR="009D7478" w:rsidRPr="003571FD">
              <w:rPr>
                <w:rFonts w:ascii="Times New Roman" w:hAnsi="Times New Roman" w:cs="Times New Roman"/>
                <w:i/>
                <w:noProof/>
                <w:sz w:val="18"/>
                <w:szCs w:val="24"/>
              </w:rPr>
              <w:t>, which include entire formal systems</w:t>
            </w:r>
            <w:r w:rsidR="00D978AD" w:rsidRPr="003571FD">
              <w:rPr>
                <w:rFonts w:ascii="Times New Roman" w:hAnsi="Times New Roman" w:cs="Times New Roman"/>
                <w:i/>
                <w:noProof/>
                <w:sz w:val="18"/>
                <w:szCs w:val="24"/>
              </w:rPr>
              <w:t>.</w:t>
            </w:r>
          </w:p>
        </w:tc>
      </w:tr>
    </w:tbl>
    <w:p w:rsidR="000639A5" w:rsidRPr="003571FD" w:rsidRDefault="000639A5" w:rsidP="000639A5">
      <w:pPr>
        <w:rPr>
          <w:rFonts w:ascii="Times New Roman" w:hAnsi="Times New Roman" w:cs="Times New Roman"/>
          <w:b/>
          <w:sz w:val="24"/>
          <w:szCs w:val="24"/>
        </w:rPr>
      </w:pPr>
    </w:p>
    <w:p w:rsidR="00CA07A0" w:rsidRPr="003571FD" w:rsidRDefault="009414AE" w:rsidP="00CA07A0">
      <w:pPr>
        <w:pStyle w:val="ListParagraph"/>
        <w:numPr>
          <w:ilvl w:val="0"/>
          <w:numId w:val="8"/>
        </w:numPr>
        <w:spacing w:after="240"/>
        <w:jc w:val="both"/>
        <w:rPr>
          <w:rFonts w:ascii="Times New Roman" w:hAnsi="Times New Roman" w:cs="Times New Roman"/>
          <w:b/>
          <w:sz w:val="24"/>
          <w:szCs w:val="24"/>
        </w:rPr>
      </w:pPr>
      <w:r>
        <w:rPr>
          <w:rFonts w:ascii="Times New Roman" w:hAnsi="Times New Roman" w:cs="Times New Roman"/>
          <w:b/>
          <w:sz w:val="24"/>
          <w:szCs w:val="24"/>
        </w:rPr>
        <w:t>While the</w:t>
      </w:r>
      <w:r w:rsidRPr="003571FD">
        <w:rPr>
          <w:rFonts w:ascii="Times New Roman" w:hAnsi="Times New Roman" w:cs="Times New Roman"/>
          <w:b/>
          <w:sz w:val="24"/>
          <w:szCs w:val="24"/>
        </w:rPr>
        <w:t xml:space="preserve"> </w:t>
      </w:r>
      <w:r w:rsidR="001C22BF" w:rsidRPr="003571FD">
        <w:rPr>
          <w:rFonts w:ascii="Times New Roman" w:hAnsi="Times New Roman" w:cs="Times New Roman"/>
          <w:b/>
          <w:sz w:val="24"/>
          <w:szCs w:val="24"/>
        </w:rPr>
        <w:t xml:space="preserve">high level of liquidity </w:t>
      </w:r>
      <w:r>
        <w:rPr>
          <w:rFonts w:ascii="Times New Roman" w:hAnsi="Times New Roman" w:cs="Times New Roman"/>
          <w:b/>
          <w:sz w:val="24"/>
          <w:szCs w:val="24"/>
        </w:rPr>
        <w:t xml:space="preserve">should over time be reduced, it currently nevertheless </w:t>
      </w:r>
      <w:r w:rsidR="001C22BF" w:rsidRPr="003571FD">
        <w:rPr>
          <w:rFonts w:ascii="Times New Roman" w:hAnsi="Times New Roman" w:cs="Times New Roman"/>
          <w:b/>
          <w:sz w:val="24"/>
          <w:szCs w:val="24"/>
        </w:rPr>
        <w:t>mitigate</w:t>
      </w:r>
      <w:r>
        <w:rPr>
          <w:rFonts w:ascii="Times New Roman" w:hAnsi="Times New Roman" w:cs="Times New Roman"/>
          <w:b/>
          <w:sz w:val="24"/>
          <w:szCs w:val="24"/>
        </w:rPr>
        <w:t>s</w:t>
      </w:r>
      <w:r w:rsidR="001C22BF" w:rsidRPr="003571FD">
        <w:rPr>
          <w:rFonts w:ascii="Times New Roman" w:hAnsi="Times New Roman" w:cs="Times New Roman"/>
          <w:b/>
          <w:sz w:val="24"/>
          <w:szCs w:val="24"/>
        </w:rPr>
        <w:t xml:space="preserve"> potential vulnerabilities arising from high levels of deposit concentration and the short-term nature of the funding sources. </w:t>
      </w:r>
      <w:r w:rsidR="001C22BF" w:rsidRPr="003571FD">
        <w:rPr>
          <w:rFonts w:ascii="Times New Roman" w:hAnsi="Times New Roman" w:cs="Times New Roman"/>
          <w:sz w:val="24"/>
        </w:rPr>
        <w:t>The commercial banking sector shows high levels of depositor concentration</w:t>
      </w:r>
      <w:r w:rsidR="001C22BF" w:rsidRPr="003571FD">
        <w:rPr>
          <w:rStyle w:val="FootnoteReference"/>
          <w:rFonts w:ascii="Times New Roman" w:hAnsi="Times New Roman" w:cs="Times New Roman"/>
          <w:sz w:val="24"/>
        </w:rPr>
        <w:footnoteReference w:id="53"/>
      </w:r>
      <w:r w:rsidR="001C22BF" w:rsidRPr="003571FD">
        <w:rPr>
          <w:rFonts w:ascii="Times New Roman" w:hAnsi="Times New Roman" w:cs="Times New Roman"/>
          <w:sz w:val="24"/>
        </w:rPr>
        <w:t xml:space="preserve">, and </w:t>
      </w:r>
      <w:r w:rsidR="0067025D" w:rsidRPr="003571FD">
        <w:rPr>
          <w:rFonts w:ascii="Times New Roman" w:hAnsi="Times New Roman" w:cs="Times New Roman"/>
          <w:sz w:val="24"/>
        </w:rPr>
        <w:t xml:space="preserve">commercial banks and savings and loan associations </w:t>
      </w:r>
      <w:r w:rsidR="0067025D">
        <w:rPr>
          <w:rFonts w:ascii="Times New Roman" w:hAnsi="Times New Roman" w:cs="Times New Roman"/>
          <w:sz w:val="24"/>
        </w:rPr>
        <w:t xml:space="preserve">report also report </w:t>
      </w:r>
      <w:r w:rsidR="001C22BF" w:rsidRPr="003571FD">
        <w:rPr>
          <w:rFonts w:ascii="Times New Roman" w:hAnsi="Times New Roman" w:cs="Times New Roman"/>
          <w:sz w:val="24"/>
        </w:rPr>
        <w:t xml:space="preserve">sight deposits </w:t>
      </w:r>
      <w:r w:rsidR="0067025D">
        <w:rPr>
          <w:rFonts w:ascii="Times New Roman" w:hAnsi="Times New Roman" w:cs="Times New Roman"/>
          <w:sz w:val="24"/>
        </w:rPr>
        <w:t>of</w:t>
      </w:r>
      <w:r w:rsidR="001C22BF" w:rsidRPr="003571FD">
        <w:rPr>
          <w:rFonts w:ascii="Times New Roman" w:hAnsi="Times New Roman" w:cs="Times New Roman"/>
          <w:sz w:val="24"/>
        </w:rPr>
        <w:t xml:space="preserve"> over 60 percent of de</w:t>
      </w:r>
      <w:r w:rsidR="00D978AD" w:rsidRPr="003571FD">
        <w:rPr>
          <w:rFonts w:ascii="Times New Roman" w:hAnsi="Times New Roman" w:cs="Times New Roman"/>
          <w:sz w:val="24"/>
        </w:rPr>
        <w:t xml:space="preserve">posits </w:t>
      </w:r>
      <w:r w:rsidR="001C22BF" w:rsidRPr="003571FD">
        <w:rPr>
          <w:rFonts w:ascii="Times New Roman" w:hAnsi="Times New Roman" w:cs="Times New Roman"/>
          <w:sz w:val="24"/>
        </w:rPr>
        <w:t>(compared to 40 percent in 2004)</w:t>
      </w:r>
      <w:r w:rsidR="001C22BF" w:rsidRPr="003571FD">
        <w:rPr>
          <w:rStyle w:val="FootnoteReference"/>
          <w:rFonts w:ascii="Times New Roman" w:hAnsi="Times New Roman" w:cs="Times New Roman"/>
          <w:sz w:val="24"/>
        </w:rPr>
        <w:t xml:space="preserve"> </w:t>
      </w:r>
      <w:r w:rsidR="001C22BF" w:rsidRPr="003571FD">
        <w:rPr>
          <w:rStyle w:val="FootnoteReference"/>
          <w:rFonts w:ascii="Times New Roman" w:hAnsi="Times New Roman" w:cs="Times New Roman"/>
          <w:sz w:val="24"/>
        </w:rPr>
        <w:footnoteReference w:id="54"/>
      </w:r>
      <w:r w:rsidR="001C22BF" w:rsidRPr="003571FD">
        <w:rPr>
          <w:rFonts w:ascii="Times New Roman" w:hAnsi="Times New Roman" w:cs="Times New Roman"/>
          <w:sz w:val="24"/>
        </w:rPr>
        <w:t>. This leaves the entities vulnerable to sudden swings in depositor confidence, as for example seen during the recent deposit run in December</w:t>
      </w:r>
      <w:r w:rsidR="00D35E9F" w:rsidRPr="003571FD">
        <w:rPr>
          <w:rFonts w:ascii="Times New Roman" w:hAnsi="Times New Roman" w:cs="Times New Roman"/>
          <w:sz w:val="24"/>
        </w:rPr>
        <w:t xml:space="preserve"> 2010</w:t>
      </w:r>
      <w:r w:rsidR="00EB2F5F" w:rsidRPr="003571FD">
        <w:rPr>
          <w:rFonts w:ascii="Times New Roman" w:hAnsi="Times New Roman" w:cs="Times New Roman"/>
          <w:sz w:val="24"/>
        </w:rPr>
        <w:t xml:space="preserve">, </w:t>
      </w:r>
      <w:r w:rsidR="001C22BF" w:rsidRPr="003571FD">
        <w:rPr>
          <w:rFonts w:ascii="Times New Roman" w:hAnsi="Times New Roman" w:cs="Times New Roman"/>
          <w:sz w:val="24"/>
        </w:rPr>
        <w:t xml:space="preserve">which affected all types of institutions (see </w:t>
      </w:r>
      <w:r w:rsidR="009A3811" w:rsidRPr="003571FD">
        <w:rPr>
          <w:rFonts w:ascii="Times New Roman" w:hAnsi="Times New Roman" w:cs="Times New Roman"/>
          <w:sz w:val="24"/>
        </w:rPr>
        <w:t>T</w:t>
      </w:r>
      <w:r w:rsidR="001C22BF" w:rsidRPr="003571FD">
        <w:rPr>
          <w:rFonts w:ascii="Times New Roman" w:hAnsi="Times New Roman" w:cs="Times New Roman"/>
          <w:sz w:val="24"/>
        </w:rPr>
        <w:t xml:space="preserve">ext </w:t>
      </w:r>
      <w:r w:rsidR="009A3811" w:rsidRPr="003571FD">
        <w:rPr>
          <w:rFonts w:ascii="Times New Roman" w:hAnsi="Times New Roman" w:cs="Times New Roman"/>
          <w:sz w:val="24"/>
        </w:rPr>
        <w:t>B</w:t>
      </w:r>
      <w:r w:rsidR="001C22BF" w:rsidRPr="003571FD">
        <w:rPr>
          <w:rFonts w:ascii="Times New Roman" w:hAnsi="Times New Roman" w:cs="Times New Roman"/>
          <w:sz w:val="24"/>
        </w:rPr>
        <w:t>ox</w:t>
      </w:r>
      <w:r w:rsidR="009A3811" w:rsidRPr="003571FD">
        <w:rPr>
          <w:rFonts w:ascii="Times New Roman" w:hAnsi="Times New Roman" w:cs="Times New Roman"/>
          <w:sz w:val="24"/>
        </w:rPr>
        <w:t xml:space="preserve"> </w:t>
      </w:r>
      <w:r w:rsidR="00166B91" w:rsidRPr="003571FD">
        <w:rPr>
          <w:rFonts w:ascii="Times New Roman" w:hAnsi="Times New Roman" w:cs="Times New Roman"/>
          <w:sz w:val="24"/>
          <w:szCs w:val="24"/>
        </w:rPr>
        <w:t>1</w:t>
      </w:r>
      <w:r w:rsidR="001C22BF" w:rsidRPr="003571FD">
        <w:rPr>
          <w:rFonts w:ascii="Times New Roman" w:hAnsi="Times New Roman" w:cs="Times New Roman"/>
          <w:sz w:val="24"/>
        </w:rPr>
        <w:t xml:space="preserve">). The high level of liquidity in combination with the rapid response of the Central Bank and </w:t>
      </w:r>
      <w:r w:rsidR="00D978AD" w:rsidRPr="003571FD">
        <w:rPr>
          <w:rFonts w:ascii="Times New Roman" w:hAnsi="Times New Roman" w:cs="Times New Roman"/>
          <w:sz w:val="24"/>
        </w:rPr>
        <w:t>ASFI</w:t>
      </w:r>
      <w:r w:rsidR="001C22BF" w:rsidRPr="003571FD">
        <w:rPr>
          <w:rFonts w:ascii="Times New Roman" w:hAnsi="Times New Roman" w:cs="Times New Roman"/>
          <w:sz w:val="24"/>
        </w:rPr>
        <w:t xml:space="preserve"> mitigated the effect of the deposit run</w:t>
      </w:r>
      <w:r>
        <w:rPr>
          <w:rFonts w:ascii="Times New Roman" w:hAnsi="Times New Roman" w:cs="Times New Roman"/>
          <w:sz w:val="24"/>
        </w:rPr>
        <w:t>. T</w:t>
      </w:r>
      <w:r w:rsidR="001C22BF" w:rsidRPr="003571FD">
        <w:rPr>
          <w:rFonts w:ascii="Times New Roman" w:hAnsi="Times New Roman" w:cs="Times New Roman"/>
          <w:sz w:val="24"/>
        </w:rPr>
        <w:t xml:space="preserve">he experience </w:t>
      </w:r>
      <w:r>
        <w:rPr>
          <w:rFonts w:ascii="Times New Roman" w:hAnsi="Times New Roman" w:cs="Times New Roman"/>
          <w:sz w:val="24"/>
        </w:rPr>
        <w:t xml:space="preserve">also </w:t>
      </w:r>
      <w:r w:rsidR="001C22BF" w:rsidRPr="003571FD">
        <w:rPr>
          <w:rFonts w:ascii="Times New Roman" w:hAnsi="Times New Roman" w:cs="Times New Roman"/>
          <w:sz w:val="24"/>
        </w:rPr>
        <w:t xml:space="preserve">highlighted that it is </w:t>
      </w:r>
      <w:r w:rsidRPr="003571FD">
        <w:rPr>
          <w:rFonts w:ascii="Times New Roman" w:hAnsi="Times New Roman" w:cs="Times New Roman"/>
          <w:sz w:val="24"/>
        </w:rPr>
        <w:t xml:space="preserve">in particular for the non-bank financial entities </w:t>
      </w:r>
      <w:r w:rsidR="001C22BF" w:rsidRPr="003571FD">
        <w:rPr>
          <w:rFonts w:ascii="Times New Roman" w:hAnsi="Times New Roman" w:cs="Times New Roman"/>
          <w:sz w:val="24"/>
        </w:rPr>
        <w:t>important (</w:t>
      </w:r>
      <w:proofErr w:type="spellStart"/>
      <w:r w:rsidR="001C22BF" w:rsidRPr="003571FD">
        <w:rPr>
          <w:rFonts w:ascii="Times New Roman" w:hAnsi="Times New Roman" w:cs="Times New Roman"/>
          <w:sz w:val="24"/>
        </w:rPr>
        <w:t>i</w:t>
      </w:r>
      <w:proofErr w:type="spellEnd"/>
      <w:r w:rsidR="001C22BF" w:rsidRPr="003571FD">
        <w:rPr>
          <w:rFonts w:ascii="Times New Roman" w:hAnsi="Times New Roman" w:cs="Times New Roman"/>
          <w:sz w:val="24"/>
        </w:rPr>
        <w:t xml:space="preserve">) to provide </w:t>
      </w:r>
      <w:r w:rsidR="00D35E9F" w:rsidRPr="003571FD">
        <w:rPr>
          <w:rFonts w:ascii="Times New Roman" w:hAnsi="Times New Roman" w:cs="Times New Roman"/>
          <w:sz w:val="24"/>
        </w:rPr>
        <w:t xml:space="preserve">direct, </w:t>
      </w:r>
      <w:r w:rsidR="001C22BF" w:rsidRPr="003571FD">
        <w:rPr>
          <w:rFonts w:ascii="Times New Roman" w:hAnsi="Times New Roman" w:cs="Times New Roman"/>
          <w:sz w:val="24"/>
        </w:rPr>
        <w:t xml:space="preserve">short-term access to liquidity support from the Central Bank for all financial entities, and (ii) to have </w:t>
      </w:r>
      <w:r w:rsidR="00E27A39" w:rsidRPr="003571FD">
        <w:rPr>
          <w:rFonts w:ascii="Times New Roman" w:hAnsi="Times New Roman" w:cs="Times New Roman"/>
          <w:sz w:val="24"/>
        </w:rPr>
        <w:t xml:space="preserve">more than one </w:t>
      </w:r>
      <w:r w:rsidR="001C22BF" w:rsidRPr="003571FD">
        <w:rPr>
          <w:rFonts w:ascii="Times New Roman" w:hAnsi="Times New Roman" w:cs="Times New Roman"/>
          <w:sz w:val="24"/>
        </w:rPr>
        <w:t xml:space="preserve">cash transport </w:t>
      </w:r>
      <w:r w:rsidR="00E27A39" w:rsidRPr="003571FD">
        <w:rPr>
          <w:rFonts w:ascii="Times New Roman" w:hAnsi="Times New Roman" w:cs="Times New Roman"/>
          <w:sz w:val="24"/>
        </w:rPr>
        <w:t xml:space="preserve">provider </w:t>
      </w:r>
      <w:r w:rsidR="001C22BF" w:rsidRPr="003571FD">
        <w:rPr>
          <w:rFonts w:ascii="Times New Roman" w:hAnsi="Times New Roman" w:cs="Times New Roman"/>
          <w:sz w:val="24"/>
        </w:rPr>
        <w:t xml:space="preserve">available that </w:t>
      </w:r>
      <w:r w:rsidR="006166DC" w:rsidRPr="003571FD">
        <w:rPr>
          <w:rFonts w:ascii="Times New Roman" w:hAnsi="Times New Roman" w:cs="Times New Roman"/>
          <w:sz w:val="24"/>
        </w:rPr>
        <w:t>can quickly</w:t>
      </w:r>
      <w:r w:rsidR="001C22BF" w:rsidRPr="003571FD">
        <w:rPr>
          <w:rFonts w:ascii="Times New Roman" w:hAnsi="Times New Roman" w:cs="Times New Roman"/>
          <w:sz w:val="24"/>
        </w:rPr>
        <w:t xml:space="preserve"> </w:t>
      </w:r>
      <w:r w:rsidR="006166DC" w:rsidRPr="003571FD">
        <w:rPr>
          <w:rFonts w:ascii="Times New Roman" w:hAnsi="Times New Roman" w:cs="Times New Roman"/>
          <w:sz w:val="24"/>
        </w:rPr>
        <w:t xml:space="preserve">respond </w:t>
      </w:r>
      <w:r w:rsidR="001C22BF" w:rsidRPr="003571FD">
        <w:rPr>
          <w:rFonts w:ascii="Times New Roman" w:hAnsi="Times New Roman" w:cs="Times New Roman"/>
          <w:sz w:val="24"/>
        </w:rPr>
        <w:t>to sudden need</w:t>
      </w:r>
      <w:r w:rsidR="006166DC" w:rsidRPr="003571FD">
        <w:rPr>
          <w:rFonts w:ascii="Times New Roman" w:hAnsi="Times New Roman" w:cs="Times New Roman"/>
          <w:sz w:val="24"/>
        </w:rPr>
        <w:t>s</w:t>
      </w:r>
      <w:r w:rsidR="001C22BF" w:rsidRPr="003571FD">
        <w:rPr>
          <w:rFonts w:ascii="Times New Roman" w:hAnsi="Times New Roman" w:cs="Times New Roman"/>
          <w:sz w:val="24"/>
        </w:rPr>
        <w:t xml:space="preserve"> for cash, in particular </w:t>
      </w:r>
      <w:r w:rsidR="006166DC" w:rsidRPr="003571FD">
        <w:rPr>
          <w:rFonts w:ascii="Times New Roman" w:hAnsi="Times New Roman" w:cs="Times New Roman"/>
          <w:sz w:val="24"/>
        </w:rPr>
        <w:t>outside of the largest cities</w:t>
      </w:r>
      <w:r w:rsidR="001C22BF" w:rsidRPr="003571FD">
        <w:rPr>
          <w:rFonts w:ascii="Times New Roman" w:hAnsi="Times New Roman" w:cs="Times New Roman"/>
          <w:sz w:val="24"/>
        </w:rPr>
        <w:t xml:space="preserve">. </w:t>
      </w:r>
    </w:p>
    <w:p w:rsidR="00CA07A0" w:rsidRPr="003571FD" w:rsidRDefault="00CA07A0" w:rsidP="00CA07A0">
      <w:pPr>
        <w:pStyle w:val="ListParagraph"/>
        <w:spacing w:after="240"/>
        <w:ind w:left="0"/>
        <w:jc w:val="both"/>
        <w:rPr>
          <w:rFonts w:ascii="Times New Roman" w:hAnsi="Times New Roman" w:cs="Times New Roman"/>
          <w:b/>
          <w:sz w:val="24"/>
          <w:szCs w:val="24"/>
        </w:rPr>
      </w:pPr>
    </w:p>
    <w:p w:rsidR="00CA07A0" w:rsidRPr="003571FD" w:rsidRDefault="00CA07A0"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 xml:space="preserve">It should </w:t>
      </w:r>
      <w:r w:rsidR="00EA2764">
        <w:rPr>
          <w:rFonts w:ascii="Times New Roman" w:hAnsi="Times New Roman" w:cs="Times New Roman"/>
          <w:b/>
          <w:sz w:val="24"/>
          <w:szCs w:val="24"/>
        </w:rPr>
        <w:t xml:space="preserve">also </w:t>
      </w:r>
      <w:r w:rsidRPr="003571FD">
        <w:rPr>
          <w:rFonts w:ascii="Times New Roman" w:hAnsi="Times New Roman" w:cs="Times New Roman"/>
          <w:b/>
          <w:sz w:val="24"/>
          <w:szCs w:val="24"/>
        </w:rPr>
        <w:t xml:space="preserve">be noted that the changes in the institutional composition of the pensions system can have a temporary impact on liquidity in the financial system, if not well sequenced. </w:t>
      </w:r>
      <w:r w:rsidRPr="003571FD">
        <w:rPr>
          <w:rFonts w:ascii="Times New Roman" w:hAnsi="Times New Roman" w:cs="Times New Roman"/>
          <w:sz w:val="24"/>
        </w:rPr>
        <w:t>Deposits by the private pension funds amount to around 20 percent of bank deposits, and are in general concentrated in a few larger commercial banks. The pension funds will in the future be managed by a public administrator, which could trigger a transfer of savings and term deposits into the public sphere</w:t>
      </w:r>
      <w:r w:rsidRPr="003571FD">
        <w:rPr>
          <w:rStyle w:val="FootnoteReference"/>
          <w:rFonts w:ascii="Times New Roman" w:hAnsi="Times New Roman" w:cs="Times New Roman"/>
          <w:sz w:val="24"/>
        </w:rPr>
        <w:footnoteReference w:id="55"/>
      </w:r>
      <w:r w:rsidRPr="003571FD">
        <w:rPr>
          <w:rFonts w:ascii="Times New Roman" w:hAnsi="Times New Roman" w:cs="Times New Roman"/>
          <w:sz w:val="24"/>
        </w:rPr>
        <w:t xml:space="preserve">. This could lead to a re-shifting of liquid deposits from private commercial banks into the public </w:t>
      </w:r>
      <w:r w:rsidRPr="003571FD">
        <w:rPr>
          <w:rFonts w:ascii="Times New Roman" w:hAnsi="Times New Roman" w:cs="Times New Roman"/>
          <w:i/>
          <w:sz w:val="24"/>
        </w:rPr>
        <w:t>Banco Union</w:t>
      </w:r>
      <w:r w:rsidRPr="003571FD">
        <w:rPr>
          <w:rFonts w:ascii="Times New Roman" w:hAnsi="Times New Roman" w:cs="Times New Roman"/>
          <w:sz w:val="24"/>
        </w:rPr>
        <w:t xml:space="preserve">, and potentially trigger a temporary liquidity problem for the involved private banks during the transition if not sequenced appropriately. </w:t>
      </w:r>
    </w:p>
    <w:tbl>
      <w:tblPr>
        <w:tblStyle w:val="TableGrid"/>
        <w:tblW w:w="0" w:type="auto"/>
        <w:jc w:val="center"/>
        <w:shd w:val="clear" w:color="auto" w:fill="F2F2F2" w:themeFill="background1" w:themeFillShade="F2"/>
        <w:tblLook w:val="04A0" w:firstRow="1" w:lastRow="0" w:firstColumn="1" w:lastColumn="0" w:noHBand="0" w:noVBand="1"/>
      </w:tblPr>
      <w:tblGrid>
        <w:gridCol w:w="9486"/>
      </w:tblGrid>
      <w:tr w:rsidR="005E725F" w:rsidRPr="003571FD" w:rsidTr="00BC2FBF">
        <w:trPr>
          <w:trHeight w:val="4580"/>
          <w:jc w:val="center"/>
        </w:trPr>
        <w:tc>
          <w:tcPr>
            <w:tcW w:w="9486" w:type="dxa"/>
            <w:shd w:val="clear" w:color="auto" w:fill="F2F2F2" w:themeFill="background1" w:themeFillShade="F2"/>
          </w:tcPr>
          <w:p w:rsidR="005E725F" w:rsidRPr="003571FD" w:rsidRDefault="005E725F" w:rsidP="00B85837">
            <w:pPr>
              <w:pStyle w:val="Caption"/>
              <w:rPr>
                <w:rFonts w:ascii="Times New Roman" w:hAnsi="Times New Roman" w:cs="Times New Roman"/>
                <w:color w:val="auto"/>
                <w:szCs w:val="20"/>
              </w:rPr>
            </w:pPr>
          </w:p>
          <w:p w:rsidR="005E725F" w:rsidRPr="003571FD" w:rsidRDefault="005E725F" w:rsidP="005E725F">
            <w:pPr>
              <w:pStyle w:val="Caption"/>
              <w:rPr>
                <w:rFonts w:ascii="Times New Roman" w:hAnsi="Times New Roman" w:cs="Times New Roman"/>
                <w:color w:val="auto"/>
                <w:szCs w:val="20"/>
              </w:rPr>
            </w:pPr>
            <w:bookmarkStart w:id="40" w:name="_Toc312317341"/>
            <w:r w:rsidRPr="003571FD">
              <w:rPr>
                <w:rFonts w:ascii="Times New Roman" w:hAnsi="Times New Roman" w:cs="Times New Roman"/>
                <w:color w:val="auto"/>
                <w:szCs w:val="20"/>
              </w:rPr>
              <w:t xml:space="preserve">Text Box </w:t>
            </w:r>
            <w:r w:rsidR="005744EE" w:rsidRPr="003571FD">
              <w:rPr>
                <w:rFonts w:ascii="Times New Roman" w:hAnsi="Times New Roman" w:cs="Times New Roman"/>
                <w:color w:val="auto"/>
                <w:szCs w:val="20"/>
              </w:rPr>
              <w:fldChar w:fldCharType="begin"/>
            </w:r>
            <w:r w:rsidRPr="003571FD">
              <w:rPr>
                <w:rFonts w:ascii="Times New Roman" w:hAnsi="Times New Roman" w:cs="Times New Roman"/>
                <w:color w:val="auto"/>
                <w:szCs w:val="20"/>
              </w:rPr>
              <w:instrText xml:space="preserve"> SEQ Text_Box \* ARABIC </w:instrText>
            </w:r>
            <w:r w:rsidR="005744EE" w:rsidRPr="003571FD">
              <w:rPr>
                <w:rFonts w:ascii="Times New Roman" w:hAnsi="Times New Roman" w:cs="Times New Roman"/>
                <w:color w:val="auto"/>
                <w:szCs w:val="20"/>
              </w:rPr>
              <w:fldChar w:fldCharType="separate"/>
            </w:r>
            <w:r w:rsidR="00064A1B">
              <w:rPr>
                <w:rFonts w:ascii="Times New Roman" w:hAnsi="Times New Roman" w:cs="Times New Roman"/>
                <w:noProof/>
                <w:color w:val="auto"/>
                <w:szCs w:val="20"/>
              </w:rPr>
              <w:t>1</w:t>
            </w:r>
            <w:r w:rsidR="005744EE" w:rsidRPr="003571FD">
              <w:rPr>
                <w:rFonts w:ascii="Times New Roman" w:hAnsi="Times New Roman" w:cs="Times New Roman"/>
                <w:color w:val="auto"/>
                <w:szCs w:val="20"/>
              </w:rPr>
              <w:fldChar w:fldCharType="end"/>
            </w:r>
            <w:r w:rsidRPr="003571FD">
              <w:rPr>
                <w:rFonts w:ascii="Times New Roman" w:hAnsi="Times New Roman" w:cs="Times New Roman"/>
                <w:color w:val="auto"/>
                <w:szCs w:val="20"/>
              </w:rPr>
              <w:t>: Recent experiences with bank runs in Bolivia</w:t>
            </w:r>
            <w:bookmarkEnd w:id="40"/>
          </w:p>
          <w:p w:rsidR="005E725F" w:rsidRPr="003571FD" w:rsidRDefault="005E725F" w:rsidP="005E725F"/>
          <w:p w:rsidR="005E725F" w:rsidRPr="003571FD" w:rsidRDefault="005E725F" w:rsidP="005E725F">
            <w:pPr>
              <w:jc w:val="both"/>
              <w:rPr>
                <w:rFonts w:ascii="Times New Roman" w:hAnsi="Times New Roman" w:cs="Times New Roman"/>
                <w:sz w:val="20"/>
                <w:szCs w:val="20"/>
              </w:rPr>
            </w:pPr>
            <w:r w:rsidRPr="003571FD">
              <w:rPr>
                <w:rFonts w:ascii="Times New Roman" w:hAnsi="Times New Roman" w:cs="Times New Roman"/>
                <w:sz w:val="20"/>
                <w:szCs w:val="20"/>
              </w:rPr>
              <w:t xml:space="preserve">There have been two bank runs in the last year. Both runs were contained within 2-3 days given the overall solidity and high liquidity levels of the financial system, and measures taken by the Central Bank and </w:t>
            </w:r>
            <w:r w:rsidR="00D978AD" w:rsidRPr="003571FD">
              <w:rPr>
                <w:rFonts w:ascii="Times New Roman" w:hAnsi="Times New Roman" w:cs="Times New Roman"/>
                <w:sz w:val="20"/>
                <w:szCs w:val="20"/>
              </w:rPr>
              <w:t>ASFI.</w:t>
            </w:r>
          </w:p>
          <w:p w:rsidR="005E725F" w:rsidRPr="003571FD" w:rsidRDefault="005E725F" w:rsidP="005E725F">
            <w:pPr>
              <w:jc w:val="both"/>
              <w:rPr>
                <w:rFonts w:ascii="Times New Roman" w:hAnsi="Times New Roman" w:cs="Times New Roman"/>
                <w:sz w:val="20"/>
                <w:szCs w:val="20"/>
              </w:rPr>
            </w:pPr>
          </w:p>
          <w:p w:rsidR="005E725F" w:rsidRPr="003571FD" w:rsidRDefault="005E725F" w:rsidP="005E725F">
            <w:pPr>
              <w:jc w:val="both"/>
              <w:rPr>
                <w:rFonts w:ascii="Times New Roman" w:hAnsi="Times New Roman" w:cs="Times New Roman"/>
                <w:sz w:val="20"/>
                <w:szCs w:val="20"/>
              </w:rPr>
            </w:pPr>
            <w:r w:rsidRPr="003571FD">
              <w:rPr>
                <w:rFonts w:ascii="Times New Roman" w:hAnsi="Times New Roman" w:cs="Times New Roman"/>
                <w:sz w:val="20"/>
                <w:szCs w:val="20"/>
              </w:rPr>
              <w:t xml:space="preserve">The first was a brief run on one bank, after false rumors over the health of the institution surfaced. The other affected the entire financial system and was triggered by a variety of rumors in the context of the unrest that resulted by an increase in fuel prices, which leading to fears in the population over economic instability and a significant deterioration of the USD exchange rate. Overall, 3 percent of deposits were withdrawn at the end of December 2010, with a number of cooperatives, commercial banks and micro-finance institutions loosing up to 6 percent of their deposits in only 3 days. </w:t>
            </w:r>
          </w:p>
          <w:p w:rsidR="005E725F" w:rsidRPr="003571FD" w:rsidRDefault="005E725F" w:rsidP="005E725F">
            <w:pPr>
              <w:jc w:val="both"/>
              <w:rPr>
                <w:rFonts w:ascii="Times New Roman" w:hAnsi="Times New Roman" w:cs="Times New Roman"/>
                <w:sz w:val="20"/>
                <w:szCs w:val="20"/>
              </w:rPr>
            </w:pPr>
          </w:p>
          <w:p w:rsidR="005E725F" w:rsidRPr="003571FD" w:rsidRDefault="005E725F" w:rsidP="005E725F">
            <w:pPr>
              <w:jc w:val="both"/>
              <w:rPr>
                <w:rFonts w:ascii="Times New Roman" w:hAnsi="Times New Roman" w:cs="Times New Roman"/>
                <w:sz w:val="20"/>
                <w:szCs w:val="20"/>
              </w:rPr>
            </w:pPr>
            <w:r w:rsidRPr="003571FD">
              <w:rPr>
                <w:rFonts w:ascii="Times New Roman" w:hAnsi="Times New Roman" w:cs="Times New Roman"/>
                <w:sz w:val="20"/>
                <w:szCs w:val="20"/>
              </w:rPr>
              <w:t xml:space="preserve">Cooperatives, SLAs and finance companies that do not </w:t>
            </w:r>
            <w:r w:rsidR="006166DC" w:rsidRPr="003571FD">
              <w:rPr>
                <w:rFonts w:ascii="Times New Roman" w:hAnsi="Times New Roman" w:cs="Times New Roman"/>
                <w:sz w:val="20"/>
                <w:szCs w:val="20"/>
              </w:rPr>
              <w:t xml:space="preserve">directly </w:t>
            </w:r>
            <w:r w:rsidRPr="003571FD">
              <w:rPr>
                <w:rFonts w:ascii="Times New Roman" w:hAnsi="Times New Roman" w:cs="Times New Roman"/>
                <w:sz w:val="20"/>
                <w:szCs w:val="20"/>
              </w:rPr>
              <w:t xml:space="preserve">participate in the national payment system were particularly affected by this phenomenon, as they had to obtain liquidity through banks. The withdrawals mostly targeted </w:t>
            </w:r>
            <w:r w:rsidR="00D978AD" w:rsidRPr="003571FD">
              <w:rPr>
                <w:rFonts w:ascii="Times New Roman" w:hAnsi="Times New Roman" w:cs="Times New Roman"/>
                <w:sz w:val="20"/>
                <w:szCs w:val="20"/>
              </w:rPr>
              <w:t>USD</w:t>
            </w:r>
            <w:r w:rsidRPr="003571FD">
              <w:rPr>
                <w:rFonts w:ascii="Times New Roman" w:hAnsi="Times New Roman" w:cs="Times New Roman"/>
                <w:sz w:val="20"/>
                <w:szCs w:val="20"/>
              </w:rPr>
              <w:t xml:space="preserve"> deposits, with deposits in national currency seeing some increase and the overall number of depositors also remaining stable. Some of the deposits have in the meantime returned into the system, and no financial entity had to be intervened in as a result of the run.</w:t>
            </w:r>
          </w:p>
          <w:p w:rsidR="005E725F" w:rsidRPr="003571FD" w:rsidRDefault="005E725F" w:rsidP="00BC2FBF">
            <w:pPr>
              <w:jc w:val="both"/>
              <w:rPr>
                <w:rFonts w:ascii="Times New Roman" w:hAnsi="Times New Roman" w:cs="Times New Roman"/>
                <w:b/>
                <w:sz w:val="24"/>
                <w:szCs w:val="24"/>
              </w:rPr>
            </w:pPr>
          </w:p>
        </w:tc>
      </w:tr>
    </w:tbl>
    <w:p w:rsidR="00D978AD" w:rsidRPr="003571FD" w:rsidRDefault="00D978AD" w:rsidP="00D978AD">
      <w:pPr>
        <w:pStyle w:val="ListParagraph"/>
        <w:spacing w:after="240"/>
        <w:ind w:left="0"/>
        <w:jc w:val="both"/>
        <w:rPr>
          <w:rFonts w:ascii="Times New Roman" w:hAnsi="Times New Roman" w:cs="Times New Roman"/>
          <w:b/>
          <w:sz w:val="24"/>
          <w:szCs w:val="24"/>
        </w:rPr>
      </w:pPr>
    </w:p>
    <w:p w:rsidR="00556BC0" w:rsidRPr="003571FD" w:rsidRDefault="00556BC0" w:rsidP="00556BC0">
      <w:pPr>
        <w:jc w:val="both"/>
        <w:rPr>
          <w:rFonts w:ascii="Times New Roman" w:hAnsi="Times New Roman" w:cs="Times New Roman"/>
          <w:i/>
          <w:sz w:val="24"/>
          <w:szCs w:val="24"/>
        </w:rPr>
      </w:pPr>
      <w:r w:rsidRPr="003571FD">
        <w:rPr>
          <w:rFonts w:ascii="Times New Roman" w:hAnsi="Times New Roman" w:cs="Times New Roman"/>
          <w:i/>
          <w:sz w:val="24"/>
          <w:szCs w:val="24"/>
        </w:rPr>
        <w:t>Foreign exchange exposure</w:t>
      </w:r>
    </w:p>
    <w:p w:rsidR="00556BC0" w:rsidRPr="003571FD" w:rsidRDefault="00556BC0" w:rsidP="00556BC0">
      <w:pPr>
        <w:pStyle w:val="ListParagraph"/>
        <w:rPr>
          <w:rFonts w:ascii="Times New Roman" w:hAnsi="Times New Roman" w:cs="Times New Roman"/>
          <w:b/>
          <w:sz w:val="24"/>
          <w:szCs w:val="24"/>
        </w:rPr>
      </w:pPr>
    </w:p>
    <w:p w:rsidR="00CA07A0" w:rsidRPr="003571FD" w:rsidRDefault="001C22BF"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The reduction in dollarization levels of liabilities was matched by the reduction on the asset side, leaving the financial entities well within the limits for FX open positions determined by the regulatory framework</w:t>
      </w:r>
      <w:r w:rsidRPr="003571FD">
        <w:rPr>
          <w:rStyle w:val="FootnoteReference"/>
          <w:rFonts w:ascii="Times New Roman" w:hAnsi="Times New Roman" w:cs="Times New Roman"/>
          <w:b/>
          <w:sz w:val="24"/>
          <w:szCs w:val="24"/>
        </w:rPr>
        <w:footnoteReference w:id="56"/>
      </w:r>
      <w:r w:rsidRPr="003571FD">
        <w:rPr>
          <w:rFonts w:ascii="Times New Roman" w:hAnsi="Times New Roman" w:cs="Times New Roman"/>
          <w:sz w:val="24"/>
          <w:szCs w:val="24"/>
        </w:rPr>
        <w:t>. According to the IMF, the exchange rate adjusted share of dollarized credits dropped from a crisis-induced peak in 2002 of over 90 percent to 60 percent in 2010 - the sharpest drop in the region</w:t>
      </w:r>
      <w:r w:rsidR="00EB2F5F" w:rsidRPr="003571FD">
        <w:rPr>
          <w:rFonts w:ascii="Times New Roman" w:hAnsi="Times New Roman" w:cs="Times New Roman"/>
          <w:sz w:val="24"/>
          <w:szCs w:val="24"/>
        </w:rPr>
        <w:t xml:space="preserve"> (see Chart </w:t>
      </w:r>
      <w:r w:rsidR="00D978AD" w:rsidRPr="003571FD">
        <w:rPr>
          <w:rFonts w:ascii="Times New Roman" w:hAnsi="Times New Roman" w:cs="Times New Roman"/>
          <w:sz w:val="24"/>
          <w:szCs w:val="24"/>
        </w:rPr>
        <w:t>12</w:t>
      </w:r>
      <w:r w:rsidR="00EB2F5F" w:rsidRPr="003571FD">
        <w:rPr>
          <w:rFonts w:ascii="Times New Roman" w:hAnsi="Times New Roman" w:cs="Times New Roman"/>
          <w:sz w:val="24"/>
          <w:szCs w:val="24"/>
        </w:rPr>
        <w:t>)</w:t>
      </w:r>
      <w:r w:rsidRPr="003571FD">
        <w:rPr>
          <w:rFonts w:ascii="Times New Roman" w:hAnsi="Times New Roman" w:cs="Times New Roman"/>
          <w:sz w:val="24"/>
          <w:szCs w:val="24"/>
        </w:rPr>
        <w:t xml:space="preserve">. This is a positive development, and the government should be commended for this achievement. Yet, a significant share of credit to the private sector continues to be denominated in foreign currency, with particularly the smaller enterprises and individual households being unlikely to generate foreign currency related income. This </w:t>
      </w:r>
      <w:r w:rsidR="00EA2764">
        <w:rPr>
          <w:rFonts w:ascii="Times New Roman" w:hAnsi="Times New Roman" w:cs="Times New Roman"/>
          <w:sz w:val="24"/>
          <w:szCs w:val="24"/>
        </w:rPr>
        <w:t xml:space="preserve">leaves the borrowers vulnerable to exchange rate fluctuations, and could </w:t>
      </w:r>
      <w:r w:rsidRPr="003571FD">
        <w:rPr>
          <w:rFonts w:ascii="Times New Roman" w:hAnsi="Times New Roman" w:cs="Times New Roman"/>
          <w:sz w:val="24"/>
          <w:szCs w:val="24"/>
        </w:rPr>
        <w:t xml:space="preserve">create credit risk from </w:t>
      </w:r>
      <w:proofErr w:type="spellStart"/>
      <w:r w:rsidRPr="003571FD">
        <w:rPr>
          <w:rFonts w:ascii="Times New Roman" w:hAnsi="Times New Roman" w:cs="Times New Roman"/>
          <w:sz w:val="24"/>
          <w:szCs w:val="24"/>
        </w:rPr>
        <w:t>unhedged</w:t>
      </w:r>
      <w:proofErr w:type="spellEnd"/>
      <w:r w:rsidRPr="003571FD">
        <w:rPr>
          <w:rFonts w:ascii="Times New Roman" w:hAnsi="Times New Roman" w:cs="Times New Roman"/>
          <w:sz w:val="24"/>
          <w:szCs w:val="24"/>
        </w:rPr>
        <w:t xml:space="preserve"> borrowers, </w:t>
      </w:r>
      <w:r w:rsidR="00EA2764">
        <w:rPr>
          <w:rFonts w:ascii="Times New Roman" w:hAnsi="Times New Roman" w:cs="Times New Roman"/>
          <w:sz w:val="24"/>
          <w:szCs w:val="24"/>
        </w:rPr>
        <w:t>if the current appreciation of the Boliviano towards the US Dollar reverses. This w</w:t>
      </w:r>
      <w:r w:rsidRPr="003571FD">
        <w:rPr>
          <w:rFonts w:ascii="Times New Roman" w:hAnsi="Times New Roman" w:cs="Times New Roman"/>
          <w:sz w:val="24"/>
          <w:szCs w:val="24"/>
        </w:rPr>
        <w:t xml:space="preserve">ould particularly affect the microfinance institutions as they tend to cater to </w:t>
      </w:r>
      <w:r w:rsidR="00D978AD" w:rsidRPr="003571FD">
        <w:rPr>
          <w:rFonts w:ascii="Times New Roman" w:hAnsi="Times New Roman" w:cs="Times New Roman"/>
          <w:sz w:val="24"/>
          <w:szCs w:val="24"/>
        </w:rPr>
        <w:t>micro entrepreneurs</w:t>
      </w:r>
      <w:r w:rsidRPr="003571FD">
        <w:rPr>
          <w:rFonts w:ascii="Times New Roman" w:hAnsi="Times New Roman" w:cs="Times New Roman"/>
          <w:sz w:val="24"/>
          <w:szCs w:val="24"/>
        </w:rPr>
        <w:t xml:space="preserve"> with limited foreign exchange related incomes. </w:t>
      </w:r>
    </w:p>
    <w:p w:rsidR="00CA07A0" w:rsidRPr="003571FD" w:rsidRDefault="00CA07A0" w:rsidP="00CA07A0">
      <w:pPr>
        <w:pStyle w:val="ListParagraph"/>
        <w:spacing w:after="240"/>
        <w:ind w:left="0"/>
        <w:jc w:val="both"/>
        <w:rPr>
          <w:rFonts w:ascii="Times New Roman" w:hAnsi="Times New Roman" w:cs="Times New Roman"/>
          <w:b/>
          <w:sz w:val="24"/>
          <w:szCs w:val="24"/>
        </w:rPr>
      </w:pPr>
    </w:p>
    <w:p w:rsidR="00CA07A0" w:rsidRPr="003571FD" w:rsidRDefault="00844A74" w:rsidP="00CA07A0">
      <w:pPr>
        <w:pStyle w:val="ListParagraph"/>
        <w:numPr>
          <w:ilvl w:val="0"/>
          <w:numId w:val="8"/>
        </w:numPr>
        <w:spacing w:after="240"/>
        <w:jc w:val="both"/>
        <w:rPr>
          <w:rFonts w:ascii="Times New Roman" w:hAnsi="Times New Roman" w:cs="Times New Roman"/>
          <w:sz w:val="24"/>
          <w:szCs w:val="24"/>
        </w:rPr>
      </w:pPr>
      <w:r>
        <w:rPr>
          <w:rFonts w:ascii="Times New Roman" w:hAnsi="Times New Roman" w:cs="Times New Roman"/>
          <w:b/>
          <w:sz w:val="24"/>
          <w:szCs w:val="24"/>
        </w:rPr>
        <w:t>On the medium to longer term, t</w:t>
      </w:r>
      <w:r w:rsidR="00CA07A0" w:rsidRPr="003571FD">
        <w:rPr>
          <w:rFonts w:ascii="Times New Roman" w:hAnsi="Times New Roman" w:cs="Times New Roman"/>
          <w:b/>
          <w:sz w:val="24"/>
          <w:szCs w:val="24"/>
        </w:rPr>
        <w:t xml:space="preserve">he government might want to consider eliminating </w:t>
      </w:r>
      <w:r>
        <w:rPr>
          <w:rFonts w:ascii="Times New Roman" w:hAnsi="Times New Roman" w:cs="Times New Roman"/>
          <w:b/>
          <w:sz w:val="24"/>
          <w:szCs w:val="24"/>
        </w:rPr>
        <w:t xml:space="preserve">the </w:t>
      </w:r>
      <w:r w:rsidR="00CA07A0" w:rsidRPr="003571FD">
        <w:rPr>
          <w:rFonts w:ascii="Times New Roman" w:hAnsi="Times New Roman" w:cs="Times New Roman"/>
          <w:b/>
          <w:sz w:val="24"/>
          <w:szCs w:val="24"/>
        </w:rPr>
        <w:t>recently introduced limits on total foreign investments as a share of capital</w:t>
      </w:r>
      <w:r w:rsidR="00CA07A0" w:rsidRPr="003571FD">
        <w:rPr>
          <w:rFonts w:ascii="Times New Roman" w:hAnsi="Times New Roman" w:cs="Times New Roman"/>
          <w:sz w:val="24"/>
          <w:szCs w:val="24"/>
        </w:rPr>
        <w:t>, as this limits the sector’s options for portfolio diversification and management of FX positions</w:t>
      </w:r>
      <w:r>
        <w:rPr>
          <w:rFonts w:ascii="Times New Roman" w:hAnsi="Times New Roman" w:cs="Times New Roman"/>
          <w:sz w:val="24"/>
          <w:szCs w:val="24"/>
        </w:rPr>
        <w:t>.</w:t>
      </w:r>
      <w:r>
        <w:rPr>
          <w:rStyle w:val="FootnoteReference"/>
          <w:rFonts w:ascii="Times New Roman" w:hAnsi="Times New Roman" w:cs="Times New Roman"/>
          <w:sz w:val="24"/>
          <w:szCs w:val="24"/>
        </w:rPr>
        <w:t>.</w:t>
      </w:r>
      <w:r w:rsidR="00781E2F" w:rsidRPr="00781E2F">
        <w:rPr>
          <w:rFonts w:ascii="Times New Roman" w:hAnsi="Times New Roman" w:cs="Times New Roman"/>
          <w:sz w:val="24"/>
          <w:szCs w:val="24"/>
        </w:rPr>
        <w:t xml:space="preserve">The limits were introduced by the government to </w:t>
      </w:r>
      <w:r w:rsidR="00573C10">
        <w:rPr>
          <w:rFonts w:ascii="Times New Roman" w:hAnsi="Times New Roman" w:cs="Times New Roman"/>
          <w:sz w:val="24"/>
          <w:szCs w:val="24"/>
        </w:rPr>
        <w:t>reduce</w:t>
      </w:r>
      <w:r w:rsidR="00781E2F" w:rsidRPr="00781E2F">
        <w:rPr>
          <w:rFonts w:ascii="Times New Roman" w:hAnsi="Times New Roman" w:cs="Times New Roman"/>
          <w:sz w:val="24"/>
          <w:szCs w:val="24"/>
        </w:rPr>
        <w:t xml:space="preserve"> the exposure of the financial system to developments on the international markets, and also to stimulate the internal credit market from the supply side.</w:t>
      </w:r>
      <w:r w:rsidR="00D76DE9">
        <w:rPr>
          <w:rFonts w:ascii="Times New Roman" w:hAnsi="Times New Roman" w:cs="Times New Roman"/>
          <w:sz w:val="24"/>
          <w:szCs w:val="24"/>
        </w:rPr>
        <w:t xml:space="preserve"> While these measures have in the current situation been successful in shielding the financial system from some of the </w:t>
      </w:r>
      <w:r w:rsidR="00573C10">
        <w:rPr>
          <w:rFonts w:ascii="Times New Roman" w:hAnsi="Times New Roman" w:cs="Times New Roman"/>
          <w:sz w:val="24"/>
          <w:szCs w:val="24"/>
        </w:rPr>
        <w:t xml:space="preserve">international developments, </w:t>
      </w:r>
      <w:r w:rsidR="00D76DE9">
        <w:rPr>
          <w:rFonts w:ascii="Times New Roman" w:hAnsi="Times New Roman" w:cs="Times New Roman"/>
          <w:sz w:val="24"/>
          <w:szCs w:val="24"/>
        </w:rPr>
        <w:t xml:space="preserve">credit </w:t>
      </w:r>
      <w:r w:rsidR="00573C10">
        <w:rPr>
          <w:rFonts w:ascii="Times New Roman" w:hAnsi="Times New Roman" w:cs="Times New Roman"/>
          <w:sz w:val="24"/>
          <w:szCs w:val="24"/>
        </w:rPr>
        <w:t xml:space="preserve">growth </w:t>
      </w:r>
      <w:r w:rsidR="00D76DE9">
        <w:rPr>
          <w:rFonts w:ascii="Times New Roman" w:hAnsi="Times New Roman" w:cs="Times New Roman"/>
          <w:sz w:val="24"/>
          <w:szCs w:val="24"/>
        </w:rPr>
        <w:t xml:space="preserve">hinges on a </w:t>
      </w:r>
      <w:r w:rsidR="00D76DE9">
        <w:rPr>
          <w:rFonts w:ascii="Times New Roman" w:hAnsi="Times New Roman" w:cs="Times New Roman"/>
          <w:sz w:val="24"/>
          <w:szCs w:val="24"/>
        </w:rPr>
        <w:lastRenderedPageBreak/>
        <w:t>number of other demand and supply side aspects</w:t>
      </w:r>
      <w:r w:rsidR="00CF131E">
        <w:rPr>
          <w:rFonts w:ascii="Times New Roman" w:hAnsi="Times New Roman" w:cs="Times New Roman"/>
          <w:sz w:val="24"/>
          <w:szCs w:val="24"/>
        </w:rPr>
        <w:t xml:space="preserve"> which are posing barriers to growth (See Chapter 6)</w:t>
      </w:r>
      <w:r w:rsidR="00573C10">
        <w:rPr>
          <w:rFonts w:ascii="Times New Roman" w:hAnsi="Times New Roman" w:cs="Times New Roman"/>
          <w:sz w:val="24"/>
          <w:szCs w:val="24"/>
        </w:rPr>
        <w:t xml:space="preserve">. Thus, the restrictions will likely only have a marginal effect on credit growth, but </w:t>
      </w:r>
      <w:r w:rsidR="00CF131E">
        <w:rPr>
          <w:rFonts w:ascii="Times New Roman" w:hAnsi="Times New Roman" w:cs="Times New Roman"/>
          <w:sz w:val="24"/>
          <w:szCs w:val="24"/>
        </w:rPr>
        <w:t xml:space="preserve">limit the entities’ potential to diversify sources of income and sustain lower lending rates. </w:t>
      </w:r>
    </w:p>
    <w:p w:rsidR="00EF773C" w:rsidRPr="003571FD" w:rsidRDefault="00EF773C" w:rsidP="00CA07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401260" w:rsidRPr="003571FD">
        <w:tc>
          <w:tcPr>
            <w:tcW w:w="9576" w:type="dxa"/>
            <w:gridSpan w:val="2"/>
          </w:tcPr>
          <w:p w:rsidR="00401260" w:rsidRPr="003571FD" w:rsidRDefault="00401260" w:rsidP="00401260">
            <w:pPr>
              <w:pStyle w:val="Caption"/>
              <w:keepNext/>
              <w:rPr>
                <w:rFonts w:ascii="Times New Roman" w:hAnsi="Times New Roman" w:cs="Times New Roman"/>
                <w:sz w:val="24"/>
                <w:szCs w:val="24"/>
              </w:rPr>
            </w:pPr>
            <w:bookmarkStart w:id="41" w:name="_Toc312317278"/>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12</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Foreign exchange exposure of balance sheet – by type of financial entity and international comparison</w:t>
            </w:r>
            <w:bookmarkEnd w:id="41"/>
          </w:p>
        </w:tc>
      </w:tr>
      <w:tr w:rsidR="00401260" w:rsidRPr="003571FD">
        <w:tc>
          <w:tcPr>
            <w:tcW w:w="4788" w:type="dxa"/>
          </w:tcPr>
          <w:p w:rsidR="00401260" w:rsidRPr="003571FD" w:rsidRDefault="00CD7ED8" w:rsidP="00401260">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524000"/>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2895600" cy="1524000"/>
                          </a:xfrm>
                          <a:prstGeom prst="rect">
                            <a:avLst/>
                          </a:prstGeom>
                          <a:noFill/>
                          <a:ln w="9525">
                            <a:noFill/>
                            <a:miter lim="800000"/>
                            <a:headEnd/>
                            <a:tailEnd/>
                          </a:ln>
                        </pic:spPr>
                      </pic:pic>
                    </a:graphicData>
                  </a:graphic>
                </wp:inline>
              </w:drawing>
            </w:r>
          </w:p>
        </w:tc>
        <w:tc>
          <w:tcPr>
            <w:tcW w:w="4788" w:type="dxa"/>
          </w:tcPr>
          <w:p w:rsidR="00401260" w:rsidRPr="003571FD" w:rsidRDefault="00CD7ED8" w:rsidP="00401260">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4307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r>
      <w:tr w:rsidR="00401260" w:rsidRPr="003571FD">
        <w:tc>
          <w:tcPr>
            <w:tcW w:w="9576" w:type="dxa"/>
            <w:gridSpan w:val="2"/>
          </w:tcPr>
          <w:p w:rsidR="00401260" w:rsidRPr="003571FD" w:rsidRDefault="00401260" w:rsidP="00401260">
            <w:pPr>
              <w:rPr>
                <w:rFonts w:ascii="Times New Roman" w:hAnsi="Times New Roman" w:cs="Times New Roman"/>
                <w:i/>
                <w:noProof/>
                <w:sz w:val="24"/>
                <w:szCs w:val="24"/>
              </w:rPr>
            </w:pPr>
            <w:r w:rsidRPr="003571FD">
              <w:rPr>
                <w:rFonts w:ascii="Times New Roman" w:hAnsi="Times New Roman" w:cs="Times New Roman"/>
                <w:i/>
                <w:noProof/>
                <w:sz w:val="18"/>
                <w:szCs w:val="24"/>
              </w:rPr>
              <w:t>Source: ASFI and World Bank’s own calculation</w:t>
            </w:r>
            <w:r w:rsidR="009D7478" w:rsidRPr="003571FD">
              <w:rPr>
                <w:rFonts w:ascii="Times New Roman" w:hAnsi="Times New Roman" w:cs="Times New Roman"/>
                <w:i/>
                <w:noProof/>
                <w:sz w:val="18"/>
                <w:szCs w:val="24"/>
              </w:rPr>
              <w:t>s, which include entire formal systems.</w:t>
            </w:r>
          </w:p>
        </w:tc>
      </w:tr>
    </w:tbl>
    <w:p w:rsidR="00634D54" w:rsidRPr="003571FD" w:rsidRDefault="00634D54">
      <w:pPr>
        <w:rPr>
          <w:rFonts w:ascii="Times New Roman" w:hAnsi="Times New Roman" w:cs="Times New Roman"/>
          <w:i/>
          <w:sz w:val="24"/>
          <w:szCs w:val="24"/>
        </w:rPr>
      </w:pPr>
    </w:p>
    <w:p w:rsidR="00EF773C" w:rsidRPr="003571FD" w:rsidRDefault="001C22BF" w:rsidP="00EF773C">
      <w:pPr>
        <w:jc w:val="both"/>
        <w:rPr>
          <w:rFonts w:ascii="Times New Roman" w:hAnsi="Times New Roman" w:cs="Times New Roman"/>
          <w:i/>
          <w:sz w:val="24"/>
          <w:szCs w:val="24"/>
        </w:rPr>
      </w:pPr>
      <w:r w:rsidRPr="003571FD">
        <w:rPr>
          <w:rFonts w:ascii="Times New Roman" w:hAnsi="Times New Roman" w:cs="Times New Roman"/>
          <w:i/>
          <w:sz w:val="24"/>
          <w:szCs w:val="24"/>
        </w:rPr>
        <w:t>Credit related indicators</w:t>
      </w:r>
    </w:p>
    <w:p w:rsidR="00904F6D"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Non-performing loans (NPLs) in all types of financial institutions have shown a downward trend over the last few years, bringing the NPL</w:t>
      </w:r>
      <w:r w:rsidR="008A6979" w:rsidRPr="003571FD">
        <w:rPr>
          <w:rFonts w:ascii="Times New Roman" w:hAnsi="Times New Roman" w:cs="Times New Roman"/>
          <w:b/>
          <w:sz w:val="24"/>
          <w:szCs w:val="24"/>
        </w:rPr>
        <w:t>s</w:t>
      </w:r>
      <w:r w:rsidRPr="003571FD">
        <w:rPr>
          <w:rFonts w:ascii="Times New Roman" w:hAnsi="Times New Roman" w:cs="Times New Roman"/>
          <w:b/>
          <w:sz w:val="24"/>
          <w:szCs w:val="24"/>
        </w:rPr>
        <w:t xml:space="preserve"> in line with international comparison</w:t>
      </w:r>
      <w:r w:rsidR="00706E28" w:rsidRPr="003571FD">
        <w:rPr>
          <w:rFonts w:ascii="Times New Roman" w:hAnsi="Times New Roman" w:cs="Times New Roman"/>
          <w:b/>
          <w:sz w:val="24"/>
          <w:szCs w:val="24"/>
        </w:rPr>
        <w:t xml:space="preserve"> (see Chart 13)</w:t>
      </w:r>
      <w:r w:rsidRPr="003571FD">
        <w:rPr>
          <w:rFonts w:ascii="Times New Roman" w:hAnsi="Times New Roman" w:cs="Times New Roman"/>
          <w:sz w:val="24"/>
          <w:szCs w:val="24"/>
        </w:rPr>
        <w:t xml:space="preserve">. Regarding the institutional distribution of NPLs, the strongly diversified finance companies and MFI banks continue to show the lowest level of non-performing loans with around 1 percent, while </w:t>
      </w:r>
      <w:r w:rsidR="00BD238B" w:rsidRPr="003571FD">
        <w:rPr>
          <w:rFonts w:ascii="Times New Roman" w:hAnsi="Times New Roman" w:cs="Times New Roman"/>
          <w:sz w:val="24"/>
          <w:szCs w:val="24"/>
        </w:rPr>
        <w:t>a number of other financial entities</w:t>
      </w:r>
      <w:r w:rsidRPr="003571FD">
        <w:rPr>
          <w:rFonts w:ascii="Times New Roman" w:hAnsi="Times New Roman" w:cs="Times New Roman"/>
          <w:sz w:val="24"/>
          <w:szCs w:val="24"/>
        </w:rPr>
        <w:t xml:space="preserve"> still report ratios of 4 and higher due to past engagements in combination with a higher level of borrower and sectoral concentration</w:t>
      </w:r>
      <w:r w:rsidRPr="003571FD">
        <w:rPr>
          <w:rStyle w:val="FootnoteReference"/>
          <w:rFonts w:ascii="Times New Roman" w:hAnsi="Times New Roman" w:cs="Times New Roman"/>
          <w:sz w:val="24"/>
          <w:szCs w:val="24"/>
        </w:rPr>
        <w:footnoteReference w:id="57"/>
      </w:r>
      <w:r w:rsidRPr="003571FD">
        <w:rPr>
          <w:rFonts w:ascii="Times New Roman" w:hAnsi="Times New Roman" w:cs="Times New Roman"/>
          <w:sz w:val="24"/>
          <w:szCs w:val="24"/>
        </w:rPr>
        <w:t xml:space="preserve">. </w:t>
      </w:r>
      <w:r w:rsidR="0093088C" w:rsidRPr="003571FD">
        <w:rPr>
          <w:rFonts w:ascii="Times New Roman" w:hAnsi="Times New Roman" w:cs="Times New Roman"/>
          <w:sz w:val="24"/>
          <w:szCs w:val="24"/>
        </w:rPr>
        <w:t xml:space="preserve">As will be detailed in Chapter 6, </w:t>
      </w:r>
      <w:r w:rsidR="008B31D0" w:rsidRPr="003571FD">
        <w:rPr>
          <w:rFonts w:ascii="Times New Roman" w:hAnsi="Times New Roman" w:cs="Times New Roman"/>
          <w:sz w:val="24"/>
          <w:szCs w:val="24"/>
        </w:rPr>
        <w:t xml:space="preserve">the level of </w:t>
      </w:r>
      <w:r w:rsidR="0093088C" w:rsidRPr="003571FD">
        <w:rPr>
          <w:rFonts w:ascii="Times New Roman" w:hAnsi="Times New Roman" w:cs="Times New Roman"/>
          <w:sz w:val="24"/>
          <w:szCs w:val="24"/>
        </w:rPr>
        <w:t xml:space="preserve">NPLs for productive loans </w:t>
      </w:r>
      <w:r w:rsidR="008B31D0" w:rsidRPr="003571FD">
        <w:rPr>
          <w:rFonts w:ascii="Times New Roman" w:hAnsi="Times New Roman" w:cs="Times New Roman"/>
          <w:sz w:val="24"/>
          <w:szCs w:val="24"/>
        </w:rPr>
        <w:t xml:space="preserve">continued to be </w:t>
      </w:r>
      <w:r w:rsidR="0093088C" w:rsidRPr="003571FD">
        <w:rPr>
          <w:rFonts w:ascii="Times New Roman" w:hAnsi="Times New Roman" w:cs="Times New Roman"/>
          <w:sz w:val="24"/>
          <w:szCs w:val="24"/>
        </w:rPr>
        <w:t xml:space="preserve">higher than those </w:t>
      </w:r>
      <w:r w:rsidR="008B31D0" w:rsidRPr="003571FD">
        <w:rPr>
          <w:rFonts w:ascii="Times New Roman" w:hAnsi="Times New Roman" w:cs="Times New Roman"/>
          <w:sz w:val="24"/>
          <w:szCs w:val="24"/>
        </w:rPr>
        <w:t>shown by</w:t>
      </w:r>
      <w:r w:rsidR="0093088C" w:rsidRPr="003571FD">
        <w:rPr>
          <w:rFonts w:ascii="Times New Roman" w:hAnsi="Times New Roman" w:cs="Times New Roman"/>
          <w:sz w:val="24"/>
          <w:szCs w:val="24"/>
        </w:rPr>
        <w:t xml:space="preserve"> the loan portfolios granted for commerce or services</w:t>
      </w:r>
      <w:r w:rsidR="008B31D0" w:rsidRPr="003571FD">
        <w:rPr>
          <w:rFonts w:ascii="Times New Roman" w:hAnsi="Times New Roman" w:cs="Times New Roman"/>
          <w:sz w:val="24"/>
          <w:szCs w:val="24"/>
        </w:rPr>
        <w:t>, although showing signs of improvement</w:t>
      </w:r>
      <w:r w:rsidR="005C7066" w:rsidRPr="003571FD">
        <w:rPr>
          <w:rFonts w:ascii="Times New Roman" w:hAnsi="Times New Roman" w:cs="Times New Roman"/>
          <w:sz w:val="24"/>
          <w:szCs w:val="24"/>
        </w:rPr>
        <w:t>.</w:t>
      </w:r>
      <w:r w:rsidR="005C7066" w:rsidRPr="003571FD">
        <w:rPr>
          <w:rStyle w:val="FootnoteReference"/>
          <w:rFonts w:ascii="Times New Roman" w:hAnsi="Times New Roman" w:cs="Times New Roman"/>
          <w:sz w:val="24"/>
          <w:szCs w:val="24"/>
        </w:rPr>
        <w:footnoteReference w:id="58"/>
      </w:r>
    </w:p>
    <w:p w:rsidR="00904F6D" w:rsidRPr="003571FD" w:rsidRDefault="00904F6D" w:rsidP="00904F6D">
      <w:pPr>
        <w:pStyle w:val="ListParagraph"/>
        <w:ind w:left="360"/>
        <w:jc w:val="both"/>
        <w:rPr>
          <w:rFonts w:ascii="Times New Roman" w:hAnsi="Times New Roman" w:cs="Times New Roman"/>
          <w:sz w:val="24"/>
          <w:szCs w:val="24"/>
        </w:rPr>
      </w:pPr>
    </w:p>
    <w:p w:rsidR="00EF773C" w:rsidRPr="003571FD" w:rsidRDefault="001C22B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Most financial entities have used the solid profitability over the last few years to stock up their levels of provisioning</w:t>
      </w:r>
      <w:r w:rsidRPr="003571FD">
        <w:rPr>
          <w:rFonts w:ascii="Times New Roman" w:hAnsi="Times New Roman" w:cs="Times New Roman"/>
          <w:sz w:val="24"/>
          <w:szCs w:val="24"/>
        </w:rPr>
        <w:t>. Supported also by enhanced risk-based supervision, coverage levels increased from between 60-100 percent in 2005 to well over 100 percent for all types of financial entities, and for the system as such are now adequate. However, a few of the commercial ban</w:t>
      </w:r>
      <w:r w:rsidR="00B41D2B" w:rsidRPr="003571FD">
        <w:rPr>
          <w:rFonts w:ascii="Times New Roman" w:hAnsi="Times New Roman" w:cs="Times New Roman"/>
          <w:sz w:val="24"/>
          <w:szCs w:val="24"/>
        </w:rPr>
        <w:t xml:space="preserve">ks and some of the larger SLAs </w:t>
      </w:r>
      <w:r w:rsidRPr="003571FD">
        <w:rPr>
          <w:rFonts w:ascii="Times New Roman" w:hAnsi="Times New Roman" w:cs="Times New Roman"/>
          <w:sz w:val="24"/>
          <w:szCs w:val="24"/>
        </w:rPr>
        <w:t>show</w:t>
      </w:r>
      <w:r w:rsidR="00B41D2B"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insufficient levels of coverage </w:t>
      </w:r>
      <w:r w:rsidR="00B41D2B" w:rsidRPr="003571FD">
        <w:rPr>
          <w:rFonts w:ascii="Times New Roman" w:hAnsi="Times New Roman" w:cs="Times New Roman"/>
          <w:sz w:val="24"/>
          <w:szCs w:val="24"/>
        </w:rPr>
        <w:t>if</w:t>
      </w:r>
      <w:r w:rsidRPr="003571FD">
        <w:rPr>
          <w:rFonts w:ascii="Times New Roman" w:hAnsi="Times New Roman" w:cs="Times New Roman"/>
          <w:sz w:val="24"/>
          <w:szCs w:val="24"/>
        </w:rPr>
        <w:t xml:space="preserve"> based on the risk classification of borrowers and not on the actual non-performing loans.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DF3B7A" w:rsidRPr="003571FD">
        <w:tc>
          <w:tcPr>
            <w:tcW w:w="9576" w:type="dxa"/>
            <w:gridSpan w:val="2"/>
          </w:tcPr>
          <w:p w:rsidR="00DF3B7A" w:rsidRPr="003571FD" w:rsidRDefault="00DF3B7A" w:rsidP="00DF3B7A">
            <w:pPr>
              <w:pStyle w:val="Caption"/>
              <w:keepNext/>
              <w:rPr>
                <w:rFonts w:ascii="Times New Roman" w:hAnsi="Times New Roman" w:cs="Times New Roman"/>
                <w:sz w:val="24"/>
                <w:szCs w:val="24"/>
              </w:rPr>
            </w:pPr>
            <w:bookmarkStart w:id="42" w:name="_Toc312317279"/>
            <w:r w:rsidRPr="003571FD">
              <w:rPr>
                <w:rFonts w:ascii="Times New Roman" w:hAnsi="Times New Roman" w:cs="Times New Roman"/>
                <w:color w:val="auto"/>
              </w:rPr>
              <w:lastRenderedPageBreak/>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13</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Non-performing loans and provisioning levels by type of institutions</w:t>
            </w:r>
            <w:r w:rsidR="00912A23" w:rsidRPr="003571FD">
              <w:rPr>
                <w:rStyle w:val="FootnoteReference"/>
                <w:rFonts w:ascii="Times New Roman" w:hAnsi="Times New Roman" w:cs="Times New Roman"/>
                <w:color w:val="auto"/>
              </w:rPr>
              <w:footnoteReference w:id="59"/>
            </w:r>
            <w:r w:rsidRPr="003571FD">
              <w:rPr>
                <w:rFonts w:ascii="Times New Roman" w:hAnsi="Times New Roman" w:cs="Times New Roman"/>
                <w:color w:val="auto"/>
              </w:rPr>
              <w:t xml:space="preserve"> and international comparison</w:t>
            </w:r>
            <w:bookmarkEnd w:id="42"/>
          </w:p>
        </w:tc>
      </w:tr>
      <w:tr w:rsidR="00DF3B7A" w:rsidRPr="003571FD">
        <w:tc>
          <w:tcPr>
            <w:tcW w:w="4788" w:type="dxa"/>
          </w:tcPr>
          <w:p w:rsidR="00DF3B7A" w:rsidRPr="003571FD" w:rsidRDefault="009D7478" w:rsidP="00DF3B7A">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4307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c>
          <w:tcPr>
            <w:tcW w:w="4788" w:type="dxa"/>
          </w:tcPr>
          <w:p w:rsidR="00DF3B7A" w:rsidRPr="003571FD" w:rsidRDefault="009D7478" w:rsidP="00DF3B7A">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905125" cy="1819275"/>
                  <wp:effectExtent l="19050" t="0" r="952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905125" cy="1819275"/>
                          </a:xfrm>
                          <a:prstGeom prst="rect">
                            <a:avLst/>
                          </a:prstGeom>
                          <a:noFill/>
                          <a:ln w="9525">
                            <a:noFill/>
                            <a:miter lim="800000"/>
                            <a:headEnd/>
                            <a:tailEnd/>
                          </a:ln>
                        </pic:spPr>
                      </pic:pic>
                    </a:graphicData>
                  </a:graphic>
                </wp:inline>
              </w:drawing>
            </w:r>
          </w:p>
        </w:tc>
      </w:tr>
      <w:tr w:rsidR="00DF3B7A" w:rsidRPr="003571FD">
        <w:tc>
          <w:tcPr>
            <w:tcW w:w="9576" w:type="dxa"/>
            <w:gridSpan w:val="2"/>
          </w:tcPr>
          <w:p w:rsidR="00DF3B7A" w:rsidRPr="003571FD" w:rsidRDefault="00DF3B7A" w:rsidP="00151277">
            <w:pPr>
              <w:rPr>
                <w:rFonts w:ascii="Times New Roman" w:hAnsi="Times New Roman" w:cs="Times New Roman"/>
                <w:i/>
                <w:noProof/>
                <w:sz w:val="24"/>
                <w:szCs w:val="24"/>
              </w:rPr>
            </w:pPr>
            <w:r w:rsidRPr="003571FD">
              <w:rPr>
                <w:rFonts w:ascii="Times New Roman" w:hAnsi="Times New Roman" w:cs="Times New Roman"/>
                <w:i/>
                <w:noProof/>
                <w:sz w:val="18"/>
                <w:szCs w:val="24"/>
              </w:rPr>
              <w:t xml:space="preserve">Source: </w:t>
            </w:r>
            <w:r w:rsidR="007A5B30" w:rsidRPr="003571FD">
              <w:rPr>
                <w:rFonts w:ascii="Times New Roman" w:hAnsi="Times New Roman" w:cs="Times New Roman"/>
                <w:i/>
                <w:noProof/>
                <w:sz w:val="18"/>
                <w:szCs w:val="24"/>
              </w:rPr>
              <w:t>Source: IMF Global Financial Stability Report</w:t>
            </w:r>
            <w:r w:rsidR="00E17736" w:rsidRPr="003571FD">
              <w:rPr>
                <w:rFonts w:ascii="Times New Roman" w:hAnsi="Times New Roman" w:cs="Times New Roman"/>
                <w:i/>
                <w:noProof/>
                <w:sz w:val="18"/>
                <w:szCs w:val="24"/>
              </w:rPr>
              <w:t>, ASFI</w:t>
            </w:r>
            <w:r w:rsidR="00B07DFB" w:rsidRPr="003571FD">
              <w:rPr>
                <w:rFonts w:ascii="Times New Roman" w:hAnsi="Times New Roman" w:cs="Times New Roman"/>
                <w:i/>
                <w:noProof/>
                <w:sz w:val="18"/>
                <w:szCs w:val="24"/>
              </w:rPr>
              <w:t xml:space="preserve"> </w:t>
            </w:r>
            <w:r w:rsidR="007A5B30" w:rsidRPr="003571FD">
              <w:rPr>
                <w:rFonts w:ascii="Times New Roman" w:hAnsi="Times New Roman" w:cs="Times New Roman"/>
                <w:i/>
                <w:noProof/>
                <w:sz w:val="18"/>
                <w:szCs w:val="24"/>
              </w:rPr>
              <w:t>and World Bank’s own calculations</w:t>
            </w:r>
            <w:r w:rsidR="00151277" w:rsidRPr="003571FD">
              <w:rPr>
                <w:rFonts w:ascii="Times New Roman" w:hAnsi="Times New Roman" w:cs="Times New Roman"/>
                <w:i/>
                <w:noProof/>
                <w:sz w:val="18"/>
                <w:szCs w:val="24"/>
              </w:rPr>
              <w:t xml:space="preserve"> (first chart for banks only)</w:t>
            </w:r>
          </w:p>
        </w:tc>
      </w:tr>
    </w:tbl>
    <w:p w:rsidR="00E17736" w:rsidRPr="003571FD" w:rsidRDefault="00E17736" w:rsidP="00046BEF">
      <w:pPr>
        <w:spacing w:after="0" w:line="240" w:lineRule="auto"/>
        <w:jc w:val="both"/>
        <w:rPr>
          <w:rFonts w:ascii="Times New Roman" w:hAnsi="Times New Roman" w:cs="Times New Roman"/>
          <w:b/>
          <w:sz w:val="24"/>
          <w:szCs w:val="24"/>
        </w:rPr>
      </w:pPr>
    </w:p>
    <w:p w:rsidR="00EF773C" w:rsidRPr="003571FD" w:rsidRDefault="001C22BF" w:rsidP="00046BEF">
      <w:pPr>
        <w:pStyle w:val="ListParagraph"/>
        <w:numPr>
          <w:ilvl w:val="0"/>
          <w:numId w:val="8"/>
        </w:numPr>
        <w:spacing w:after="0" w:line="240" w:lineRule="auto"/>
        <w:jc w:val="both"/>
        <w:rPr>
          <w:rFonts w:ascii="Times New Roman" w:hAnsi="Times New Roman" w:cs="Times New Roman"/>
          <w:b/>
          <w:sz w:val="24"/>
          <w:szCs w:val="24"/>
        </w:rPr>
      </w:pPr>
      <w:r w:rsidRPr="003571FD">
        <w:rPr>
          <w:rFonts w:ascii="Times New Roman" w:hAnsi="Times New Roman" w:cs="Times New Roman"/>
          <w:b/>
          <w:sz w:val="24"/>
          <w:szCs w:val="24"/>
        </w:rPr>
        <w:t>Going forward, lending standards should be carefully monitored to prevent over-indebtedness of clients and negative repercussions on financial soundness indicators in the wake of a significant credit expansion.</w:t>
      </w:r>
      <w:r w:rsidRPr="003571FD">
        <w:rPr>
          <w:rFonts w:ascii="Times New Roman" w:hAnsi="Times New Roman" w:cs="Times New Roman"/>
          <w:sz w:val="24"/>
          <w:szCs w:val="24"/>
        </w:rPr>
        <w:t xml:space="preserve"> The increased market competition in combination with high liquidity levels</w:t>
      </w:r>
      <w:r w:rsidR="00046BEF">
        <w:rPr>
          <w:rFonts w:ascii="Times New Roman" w:hAnsi="Times New Roman" w:cs="Times New Roman"/>
          <w:sz w:val="24"/>
          <w:szCs w:val="24"/>
        </w:rPr>
        <w:t xml:space="preserve">, </w:t>
      </w:r>
      <w:r w:rsidR="00046BEF" w:rsidRPr="003571FD">
        <w:rPr>
          <w:rFonts w:ascii="Times New Roman" w:hAnsi="Times New Roman" w:cs="Times New Roman"/>
          <w:sz w:val="24"/>
          <w:szCs w:val="24"/>
        </w:rPr>
        <w:t>limited</w:t>
      </w:r>
      <w:r w:rsidRPr="003571FD">
        <w:rPr>
          <w:rFonts w:ascii="Times New Roman" w:hAnsi="Times New Roman" w:cs="Times New Roman"/>
          <w:sz w:val="24"/>
          <w:szCs w:val="24"/>
        </w:rPr>
        <w:t xml:space="preserve"> investment options </w:t>
      </w:r>
      <w:r w:rsidR="000A1309">
        <w:rPr>
          <w:rFonts w:ascii="Times New Roman" w:hAnsi="Times New Roman" w:cs="Times New Roman"/>
          <w:sz w:val="24"/>
          <w:szCs w:val="24"/>
        </w:rPr>
        <w:t xml:space="preserve">and moral suasion efforts by the government </w:t>
      </w:r>
      <w:r w:rsidRPr="003571FD">
        <w:rPr>
          <w:rFonts w:ascii="Times New Roman" w:hAnsi="Times New Roman" w:cs="Times New Roman"/>
          <w:sz w:val="24"/>
          <w:szCs w:val="24"/>
        </w:rPr>
        <w:t xml:space="preserve">provides strong incentives for the financial entities to seek new clients and market niches, and has triggered stronger credit growth </w:t>
      </w:r>
      <w:r w:rsidR="000A1309">
        <w:rPr>
          <w:rFonts w:ascii="Times New Roman" w:hAnsi="Times New Roman" w:cs="Times New Roman"/>
          <w:sz w:val="24"/>
          <w:szCs w:val="24"/>
        </w:rPr>
        <w:t>since</w:t>
      </w:r>
      <w:r w:rsidR="000A1309" w:rsidRPr="003571FD">
        <w:rPr>
          <w:rFonts w:ascii="Times New Roman" w:hAnsi="Times New Roman" w:cs="Times New Roman"/>
          <w:sz w:val="24"/>
          <w:szCs w:val="24"/>
        </w:rPr>
        <w:t xml:space="preserve"> </w:t>
      </w:r>
      <w:r w:rsidRPr="003571FD">
        <w:rPr>
          <w:rFonts w:ascii="Times New Roman" w:hAnsi="Times New Roman" w:cs="Times New Roman"/>
          <w:sz w:val="24"/>
          <w:szCs w:val="24"/>
        </w:rPr>
        <w:t>2010. The number of loans per borrower increased from an already high 3.6 loans in 2006 to 4.1 loans in December</w:t>
      </w:r>
      <w:r w:rsidR="000A1309">
        <w:rPr>
          <w:rFonts w:ascii="Times New Roman" w:hAnsi="Times New Roman" w:cs="Times New Roman"/>
          <w:sz w:val="24"/>
          <w:szCs w:val="24"/>
        </w:rPr>
        <w:t xml:space="preserve"> 2010</w:t>
      </w:r>
      <w:r w:rsidRPr="003571FD">
        <w:rPr>
          <w:rFonts w:ascii="Times New Roman" w:hAnsi="Times New Roman" w:cs="Times New Roman"/>
          <w:sz w:val="24"/>
          <w:szCs w:val="24"/>
        </w:rPr>
        <w:t xml:space="preserve">, contributing to an increase in average loan values per borrower. Financial entities in particular increased their consumer loan portfolio, reaching a share of 11 percent of total loans compared to 8 </w:t>
      </w:r>
      <w:r w:rsidR="00BF7FBB" w:rsidRPr="003571FD">
        <w:rPr>
          <w:rFonts w:ascii="Times New Roman" w:hAnsi="Times New Roman" w:cs="Times New Roman"/>
          <w:sz w:val="24"/>
          <w:szCs w:val="24"/>
        </w:rPr>
        <w:t xml:space="preserve">percent </w:t>
      </w:r>
      <w:r w:rsidRPr="003571FD">
        <w:rPr>
          <w:rFonts w:ascii="Times New Roman" w:hAnsi="Times New Roman" w:cs="Times New Roman"/>
          <w:sz w:val="24"/>
          <w:szCs w:val="24"/>
        </w:rPr>
        <w:t xml:space="preserve">in 2005. Savings and </w:t>
      </w:r>
      <w:r w:rsidR="00D978AD"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D978AD" w:rsidRPr="003571FD">
        <w:rPr>
          <w:rFonts w:ascii="Times New Roman" w:hAnsi="Times New Roman" w:cs="Times New Roman"/>
          <w:sz w:val="24"/>
          <w:szCs w:val="24"/>
        </w:rPr>
        <w:t>a</w:t>
      </w:r>
      <w:r w:rsidRPr="003571FD">
        <w:rPr>
          <w:rFonts w:ascii="Times New Roman" w:hAnsi="Times New Roman" w:cs="Times New Roman"/>
          <w:sz w:val="24"/>
          <w:szCs w:val="24"/>
        </w:rPr>
        <w:t xml:space="preserve">ssociations and cooperatives increasingly cater to borrowers with loans over USD 30,000, while some commercial banks went down-market and increased their loan base between USD 1,000-30,000. Lending to new client segments implies increased risk, requiring usually adaptations to existing lending techniques, and needs to be </w:t>
      </w:r>
      <w:r w:rsidR="00CF131E">
        <w:rPr>
          <w:rFonts w:ascii="Times New Roman" w:hAnsi="Times New Roman" w:cs="Times New Roman"/>
          <w:sz w:val="24"/>
          <w:szCs w:val="24"/>
        </w:rPr>
        <w:t xml:space="preserve">carefully </w:t>
      </w:r>
      <w:r w:rsidRPr="003571FD">
        <w:rPr>
          <w:rFonts w:ascii="Times New Roman" w:hAnsi="Times New Roman" w:cs="Times New Roman"/>
          <w:sz w:val="24"/>
          <w:szCs w:val="24"/>
        </w:rPr>
        <w:t>monitored by the supervisory agency</w:t>
      </w:r>
      <w:r w:rsidR="00CF131E">
        <w:rPr>
          <w:rFonts w:ascii="Times New Roman" w:hAnsi="Times New Roman" w:cs="Times New Roman"/>
          <w:sz w:val="24"/>
          <w:szCs w:val="24"/>
        </w:rPr>
        <w:t xml:space="preserve"> in its initial stages</w:t>
      </w:r>
      <w:r w:rsidRPr="003571FD">
        <w:rPr>
          <w:rFonts w:ascii="Times New Roman" w:hAnsi="Times New Roman" w:cs="Times New Roman"/>
          <w:sz w:val="24"/>
          <w:szCs w:val="24"/>
        </w:rPr>
        <w:t xml:space="preserve">. Furthermore, risk management standards for existing markets need to </w:t>
      </w:r>
      <w:r w:rsidRPr="00046BEF">
        <w:rPr>
          <w:rFonts w:ascii="Times New Roman" w:hAnsi="Times New Roman" w:cs="Times New Roman"/>
          <w:sz w:val="24"/>
          <w:szCs w:val="24"/>
        </w:rPr>
        <w:t xml:space="preserve">be </w:t>
      </w:r>
      <w:r w:rsidR="00781E2F" w:rsidRPr="00046BEF">
        <w:rPr>
          <w:rFonts w:ascii="Times New Roman" w:hAnsi="Times New Roman" w:cs="Times New Roman"/>
          <w:sz w:val="24"/>
          <w:szCs w:val="24"/>
        </w:rPr>
        <w:t xml:space="preserve">maintained and </w:t>
      </w:r>
      <w:r w:rsidR="000A1309" w:rsidRPr="00046BEF">
        <w:rPr>
          <w:rFonts w:ascii="Times New Roman" w:hAnsi="Times New Roman" w:cs="Times New Roman"/>
          <w:sz w:val="24"/>
          <w:szCs w:val="24"/>
        </w:rPr>
        <w:t xml:space="preserve">sporadically </w:t>
      </w:r>
      <w:r w:rsidR="00781E2F" w:rsidRPr="00046BEF">
        <w:rPr>
          <w:rFonts w:ascii="Times New Roman" w:hAnsi="Times New Roman" w:cs="Times New Roman"/>
          <w:sz w:val="24"/>
          <w:szCs w:val="24"/>
        </w:rPr>
        <w:t>monitored by ASFI</w:t>
      </w:r>
      <w:r w:rsidRPr="00046BEF">
        <w:rPr>
          <w:rFonts w:ascii="Times New Roman" w:hAnsi="Times New Roman" w:cs="Times New Roman"/>
          <w:sz w:val="24"/>
          <w:szCs w:val="24"/>
        </w:rPr>
        <w:t>,</w:t>
      </w:r>
      <w:r w:rsidRPr="003571FD">
        <w:rPr>
          <w:rFonts w:ascii="Times New Roman" w:hAnsi="Times New Roman" w:cs="Times New Roman"/>
          <w:sz w:val="24"/>
          <w:szCs w:val="24"/>
        </w:rPr>
        <w:t xml:space="preserve"> in particular for the housing market, which is experiencing a period of strong growth</w:t>
      </w:r>
      <w:r w:rsidR="00CF131E">
        <w:rPr>
          <w:rFonts w:ascii="Times New Roman" w:hAnsi="Times New Roman" w:cs="Times New Roman"/>
          <w:sz w:val="24"/>
          <w:szCs w:val="24"/>
        </w:rPr>
        <w:t>, and for the productive sector, for which a number of incentives are currently being put in place to increase lending.</w:t>
      </w:r>
    </w:p>
    <w:p w:rsidR="00904F6D" w:rsidRPr="003571FD" w:rsidRDefault="00904F6D" w:rsidP="00904F6D">
      <w:pPr>
        <w:pStyle w:val="ListParagraph"/>
        <w:ind w:left="360"/>
        <w:jc w:val="both"/>
        <w:rPr>
          <w:rFonts w:ascii="Times New Roman" w:hAnsi="Times New Roman" w:cs="Times New Roman"/>
          <w:b/>
          <w:sz w:val="24"/>
          <w:szCs w:val="24"/>
        </w:rPr>
      </w:pPr>
    </w:p>
    <w:p w:rsidR="00EF773C" w:rsidRPr="003571FD" w:rsidRDefault="001C22BF" w:rsidP="00CA07A0">
      <w:pPr>
        <w:pStyle w:val="ListParagraph"/>
        <w:numPr>
          <w:ilvl w:val="0"/>
          <w:numId w:val="8"/>
        </w:numPr>
        <w:spacing w:after="240"/>
        <w:jc w:val="both"/>
        <w:rPr>
          <w:rFonts w:ascii="Times New Roman" w:hAnsi="Times New Roman" w:cs="Times New Roman"/>
        </w:rPr>
      </w:pPr>
      <w:r w:rsidRPr="003571FD">
        <w:rPr>
          <w:rFonts w:ascii="Times New Roman" w:hAnsi="Times New Roman" w:cs="Times New Roman"/>
          <w:b/>
          <w:sz w:val="24"/>
          <w:szCs w:val="24"/>
        </w:rPr>
        <w:t>The higher level of competition has contributed to a reduction of the lending interest rates for all types of clients</w:t>
      </w:r>
      <w:r w:rsidRPr="003571FD">
        <w:rPr>
          <w:rFonts w:ascii="Times New Roman" w:hAnsi="Times New Roman" w:cs="Times New Roman"/>
          <w:sz w:val="24"/>
          <w:szCs w:val="24"/>
        </w:rPr>
        <w:t xml:space="preserve">. For example, mortgage loans are now being offered for 4 percent interest rates by banks and </w:t>
      </w:r>
      <w:r w:rsidR="00D978AD"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D978AD"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D978AD" w:rsidRPr="003571FD">
        <w:rPr>
          <w:rFonts w:ascii="Times New Roman" w:hAnsi="Times New Roman" w:cs="Times New Roman"/>
          <w:sz w:val="24"/>
          <w:szCs w:val="24"/>
        </w:rPr>
        <w:t>a</w:t>
      </w:r>
      <w:r w:rsidRPr="003571FD">
        <w:rPr>
          <w:rFonts w:ascii="Times New Roman" w:hAnsi="Times New Roman" w:cs="Times New Roman"/>
          <w:sz w:val="24"/>
          <w:szCs w:val="24"/>
        </w:rPr>
        <w:t xml:space="preserve">ssociations, and microcredit and consumer credit at </w:t>
      </w:r>
      <w:r w:rsidR="00BF7FBB" w:rsidRPr="003571FD">
        <w:rPr>
          <w:rFonts w:ascii="Times New Roman" w:hAnsi="Times New Roman" w:cs="Times New Roman"/>
          <w:sz w:val="24"/>
          <w:szCs w:val="24"/>
        </w:rPr>
        <w:t>rates between 8 and 22 percent per annum</w:t>
      </w:r>
      <w:r w:rsidRPr="003571FD">
        <w:rPr>
          <w:rFonts w:ascii="Times New Roman" w:hAnsi="Times New Roman" w:cs="Times New Roman"/>
          <w:sz w:val="24"/>
          <w:szCs w:val="24"/>
        </w:rPr>
        <w:t xml:space="preserve"> (see also Chapter 6). Currently, the rates on some loans are negative in real terms. </w:t>
      </w:r>
      <w:r w:rsidR="00BD238B" w:rsidRPr="003571FD">
        <w:rPr>
          <w:rFonts w:ascii="Times New Roman" w:hAnsi="Times New Roman" w:cs="Times New Roman"/>
          <w:sz w:val="24"/>
          <w:szCs w:val="24"/>
        </w:rPr>
        <w:t>S</w:t>
      </w:r>
      <w:r w:rsidRPr="003571FD">
        <w:rPr>
          <w:rFonts w:ascii="Times New Roman" w:hAnsi="Times New Roman" w:cs="Times New Roman"/>
          <w:sz w:val="24"/>
          <w:szCs w:val="24"/>
        </w:rPr>
        <w:t xml:space="preserve">uch rates </w:t>
      </w:r>
      <w:r w:rsidR="00BD238B" w:rsidRPr="003571FD">
        <w:rPr>
          <w:rFonts w:ascii="Times New Roman" w:hAnsi="Times New Roman" w:cs="Times New Roman"/>
          <w:sz w:val="24"/>
          <w:szCs w:val="24"/>
        </w:rPr>
        <w:t xml:space="preserve">are unlikely to be sustainable </w:t>
      </w:r>
      <w:r w:rsidRPr="003571FD">
        <w:rPr>
          <w:rFonts w:ascii="Times New Roman" w:hAnsi="Times New Roman" w:cs="Times New Roman"/>
          <w:sz w:val="24"/>
          <w:szCs w:val="24"/>
        </w:rPr>
        <w:t xml:space="preserve">in time, as they lead to a </w:t>
      </w:r>
      <w:proofErr w:type="spellStart"/>
      <w:r w:rsidRPr="003571FD">
        <w:rPr>
          <w:rFonts w:ascii="Times New Roman" w:hAnsi="Times New Roman" w:cs="Times New Roman"/>
          <w:sz w:val="24"/>
          <w:szCs w:val="24"/>
        </w:rPr>
        <w:t>decapitalization</w:t>
      </w:r>
      <w:proofErr w:type="spellEnd"/>
      <w:r w:rsidRPr="003571FD">
        <w:rPr>
          <w:rFonts w:ascii="Times New Roman" w:hAnsi="Times New Roman" w:cs="Times New Roman"/>
          <w:sz w:val="24"/>
          <w:szCs w:val="24"/>
        </w:rPr>
        <w:t xml:space="preserve"> of the depositors and of the financial entities. Unduly low rates furthermore have the effect of increasing the willingness of borrowers to take loans beyond their payment capacity to take advantage of existing market conditions. This is particularly problematic in the case of long-term loans with adjustable interest rates</w:t>
      </w:r>
      <w:r w:rsidR="00546A99" w:rsidRPr="003571FD">
        <w:rPr>
          <w:rFonts w:ascii="Times New Roman" w:hAnsi="Times New Roman" w:cs="Times New Roman"/>
          <w:sz w:val="24"/>
          <w:szCs w:val="24"/>
        </w:rPr>
        <w:t>, which can quickly lead to repayment problems when the interest rates increase</w:t>
      </w:r>
      <w:r w:rsidRPr="003571FD">
        <w:rPr>
          <w:rFonts w:ascii="Times New Roman" w:hAnsi="Times New Roman" w:cs="Times New Roman"/>
          <w:sz w:val="24"/>
          <w:szCs w:val="24"/>
        </w:rPr>
        <w:t>.</w:t>
      </w:r>
      <w:r w:rsidRPr="003571FD">
        <w:rPr>
          <w:rFonts w:ascii="Times New Roman" w:hAnsi="Times New Roman" w:cs="Times New Roman"/>
        </w:rPr>
        <w:t xml:space="preserve"> </w:t>
      </w:r>
    </w:p>
    <w:p w:rsidR="004F0E23" w:rsidRPr="003571FD" w:rsidRDefault="004F0E23" w:rsidP="00AA3DAB">
      <w:pPr>
        <w:pStyle w:val="Heading1"/>
        <w:rPr>
          <w:rFonts w:cs="Times New Roman"/>
        </w:rPr>
      </w:pPr>
      <w:bookmarkStart w:id="43" w:name="_Toc312319497"/>
      <w:r w:rsidRPr="003571FD">
        <w:rPr>
          <w:rFonts w:cs="Times New Roman"/>
        </w:rPr>
        <w:lastRenderedPageBreak/>
        <w:t>The regulatory and supervisory framework for the financial sector</w:t>
      </w:r>
      <w:bookmarkEnd w:id="43"/>
    </w:p>
    <w:p w:rsidR="004F0E23" w:rsidRPr="003571FD" w:rsidRDefault="004F0E23" w:rsidP="004F0E23">
      <w:pPr>
        <w:rPr>
          <w:rFonts w:ascii="Times New Roman" w:hAnsi="Times New Roman" w:cs="Times New Roman"/>
        </w:rPr>
      </w:pPr>
    </w:p>
    <w:p w:rsidR="004F0E23" w:rsidRPr="003571FD" w:rsidRDefault="004F0E23" w:rsidP="004F0E23">
      <w:pPr>
        <w:jc w:val="both"/>
        <w:rPr>
          <w:rFonts w:ascii="Times New Roman" w:hAnsi="Times New Roman" w:cs="Times New Roman"/>
          <w:i/>
          <w:sz w:val="24"/>
          <w:szCs w:val="24"/>
        </w:rPr>
      </w:pPr>
      <w:r w:rsidRPr="003571FD">
        <w:rPr>
          <w:rFonts w:ascii="Times New Roman" w:hAnsi="Times New Roman" w:cs="Times New Roman"/>
          <w:i/>
          <w:sz w:val="24"/>
          <w:szCs w:val="24"/>
        </w:rPr>
        <w:t xml:space="preserve">The government introduced a number of reforms to the regulatory framework over the last few years to further increase its compliance with the Basel Core Principles (BCP), while maintaining - with a few exceptions - a regulatory level playing field between the players operating in the market. Some issues arise through recent efforts to use the regulatory framework for </w:t>
      </w:r>
      <w:r w:rsidR="00DD2CA8" w:rsidRPr="003571FD">
        <w:rPr>
          <w:rFonts w:ascii="Times New Roman" w:hAnsi="Times New Roman" w:cs="Times New Roman"/>
          <w:i/>
          <w:sz w:val="24"/>
          <w:szCs w:val="24"/>
        </w:rPr>
        <w:t>political</w:t>
      </w:r>
      <w:r w:rsidRPr="003571FD">
        <w:rPr>
          <w:rFonts w:ascii="Times New Roman" w:hAnsi="Times New Roman" w:cs="Times New Roman"/>
          <w:i/>
          <w:sz w:val="24"/>
          <w:szCs w:val="24"/>
        </w:rPr>
        <w:t xml:space="preserve"> measures, the frequency of changes, as well as the comparatively high regulatory burden associated with the regulatory framework per se, which all impose significant costs in particular on the smaller entities. Finally, the supervisory capacity of ASFI is stretched with the number of entities it has to supervise, and recent efforts to incorporate closed cooperatives and </w:t>
      </w:r>
      <w:r w:rsidR="009D7478" w:rsidRPr="003571FD">
        <w:rPr>
          <w:rFonts w:ascii="Times New Roman" w:hAnsi="Times New Roman" w:cs="Times New Roman"/>
          <w:i/>
          <w:sz w:val="24"/>
          <w:szCs w:val="24"/>
        </w:rPr>
        <w:t>IFD</w:t>
      </w:r>
      <w:r w:rsidRPr="003571FD">
        <w:rPr>
          <w:rFonts w:ascii="Times New Roman" w:hAnsi="Times New Roman" w:cs="Times New Roman"/>
          <w:i/>
          <w:sz w:val="24"/>
          <w:szCs w:val="24"/>
        </w:rPr>
        <w:t xml:space="preserve"> into oversight should be accompanied with a</w:t>
      </w:r>
      <w:r w:rsidR="00DD2CA8" w:rsidRPr="003571FD">
        <w:rPr>
          <w:rFonts w:ascii="Times New Roman" w:hAnsi="Times New Roman" w:cs="Times New Roman"/>
          <w:i/>
          <w:sz w:val="24"/>
          <w:szCs w:val="24"/>
        </w:rPr>
        <w:t>n increased budgetary envelop, as well as a</w:t>
      </w:r>
      <w:r w:rsidRPr="003571FD">
        <w:rPr>
          <w:rFonts w:ascii="Times New Roman" w:hAnsi="Times New Roman" w:cs="Times New Roman"/>
          <w:i/>
          <w:sz w:val="24"/>
          <w:szCs w:val="24"/>
        </w:rPr>
        <w:t xml:space="preserve"> broader technical assistance effort and incentives to facilitate the transition</w:t>
      </w:r>
      <w:r w:rsidR="00DD2CA8" w:rsidRPr="003571FD">
        <w:rPr>
          <w:rFonts w:ascii="Times New Roman" w:hAnsi="Times New Roman" w:cs="Times New Roman"/>
          <w:i/>
          <w:sz w:val="24"/>
          <w:szCs w:val="24"/>
        </w:rPr>
        <w:t xml:space="preserve"> of the entities</w:t>
      </w:r>
      <w:r w:rsidRPr="003571FD">
        <w:rPr>
          <w:rFonts w:ascii="Times New Roman" w:hAnsi="Times New Roman" w:cs="Times New Roman"/>
          <w:i/>
          <w:sz w:val="24"/>
          <w:szCs w:val="24"/>
        </w:rPr>
        <w:t>.</w:t>
      </w:r>
    </w:p>
    <w:p w:rsidR="00FB60B4"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regulatory framework for banks and non-bank financial institutions is largely identical, and in general provides a level playing field for the financial sector and for the entry of new players</w:t>
      </w:r>
      <w:r w:rsidRPr="003571FD">
        <w:rPr>
          <w:rFonts w:ascii="Times New Roman" w:hAnsi="Times New Roman" w:cs="Times New Roman"/>
          <w:sz w:val="24"/>
          <w:szCs w:val="24"/>
        </w:rPr>
        <w:t>. The authorities should be commended for this. Most prudential regulations such as capital adequacy ratios, provisioning levels, minimum reserve requirements, and foreign exchange limits apply to all types of financial entities, and as such levy similar costs on the market players. While there are a number of restrictions in place with regard to operations that can be performed by non-bank financial institutions</w:t>
      </w:r>
      <w:r w:rsidRPr="003571FD">
        <w:rPr>
          <w:rStyle w:val="FootnoteReference"/>
          <w:rFonts w:ascii="Times New Roman" w:hAnsi="Times New Roman" w:cs="Times New Roman"/>
          <w:sz w:val="24"/>
          <w:szCs w:val="24"/>
        </w:rPr>
        <w:footnoteReference w:id="60"/>
      </w:r>
      <w:r w:rsidRPr="003571FD">
        <w:rPr>
          <w:rFonts w:ascii="Times New Roman" w:hAnsi="Times New Roman" w:cs="Times New Roman"/>
          <w:sz w:val="24"/>
          <w:szCs w:val="24"/>
        </w:rPr>
        <w:t xml:space="preserve">, these are not unusual and with the exception of the restrictions on issuing current accounts and credit cards, as well as investments in auxiliary service providers don’t appear to limit the development of individual players. As in many countries, specialized credit institutions are generally not allowed to offer current accounts and credit cards, which can negatively impact competition through lower funding costs for banks over their non-bank competitors, and provide an advantage for banks over clients with export / import business. </w:t>
      </w:r>
    </w:p>
    <w:p w:rsidR="0068206F" w:rsidRPr="003571FD" w:rsidRDefault="0068206F">
      <w:pPr>
        <w:pStyle w:val="ListParagraph"/>
        <w:spacing w:after="240"/>
        <w:ind w:left="0"/>
        <w:jc w:val="both"/>
        <w:rPr>
          <w:rFonts w:ascii="Times New Roman" w:hAnsi="Times New Roman" w:cs="Times New Roman"/>
          <w:sz w:val="24"/>
          <w:szCs w:val="24"/>
        </w:rPr>
      </w:pPr>
    </w:p>
    <w:p w:rsidR="004F0E23" w:rsidRPr="003571FD" w:rsidRDefault="00FB60B4"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While </w:t>
      </w:r>
      <w:r w:rsidR="00747A73" w:rsidRPr="003571FD">
        <w:rPr>
          <w:rFonts w:ascii="Times New Roman" w:hAnsi="Times New Roman" w:cs="Times New Roman"/>
          <w:b/>
          <w:sz w:val="24"/>
          <w:szCs w:val="24"/>
        </w:rPr>
        <w:t>a regulatory level playing field is positive overall</w:t>
      </w:r>
      <w:r w:rsidRPr="003571FD">
        <w:rPr>
          <w:rFonts w:ascii="Times New Roman" w:hAnsi="Times New Roman" w:cs="Times New Roman"/>
          <w:b/>
          <w:sz w:val="24"/>
          <w:szCs w:val="24"/>
        </w:rPr>
        <w:t xml:space="preserve">, some differentiation might be warranted for </w:t>
      </w:r>
      <w:r w:rsidR="00322DE9" w:rsidRPr="003571FD">
        <w:rPr>
          <w:rFonts w:ascii="Times New Roman" w:hAnsi="Times New Roman" w:cs="Times New Roman"/>
          <w:b/>
          <w:sz w:val="24"/>
          <w:szCs w:val="24"/>
        </w:rPr>
        <w:t xml:space="preserve">cooperatives, in particular with view to </w:t>
      </w:r>
      <w:r w:rsidRPr="003571FD">
        <w:rPr>
          <w:rFonts w:ascii="Times New Roman" w:hAnsi="Times New Roman" w:cs="Times New Roman"/>
          <w:b/>
          <w:sz w:val="24"/>
          <w:szCs w:val="24"/>
        </w:rPr>
        <w:t xml:space="preserve">the incorporation of the small closed cooperatives </w:t>
      </w:r>
      <w:r w:rsidR="005648A1" w:rsidRPr="003571FD">
        <w:rPr>
          <w:rFonts w:ascii="Times New Roman" w:hAnsi="Times New Roman" w:cs="Times New Roman"/>
          <w:b/>
          <w:sz w:val="24"/>
          <w:szCs w:val="24"/>
        </w:rPr>
        <w:t>into the regulatory framework</w:t>
      </w:r>
      <w:r w:rsidRPr="003571FD">
        <w:rPr>
          <w:rFonts w:ascii="Times New Roman" w:hAnsi="Times New Roman" w:cs="Times New Roman"/>
          <w:b/>
          <w:sz w:val="24"/>
          <w:szCs w:val="24"/>
        </w:rPr>
        <w:t xml:space="preserve">. </w:t>
      </w:r>
      <w:r w:rsidR="005648A1" w:rsidRPr="003571FD">
        <w:rPr>
          <w:rFonts w:ascii="Times New Roman" w:hAnsi="Times New Roman" w:cs="Times New Roman"/>
          <w:sz w:val="24"/>
          <w:szCs w:val="24"/>
        </w:rPr>
        <w:t>The</w:t>
      </w:r>
      <w:r w:rsidR="009D7478" w:rsidRPr="003571FD">
        <w:rPr>
          <w:rFonts w:ascii="Times New Roman" w:hAnsi="Times New Roman" w:cs="Times New Roman"/>
          <w:sz w:val="24"/>
          <w:szCs w:val="24"/>
        </w:rPr>
        <w:t xml:space="preserve"> capital requirement of USD 150,</w:t>
      </w:r>
      <w:r w:rsidR="005648A1" w:rsidRPr="003571FD">
        <w:rPr>
          <w:rFonts w:ascii="Times New Roman" w:hAnsi="Times New Roman" w:cs="Times New Roman"/>
          <w:sz w:val="24"/>
          <w:szCs w:val="24"/>
        </w:rPr>
        <w:t xml:space="preserve">000 for cooperatives will </w:t>
      </w:r>
      <w:r w:rsidR="00747A73" w:rsidRPr="003571FD">
        <w:rPr>
          <w:rFonts w:ascii="Times New Roman" w:hAnsi="Times New Roman" w:cs="Times New Roman"/>
          <w:sz w:val="24"/>
          <w:szCs w:val="24"/>
        </w:rPr>
        <w:t>at least for the short term</w:t>
      </w:r>
      <w:r w:rsidR="005648A1" w:rsidRPr="003571FD">
        <w:rPr>
          <w:rFonts w:ascii="Times New Roman" w:hAnsi="Times New Roman" w:cs="Times New Roman"/>
          <w:sz w:val="24"/>
          <w:szCs w:val="24"/>
        </w:rPr>
        <w:t xml:space="preserve"> be a problem for some of the smaller closed cooperatives, and unless replaced by a staged approach </w:t>
      </w:r>
      <w:r w:rsidR="00147F9F" w:rsidRPr="003571FD">
        <w:rPr>
          <w:rFonts w:ascii="Times New Roman" w:hAnsi="Times New Roman" w:cs="Times New Roman"/>
          <w:sz w:val="24"/>
          <w:szCs w:val="24"/>
        </w:rPr>
        <w:t xml:space="preserve">(or one that does not require cooperatives below that threshold to comply with </w:t>
      </w:r>
      <w:r w:rsidR="00637BDC" w:rsidRPr="003571FD">
        <w:rPr>
          <w:rFonts w:ascii="Times New Roman" w:hAnsi="Times New Roman" w:cs="Times New Roman"/>
          <w:sz w:val="24"/>
          <w:szCs w:val="24"/>
        </w:rPr>
        <w:t>regular prudential</w:t>
      </w:r>
      <w:r w:rsidR="00147F9F" w:rsidRPr="003571FD">
        <w:rPr>
          <w:rFonts w:ascii="Times New Roman" w:hAnsi="Times New Roman" w:cs="Times New Roman"/>
          <w:sz w:val="24"/>
          <w:szCs w:val="24"/>
        </w:rPr>
        <w:t xml:space="preserve"> regulations)</w:t>
      </w:r>
      <w:r w:rsidR="00637BDC" w:rsidRPr="003571FD">
        <w:rPr>
          <w:rFonts w:ascii="Times New Roman" w:hAnsi="Times New Roman" w:cs="Times New Roman"/>
          <w:sz w:val="24"/>
          <w:szCs w:val="24"/>
        </w:rPr>
        <w:t xml:space="preserve"> </w:t>
      </w:r>
      <w:r w:rsidR="005648A1" w:rsidRPr="003571FD">
        <w:rPr>
          <w:rFonts w:ascii="Times New Roman" w:hAnsi="Times New Roman" w:cs="Times New Roman"/>
          <w:sz w:val="24"/>
          <w:szCs w:val="24"/>
        </w:rPr>
        <w:t xml:space="preserve">might </w:t>
      </w:r>
      <w:r w:rsidR="00CF131E">
        <w:rPr>
          <w:rFonts w:ascii="Times New Roman" w:hAnsi="Times New Roman" w:cs="Times New Roman"/>
          <w:sz w:val="24"/>
          <w:szCs w:val="24"/>
        </w:rPr>
        <w:t>require</w:t>
      </w:r>
      <w:r w:rsidR="00CF131E" w:rsidRPr="003571FD">
        <w:rPr>
          <w:rFonts w:ascii="Times New Roman" w:hAnsi="Times New Roman" w:cs="Times New Roman"/>
          <w:sz w:val="24"/>
          <w:szCs w:val="24"/>
        </w:rPr>
        <w:t xml:space="preserve"> </w:t>
      </w:r>
      <w:r w:rsidR="005648A1" w:rsidRPr="003571FD">
        <w:rPr>
          <w:rFonts w:ascii="Times New Roman" w:hAnsi="Times New Roman" w:cs="Times New Roman"/>
          <w:sz w:val="24"/>
          <w:szCs w:val="24"/>
        </w:rPr>
        <w:t xml:space="preserve">some consolidation on the sector or lead to non-compliance. </w:t>
      </w:r>
      <w:r w:rsidR="00747A73" w:rsidRPr="003571FD">
        <w:rPr>
          <w:rFonts w:ascii="Times New Roman" w:hAnsi="Times New Roman" w:cs="Times New Roman"/>
          <w:sz w:val="24"/>
          <w:szCs w:val="24"/>
        </w:rPr>
        <w:t>C</w:t>
      </w:r>
      <w:r w:rsidR="0033750F" w:rsidRPr="003571FD">
        <w:rPr>
          <w:rFonts w:ascii="Times New Roman" w:hAnsi="Times New Roman" w:cs="Times New Roman"/>
          <w:sz w:val="24"/>
          <w:szCs w:val="24"/>
        </w:rPr>
        <w:t xml:space="preserve">ooperatives </w:t>
      </w:r>
      <w:r w:rsidR="00747A73" w:rsidRPr="003571FD">
        <w:rPr>
          <w:rFonts w:ascii="Times New Roman" w:hAnsi="Times New Roman" w:cs="Times New Roman"/>
          <w:sz w:val="24"/>
          <w:szCs w:val="24"/>
        </w:rPr>
        <w:t>also</w:t>
      </w:r>
      <w:r w:rsidR="0033750F" w:rsidRPr="003571FD">
        <w:rPr>
          <w:rFonts w:ascii="Times New Roman" w:hAnsi="Times New Roman" w:cs="Times New Roman"/>
          <w:sz w:val="24"/>
          <w:szCs w:val="24"/>
        </w:rPr>
        <w:t xml:space="preserve"> </w:t>
      </w:r>
      <w:r w:rsidR="00747A73" w:rsidRPr="003571FD">
        <w:rPr>
          <w:rFonts w:ascii="Times New Roman" w:hAnsi="Times New Roman" w:cs="Times New Roman"/>
          <w:sz w:val="24"/>
          <w:szCs w:val="24"/>
        </w:rPr>
        <w:t xml:space="preserve">face </w:t>
      </w:r>
      <w:r w:rsidR="0033750F" w:rsidRPr="003571FD">
        <w:rPr>
          <w:rFonts w:ascii="Times New Roman" w:hAnsi="Times New Roman" w:cs="Times New Roman"/>
          <w:sz w:val="24"/>
          <w:szCs w:val="24"/>
        </w:rPr>
        <w:t>restrict</w:t>
      </w:r>
      <w:r w:rsidR="00747A73" w:rsidRPr="003571FD">
        <w:rPr>
          <w:rFonts w:ascii="Times New Roman" w:hAnsi="Times New Roman" w:cs="Times New Roman"/>
          <w:sz w:val="24"/>
          <w:szCs w:val="24"/>
        </w:rPr>
        <w:t>ions</w:t>
      </w:r>
      <w:r w:rsidR="0033750F" w:rsidRPr="003571FD">
        <w:rPr>
          <w:rFonts w:ascii="Times New Roman" w:hAnsi="Times New Roman" w:cs="Times New Roman"/>
          <w:sz w:val="24"/>
          <w:szCs w:val="24"/>
        </w:rPr>
        <w:t xml:space="preserve"> with regard to outsourcing of services. Articles 108 and 109 of the Cooperative Law</w:t>
      </w:r>
      <w:r w:rsidR="00747A73" w:rsidRPr="003571FD">
        <w:rPr>
          <w:rFonts w:ascii="Times New Roman" w:hAnsi="Times New Roman" w:cs="Times New Roman"/>
          <w:sz w:val="24"/>
          <w:szCs w:val="24"/>
        </w:rPr>
        <w:t xml:space="preserve"> explicitly allow</w:t>
      </w:r>
      <w:r w:rsidR="0033750F" w:rsidRPr="003571FD">
        <w:rPr>
          <w:rFonts w:ascii="Times New Roman" w:hAnsi="Times New Roman" w:cs="Times New Roman"/>
          <w:sz w:val="24"/>
          <w:szCs w:val="24"/>
        </w:rPr>
        <w:t xml:space="preserve"> second tier institutions</w:t>
      </w:r>
      <w:r w:rsidR="00747A73" w:rsidRPr="003571FD">
        <w:rPr>
          <w:rFonts w:ascii="Times New Roman" w:hAnsi="Times New Roman" w:cs="Times New Roman"/>
          <w:sz w:val="24"/>
          <w:szCs w:val="24"/>
        </w:rPr>
        <w:t xml:space="preserve"> for cooperatives</w:t>
      </w:r>
      <w:r w:rsidR="0033750F" w:rsidRPr="003571FD">
        <w:rPr>
          <w:rFonts w:ascii="Times New Roman" w:hAnsi="Times New Roman" w:cs="Times New Roman"/>
          <w:sz w:val="24"/>
          <w:szCs w:val="24"/>
        </w:rPr>
        <w:t xml:space="preserve">, but </w:t>
      </w:r>
      <w:r w:rsidR="00747A73" w:rsidRPr="003571FD">
        <w:rPr>
          <w:rFonts w:ascii="Times New Roman" w:hAnsi="Times New Roman" w:cs="Times New Roman"/>
          <w:sz w:val="24"/>
          <w:szCs w:val="24"/>
        </w:rPr>
        <w:t>restricts</w:t>
      </w:r>
      <w:r w:rsidR="0033750F" w:rsidRPr="003571FD">
        <w:rPr>
          <w:rFonts w:ascii="Times New Roman" w:hAnsi="Times New Roman" w:cs="Times New Roman"/>
          <w:sz w:val="24"/>
          <w:szCs w:val="24"/>
        </w:rPr>
        <w:t xml:space="preserve"> them to the same region or province, which </w:t>
      </w:r>
      <w:r w:rsidR="0033750F" w:rsidRPr="003571FD">
        <w:rPr>
          <w:rFonts w:ascii="Times New Roman" w:hAnsi="Times New Roman" w:cs="Times New Roman"/>
          <w:sz w:val="24"/>
          <w:szCs w:val="24"/>
        </w:rPr>
        <w:lastRenderedPageBreak/>
        <w:t xml:space="preserve">can be a </w:t>
      </w:r>
      <w:r w:rsidRPr="003571FD">
        <w:rPr>
          <w:rFonts w:ascii="Times New Roman" w:hAnsi="Times New Roman" w:cs="Times New Roman"/>
          <w:sz w:val="24"/>
          <w:szCs w:val="24"/>
        </w:rPr>
        <w:t xml:space="preserve">considerable </w:t>
      </w:r>
      <w:r w:rsidR="006A6491" w:rsidRPr="003571FD">
        <w:rPr>
          <w:rFonts w:ascii="Times New Roman" w:hAnsi="Times New Roman" w:cs="Times New Roman"/>
          <w:sz w:val="24"/>
          <w:szCs w:val="24"/>
        </w:rPr>
        <w:t>limitation</w:t>
      </w:r>
      <w:r w:rsidRPr="003571FD">
        <w:rPr>
          <w:rFonts w:ascii="Times New Roman" w:hAnsi="Times New Roman" w:cs="Times New Roman"/>
          <w:sz w:val="24"/>
          <w:szCs w:val="24"/>
        </w:rPr>
        <w:t xml:space="preserve"> given the </w:t>
      </w:r>
      <w:r w:rsidR="006A6491" w:rsidRPr="003571FD">
        <w:rPr>
          <w:rFonts w:ascii="Times New Roman" w:hAnsi="Times New Roman" w:cs="Times New Roman"/>
          <w:sz w:val="24"/>
          <w:szCs w:val="24"/>
        </w:rPr>
        <w:t>sparse</w:t>
      </w:r>
      <w:r w:rsidRPr="003571FD">
        <w:rPr>
          <w:rFonts w:ascii="Times New Roman" w:hAnsi="Times New Roman" w:cs="Times New Roman"/>
          <w:sz w:val="24"/>
          <w:szCs w:val="24"/>
        </w:rPr>
        <w:t xml:space="preserve"> coverage </w:t>
      </w:r>
      <w:r w:rsidR="00747A73" w:rsidRPr="003571FD">
        <w:rPr>
          <w:rFonts w:ascii="Times New Roman" w:hAnsi="Times New Roman" w:cs="Times New Roman"/>
          <w:sz w:val="24"/>
          <w:szCs w:val="24"/>
        </w:rPr>
        <w:t xml:space="preserve">with cooperatives </w:t>
      </w:r>
      <w:r w:rsidRPr="003571FD">
        <w:rPr>
          <w:rFonts w:ascii="Times New Roman" w:hAnsi="Times New Roman" w:cs="Times New Roman"/>
          <w:sz w:val="24"/>
          <w:szCs w:val="24"/>
        </w:rPr>
        <w:t>in some areas</w:t>
      </w:r>
      <w:r w:rsidR="00747A73" w:rsidRPr="003571FD">
        <w:rPr>
          <w:rFonts w:ascii="Times New Roman" w:hAnsi="Times New Roman" w:cs="Times New Roman"/>
          <w:sz w:val="24"/>
          <w:szCs w:val="24"/>
        </w:rPr>
        <w:t xml:space="preserve"> and the advantages of diversifying geographically</w:t>
      </w:r>
      <w:r w:rsidRPr="003571FD">
        <w:rPr>
          <w:rFonts w:ascii="Times New Roman" w:hAnsi="Times New Roman" w:cs="Times New Roman"/>
          <w:sz w:val="24"/>
          <w:szCs w:val="24"/>
        </w:rPr>
        <w:t>. Furthermore,</w:t>
      </w:r>
      <w:r w:rsidR="006A6491" w:rsidRPr="003571FD">
        <w:rPr>
          <w:rFonts w:ascii="Times New Roman" w:hAnsi="Times New Roman" w:cs="Times New Roman"/>
          <w:sz w:val="24"/>
          <w:szCs w:val="24"/>
        </w:rPr>
        <w:t xml:space="preserve"> the regulations issued by ASFI only allow an investment of 20 percent of a cooperative’s capital in another entity, </w:t>
      </w:r>
      <w:r w:rsidR="00CE3853" w:rsidRPr="003571FD">
        <w:rPr>
          <w:rFonts w:ascii="Times New Roman" w:hAnsi="Times New Roman" w:cs="Times New Roman"/>
          <w:sz w:val="24"/>
          <w:szCs w:val="24"/>
        </w:rPr>
        <w:t xml:space="preserve">which can pose a significant hurdle </w:t>
      </w:r>
      <w:r w:rsidR="00747A73" w:rsidRPr="003571FD">
        <w:rPr>
          <w:rFonts w:ascii="Times New Roman" w:hAnsi="Times New Roman" w:cs="Times New Roman"/>
          <w:sz w:val="24"/>
          <w:szCs w:val="24"/>
        </w:rPr>
        <w:t xml:space="preserve">for reaping </w:t>
      </w:r>
      <w:r w:rsidR="004F0E23" w:rsidRPr="003571FD">
        <w:rPr>
          <w:rFonts w:ascii="Times New Roman" w:hAnsi="Times New Roman" w:cs="Times New Roman"/>
          <w:sz w:val="24"/>
          <w:szCs w:val="24"/>
        </w:rPr>
        <w:t>economies of scale through outsourcing of services</w:t>
      </w:r>
      <w:r w:rsidR="00747A73" w:rsidRPr="003571FD">
        <w:rPr>
          <w:rFonts w:ascii="Times New Roman" w:hAnsi="Times New Roman" w:cs="Times New Roman"/>
          <w:sz w:val="24"/>
          <w:szCs w:val="24"/>
        </w:rPr>
        <w:t xml:space="preserve"> such as internal audit and accounting</w:t>
      </w:r>
      <w:r w:rsidR="00CE3853" w:rsidRPr="003571FD">
        <w:rPr>
          <w:rFonts w:ascii="Times New Roman" w:hAnsi="Times New Roman" w:cs="Times New Roman"/>
          <w:sz w:val="24"/>
          <w:szCs w:val="24"/>
        </w:rPr>
        <w:t xml:space="preserve"> for small entities</w:t>
      </w:r>
      <w:r w:rsidR="00747A73" w:rsidRPr="003571FD">
        <w:rPr>
          <w:rFonts w:ascii="Times New Roman" w:hAnsi="Times New Roman" w:cs="Times New Roman"/>
          <w:sz w:val="24"/>
          <w:szCs w:val="24"/>
        </w:rPr>
        <w:t xml:space="preserve">. </w:t>
      </w:r>
      <w:r w:rsidR="00147F9F" w:rsidRPr="003571FD">
        <w:rPr>
          <w:rFonts w:ascii="Times New Roman" w:hAnsi="Times New Roman" w:cs="Times New Roman"/>
          <w:sz w:val="24"/>
          <w:szCs w:val="24"/>
        </w:rPr>
        <w:t xml:space="preserve">With regard to the exposure limits, cooperatives find it </w:t>
      </w:r>
      <w:r w:rsidR="00322DE9" w:rsidRPr="003571FD">
        <w:rPr>
          <w:rFonts w:ascii="Times New Roman" w:hAnsi="Times New Roman" w:cs="Times New Roman"/>
          <w:sz w:val="24"/>
          <w:szCs w:val="24"/>
        </w:rPr>
        <w:t xml:space="preserve">generally </w:t>
      </w:r>
      <w:r w:rsidR="00147F9F" w:rsidRPr="003571FD">
        <w:rPr>
          <w:rFonts w:ascii="Times New Roman" w:hAnsi="Times New Roman" w:cs="Times New Roman"/>
          <w:sz w:val="24"/>
          <w:szCs w:val="24"/>
        </w:rPr>
        <w:t xml:space="preserve">hard to fill core management and oversight positions as this precludes the respective person from receiving any form of credit through the cooperative. </w:t>
      </w:r>
      <w:r w:rsidR="00747A73" w:rsidRPr="003571FD">
        <w:rPr>
          <w:rFonts w:ascii="Times New Roman" w:hAnsi="Times New Roman" w:cs="Times New Roman"/>
          <w:sz w:val="24"/>
          <w:szCs w:val="24"/>
        </w:rPr>
        <w:t>Finally, as discussed in general, particularly the daily information requirements appear onerous, and in some of the locations difficult to comply with, as there is no on-line connectivity</w:t>
      </w:r>
      <w:r w:rsidR="009D7478" w:rsidRPr="003571FD">
        <w:rPr>
          <w:rFonts w:ascii="Times New Roman" w:hAnsi="Times New Roman" w:cs="Times New Roman"/>
          <w:sz w:val="24"/>
          <w:szCs w:val="24"/>
        </w:rPr>
        <w:t>.</w:t>
      </w:r>
    </w:p>
    <w:p w:rsidR="00904F6D" w:rsidRPr="003571FD" w:rsidRDefault="00904F6D" w:rsidP="00904F6D">
      <w:pPr>
        <w:pStyle w:val="ListParagraph"/>
        <w:ind w:left="360"/>
        <w:jc w:val="both"/>
        <w:rPr>
          <w:rFonts w:ascii="Times New Roman" w:hAnsi="Times New Roman" w:cs="Times New Roman"/>
          <w:sz w:val="24"/>
          <w:szCs w:val="24"/>
        </w:rPr>
      </w:pPr>
    </w:p>
    <w:p w:rsidR="00904F6D"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Since 2004, significant progress was achieved in upgrading the regulatory framework and enhancing risk-based supervision.</w:t>
      </w:r>
      <w:r w:rsidRPr="003571FD">
        <w:rPr>
          <w:rFonts w:ascii="Times New Roman" w:hAnsi="Times New Roman" w:cs="Times New Roman"/>
          <w:sz w:val="24"/>
          <w:szCs w:val="24"/>
        </w:rPr>
        <w:t xml:space="preserve"> Financial oversight for the various financial players was consolidated into one large supervisory agency, ASFI, which reduced overlapping mandates and enhanced clarity and transparency in the oversight. Furthermore, new regulations for credit, liquidity and foreign exchange rate risks were passed and adequate provisioning levels enforced, which improved the quality of risk management in the financial system. On and off-site supervision benefited from the introduction of a new supervision manual for on-site supervision, and further upgrading of the quantity and quality of data received from the supervised entities. These reforms brought the supervisory framework in Bolivia further into compliance with the Basel Core Principles (BCP). </w:t>
      </w:r>
    </w:p>
    <w:p w:rsidR="00904F6D" w:rsidRPr="003571FD" w:rsidRDefault="00904F6D" w:rsidP="00904F6D">
      <w:pPr>
        <w:pStyle w:val="ListParagraph"/>
        <w:rPr>
          <w:rFonts w:ascii="Times New Roman" w:hAnsi="Times New Roman" w:cs="Times New Roman"/>
          <w:b/>
          <w:sz w:val="24"/>
          <w:szCs w:val="24"/>
        </w:rPr>
      </w:pPr>
    </w:p>
    <w:p w:rsidR="00904F6D"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Bolivia also has already a number of norms and regulations in place to protect the client from unfair practices in formal financial institutions</w:t>
      </w:r>
      <w:r w:rsidRPr="003571FD">
        <w:rPr>
          <w:rFonts w:ascii="Times New Roman" w:hAnsi="Times New Roman" w:cs="Times New Roman"/>
          <w:sz w:val="24"/>
          <w:szCs w:val="24"/>
        </w:rPr>
        <w:t>. The regulations pertain to providing information in a transparent and fair manner, the right to receive quality service and access to dispute resolution mechanisms. The regulations eliminate for example commissions on basic services such as monthly account maintenance fees and credit processing, limit waiting times in branches</w:t>
      </w:r>
      <w:r w:rsidR="00673451" w:rsidRPr="003571FD">
        <w:rPr>
          <w:rFonts w:ascii="Times New Roman" w:hAnsi="Times New Roman" w:cs="Times New Roman"/>
          <w:sz w:val="24"/>
          <w:szCs w:val="24"/>
        </w:rPr>
        <w:t xml:space="preserve"> to 30 minutes</w:t>
      </w:r>
      <w:r w:rsidRPr="003571FD">
        <w:rPr>
          <w:rFonts w:ascii="Times New Roman" w:hAnsi="Times New Roman" w:cs="Times New Roman"/>
          <w:sz w:val="24"/>
          <w:szCs w:val="24"/>
        </w:rPr>
        <w:t>, and mandate the provision of small bills in ATMs. The regulations in place are very advanced and in many regards follow international best practice, but in some aspects impose a large burden and cost on the financial institutions</w:t>
      </w:r>
      <w:r w:rsidR="00673451" w:rsidRPr="003571FD">
        <w:rPr>
          <w:rFonts w:ascii="Times New Roman" w:hAnsi="Times New Roman" w:cs="Times New Roman"/>
          <w:sz w:val="24"/>
          <w:szCs w:val="24"/>
        </w:rPr>
        <w:t xml:space="preserve"> and </w:t>
      </w:r>
      <w:r w:rsidR="003A1959" w:rsidRPr="003571FD">
        <w:rPr>
          <w:rFonts w:ascii="Times New Roman" w:hAnsi="Times New Roman" w:cs="Times New Roman"/>
          <w:sz w:val="24"/>
          <w:szCs w:val="24"/>
        </w:rPr>
        <w:t>as such have turned into a barrier</w:t>
      </w:r>
      <w:r w:rsidR="00673451" w:rsidRPr="003571FD">
        <w:rPr>
          <w:rFonts w:ascii="Times New Roman" w:hAnsi="Times New Roman" w:cs="Times New Roman"/>
          <w:sz w:val="24"/>
          <w:szCs w:val="24"/>
        </w:rPr>
        <w:t xml:space="preserve"> for increasing outreach. As will be discussed below, some of them</w:t>
      </w:r>
      <w:r w:rsidRPr="003571FD">
        <w:rPr>
          <w:rFonts w:ascii="Times New Roman" w:hAnsi="Times New Roman" w:cs="Times New Roman"/>
          <w:sz w:val="24"/>
          <w:szCs w:val="24"/>
        </w:rPr>
        <w:t xml:space="preserve"> could be revised without compromising the protection of the client in a significant way. </w:t>
      </w:r>
    </w:p>
    <w:p w:rsidR="00904F6D" w:rsidRPr="003571FD" w:rsidRDefault="00904F6D" w:rsidP="00904F6D">
      <w:pPr>
        <w:pStyle w:val="ListParagraph"/>
        <w:widowControl w:val="0"/>
        <w:autoSpaceDE w:val="0"/>
        <w:autoSpaceDN w:val="0"/>
        <w:adjustRightInd w:val="0"/>
        <w:spacing w:after="240"/>
        <w:ind w:left="360"/>
        <w:jc w:val="both"/>
        <w:rPr>
          <w:rFonts w:ascii="Times New Roman" w:hAnsi="Times New Roman" w:cs="Times New Roman"/>
          <w:sz w:val="24"/>
          <w:szCs w:val="24"/>
        </w:rPr>
      </w:pPr>
    </w:p>
    <w:p w:rsidR="00904F6D"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sheer number and frequency of changes in regulations over the last few years levied additional costs on entities to follow and implement the changes and introduced an element of uncertainty about the overall direction of the framework.</w:t>
      </w:r>
      <w:r w:rsidRPr="003571FD">
        <w:rPr>
          <w:rFonts w:ascii="Times New Roman" w:hAnsi="Times New Roman" w:cs="Times New Roman"/>
          <w:sz w:val="24"/>
          <w:szCs w:val="24"/>
        </w:rPr>
        <w:t xml:space="preserve"> In 2010 alone, over 30 circulars were issued, regulating topics of consumer protection, information requirements, foreign exchange limits and controls, provisioning rules as well as modifications to recent regulations on </w:t>
      </w:r>
      <w:r w:rsidR="008C2105" w:rsidRPr="003571FD">
        <w:rPr>
          <w:rFonts w:ascii="Times New Roman" w:hAnsi="Times New Roman" w:cs="Times New Roman"/>
          <w:sz w:val="24"/>
          <w:szCs w:val="24"/>
        </w:rPr>
        <w:t>IFD</w:t>
      </w:r>
      <w:r w:rsidRPr="003571FD">
        <w:rPr>
          <w:rFonts w:ascii="Times New Roman" w:hAnsi="Times New Roman" w:cs="Times New Roman"/>
          <w:sz w:val="24"/>
          <w:szCs w:val="24"/>
        </w:rPr>
        <w:t>s, closed cooperatives and the second tier development bank. The frequency of changes implies costs for the entities, which have to monitor them, translate them into daily practice and also adapt their systems – costs that in particular smaller entities without a well functioning representation will find difficult to bear.</w:t>
      </w:r>
    </w:p>
    <w:p w:rsidR="00904F6D" w:rsidRPr="003571FD" w:rsidRDefault="00904F6D" w:rsidP="00904F6D">
      <w:pPr>
        <w:pStyle w:val="ListParagraph"/>
        <w:rPr>
          <w:rFonts w:ascii="Times New Roman" w:hAnsi="Times New Roman" w:cs="Times New Roman"/>
          <w:b/>
          <w:sz w:val="24"/>
          <w:szCs w:val="24"/>
        </w:rPr>
      </w:pPr>
    </w:p>
    <w:p w:rsidR="00904F6D"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Some of the changes have also been driven by policy considerations and not stability concerns.</w:t>
      </w:r>
      <w:r w:rsidRPr="003571FD">
        <w:rPr>
          <w:rFonts w:ascii="Times New Roman" w:hAnsi="Times New Roman" w:cs="Times New Roman"/>
          <w:sz w:val="24"/>
          <w:szCs w:val="24"/>
        </w:rPr>
        <w:t xml:space="preserve"> Examples of this include the regulations to stimulate credit to the productive sector</w:t>
      </w:r>
      <w:r w:rsidRPr="003571FD">
        <w:rPr>
          <w:rStyle w:val="FootnoteReference"/>
          <w:rFonts w:ascii="Times New Roman" w:hAnsi="Times New Roman" w:cs="Times New Roman"/>
          <w:sz w:val="24"/>
          <w:szCs w:val="24"/>
        </w:rPr>
        <w:footnoteReference w:id="61"/>
      </w:r>
      <w:r w:rsidRPr="003571FD">
        <w:rPr>
          <w:rFonts w:ascii="Times New Roman" w:hAnsi="Times New Roman" w:cs="Times New Roman"/>
          <w:sz w:val="24"/>
          <w:szCs w:val="24"/>
        </w:rPr>
        <w:t xml:space="preserve">, as well as consumer protection and regulations to enhance the outreach of the system in rural areas and service to low-income segments of the population. Changes of </w:t>
      </w:r>
      <w:r w:rsidRPr="00046BEF">
        <w:rPr>
          <w:rFonts w:ascii="Times New Roman" w:hAnsi="Times New Roman" w:cs="Times New Roman"/>
          <w:sz w:val="24"/>
          <w:szCs w:val="24"/>
        </w:rPr>
        <w:t xml:space="preserve">this </w:t>
      </w:r>
      <w:r w:rsidR="00781E2F" w:rsidRPr="00046BEF">
        <w:rPr>
          <w:rFonts w:ascii="Times New Roman" w:hAnsi="Times New Roman" w:cs="Times New Roman"/>
          <w:sz w:val="24"/>
          <w:szCs w:val="24"/>
        </w:rPr>
        <w:t xml:space="preserve">nature </w:t>
      </w:r>
      <w:r w:rsidRPr="00046BEF">
        <w:rPr>
          <w:rFonts w:ascii="Times New Roman" w:hAnsi="Times New Roman" w:cs="Times New Roman"/>
          <w:sz w:val="24"/>
          <w:szCs w:val="24"/>
        </w:rPr>
        <w:t>introduce</w:t>
      </w:r>
      <w:r w:rsidRPr="003571FD">
        <w:rPr>
          <w:rFonts w:ascii="Times New Roman" w:hAnsi="Times New Roman" w:cs="Times New Roman"/>
          <w:sz w:val="24"/>
          <w:szCs w:val="24"/>
        </w:rPr>
        <w:t xml:space="preserve"> conflicts towards the objective of safeguarding the stability of the system, and should only be used in exceptional circumstances (if at all). The government might want to refocus its reform efforts on other – potentially more effective – instruments to promote financial sector deepening, such as setting positive incentives through partial credit schemes, promoting access to finance within value chains, and the way it handles its Government to person payments, or through tax incentives and moral suasion. This would leave prudential oversight to foster the system’s stability as ASFI’s sole objective.</w:t>
      </w:r>
    </w:p>
    <w:p w:rsidR="001F0D31" w:rsidRPr="003571FD" w:rsidRDefault="001F0D31" w:rsidP="001F0D31">
      <w:pPr>
        <w:pStyle w:val="ListParagraph"/>
        <w:spacing w:after="240"/>
        <w:ind w:left="0"/>
        <w:jc w:val="both"/>
        <w:rPr>
          <w:rFonts w:ascii="Times New Roman" w:hAnsi="Times New Roman" w:cs="Times New Roman"/>
          <w:sz w:val="24"/>
          <w:szCs w:val="24"/>
        </w:rPr>
      </w:pPr>
    </w:p>
    <w:p w:rsidR="00904F6D"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authorities are currently working on a new financial system law to bring the legal framework in line with the new Constitution. This provides a good opportunity to address remaining issues</w:t>
      </w:r>
      <w:r w:rsidRPr="003571FD">
        <w:rPr>
          <w:rFonts w:ascii="Times New Roman" w:hAnsi="Times New Roman" w:cs="Times New Roman"/>
          <w:sz w:val="24"/>
          <w:szCs w:val="24"/>
        </w:rPr>
        <w:t xml:space="preserve"> </w:t>
      </w:r>
      <w:r w:rsidRPr="003571FD">
        <w:rPr>
          <w:rFonts w:ascii="Times New Roman" w:hAnsi="Times New Roman" w:cs="Times New Roman"/>
          <w:b/>
          <w:sz w:val="24"/>
          <w:szCs w:val="24"/>
        </w:rPr>
        <w:t xml:space="preserve">and bring stability to the framework. </w:t>
      </w:r>
      <w:r w:rsidRPr="003571FD">
        <w:rPr>
          <w:rFonts w:ascii="Times New Roman" w:hAnsi="Times New Roman" w:cs="Times New Roman"/>
          <w:sz w:val="24"/>
          <w:szCs w:val="24"/>
        </w:rPr>
        <w:t xml:space="preserve">As the recent FSAP update has already provided an in-depth assessment of the regulatory framework in comparison to the Basel Core </w:t>
      </w:r>
      <w:r w:rsidR="006F2FD2" w:rsidRPr="003571FD">
        <w:rPr>
          <w:rFonts w:ascii="Times New Roman" w:hAnsi="Times New Roman" w:cs="Times New Roman"/>
          <w:sz w:val="24"/>
          <w:szCs w:val="24"/>
        </w:rPr>
        <w:t>P</w:t>
      </w:r>
      <w:r w:rsidRPr="003571FD">
        <w:rPr>
          <w:rFonts w:ascii="Times New Roman" w:hAnsi="Times New Roman" w:cs="Times New Roman"/>
          <w:sz w:val="24"/>
          <w:szCs w:val="24"/>
        </w:rPr>
        <w:t>rinciples, the following bullets will only highlight some additional issues, which are of particular relevance for the deepening of the financial system as well as the transformation of the unregulated financial entities into regulated entities</w:t>
      </w:r>
      <w:r w:rsidRPr="003571FD">
        <w:rPr>
          <w:rStyle w:val="FootnoteReference"/>
          <w:rFonts w:ascii="Times New Roman" w:hAnsi="Times New Roman" w:cs="Times New Roman"/>
          <w:sz w:val="24"/>
          <w:szCs w:val="24"/>
        </w:rPr>
        <w:footnoteReference w:id="62"/>
      </w:r>
      <w:r w:rsidRPr="003571FD">
        <w:rPr>
          <w:rFonts w:ascii="Times New Roman" w:hAnsi="Times New Roman" w:cs="Times New Roman"/>
          <w:sz w:val="24"/>
          <w:szCs w:val="24"/>
        </w:rPr>
        <w:t xml:space="preserve">: </w:t>
      </w:r>
    </w:p>
    <w:p w:rsidR="00904F6D" w:rsidRPr="003571FD" w:rsidRDefault="00904F6D" w:rsidP="00904F6D">
      <w:pPr>
        <w:pStyle w:val="ListParagraph"/>
        <w:widowControl w:val="0"/>
        <w:autoSpaceDE w:val="0"/>
        <w:autoSpaceDN w:val="0"/>
        <w:adjustRightInd w:val="0"/>
        <w:spacing w:after="240"/>
        <w:ind w:left="360"/>
        <w:jc w:val="both"/>
        <w:rPr>
          <w:rFonts w:ascii="Times New Roman" w:hAnsi="Times New Roman" w:cs="Times New Roman"/>
          <w:sz w:val="24"/>
          <w:szCs w:val="24"/>
        </w:rPr>
      </w:pPr>
    </w:p>
    <w:p w:rsidR="004F0E23" w:rsidRPr="003571FD" w:rsidRDefault="004F0E2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Overall, a careful weighing of the costs of regulation compared to the added security they bring to the overall stability of the system and the protection of the customer should be undertaken</w:t>
      </w:r>
      <w:r w:rsidRPr="003571FD">
        <w:rPr>
          <w:rFonts w:ascii="Times New Roman" w:hAnsi="Times New Roman" w:cs="Times New Roman"/>
          <w:sz w:val="24"/>
          <w:szCs w:val="24"/>
        </w:rPr>
        <w:t>. As will be discussed in more detail in Chapter 5, reaching out to rural areas will critically depend on lowering costs of service delivery. Security standards prescribed through the regulatory framework can add significant administrative burden and costs on an entity, and lower incentives for enlarging the branch network or using non-bank agents for service delivery. The same holds for consumer protection measures where for example having a SARC (</w:t>
      </w:r>
      <w:r w:rsidRPr="003571FD">
        <w:rPr>
          <w:rFonts w:ascii="Times New Roman" w:hAnsi="Times New Roman" w:cs="Times New Roman"/>
          <w:i/>
          <w:sz w:val="24"/>
          <w:szCs w:val="24"/>
        </w:rPr>
        <w:t>Servicio de Atención de Reclamos de los Clientes</w:t>
      </w:r>
      <w:r w:rsidR="00C52BF2">
        <w:rPr>
          <w:rFonts w:ascii="Times New Roman" w:hAnsi="Times New Roman" w:cs="Times New Roman"/>
          <w:i/>
          <w:sz w:val="24"/>
          <w:szCs w:val="24"/>
        </w:rPr>
        <w:t xml:space="preserve">, </w:t>
      </w:r>
      <w:r w:rsidR="00781E2F" w:rsidRPr="00781E2F">
        <w:rPr>
          <w:rFonts w:ascii="Times New Roman" w:hAnsi="Times New Roman" w:cs="Times New Roman"/>
          <w:sz w:val="24"/>
          <w:szCs w:val="24"/>
        </w:rPr>
        <w:t xml:space="preserve">recently changed </w:t>
      </w:r>
      <w:r w:rsidR="00C52BF2">
        <w:rPr>
          <w:rFonts w:ascii="Times New Roman" w:hAnsi="Times New Roman" w:cs="Times New Roman"/>
          <w:sz w:val="24"/>
          <w:szCs w:val="24"/>
        </w:rPr>
        <w:t>in</w:t>
      </w:r>
      <w:r w:rsidR="00781E2F" w:rsidRPr="00781E2F">
        <w:rPr>
          <w:rFonts w:ascii="Times New Roman" w:hAnsi="Times New Roman" w:cs="Times New Roman"/>
          <w:sz w:val="24"/>
          <w:szCs w:val="24"/>
        </w:rPr>
        <w:t>to</w:t>
      </w:r>
      <w:r w:rsidR="00C52BF2">
        <w:rPr>
          <w:rFonts w:ascii="Times New Roman" w:hAnsi="Times New Roman" w:cs="Times New Roman"/>
          <w:i/>
          <w:sz w:val="24"/>
          <w:szCs w:val="24"/>
        </w:rPr>
        <w:t xml:space="preserve"> Punto de Reclamo</w:t>
      </w:r>
      <w:r w:rsidRPr="003571FD">
        <w:rPr>
          <w:rFonts w:ascii="Times New Roman" w:hAnsi="Times New Roman" w:cs="Times New Roman"/>
          <w:sz w:val="24"/>
          <w:szCs w:val="24"/>
        </w:rPr>
        <w:t xml:space="preserve">) representative in small remote branches with a limited number of staff and the tracking of client waiting times increases the net costs, while elimination of commissions </w:t>
      </w:r>
      <w:r w:rsidR="003A1959" w:rsidRPr="003571FD">
        <w:rPr>
          <w:rFonts w:ascii="Times New Roman" w:hAnsi="Times New Roman" w:cs="Times New Roman"/>
          <w:sz w:val="24"/>
          <w:szCs w:val="24"/>
        </w:rPr>
        <w:t xml:space="preserve">reduces potential sources of </w:t>
      </w:r>
      <w:r w:rsidRPr="003571FD">
        <w:rPr>
          <w:rFonts w:ascii="Times New Roman" w:hAnsi="Times New Roman" w:cs="Times New Roman"/>
          <w:sz w:val="24"/>
          <w:szCs w:val="24"/>
        </w:rPr>
        <w:t>income</w:t>
      </w:r>
      <w:r w:rsidR="003A1959" w:rsidRPr="003571FD">
        <w:rPr>
          <w:rFonts w:ascii="Times New Roman" w:hAnsi="Times New Roman" w:cs="Times New Roman"/>
          <w:sz w:val="24"/>
          <w:szCs w:val="24"/>
        </w:rPr>
        <w:t xml:space="preserve"> to compensate for the necessary upfront investment and ongoing costs</w:t>
      </w:r>
      <w:r w:rsidR="00CE3853" w:rsidRPr="003571FD">
        <w:rPr>
          <w:rFonts w:ascii="Times New Roman" w:hAnsi="Times New Roman" w:cs="Times New Roman"/>
          <w:sz w:val="24"/>
          <w:szCs w:val="24"/>
        </w:rPr>
        <w:t>. More details on measures that could be alternatively introduced are included in Chapter 5.</w:t>
      </w:r>
      <w:r w:rsidR="009C6D16" w:rsidRPr="003571FD">
        <w:rPr>
          <w:rFonts w:ascii="Times New Roman" w:hAnsi="Times New Roman" w:cs="Times New Roman"/>
          <w:sz w:val="24"/>
          <w:szCs w:val="24"/>
        </w:rPr>
        <w:t>4.</w:t>
      </w:r>
      <w:r w:rsidR="003A1959"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 </w:t>
      </w:r>
    </w:p>
    <w:p w:rsidR="00904F6D" w:rsidRPr="003571FD" w:rsidRDefault="00904F6D" w:rsidP="00904F6D">
      <w:pPr>
        <w:pStyle w:val="ListParagraph"/>
        <w:ind w:left="504"/>
        <w:jc w:val="both"/>
        <w:rPr>
          <w:rFonts w:ascii="Times New Roman" w:hAnsi="Times New Roman" w:cs="Times New Roman"/>
          <w:sz w:val="24"/>
          <w:szCs w:val="24"/>
        </w:rPr>
      </w:pPr>
    </w:p>
    <w:p w:rsidR="00904F6D" w:rsidRPr="003571FD" w:rsidRDefault="004F0E2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 xml:space="preserve">To facilitate sound and equitable growth on the supply side, </w:t>
      </w:r>
      <w:r w:rsidR="00C877E6">
        <w:rPr>
          <w:rFonts w:ascii="Times New Roman" w:hAnsi="Times New Roman" w:cs="Times New Roman"/>
          <w:b/>
          <w:sz w:val="24"/>
          <w:szCs w:val="24"/>
        </w:rPr>
        <w:t xml:space="preserve">some </w:t>
      </w:r>
      <w:r w:rsidRPr="003571FD">
        <w:rPr>
          <w:rFonts w:ascii="Times New Roman" w:hAnsi="Times New Roman" w:cs="Times New Roman"/>
          <w:b/>
          <w:sz w:val="24"/>
          <w:szCs w:val="24"/>
        </w:rPr>
        <w:t xml:space="preserve">regulations should be revised or added to </w:t>
      </w:r>
      <w:r w:rsidR="001455A6" w:rsidRPr="003571FD">
        <w:rPr>
          <w:rFonts w:ascii="Times New Roman" w:hAnsi="Times New Roman" w:cs="Times New Roman"/>
          <w:b/>
          <w:sz w:val="24"/>
          <w:szCs w:val="24"/>
        </w:rPr>
        <w:t>differentiate the regulatory requirements</w:t>
      </w:r>
      <w:r w:rsidR="00C877E6">
        <w:rPr>
          <w:rFonts w:ascii="Times New Roman" w:hAnsi="Times New Roman" w:cs="Times New Roman"/>
          <w:b/>
          <w:sz w:val="24"/>
          <w:szCs w:val="24"/>
        </w:rPr>
        <w:t xml:space="preserve"> for non-bank deposit taking institutions</w:t>
      </w:r>
      <w:r w:rsidR="001455A6" w:rsidRPr="003571FD">
        <w:rPr>
          <w:rFonts w:ascii="Times New Roman" w:hAnsi="Times New Roman" w:cs="Times New Roman"/>
          <w:b/>
          <w:sz w:val="24"/>
          <w:szCs w:val="24"/>
        </w:rPr>
        <w:t xml:space="preserve">, </w:t>
      </w:r>
      <w:r w:rsidR="00C877E6">
        <w:rPr>
          <w:rFonts w:ascii="Times New Roman" w:hAnsi="Times New Roman" w:cs="Times New Roman"/>
          <w:b/>
          <w:sz w:val="24"/>
          <w:szCs w:val="24"/>
        </w:rPr>
        <w:t xml:space="preserve">and </w:t>
      </w:r>
      <w:r w:rsidR="001455A6" w:rsidRPr="003571FD">
        <w:rPr>
          <w:rFonts w:ascii="Times New Roman" w:hAnsi="Times New Roman" w:cs="Times New Roman"/>
          <w:b/>
          <w:sz w:val="24"/>
          <w:szCs w:val="24"/>
        </w:rPr>
        <w:t xml:space="preserve">facilitate </w:t>
      </w:r>
      <w:r w:rsidRPr="003571FD">
        <w:rPr>
          <w:rFonts w:ascii="Times New Roman" w:hAnsi="Times New Roman" w:cs="Times New Roman"/>
          <w:b/>
          <w:sz w:val="24"/>
          <w:szCs w:val="24"/>
        </w:rPr>
        <w:t xml:space="preserve">the reaping of economies of scale and improve governance </w:t>
      </w:r>
      <w:r w:rsidR="001455A6" w:rsidRPr="003571FD">
        <w:rPr>
          <w:rFonts w:ascii="Times New Roman" w:hAnsi="Times New Roman" w:cs="Times New Roman"/>
          <w:b/>
          <w:sz w:val="24"/>
          <w:szCs w:val="24"/>
        </w:rPr>
        <w:t>standards</w:t>
      </w:r>
      <w:r w:rsidRPr="003571FD">
        <w:rPr>
          <w:rFonts w:ascii="Times New Roman" w:hAnsi="Times New Roman" w:cs="Times New Roman"/>
          <w:b/>
          <w:sz w:val="24"/>
          <w:szCs w:val="24"/>
        </w:rPr>
        <w:t>.</w:t>
      </w:r>
      <w:r w:rsidRPr="003571FD">
        <w:rPr>
          <w:rFonts w:ascii="Times New Roman" w:hAnsi="Times New Roman" w:cs="Times New Roman"/>
          <w:sz w:val="24"/>
          <w:szCs w:val="24"/>
        </w:rPr>
        <w:t xml:space="preserve"> For example, the capital restrictions for investments in auxiliary service providers such as </w:t>
      </w:r>
      <w:r w:rsidRPr="003571FD">
        <w:rPr>
          <w:rFonts w:ascii="Times New Roman" w:hAnsi="Times New Roman" w:cs="Times New Roman"/>
          <w:i/>
          <w:sz w:val="24"/>
          <w:szCs w:val="24"/>
        </w:rPr>
        <w:t>Caja</w:t>
      </w:r>
      <w:r w:rsidR="00376BEB" w:rsidRPr="003571FD">
        <w:rPr>
          <w:rFonts w:ascii="Times New Roman" w:hAnsi="Times New Roman" w:cs="Times New Roman"/>
          <w:i/>
          <w:sz w:val="24"/>
          <w:szCs w:val="24"/>
        </w:rPr>
        <w:t>s</w:t>
      </w:r>
      <w:r w:rsidRPr="003571FD">
        <w:rPr>
          <w:rFonts w:ascii="Times New Roman" w:hAnsi="Times New Roman" w:cs="Times New Roman"/>
          <w:i/>
          <w:sz w:val="24"/>
          <w:szCs w:val="24"/>
        </w:rPr>
        <w:t xml:space="preserve"> Centrales</w:t>
      </w:r>
      <w:r w:rsidRPr="003571FD">
        <w:rPr>
          <w:rFonts w:ascii="Times New Roman" w:hAnsi="Times New Roman" w:cs="Times New Roman"/>
          <w:sz w:val="24"/>
          <w:szCs w:val="24"/>
        </w:rPr>
        <w:t xml:space="preserve"> could be </w:t>
      </w:r>
      <w:r w:rsidR="009C6D16" w:rsidRPr="003571FD">
        <w:rPr>
          <w:rFonts w:ascii="Times New Roman" w:hAnsi="Times New Roman" w:cs="Times New Roman"/>
          <w:sz w:val="24"/>
          <w:szCs w:val="24"/>
        </w:rPr>
        <w:t>made more flexible by introducing case to case approval, or allowing in general a higher investment limits in directly linked second tier service providers</w:t>
      </w:r>
      <w:r w:rsidRPr="003571FD">
        <w:rPr>
          <w:rFonts w:ascii="Times New Roman" w:hAnsi="Times New Roman" w:cs="Times New Roman"/>
          <w:sz w:val="24"/>
          <w:szCs w:val="24"/>
        </w:rPr>
        <w:t xml:space="preserve">. </w:t>
      </w:r>
      <w:r w:rsidR="009C6D16" w:rsidRPr="003571FD">
        <w:rPr>
          <w:rFonts w:ascii="Times New Roman" w:hAnsi="Times New Roman" w:cs="Times New Roman"/>
          <w:sz w:val="24"/>
          <w:szCs w:val="24"/>
        </w:rPr>
        <w:t xml:space="preserve">Exposure limits for managers in cooperatives can be </w:t>
      </w:r>
      <w:r w:rsidR="00147F9F" w:rsidRPr="003571FD">
        <w:rPr>
          <w:rFonts w:ascii="Times New Roman" w:hAnsi="Times New Roman" w:cs="Times New Roman"/>
          <w:sz w:val="24"/>
          <w:szCs w:val="24"/>
        </w:rPr>
        <w:t>adjusted</w:t>
      </w:r>
      <w:r w:rsidR="009C6D16" w:rsidRPr="003571FD">
        <w:rPr>
          <w:rFonts w:ascii="Times New Roman" w:hAnsi="Times New Roman" w:cs="Times New Roman"/>
          <w:sz w:val="24"/>
          <w:szCs w:val="24"/>
        </w:rPr>
        <w:t xml:space="preserve"> through the setting of clear limits </w:t>
      </w:r>
      <w:r w:rsidR="00147F9F" w:rsidRPr="003571FD">
        <w:rPr>
          <w:rFonts w:ascii="Times New Roman" w:hAnsi="Times New Roman" w:cs="Times New Roman"/>
          <w:sz w:val="24"/>
          <w:szCs w:val="24"/>
        </w:rPr>
        <w:t>for such loans</w:t>
      </w:r>
      <w:r w:rsidR="00BE09F0" w:rsidRPr="003571FD">
        <w:rPr>
          <w:rFonts w:ascii="Times New Roman" w:hAnsi="Times New Roman" w:cs="Times New Roman"/>
          <w:sz w:val="24"/>
          <w:szCs w:val="24"/>
        </w:rPr>
        <w:t xml:space="preserve"> </w:t>
      </w:r>
      <w:r w:rsidR="009C6D16" w:rsidRPr="003571FD">
        <w:rPr>
          <w:rFonts w:ascii="Times New Roman" w:hAnsi="Times New Roman" w:cs="Times New Roman"/>
          <w:sz w:val="24"/>
          <w:szCs w:val="24"/>
        </w:rPr>
        <w:t xml:space="preserve">in percent of the entities capital, and also </w:t>
      </w:r>
      <w:r w:rsidR="00147F9F" w:rsidRPr="003571FD">
        <w:rPr>
          <w:rFonts w:ascii="Times New Roman" w:hAnsi="Times New Roman" w:cs="Times New Roman"/>
          <w:sz w:val="24"/>
          <w:szCs w:val="24"/>
        </w:rPr>
        <w:t>introducing</w:t>
      </w:r>
      <w:r w:rsidR="009C6D16" w:rsidRPr="003571FD">
        <w:rPr>
          <w:rFonts w:ascii="Times New Roman" w:hAnsi="Times New Roman" w:cs="Times New Roman"/>
          <w:sz w:val="24"/>
          <w:szCs w:val="24"/>
        </w:rPr>
        <w:t xml:space="preserve"> separate credit decision mechanisms for those credits. </w:t>
      </w:r>
      <w:r w:rsidR="001455A6" w:rsidRPr="003571FD">
        <w:rPr>
          <w:rFonts w:ascii="Times New Roman" w:hAnsi="Times New Roman" w:cs="Times New Roman"/>
          <w:sz w:val="24"/>
          <w:szCs w:val="24"/>
        </w:rPr>
        <w:t xml:space="preserve">With regard to the issuance of credit cards, </w:t>
      </w:r>
      <w:r w:rsidR="009C6D16" w:rsidRPr="003571FD">
        <w:rPr>
          <w:rFonts w:ascii="Times New Roman" w:hAnsi="Times New Roman" w:cs="Times New Roman"/>
          <w:sz w:val="24"/>
          <w:szCs w:val="24"/>
        </w:rPr>
        <w:t xml:space="preserve">the regulatory framework and supervision </w:t>
      </w:r>
      <w:r w:rsidR="00984A48" w:rsidRPr="003571FD">
        <w:rPr>
          <w:rFonts w:ascii="Times New Roman" w:hAnsi="Times New Roman" w:cs="Times New Roman"/>
          <w:sz w:val="24"/>
          <w:szCs w:val="24"/>
        </w:rPr>
        <w:t>can pay for example</w:t>
      </w:r>
      <w:r w:rsidR="009C6D16" w:rsidRPr="003571FD">
        <w:rPr>
          <w:rFonts w:ascii="Times New Roman" w:hAnsi="Times New Roman" w:cs="Times New Roman"/>
          <w:sz w:val="24"/>
          <w:szCs w:val="24"/>
        </w:rPr>
        <w:t xml:space="preserve"> a stronger attention on ensuring adequate risk controls and limit</w:t>
      </w:r>
      <w:r w:rsidR="00984A48" w:rsidRPr="003571FD">
        <w:rPr>
          <w:rFonts w:ascii="Times New Roman" w:hAnsi="Times New Roman" w:cs="Times New Roman"/>
          <w:sz w:val="24"/>
          <w:szCs w:val="24"/>
        </w:rPr>
        <w:t>ing</w:t>
      </w:r>
      <w:r w:rsidR="009C6D16" w:rsidRPr="003571FD">
        <w:rPr>
          <w:rFonts w:ascii="Times New Roman" w:hAnsi="Times New Roman" w:cs="Times New Roman"/>
          <w:sz w:val="24"/>
          <w:szCs w:val="24"/>
        </w:rPr>
        <w:t xml:space="preserve"> the lending in line with the size of the financial entity</w:t>
      </w:r>
      <w:r w:rsidR="00984A48" w:rsidRPr="003571FD">
        <w:rPr>
          <w:rFonts w:ascii="Times New Roman" w:hAnsi="Times New Roman" w:cs="Times New Roman"/>
          <w:sz w:val="24"/>
          <w:szCs w:val="24"/>
        </w:rPr>
        <w:t>, as done in Costa Rica</w:t>
      </w:r>
      <w:r w:rsidR="009C6D16" w:rsidRPr="003571FD">
        <w:rPr>
          <w:rFonts w:ascii="Times New Roman" w:hAnsi="Times New Roman" w:cs="Times New Roman"/>
          <w:sz w:val="24"/>
          <w:szCs w:val="24"/>
        </w:rPr>
        <w:t>.</w:t>
      </w:r>
      <w:r w:rsidR="001455A6" w:rsidRPr="003571FD">
        <w:rPr>
          <w:rFonts w:ascii="Times New Roman" w:hAnsi="Times New Roman" w:cs="Times New Roman"/>
          <w:sz w:val="24"/>
          <w:szCs w:val="24"/>
        </w:rPr>
        <w:t xml:space="preserve"> </w:t>
      </w:r>
      <w:r w:rsidRPr="003571FD">
        <w:rPr>
          <w:rFonts w:ascii="Times New Roman" w:hAnsi="Times New Roman" w:cs="Times New Roman"/>
          <w:sz w:val="24"/>
          <w:szCs w:val="24"/>
        </w:rPr>
        <w:t>Furthermore, a code of good governance and its implementation should be considered for cooperatives to reduce governance problems in the sector</w:t>
      </w:r>
      <w:r w:rsidR="00C877E6">
        <w:rPr>
          <w:rStyle w:val="FootnoteReference"/>
          <w:rFonts w:ascii="Times New Roman" w:hAnsi="Times New Roman" w:cs="Times New Roman"/>
          <w:sz w:val="24"/>
          <w:szCs w:val="24"/>
        </w:rPr>
        <w:footnoteReference w:id="63"/>
      </w:r>
      <w:r w:rsidRPr="003571FD">
        <w:rPr>
          <w:rFonts w:ascii="Times New Roman" w:hAnsi="Times New Roman" w:cs="Times New Roman"/>
          <w:sz w:val="24"/>
          <w:szCs w:val="24"/>
        </w:rPr>
        <w:t>. In developing regulations it is important to maintain close collaboration with the industry in order to increase ownership, weigh costs and benefits of new regulations</w:t>
      </w:r>
      <w:r w:rsidR="00C52BF2">
        <w:rPr>
          <w:rFonts w:ascii="Times New Roman" w:hAnsi="Times New Roman" w:cs="Times New Roman"/>
          <w:sz w:val="24"/>
          <w:szCs w:val="24"/>
        </w:rPr>
        <w:t>,</w:t>
      </w:r>
      <w:r w:rsidRPr="003571FD">
        <w:rPr>
          <w:rFonts w:ascii="Times New Roman" w:hAnsi="Times New Roman" w:cs="Times New Roman"/>
          <w:sz w:val="24"/>
          <w:szCs w:val="24"/>
        </w:rPr>
        <w:t xml:space="preserve"> and enhance the effectiveness in implementation. </w:t>
      </w:r>
    </w:p>
    <w:p w:rsidR="00904F6D" w:rsidRPr="003571FD" w:rsidRDefault="00904F6D" w:rsidP="00904F6D">
      <w:pPr>
        <w:pStyle w:val="ListParagraph"/>
        <w:ind w:left="504"/>
        <w:jc w:val="both"/>
        <w:rPr>
          <w:rFonts w:ascii="Times New Roman" w:hAnsi="Times New Roman" w:cs="Times New Roman"/>
          <w:sz w:val="24"/>
          <w:szCs w:val="24"/>
        </w:rPr>
      </w:pPr>
    </w:p>
    <w:p w:rsidR="004F0E23" w:rsidRPr="003571FD" w:rsidRDefault="004F0E2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To enhance access to credit for enterprises and individuals, regulations need to be furthered to allow new products and more flexibility in lending conditions</w:t>
      </w:r>
      <w:r w:rsidRPr="003571FD">
        <w:rPr>
          <w:rFonts w:ascii="Times New Roman" w:hAnsi="Times New Roman" w:cs="Times New Roman"/>
          <w:sz w:val="24"/>
          <w:szCs w:val="24"/>
        </w:rPr>
        <w:t xml:space="preserve">. As will be discussed in more depth in Chapter 6, the new legal framework should pass / amend laws and regulations for leasing, factoring, partial credit guarantees, and registries to make these operational or broaden their applicability. For leasing, a new law should for example allow leasing operations to be conducted within a financial institution and not as currently foreseen through a separate entity, and allow all types of credit institutions to offer leasing and factoring products. </w:t>
      </w:r>
      <w:r w:rsidR="00B9174D" w:rsidRPr="003571FD">
        <w:rPr>
          <w:rFonts w:ascii="Times New Roman" w:hAnsi="Times New Roman" w:cs="Times New Roman"/>
          <w:sz w:val="24"/>
          <w:szCs w:val="24"/>
        </w:rPr>
        <w:t xml:space="preserve">A draft law on leasing has already been prepared in earlier years, and might be used as a basis for this work. </w:t>
      </w:r>
      <w:r w:rsidRPr="003571FD">
        <w:rPr>
          <w:rFonts w:ascii="Times New Roman" w:hAnsi="Times New Roman" w:cs="Times New Roman"/>
          <w:sz w:val="24"/>
          <w:szCs w:val="24"/>
        </w:rPr>
        <w:t>The existing regulations on collateral would need to be amended to broaden the definition of what constitutes movable collateral, and set up clear and harmonized institutional registry structure</w:t>
      </w:r>
      <w:r w:rsidRPr="00965E48">
        <w:rPr>
          <w:rFonts w:ascii="Times New Roman" w:hAnsi="Times New Roman" w:cs="Times New Roman"/>
          <w:sz w:val="24"/>
          <w:szCs w:val="24"/>
        </w:rPr>
        <w:t>s</w:t>
      </w:r>
      <w:r w:rsidR="00781E2F" w:rsidRPr="00965E48">
        <w:rPr>
          <w:rStyle w:val="FootnoteReference"/>
          <w:rFonts w:ascii="Times New Roman" w:hAnsi="Times New Roman" w:cs="Times New Roman"/>
          <w:sz w:val="24"/>
          <w:szCs w:val="24"/>
        </w:rPr>
        <w:footnoteReference w:id="64"/>
      </w:r>
      <w:r w:rsidRPr="00965E48">
        <w:rPr>
          <w:rFonts w:ascii="Times New Roman" w:hAnsi="Times New Roman" w:cs="Times New Roman"/>
          <w:sz w:val="24"/>
          <w:szCs w:val="24"/>
        </w:rPr>
        <w:t>.</w:t>
      </w:r>
      <w:r w:rsidRPr="003571FD">
        <w:rPr>
          <w:rFonts w:ascii="Times New Roman" w:hAnsi="Times New Roman" w:cs="Times New Roman"/>
          <w:sz w:val="24"/>
          <w:szCs w:val="24"/>
        </w:rPr>
        <w:t xml:space="preserve"> </w:t>
      </w:r>
      <w:r w:rsidR="005F2903" w:rsidRPr="003571FD">
        <w:rPr>
          <w:rFonts w:ascii="Times New Roman" w:hAnsi="Times New Roman" w:cs="Times New Roman"/>
          <w:sz w:val="24"/>
          <w:szCs w:val="24"/>
        </w:rPr>
        <w:t xml:space="preserve">As reforming collateral regimes would necessitate amendments to a number of laws, including the commercial code and labor code, the authorities might consider issuing a separate </w:t>
      </w:r>
      <w:r w:rsidR="00727897" w:rsidRPr="003571FD">
        <w:rPr>
          <w:rFonts w:ascii="Times New Roman" w:hAnsi="Times New Roman" w:cs="Times New Roman"/>
          <w:sz w:val="24"/>
          <w:szCs w:val="24"/>
        </w:rPr>
        <w:t xml:space="preserve">framework law on guarantees similar to the one already developed in 2006, which would override other applicable norms and regulation. It is important that the framework law also addresses creditor rights, as taking collateral without being able to enforce it would be counterproductive. </w:t>
      </w:r>
      <w:r w:rsidRPr="003571FD">
        <w:rPr>
          <w:rFonts w:ascii="Times New Roman" w:hAnsi="Times New Roman" w:cs="Times New Roman"/>
          <w:sz w:val="24"/>
          <w:szCs w:val="24"/>
        </w:rPr>
        <w:t xml:space="preserve">Finally, with regard to factoring, the commercial code needs to establish what constitutes an invoice for factoring to become feasible. </w:t>
      </w:r>
    </w:p>
    <w:p w:rsidR="004F0E23"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lastRenderedPageBreak/>
        <w:t xml:space="preserve">Bolivia is the only country in the region that aims to bring all </w:t>
      </w:r>
      <w:r w:rsidR="00984A48" w:rsidRPr="003571FD">
        <w:rPr>
          <w:rFonts w:ascii="Times New Roman" w:hAnsi="Times New Roman" w:cs="Times New Roman"/>
          <w:b/>
          <w:sz w:val="24"/>
          <w:szCs w:val="24"/>
        </w:rPr>
        <w:t xml:space="preserve">closed </w:t>
      </w:r>
      <w:r w:rsidRPr="003571FD">
        <w:rPr>
          <w:rFonts w:ascii="Times New Roman" w:hAnsi="Times New Roman" w:cs="Times New Roman"/>
          <w:b/>
          <w:sz w:val="24"/>
          <w:szCs w:val="24"/>
        </w:rPr>
        <w:t xml:space="preserve">cooperatives and </w:t>
      </w:r>
      <w:r w:rsidR="00984A48" w:rsidRPr="003571FD">
        <w:rPr>
          <w:rFonts w:ascii="Times New Roman" w:hAnsi="Times New Roman" w:cs="Times New Roman"/>
          <w:b/>
          <w:sz w:val="24"/>
          <w:szCs w:val="24"/>
        </w:rPr>
        <w:t>IFD</w:t>
      </w:r>
      <w:r w:rsidRPr="003571FD">
        <w:rPr>
          <w:rFonts w:ascii="Times New Roman" w:hAnsi="Times New Roman" w:cs="Times New Roman"/>
          <w:b/>
          <w:sz w:val="24"/>
          <w:szCs w:val="24"/>
        </w:rPr>
        <w:t xml:space="preserve">, regardless of their size, under the full prudential oversight of the financial sector authority. This not only implies high supervision costs but also might </w:t>
      </w:r>
      <w:r w:rsidR="002D6D26">
        <w:rPr>
          <w:rFonts w:ascii="Times New Roman" w:hAnsi="Times New Roman" w:cs="Times New Roman"/>
          <w:b/>
          <w:sz w:val="24"/>
          <w:szCs w:val="24"/>
        </w:rPr>
        <w:t>require</w:t>
      </w:r>
      <w:r w:rsidR="002D6D26" w:rsidRPr="003571FD">
        <w:rPr>
          <w:rFonts w:ascii="Times New Roman" w:hAnsi="Times New Roman" w:cs="Times New Roman"/>
          <w:b/>
          <w:sz w:val="24"/>
          <w:szCs w:val="24"/>
        </w:rPr>
        <w:t xml:space="preserve"> </w:t>
      </w:r>
      <w:r w:rsidRPr="003571FD">
        <w:rPr>
          <w:rFonts w:ascii="Times New Roman" w:hAnsi="Times New Roman" w:cs="Times New Roman"/>
          <w:b/>
          <w:sz w:val="24"/>
          <w:szCs w:val="24"/>
        </w:rPr>
        <w:t xml:space="preserve">some consolidation </w:t>
      </w:r>
      <w:r w:rsidR="002D6D26" w:rsidRPr="003571FD">
        <w:rPr>
          <w:rFonts w:ascii="Times New Roman" w:hAnsi="Times New Roman" w:cs="Times New Roman"/>
          <w:b/>
          <w:sz w:val="24"/>
          <w:szCs w:val="24"/>
        </w:rPr>
        <w:t>o</w:t>
      </w:r>
      <w:r w:rsidR="002D6D26">
        <w:rPr>
          <w:rFonts w:ascii="Times New Roman" w:hAnsi="Times New Roman" w:cs="Times New Roman"/>
          <w:b/>
          <w:sz w:val="24"/>
          <w:szCs w:val="24"/>
        </w:rPr>
        <w:t>f</w:t>
      </w:r>
      <w:r w:rsidR="002D6D26" w:rsidRPr="003571FD">
        <w:rPr>
          <w:rFonts w:ascii="Times New Roman" w:hAnsi="Times New Roman" w:cs="Times New Roman"/>
          <w:b/>
          <w:sz w:val="24"/>
          <w:szCs w:val="24"/>
        </w:rPr>
        <w:t xml:space="preserve"> </w:t>
      </w:r>
      <w:r w:rsidRPr="003571FD">
        <w:rPr>
          <w:rFonts w:ascii="Times New Roman" w:hAnsi="Times New Roman" w:cs="Times New Roman"/>
          <w:b/>
          <w:sz w:val="24"/>
          <w:szCs w:val="24"/>
        </w:rPr>
        <w:t xml:space="preserve">the sector. </w:t>
      </w:r>
      <w:r w:rsidRPr="003571FD">
        <w:rPr>
          <w:rFonts w:ascii="Times New Roman" w:hAnsi="Times New Roman" w:cs="Times New Roman"/>
          <w:sz w:val="24"/>
          <w:szCs w:val="24"/>
        </w:rPr>
        <w:t xml:space="preserve">While the asset size of the sector does not suggest that the closed cooperatives are of systemic importance, they however cater to a large number of </w:t>
      </w:r>
      <w:r w:rsidR="002D6D26">
        <w:rPr>
          <w:rFonts w:ascii="Times New Roman" w:hAnsi="Times New Roman" w:cs="Times New Roman"/>
          <w:sz w:val="24"/>
          <w:szCs w:val="24"/>
        </w:rPr>
        <w:t>depositors,</w:t>
      </w:r>
      <w:r w:rsidRPr="003571FD">
        <w:rPr>
          <w:rFonts w:ascii="Times New Roman" w:hAnsi="Times New Roman" w:cs="Times New Roman"/>
          <w:sz w:val="24"/>
          <w:szCs w:val="24"/>
        </w:rPr>
        <w:t xml:space="preserve"> mostly from lower income segments of the population and in rural areas. Bringing them under supervision to monitor stability of the sector per se is thus a positive step. To facilitate the transition and also rationalize scarce supervision budget, ASFI might want to consider introducing a stronger differentiation in the applicable regulatory framework along size of assets as well as in the actual supervision along risk-based considerations. The differentiation could include, in the case of the smaller entities, fewer reporting requirements (both in quantity and frequency, and form of media used to allow cooperatives in remote areas with limited ICT infrastructure to comply)</w:t>
      </w:r>
      <w:r w:rsidRPr="003571FD">
        <w:rPr>
          <w:rStyle w:val="FootnoteReference"/>
          <w:rFonts w:ascii="Times New Roman" w:hAnsi="Times New Roman" w:cs="Times New Roman"/>
          <w:sz w:val="24"/>
          <w:szCs w:val="24"/>
        </w:rPr>
        <w:footnoteReference w:id="65"/>
      </w:r>
      <w:r w:rsidRPr="003571FD">
        <w:rPr>
          <w:rFonts w:ascii="Times New Roman" w:hAnsi="Times New Roman" w:cs="Times New Roman"/>
          <w:sz w:val="24"/>
          <w:szCs w:val="24"/>
        </w:rPr>
        <w:t>, less stringent minimum capital requirements, and lower frequency of supervision</w:t>
      </w:r>
      <w:r w:rsidRPr="003571FD">
        <w:rPr>
          <w:rStyle w:val="FootnoteReference"/>
          <w:rFonts w:ascii="Times New Roman" w:hAnsi="Times New Roman" w:cs="Times New Roman"/>
          <w:sz w:val="24"/>
          <w:szCs w:val="24"/>
        </w:rPr>
        <w:footnoteReference w:id="66"/>
      </w:r>
      <w:r w:rsidRPr="003571FD">
        <w:rPr>
          <w:rFonts w:ascii="Times New Roman" w:hAnsi="Times New Roman" w:cs="Times New Roman"/>
          <w:sz w:val="24"/>
          <w:szCs w:val="24"/>
        </w:rPr>
        <w:t xml:space="preserve">, but also additional restrictions on the type of activities allowed. Other countries in the region for example only mandate formal supervision after a threshold of capital is reached, or </w:t>
      </w:r>
      <w:proofErr w:type="gramStart"/>
      <w:r w:rsidRPr="003571FD">
        <w:rPr>
          <w:rFonts w:ascii="Times New Roman" w:hAnsi="Times New Roman" w:cs="Times New Roman"/>
          <w:sz w:val="24"/>
          <w:szCs w:val="24"/>
        </w:rPr>
        <w:t>focus</w:t>
      </w:r>
      <w:proofErr w:type="gramEnd"/>
      <w:r w:rsidRPr="003571FD">
        <w:rPr>
          <w:rFonts w:ascii="Times New Roman" w:hAnsi="Times New Roman" w:cs="Times New Roman"/>
          <w:sz w:val="24"/>
          <w:szCs w:val="24"/>
        </w:rPr>
        <w:t xml:space="preserve"> on the capital adequacy ratio instead of a minimum capital </w:t>
      </w:r>
      <w:r w:rsidR="002D6D26">
        <w:rPr>
          <w:rFonts w:ascii="Times New Roman" w:hAnsi="Times New Roman" w:cs="Times New Roman"/>
          <w:sz w:val="24"/>
          <w:szCs w:val="24"/>
        </w:rPr>
        <w:t>requirement</w:t>
      </w:r>
      <w:r w:rsidRPr="003571FD">
        <w:rPr>
          <w:rFonts w:ascii="Times New Roman" w:hAnsi="Times New Roman" w:cs="Times New Roman"/>
          <w:sz w:val="24"/>
          <w:szCs w:val="24"/>
        </w:rPr>
        <w:t xml:space="preserve">. Finally, it is important to improve the available data on the sector, and clarify the role of the two involved supervisory agencies, the ASFI and the </w:t>
      </w:r>
      <w:r w:rsidRPr="003571FD">
        <w:rPr>
          <w:rFonts w:ascii="Times New Roman" w:hAnsi="Times New Roman" w:cs="Times New Roman"/>
          <w:i/>
          <w:sz w:val="24"/>
          <w:szCs w:val="24"/>
        </w:rPr>
        <w:t>Dirección General de Cooperativas</w:t>
      </w:r>
      <w:r w:rsidRPr="003571FD">
        <w:rPr>
          <w:rFonts w:ascii="Times New Roman" w:hAnsi="Times New Roman" w:cs="Times New Roman"/>
          <w:sz w:val="24"/>
          <w:szCs w:val="24"/>
        </w:rPr>
        <w:t xml:space="preserve"> with regard to licensing, merging and liquidating / closing of cooperatives, as well as training, data collection and oversight. </w:t>
      </w:r>
    </w:p>
    <w:p w:rsidR="00904F6D" w:rsidRPr="003571FD" w:rsidRDefault="00904F6D" w:rsidP="00904F6D">
      <w:pPr>
        <w:pStyle w:val="ListParagraph"/>
        <w:ind w:left="360"/>
        <w:jc w:val="both"/>
        <w:rPr>
          <w:rFonts w:ascii="Times New Roman" w:hAnsi="Times New Roman" w:cs="Times New Roman"/>
          <w:sz w:val="24"/>
          <w:szCs w:val="24"/>
        </w:rPr>
      </w:pPr>
    </w:p>
    <w:p w:rsidR="00904F6D"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The transition of </w:t>
      </w:r>
      <w:r w:rsidR="00984A48" w:rsidRPr="003571FD">
        <w:rPr>
          <w:rFonts w:ascii="Times New Roman" w:hAnsi="Times New Roman" w:cs="Times New Roman"/>
          <w:b/>
          <w:sz w:val="24"/>
          <w:szCs w:val="24"/>
        </w:rPr>
        <w:t xml:space="preserve">closed </w:t>
      </w:r>
      <w:r w:rsidRPr="003571FD">
        <w:rPr>
          <w:rFonts w:ascii="Times New Roman" w:hAnsi="Times New Roman" w:cs="Times New Roman"/>
          <w:b/>
          <w:sz w:val="24"/>
          <w:szCs w:val="24"/>
        </w:rPr>
        <w:t xml:space="preserve">cooperatives and </w:t>
      </w:r>
      <w:r w:rsidR="00984A48" w:rsidRPr="003571FD">
        <w:rPr>
          <w:rFonts w:ascii="Times New Roman" w:hAnsi="Times New Roman" w:cs="Times New Roman"/>
          <w:b/>
          <w:sz w:val="24"/>
          <w:szCs w:val="24"/>
        </w:rPr>
        <w:t>IFD</w:t>
      </w:r>
      <w:r w:rsidRPr="003571FD">
        <w:rPr>
          <w:rFonts w:ascii="Times New Roman" w:hAnsi="Times New Roman" w:cs="Times New Roman"/>
          <w:b/>
          <w:sz w:val="24"/>
          <w:szCs w:val="24"/>
        </w:rPr>
        <w:t>s to become supervised entities needs to be carefully staged and sufficient incentives and support to the institutions provided to facilitate the process.</w:t>
      </w:r>
      <w:r w:rsidRPr="003571FD">
        <w:rPr>
          <w:rFonts w:ascii="Times New Roman" w:hAnsi="Times New Roman" w:cs="Times New Roman"/>
          <w:sz w:val="24"/>
          <w:szCs w:val="24"/>
        </w:rPr>
        <w:t xml:space="preserve"> Experience from other countries suggests that the transition process per se is difficult as not all unregulated financial entities see the rationale for entering into the process, or simply do not have the size, financial and human capacities to adhere to the added information and institutional requirements. A number of factors can facilitate the process, and could be considered for implementation in Bolivia:</w:t>
      </w:r>
    </w:p>
    <w:p w:rsidR="00904F6D" w:rsidRPr="003571FD" w:rsidRDefault="00904F6D" w:rsidP="00904F6D">
      <w:pPr>
        <w:pStyle w:val="ListParagraph"/>
        <w:ind w:left="360"/>
        <w:jc w:val="both"/>
        <w:rPr>
          <w:rFonts w:ascii="Times New Roman" w:hAnsi="Times New Roman" w:cs="Times New Roman"/>
          <w:sz w:val="24"/>
          <w:szCs w:val="24"/>
        </w:rPr>
      </w:pPr>
    </w:p>
    <w:p w:rsidR="004F0E23" w:rsidRPr="003571FD" w:rsidRDefault="004F0E23" w:rsidP="00CA07A0">
      <w:pPr>
        <w:pStyle w:val="ListParagraph"/>
        <w:numPr>
          <w:ilvl w:val="0"/>
          <w:numId w:val="9"/>
        </w:numPr>
        <w:jc w:val="both"/>
        <w:rPr>
          <w:rFonts w:ascii="Times New Roman" w:hAnsi="Times New Roman" w:cs="Times New Roman"/>
          <w:sz w:val="24"/>
          <w:szCs w:val="24"/>
        </w:rPr>
      </w:pPr>
      <w:r w:rsidRPr="007157B3">
        <w:rPr>
          <w:rFonts w:ascii="Times New Roman" w:hAnsi="Times New Roman" w:cs="Times New Roman"/>
          <w:b/>
          <w:sz w:val="24"/>
          <w:szCs w:val="24"/>
        </w:rPr>
        <w:t xml:space="preserve">Establish </w:t>
      </w:r>
      <w:r w:rsidR="00781E2F" w:rsidRPr="00781E2F">
        <w:rPr>
          <w:rFonts w:ascii="Times New Roman" w:hAnsi="Times New Roman" w:cs="Times New Roman"/>
          <w:b/>
          <w:sz w:val="24"/>
          <w:szCs w:val="24"/>
        </w:rPr>
        <w:t>clear but realistic deadlines for the transition, provide a roadmap for the transition process with specific targets and develop a clear and enforceable set of sanctions for non-compliance.</w:t>
      </w:r>
      <w:r w:rsidRPr="003571FD">
        <w:rPr>
          <w:rFonts w:ascii="Times New Roman" w:hAnsi="Times New Roman" w:cs="Times New Roman"/>
          <w:sz w:val="24"/>
          <w:szCs w:val="24"/>
        </w:rPr>
        <w:t xml:space="preserve"> Considerations should be given to sequencing the process by initially focusing on the larger unregulated players, and addressing the transformation of the smaller entities at a later stage or at a slower pace. By setting unrealistic deadlines, or in the absence of enforcement power in case of non-compliance, </w:t>
      </w:r>
      <w:r w:rsidRPr="003571FD">
        <w:rPr>
          <w:rFonts w:ascii="Times New Roman" w:hAnsi="Times New Roman" w:cs="Times New Roman"/>
          <w:sz w:val="24"/>
          <w:szCs w:val="24"/>
        </w:rPr>
        <w:lastRenderedPageBreak/>
        <w:t xml:space="preserve">the respective regulatory authority looses credibility and traction. Sanctions could for example include setting of action plans, restrictions on the type of operations to be conducted, </w:t>
      </w:r>
      <w:r w:rsidR="007157B3">
        <w:rPr>
          <w:rFonts w:ascii="Times New Roman" w:hAnsi="Times New Roman" w:cs="Times New Roman"/>
          <w:sz w:val="24"/>
          <w:szCs w:val="24"/>
        </w:rPr>
        <w:t xml:space="preserve">replacement of Board or management, </w:t>
      </w:r>
      <w:r w:rsidRPr="003571FD">
        <w:rPr>
          <w:rFonts w:ascii="Times New Roman" w:hAnsi="Times New Roman" w:cs="Times New Roman"/>
          <w:sz w:val="24"/>
          <w:szCs w:val="24"/>
        </w:rPr>
        <w:t>and in a last instance merger or closure of the entity in case of non-compliance. In this context it is advisable to reinstate the immunity of prosecution for ASFI staff, so that interventions into failing entities can be carried out without negative consequences for the involved staff.</w:t>
      </w:r>
    </w:p>
    <w:p w:rsidR="00904F6D" w:rsidRPr="003571FD" w:rsidRDefault="00904F6D" w:rsidP="00904F6D">
      <w:pPr>
        <w:pStyle w:val="ListParagraph"/>
        <w:ind w:left="504"/>
        <w:jc w:val="both"/>
        <w:rPr>
          <w:rFonts w:ascii="Times New Roman" w:hAnsi="Times New Roman" w:cs="Times New Roman"/>
          <w:sz w:val="24"/>
          <w:szCs w:val="24"/>
        </w:rPr>
      </w:pPr>
    </w:p>
    <w:p w:rsidR="00904F6D" w:rsidRPr="003571FD" w:rsidRDefault="004F0E2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Provide technical assistance to individual institutions and to the federations</w:t>
      </w:r>
      <w:r w:rsidRPr="003571FD">
        <w:rPr>
          <w:rFonts w:ascii="Times New Roman" w:hAnsi="Times New Roman" w:cs="Times New Roman"/>
          <w:sz w:val="24"/>
          <w:szCs w:val="24"/>
        </w:rPr>
        <w:t xml:space="preserve"> to enhance </w:t>
      </w:r>
      <w:r w:rsidR="007157B3">
        <w:rPr>
          <w:rFonts w:ascii="Times New Roman" w:hAnsi="Times New Roman" w:cs="Times New Roman"/>
          <w:sz w:val="24"/>
          <w:szCs w:val="24"/>
        </w:rPr>
        <w:t>their</w:t>
      </w:r>
      <w:r w:rsidR="007157B3"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technical capacity, </w:t>
      </w:r>
      <w:r w:rsidR="007157B3">
        <w:rPr>
          <w:rFonts w:ascii="Times New Roman" w:hAnsi="Times New Roman" w:cs="Times New Roman"/>
          <w:sz w:val="24"/>
          <w:szCs w:val="24"/>
        </w:rPr>
        <w:t xml:space="preserve">and </w:t>
      </w:r>
      <w:r w:rsidRPr="003571FD">
        <w:rPr>
          <w:rFonts w:ascii="Times New Roman" w:hAnsi="Times New Roman" w:cs="Times New Roman"/>
          <w:sz w:val="24"/>
          <w:szCs w:val="24"/>
        </w:rPr>
        <w:t xml:space="preserve">design and implement action plans for institutional development </w:t>
      </w:r>
      <w:r w:rsidR="007157B3">
        <w:rPr>
          <w:rFonts w:ascii="Times New Roman" w:hAnsi="Times New Roman" w:cs="Times New Roman"/>
          <w:sz w:val="24"/>
          <w:szCs w:val="24"/>
        </w:rPr>
        <w:t>as well as</w:t>
      </w:r>
      <w:r w:rsidR="007157B3" w:rsidRPr="003571FD">
        <w:rPr>
          <w:rFonts w:ascii="Times New Roman" w:hAnsi="Times New Roman" w:cs="Times New Roman"/>
          <w:sz w:val="24"/>
          <w:szCs w:val="24"/>
        </w:rPr>
        <w:t xml:space="preserve"> </w:t>
      </w:r>
      <w:r w:rsidRPr="003571FD">
        <w:rPr>
          <w:rFonts w:ascii="Times New Roman" w:hAnsi="Times New Roman" w:cs="Times New Roman"/>
          <w:sz w:val="24"/>
          <w:szCs w:val="24"/>
        </w:rPr>
        <w:t>address targeted technical needs during its implementation. Ideally, the assistance should be provided on a cost-sharing basis.</w:t>
      </w:r>
    </w:p>
    <w:p w:rsidR="00904F6D" w:rsidRPr="003571FD" w:rsidRDefault="00904F6D" w:rsidP="00904F6D">
      <w:pPr>
        <w:pStyle w:val="ListParagraph"/>
        <w:rPr>
          <w:rFonts w:ascii="Times New Roman" w:hAnsi="Times New Roman" w:cs="Times New Roman"/>
          <w:sz w:val="24"/>
          <w:szCs w:val="24"/>
        </w:rPr>
      </w:pPr>
    </w:p>
    <w:p w:rsidR="00904F6D" w:rsidRPr="003571FD" w:rsidRDefault="00904F6D"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G</w:t>
      </w:r>
      <w:r w:rsidR="004F0E23" w:rsidRPr="003571FD">
        <w:rPr>
          <w:rFonts w:ascii="Times New Roman" w:hAnsi="Times New Roman" w:cs="Times New Roman"/>
          <w:b/>
          <w:sz w:val="24"/>
          <w:szCs w:val="24"/>
        </w:rPr>
        <w:t>ive incentives for attaining different stages in the transition process</w:t>
      </w:r>
      <w:r w:rsidR="004F0E23" w:rsidRPr="003571FD">
        <w:rPr>
          <w:rFonts w:ascii="Times New Roman" w:hAnsi="Times New Roman" w:cs="Times New Roman"/>
          <w:sz w:val="24"/>
          <w:szCs w:val="24"/>
        </w:rPr>
        <w:t xml:space="preserve">. This could for example include insertion into a deposit insurance scheme after a certain level of quality of information and financial soundness is achieved, as well as issuance of subordinated debt to increase capital levels, reimbursement for some of the training or technical assistance costs shouldered by the entity in case of speedy implementation of reforms, access to external funding sources such as government or donor funds, and access to the payment system along the reform process. Furthermore, media campaigns to educate the population of the transformation, and the establishment of “solidity” grades that can be perceived by the public, such as their participation in a deposit guarantee scheme or participating in the payment of conditional cash transfers for the government could – if done in a targeted way – be used as a positive incentive. </w:t>
      </w:r>
    </w:p>
    <w:p w:rsidR="00904F6D" w:rsidRPr="003571FD" w:rsidRDefault="00904F6D" w:rsidP="00904F6D">
      <w:pPr>
        <w:pStyle w:val="ListParagraph"/>
        <w:widowControl w:val="0"/>
        <w:autoSpaceDE w:val="0"/>
        <w:autoSpaceDN w:val="0"/>
        <w:adjustRightInd w:val="0"/>
        <w:spacing w:after="240"/>
        <w:ind w:left="504"/>
        <w:jc w:val="both"/>
        <w:rPr>
          <w:rFonts w:ascii="Times New Roman" w:hAnsi="Times New Roman" w:cs="Times New Roman"/>
          <w:sz w:val="24"/>
          <w:szCs w:val="24"/>
        </w:rPr>
      </w:pPr>
    </w:p>
    <w:p w:rsidR="00064738" w:rsidRPr="003571FD" w:rsidRDefault="004F0E2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additional task of incorporating a large number of the hitherto unregulated financial entities into prudential oversight will stretch ASFI’s capacity to supervise the financial system further.</w:t>
      </w:r>
      <w:r w:rsidRPr="003571FD">
        <w:rPr>
          <w:rFonts w:ascii="Times New Roman" w:hAnsi="Times New Roman" w:cs="Times New Roman"/>
          <w:sz w:val="24"/>
          <w:szCs w:val="24"/>
        </w:rPr>
        <w:t xml:space="preserve"> ASFI already has a considerable task to muster with the supervision of the existing formal financial institutions, </w:t>
      </w:r>
      <w:r w:rsidR="00B9174D" w:rsidRPr="003571FD">
        <w:rPr>
          <w:rFonts w:ascii="Times New Roman" w:hAnsi="Times New Roman" w:cs="Times New Roman"/>
          <w:sz w:val="24"/>
          <w:szCs w:val="24"/>
        </w:rPr>
        <w:t xml:space="preserve">and the low public salaries affect ASFI’s capacity to </w:t>
      </w:r>
      <w:r w:rsidR="00147F9F" w:rsidRPr="003571FD">
        <w:rPr>
          <w:rFonts w:ascii="Times New Roman" w:hAnsi="Times New Roman" w:cs="Times New Roman"/>
          <w:sz w:val="24"/>
          <w:szCs w:val="24"/>
        </w:rPr>
        <w:t xml:space="preserve">hire and retain </w:t>
      </w:r>
      <w:r w:rsidR="00B9174D" w:rsidRPr="003571FD">
        <w:rPr>
          <w:rFonts w:ascii="Times New Roman" w:hAnsi="Times New Roman" w:cs="Times New Roman"/>
          <w:sz w:val="24"/>
          <w:szCs w:val="24"/>
        </w:rPr>
        <w:t>adequate human resources</w:t>
      </w:r>
      <w:r w:rsidRPr="003571FD">
        <w:rPr>
          <w:rFonts w:ascii="Times New Roman" w:hAnsi="Times New Roman" w:cs="Times New Roman"/>
          <w:sz w:val="24"/>
          <w:szCs w:val="24"/>
        </w:rPr>
        <w:t xml:space="preserve">. ASFI is now also providing substantial support and technical assistance to the closed cooperatives and </w:t>
      </w:r>
      <w:r w:rsidR="00E8511E" w:rsidRPr="003571FD">
        <w:rPr>
          <w:rFonts w:ascii="Times New Roman" w:hAnsi="Times New Roman" w:cs="Times New Roman"/>
          <w:sz w:val="24"/>
          <w:szCs w:val="24"/>
        </w:rPr>
        <w:t>IFD</w:t>
      </w:r>
      <w:r w:rsidRPr="003571FD">
        <w:rPr>
          <w:rFonts w:ascii="Times New Roman" w:hAnsi="Times New Roman" w:cs="Times New Roman"/>
          <w:sz w:val="24"/>
          <w:szCs w:val="24"/>
        </w:rPr>
        <w:t xml:space="preserve">s in transition, and is developing a consumer protection and education program, both of which need to be accompanied with an alignment of resources, human and institutional capacity and processes to the growing responsibilities. </w:t>
      </w:r>
      <w:r w:rsidR="007157B3">
        <w:rPr>
          <w:rFonts w:ascii="Times New Roman" w:hAnsi="Times New Roman" w:cs="Times New Roman"/>
          <w:sz w:val="24"/>
          <w:szCs w:val="24"/>
        </w:rPr>
        <w:t xml:space="preserve">Attention has to be paid to adjust the budgetary envelop of ASFI in line with the new tasks, and throughout the transition process adjusted. </w:t>
      </w:r>
      <w:r w:rsidRPr="003571FD">
        <w:rPr>
          <w:rFonts w:ascii="Times New Roman" w:hAnsi="Times New Roman" w:cs="Times New Roman"/>
          <w:sz w:val="24"/>
          <w:szCs w:val="24"/>
        </w:rPr>
        <w:t xml:space="preserve">In the medium term and assuming a considerable strengthening of the organizational structure of the cooperative sector, thought could be given to using auxiliary supervision for smaller entities, as it is done in Mexico and other countries. </w:t>
      </w:r>
    </w:p>
    <w:p w:rsidR="00EC5E43" w:rsidRPr="003571FD" w:rsidRDefault="00064738" w:rsidP="00AA3DAB">
      <w:pPr>
        <w:pStyle w:val="Heading1"/>
        <w:rPr>
          <w:rStyle w:val="Heading1Char"/>
        </w:rPr>
      </w:pPr>
      <w:r w:rsidRPr="003571FD">
        <w:rPr>
          <w:rFonts w:cs="Times New Roman"/>
          <w:sz w:val="24"/>
          <w:szCs w:val="24"/>
        </w:rPr>
        <w:br w:type="page"/>
      </w:r>
      <w:bookmarkStart w:id="44" w:name="_Toc312319498"/>
      <w:r w:rsidR="00EC5E43" w:rsidRPr="003571FD">
        <w:rPr>
          <w:rFonts w:cs="Times New Roman"/>
        </w:rPr>
        <w:lastRenderedPageBreak/>
        <w:t>Barriers to financial inclusion, in particular in rural areas</w:t>
      </w:r>
      <w:bookmarkEnd w:id="44"/>
      <w:r w:rsidR="00EC5E43" w:rsidRPr="003571FD">
        <w:rPr>
          <w:rStyle w:val="Heading1Char"/>
          <w:rFonts w:cs="Times New Roman"/>
        </w:rPr>
        <w:t xml:space="preserve"> </w:t>
      </w:r>
    </w:p>
    <w:p w:rsidR="00EC5E43" w:rsidRPr="003571FD" w:rsidRDefault="00EC5E43" w:rsidP="00EC5E43">
      <w:pPr>
        <w:jc w:val="both"/>
        <w:rPr>
          <w:rFonts w:ascii="Times New Roman" w:hAnsi="Times New Roman" w:cs="Times New Roman"/>
          <w:bCs/>
          <w:sz w:val="24"/>
          <w:szCs w:val="24"/>
        </w:rPr>
      </w:pPr>
      <w:r w:rsidRPr="003571FD">
        <w:rPr>
          <w:rFonts w:ascii="Times New Roman" w:hAnsi="Times New Roman" w:cs="Times New Roman"/>
          <w:bCs/>
          <w:sz w:val="24"/>
          <w:szCs w:val="24"/>
        </w:rPr>
        <w:t xml:space="preserve"> </w:t>
      </w:r>
    </w:p>
    <w:p w:rsidR="00EC5E43" w:rsidRPr="003571FD" w:rsidRDefault="00EC5E43" w:rsidP="00EC5E43">
      <w:pPr>
        <w:jc w:val="both"/>
        <w:rPr>
          <w:rFonts w:ascii="Times New Roman" w:hAnsi="Times New Roman" w:cs="Times New Roman"/>
          <w:bCs/>
          <w:i/>
          <w:sz w:val="24"/>
          <w:szCs w:val="24"/>
        </w:rPr>
      </w:pPr>
      <w:r w:rsidRPr="003571FD">
        <w:rPr>
          <w:rFonts w:ascii="Times New Roman" w:hAnsi="Times New Roman" w:cs="Times New Roman"/>
          <w:bCs/>
          <w:i/>
          <w:sz w:val="24"/>
          <w:szCs w:val="24"/>
        </w:rPr>
        <w:t>Supported by government reform efforts, the number of financial service points increased significantly over the l</w:t>
      </w:r>
      <w:r w:rsidR="00CE1063" w:rsidRPr="003571FD">
        <w:rPr>
          <w:rFonts w:ascii="Times New Roman" w:hAnsi="Times New Roman" w:cs="Times New Roman"/>
          <w:bCs/>
          <w:i/>
          <w:sz w:val="24"/>
          <w:szCs w:val="24"/>
        </w:rPr>
        <w:t>a</w:t>
      </w:r>
      <w:r w:rsidRPr="003571FD">
        <w:rPr>
          <w:rFonts w:ascii="Times New Roman" w:hAnsi="Times New Roman" w:cs="Times New Roman"/>
          <w:bCs/>
          <w:i/>
          <w:sz w:val="24"/>
          <w:szCs w:val="24"/>
        </w:rPr>
        <w:t xml:space="preserve">st few years, but mostly in the form of more traditional and costly branch networks. Covering the remaining areas with financial services will be more difficult, as the low population density, higher poverty rates, as well as some deficiencies in the available ICT and financial infrastructure raise the cost of service delivery at the rural level. Furthermore, lack of financial education and the prevalence of cash transactions lower the demand for more efficient payment services such as electronic payments and make the implementation of cheaper modern service delivery channels such as non-bank agents more difficult. To foster financial inclusion and enhance the coverage with financial access points throughout the country, the focus has thus to be on reforms to lower the costs of service delivery, and, combined with marketing and promotion campaigns, to stimulate the uptake of more efficient payment options by the population. </w:t>
      </w:r>
    </w:p>
    <w:p w:rsidR="00EC5E43" w:rsidRPr="003571FD" w:rsidRDefault="00EC5E43" w:rsidP="00965E48">
      <w:pPr>
        <w:pStyle w:val="Heading2"/>
      </w:pPr>
      <w:bookmarkStart w:id="45" w:name="_Toc312319499"/>
      <w:r w:rsidRPr="003571FD">
        <w:t>Structural aspects</w:t>
      </w:r>
      <w:bookmarkEnd w:id="45"/>
      <w:r w:rsidRPr="003571FD">
        <w:t xml:space="preserve"> </w:t>
      </w:r>
    </w:p>
    <w:p w:rsidR="00EC5E43" w:rsidRPr="003571FD" w:rsidRDefault="00EC5E43" w:rsidP="00EC5E43">
      <w:pPr>
        <w:jc w:val="both"/>
        <w:rPr>
          <w:rFonts w:ascii="Times New Roman" w:hAnsi="Times New Roman" w:cs="Times New Roman"/>
        </w:rPr>
      </w:pPr>
    </w:p>
    <w:p w:rsidR="00EC5E43" w:rsidRPr="003571FD" w:rsidRDefault="00EC5E43" w:rsidP="00CA07A0">
      <w:pPr>
        <w:pStyle w:val="ListParagraph"/>
        <w:numPr>
          <w:ilvl w:val="0"/>
          <w:numId w:val="8"/>
        </w:numPr>
        <w:spacing w:after="240"/>
        <w:jc w:val="both"/>
        <w:rPr>
          <w:rFonts w:ascii="Times New Roman" w:hAnsi="Times New Roman" w:cs="Times New Roman"/>
          <w:bCs/>
          <w:sz w:val="24"/>
          <w:szCs w:val="24"/>
        </w:rPr>
      </w:pPr>
      <w:r w:rsidRPr="003571FD">
        <w:rPr>
          <w:rFonts w:ascii="Times New Roman" w:hAnsi="Times New Roman" w:cs="Times New Roman"/>
          <w:b/>
          <w:bCs/>
          <w:sz w:val="24"/>
          <w:szCs w:val="24"/>
        </w:rPr>
        <w:t xml:space="preserve">There are a number of long-term factors that set the stage for a financial system’s overall ease of providing access to financial services to a broader share of the population. </w:t>
      </w:r>
      <w:r w:rsidRPr="003571FD">
        <w:rPr>
          <w:rFonts w:ascii="Times New Roman" w:hAnsi="Times New Roman" w:cs="Times New Roman"/>
          <w:bCs/>
          <w:sz w:val="24"/>
          <w:szCs w:val="24"/>
        </w:rPr>
        <w:t xml:space="preserve">One of these factors is the overall level of development (typically measured by per capita income), which together with the distribution of income (typically depicted by the Gini coefficient and survey results on poverty) provides an indication on the share of the population that is considered “bankable” on various levels. Another factor is the population density and the share of the population living in rural areas, both of which impact the costs and possible economies of scale for delivering financial services to more remote areas. Finally, the level of available information and communication technology determines to what extent modern technologies can be used to lower costs for the delivery of financial services. </w:t>
      </w:r>
    </w:p>
    <w:p w:rsidR="00904F6D" w:rsidRPr="003571FD" w:rsidRDefault="00904F6D" w:rsidP="00904F6D">
      <w:pPr>
        <w:pStyle w:val="ListParagraph"/>
        <w:ind w:left="360"/>
        <w:jc w:val="both"/>
        <w:rPr>
          <w:rFonts w:ascii="Times New Roman" w:hAnsi="Times New Roman" w:cs="Times New Roman"/>
          <w:bCs/>
          <w:sz w:val="24"/>
          <w:szCs w:val="24"/>
        </w:rPr>
      </w:pPr>
    </w:p>
    <w:p w:rsidR="00904F6D" w:rsidRPr="003571FD" w:rsidRDefault="00EC5E43"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bCs/>
          <w:sz w:val="24"/>
          <w:szCs w:val="24"/>
        </w:rPr>
        <w:t>Despite solid economic growth rates over the last few years, Bolivia still has some gaps to bridge with regard to structural factors that facilitate financial access.</w:t>
      </w:r>
      <w:r w:rsidRPr="003571FD">
        <w:rPr>
          <w:rFonts w:ascii="Times New Roman" w:hAnsi="Times New Roman" w:cs="Times New Roman"/>
          <w:bCs/>
          <w:sz w:val="24"/>
          <w:szCs w:val="24"/>
        </w:rPr>
        <w:t xml:space="preserve"> </w:t>
      </w:r>
      <w:r w:rsidRPr="003571FD">
        <w:rPr>
          <w:rFonts w:ascii="Times New Roman" w:hAnsi="Times New Roman" w:cs="Times New Roman"/>
          <w:sz w:val="24"/>
          <w:szCs w:val="24"/>
        </w:rPr>
        <w:t>Income per capita increased by 29 percent between 2005 and 2009 due to the favorable economic situation, but income inequality and levels of poverty continue to be on the higher side. Based on available World Bank statistics, 10 percent of the wealthiest citizens hold more than 45 percent of the income, a figure that is comparatively high for both neighboring and comparator countries. This inequality in income is reflected in the Gini coefficient, with Bolivia showing the highest inequality in the region after Colombia (see Chart</w:t>
      </w:r>
      <w:r w:rsidR="00F55EFE" w:rsidRPr="003571FD">
        <w:rPr>
          <w:rFonts w:ascii="Times New Roman" w:hAnsi="Times New Roman" w:cs="Times New Roman"/>
          <w:sz w:val="24"/>
          <w:szCs w:val="24"/>
        </w:rPr>
        <w:t xml:space="preserve"> 14</w:t>
      </w:r>
      <w:r w:rsidRPr="003571FD">
        <w:rPr>
          <w:rFonts w:ascii="Times New Roman" w:hAnsi="Times New Roman" w:cs="Times New Roman"/>
          <w:sz w:val="24"/>
          <w:szCs w:val="24"/>
        </w:rPr>
        <w:t xml:space="preserve">). </w:t>
      </w:r>
      <w:r w:rsidR="005365AC">
        <w:rPr>
          <w:rFonts w:ascii="Times New Roman" w:hAnsi="Times New Roman" w:cs="Times New Roman"/>
          <w:sz w:val="24"/>
          <w:szCs w:val="24"/>
        </w:rPr>
        <w:t>T</w:t>
      </w:r>
      <w:r w:rsidRPr="003571FD">
        <w:rPr>
          <w:rFonts w:ascii="Times New Roman" w:hAnsi="Times New Roman" w:cs="Times New Roman"/>
          <w:sz w:val="24"/>
          <w:szCs w:val="24"/>
        </w:rPr>
        <w:t xml:space="preserve">he share of the population that fits the traditional profile of “bankable clients” is </w:t>
      </w:r>
      <w:r w:rsidR="005365AC">
        <w:rPr>
          <w:rFonts w:ascii="Times New Roman" w:hAnsi="Times New Roman" w:cs="Times New Roman"/>
          <w:sz w:val="24"/>
          <w:szCs w:val="24"/>
        </w:rPr>
        <w:t xml:space="preserve">thus </w:t>
      </w:r>
      <w:r w:rsidRPr="003571FD">
        <w:rPr>
          <w:rFonts w:ascii="Times New Roman" w:hAnsi="Times New Roman" w:cs="Times New Roman"/>
          <w:sz w:val="24"/>
          <w:szCs w:val="24"/>
        </w:rPr>
        <w:t xml:space="preserve">likely </w:t>
      </w:r>
      <w:r w:rsidR="005365AC">
        <w:rPr>
          <w:rFonts w:ascii="Times New Roman" w:hAnsi="Times New Roman" w:cs="Times New Roman"/>
          <w:sz w:val="24"/>
          <w:szCs w:val="24"/>
        </w:rPr>
        <w:t>lower</w:t>
      </w:r>
      <w:r w:rsidRPr="003571FD">
        <w:rPr>
          <w:rFonts w:ascii="Times New Roman" w:hAnsi="Times New Roman" w:cs="Times New Roman"/>
          <w:sz w:val="24"/>
          <w:szCs w:val="24"/>
        </w:rPr>
        <w:t xml:space="preserve"> in Bolivia </w:t>
      </w:r>
      <w:r w:rsidR="005365AC">
        <w:rPr>
          <w:rFonts w:ascii="Times New Roman" w:hAnsi="Times New Roman" w:cs="Times New Roman"/>
          <w:sz w:val="24"/>
          <w:szCs w:val="24"/>
        </w:rPr>
        <w:t>than in</w:t>
      </w:r>
      <w:r w:rsidRPr="003571FD">
        <w:rPr>
          <w:rFonts w:ascii="Times New Roman" w:hAnsi="Times New Roman" w:cs="Times New Roman"/>
          <w:sz w:val="24"/>
          <w:szCs w:val="24"/>
        </w:rPr>
        <w:t xml:space="preserve"> other countries </w:t>
      </w:r>
      <w:r w:rsidR="005365AC">
        <w:rPr>
          <w:rFonts w:ascii="Times New Roman" w:hAnsi="Times New Roman" w:cs="Times New Roman"/>
          <w:sz w:val="24"/>
          <w:szCs w:val="24"/>
        </w:rPr>
        <w:t>of</w:t>
      </w:r>
      <w:r w:rsidR="005365AC" w:rsidRPr="003571FD">
        <w:rPr>
          <w:rFonts w:ascii="Times New Roman" w:hAnsi="Times New Roman" w:cs="Times New Roman"/>
          <w:sz w:val="24"/>
          <w:szCs w:val="24"/>
        </w:rPr>
        <w:t xml:space="preserve"> </w:t>
      </w:r>
      <w:r w:rsidRPr="003571FD">
        <w:rPr>
          <w:rFonts w:ascii="Times New Roman" w:hAnsi="Times New Roman" w:cs="Times New Roman"/>
          <w:sz w:val="24"/>
          <w:szCs w:val="24"/>
        </w:rPr>
        <w:t>the region and income bracket.</w:t>
      </w:r>
    </w:p>
    <w:p w:rsidR="00904F6D" w:rsidRPr="003571FD" w:rsidRDefault="00904F6D" w:rsidP="00904F6D">
      <w:pPr>
        <w:pStyle w:val="ListParagraph"/>
        <w:rPr>
          <w:rFonts w:ascii="Times New Roman" w:hAnsi="Times New Roman" w:cs="Times New Roman"/>
          <w:b/>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lastRenderedPageBreak/>
        <w:t>Employment in the rural sector - as in many countries - is dominated by small-scale agriculture, with a large share of the population being poor.</w:t>
      </w:r>
      <w:r w:rsidR="00B07DFB" w:rsidRPr="003571FD">
        <w:rPr>
          <w:rFonts w:ascii="Times New Roman" w:hAnsi="Times New Roman" w:cs="Times New Roman"/>
          <w:b/>
          <w:sz w:val="24"/>
          <w:szCs w:val="24"/>
        </w:rPr>
        <w:t xml:space="preserve"> </w:t>
      </w:r>
      <w:r w:rsidRPr="003571FD">
        <w:rPr>
          <w:rFonts w:ascii="Times New Roman" w:hAnsi="Times New Roman" w:cs="Times New Roman"/>
          <w:sz w:val="24"/>
          <w:szCs w:val="24"/>
        </w:rPr>
        <w:t>Based on data from INE, around 40 percent of the population lives in rural areas</w:t>
      </w:r>
      <w:r w:rsidRPr="003571FD">
        <w:rPr>
          <w:rStyle w:val="FootnoteReference"/>
          <w:rFonts w:ascii="Times New Roman" w:hAnsi="Times New Roman" w:cs="Times New Roman"/>
          <w:sz w:val="24"/>
          <w:szCs w:val="24"/>
        </w:rPr>
        <w:footnoteReference w:id="67"/>
      </w:r>
      <w:r w:rsidRPr="003571FD">
        <w:rPr>
          <w:rFonts w:ascii="Times New Roman" w:hAnsi="Times New Roman" w:cs="Times New Roman"/>
          <w:sz w:val="24"/>
          <w:szCs w:val="24"/>
        </w:rPr>
        <w:t>, of which 3/4 depends on the agricultural sector as their main source of income</w:t>
      </w:r>
      <w:r w:rsidRPr="003571FD">
        <w:rPr>
          <w:rStyle w:val="FootnoteReference"/>
          <w:rFonts w:ascii="Times New Roman" w:hAnsi="Times New Roman" w:cs="Times New Roman"/>
          <w:sz w:val="24"/>
          <w:szCs w:val="24"/>
        </w:rPr>
        <w:footnoteReference w:id="68"/>
      </w:r>
      <w:r w:rsidRPr="003571FD">
        <w:rPr>
          <w:rFonts w:ascii="Times New Roman" w:hAnsi="Times New Roman" w:cs="Times New Roman"/>
          <w:sz w:val="24"/>
          <w:szCs w:val="24"/>
        </w:rPr>
        <w:t>. The sector contributes currently around 14 percent to GDP and is exposed to considerable vagaries of weather. Agricultural output strongly fluctuates, leading to unstable levels of income</w:t>
      </w:r>
      <w:r w:rsidR="005365AC">
        <w:rPr>
          <w:rFonts w:ascii="Times New Roman" w:hAnsi="Times New Roman" w:cs="Times New Roman"/>
          <w:sz w:val="24"/>
          <w:szCs w:val="24"/>
        </w:rPr>
        <w:t>. A</w:t>
      </w:r>
      <w:r w:rsidRPr="003571FD">
        <w:rPr>
          <w:rFonts w:ascii="Times New Roman" w:hAnsi="Times New Roman" w:cs="Times New Roman"/>
          <w:sz w:val="24"/>
          <w:szCs w:val="24"/>
        </w:rPr>
        <w:t xml:space="preserve"> reported 77 percent of people in rural areas are considered to be poor, 35 percent extremely poor</w:t>
      </w:r>
      <w:r w:rsidR="00706E28" w:rsidRPr="003571FD">
        <w:rPr>
          <w:rFonts w:ascii="Times New Roman" w:hAnsi="Times New Roman" w:cs="Times New Roman"/>
          <w:sz w:val="24"/>
          <w:szCs w:val="24"/>
        </w:rPr>
        <w:t xml:space="preserve"> (see Chart 14)</w:t>
      </w:r>
      <w:r w:rsidRPr="003571FD">
        <w:rPr>
          <w:rFonts w:ascii="Times New Roman" w:hAnsi="Times New Roman" w:cs="Times New Roman"/>
          <w:sz w:val="24"/>
          <w:szCs w:val="24"/>
        </w:rPr>
        <w:t xml:space="preserve">. Remittances, accounting usually for around 6 percent of GDP per year, play an important role in bridging gaps in income </w:t>
      </w:r>
      <w:r w:rsidR="0043478F" w:rsidRPr="003571FD">
        <w:rPr>
          <w:rFonts w:ascii="Times New Roman" w:hAnsi="Times New Roman" w:cs="Times New Roman"/>
          <w:sz w:val="24"/>
          <w:szCs w:val="24"/>
        </w:rPr>
        <w:t xml:space="preserve">of the recipients </w:t>
      </w:r>
      <w:r w:rsidRPr="003571FD">
        <w:rPr>
          <w:rFonts w:ascii="Times New Roman" w:hAnsi="Times New Roman" w:cs="Times New Roman"/>
          <w:sz w:val="24"/>
          <w:szCs w:val="24"/>
        </w:rPr>
        <w:t xml:space="preserve">and </w:t>
      </w:r>
      <w:r w:rsidR="0043478F" w:rsidRPr="003571FD">
        <w:rPr>
          <w:rFonts w:ascii="Times New Roman" w:hAnsi="Times New Roman" w:cs="Times New Roman"/>
          <w:sz w:val="24"/>
          <w:szCs w:val="24"/>
        </w:rPr>
        <w:t xml:space="preserve">helps </w:t>
      </w:r>
      <w:r w:rsidRPr="003571FD">
        <w:rPr>
          <w:rFonts w:ascii="Times New Roman" w:hAnsi="Times New Roman" w:cs="Times New Roman"/>
          <w:sz w:val="24"/>
          <w:szCs w:val="24"/>
        </w:rPr>
        <w:t>smooth</w:t>
      </w:r>
      <w:r w:rsidR="0043478F" w:rsidRPr="003571FD">
        <w:rPr>
          <w:rFonts w:ascii="Times New Roman" w:hAnsi="Times New Roman" w:cs="Times New Roman"/>
          <w:sz w:val="24"/>
          <w:szCs w:val="24"/>
        </w:rPr>
        <w:t xml:space="preserve"> their</w:t>
      </w:r>
      <w:r w:rsidRPr="003571FD">
        <w:rPr>
          <w:rFonts w:ascii="Times New Roman" w:hAnsi="Times New Roman" w:cs="Times New Roman"/>
          <w:sz w:val="24"/>
          <w:szCs w:val="24"/>
        </w:rPr>
        <w:t xml:space="preserve"> consumption. </w:t>
      </w:r>
    </w:p>
    <w:tbl>
      <w:tblPr>
        <w:tblStyle w:val="TableGrid"/>
        <w:tblpPr w:leftFromText="180" w:rightFromText="180" w:vertAnchor="text" w:horzAnchor="margin" w:tblpY="841"/>
        <w:tblOverlap w:val="never"/>
        <w:tblW w:w="0" w:type="auto"/>
        <w:tblLook w:val="04A0" w:firstRow="1" w:lastRow="0" w:firstColumn="1" w:lastColumn="0" w:noHBand="0" w:noVBand="1"/>
      </w:tblPr>
      <w:tblGrid>
        <w:gridCol w:w="3166"/>
        <w:gridCol w:w="1396"/>
      </w:tblGrid>
      <w:tr w:rsidR="00EC5E43" w:rsidRPr="003571FD" w:rsidTr="004A71ED">
        <w:trPr>
          <w:trHeight w:val="919"/>
        </w:trPr>
        <w:tc>
          <w:tcPr>
            <w:tcW w:w="4562" w:type="dxa"/>
            <w:gridSpan w:val="2"/>
            <w:tcBorders>
              <w:top w:val="nil"/>
              <w:left w:val="nil"/>
              <w:right w:val="nil"/>
            </w:tcBorders>
          </w:tcPr>
          <w:p w:rsidR="00965E48" w:rsidRDefault="00965E48" w:rsidP="004A71ED">
            <w:pPr>
              <w:pStyle w:val="Caption"/>
              <w:keepNext/>
              <w:rPr>
                <w:rFonts w:ascii="Times New Roman" w:hAnsi="Times New Roman" w:cs="Times New Roman"/>
                <w:color w:val="auto"/>
              </w:rPr>
            </w:pPr>
          </w:p>
          <w:p w:rsidR="004A71ED" w:rsidRDefault="004A71ED" w:rsidP="004A71ED">
            <w:pPr>
              <w:pStyle w:val="Caption"/>
              <w:keepNext/>
              <w:rPr>
                <w:rFonts w:ascii="Times New Roman" w:hAnsi="Times New Roman" w:cs="Times New Roman"/>
                <w:color w:val="auto"/>
              </w:rPr>
            </w:pPr>
          </w:p>
          <w:p w:rsidR="00EC5E43" w:rsidRPr="003571FD" w:rsidRDefault="00EC5E43" w:rsidP="004A71ED">
            <w:pPr>
              <w:pStyle w:val="Caption"/>
              <w:keepNext/>
              <w:rPr>
                <w:rFonts w:ascii="Times New Roman" w:hAnsi="Times New Roman" w:cs="Times New Roman"/>
                <w:color w:val="auto"/>
              </w:rPr>
            </w:pPr>
            <w:bookmarkStart w:id="46" w:name="_Toc312317354"/>
            <w:r w:rsidRPr="003571FD">
              <w:rPr>
                <w:rFonts w:ascii="Times New Roman" w:hAnsi="Times New Roman" w:cs="Times New Roman"/>
                <w:color w:val="auto"/>
              </w:rPr>
              <w:t xml:space="preserve">Table </w:t>
            </w:r>
            <w:r w:rsidR="005744EE" w:rsidRPr="003571FD">
              <w:rPr>
                <w:rFonts w:ascii="Times New Roman" w:hAnsi="Times New Roman" w:cs="Times New Roman"/>
                <w:color w:val="auto"/>
              </w:rPr>
              <w:fldChar w:fldCharType="begin"/>
            </w:r>
            <w:r w:rsidR="00B42446"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7</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Municipalities in Bolivia by inhabitants</w:t>
            </w:r>
            <w:bookmarkEnd w:id="46"/>
          </w:p>
        </w:tc>
      </w:tr>
      <w:tr w:rsidR="00EC5E43" w:rsidRPr="003571FD" w:rsidTr="004A71ED">
        <w:trPr>
          <w:trHeight w:val="363"/>
        </w:trPr>
        <w:tc>
          <w:tcPr>
            <w:tcW w:w="3166" w:type="dxa"/>
          </w:tcPr>
          <w:p w:rsidR="00EC5E43" w:rsidRPr="003571FD" w:rsidRDefault="00EC5E43" w:rsidP="004A71ED">
            <w:pPr>
              <w:rPr>
                <w:rFonts w:ascii="Times New Roman" w:hAnsi="Times New Roman" w:cs="Times New Roman"/>
                <w:sz w:val="18"/>
                <w:szCs w:val="18"/>
              </w:rPr>
            </w:pPr>
            <w:r w:rsidRPr="003571FD">
              <w:rPr>
                <w:rFonts w:ascii="Times New Roman" w:hAnsi="Times New Roman" w:cs="Times New Roman"/>
                <w:sz w:val="18"/>
                <w:szCs w:val="18"/>
              </w:rPr>
              <w:t>Over 1 million</w:t>
            </w:r>
          </w:p>
        </w:tc>
        <w:tc>
          <w:tcPr>
            <w:tcW w:w="1396" w:type="dxa"/>
          </w:tcPr>
          <w:p w:rsidR="00EC5E43" w:rsidRPr="003571FD" w:rsidRDefault="00EC5E43" w:rsidP="004A71ED">
            <w:pPr>
              <w:jc w:val="center"/>
              <w:rPr>
                <w:rFonts w:ascii="Times New Roman" w:hAnsi="Times New Roman" w:cs="Times New Roman"/>
                <w:sz w:val="18"/>
                <w:szCs w:val="18"/>
              </w:rPr>
            </w:pPr>
            <w:r w:rsidRPr="003571FD">
              <w:rPr>
                <w:rFonts w:ascii="Times New Roman" w:hAnsi="Times New Roman" w:cs="Times New Roman"/>
                <w:sz w:val="18"/>
                <w:szCs w:val="18"/>
              </w:rPr>
              <w:t>1</w:t>
            </w:r>
          </w:p>
        </w:tc>
      </w:tr>
      <w:tr w:rsidR="00EC5E43" w:rsidRPr="003571FD" w:rsidTr="004A71ED">
        <w:trPr>
          <w:trHeight w:val="363"/>
        </w:trPr>
        <w:tc>
          <w:tcPr>
            <w:tcW w:w="3166" w:type="dxa"/>
          </w:tcPr>
          <w:p w:rsidR="00EC5E43" w:rsidRPr="003571FD" w:rsidRDefault="00EC5E43" w:rsidP="004A71ED">
            <w:pPr>
              <w:rPr>
                <w:rFonts w:ascii="Times New Roman" w:hAnsi="Times New Roman" w:cs="Times New Roman"/>
                <w:sz w:val="18"/>
                <w:szCs w:val="18"/>
              </w:rPr>
            </w:pPr>
            <w:r w:rsidRPr="003571FD">
              <w:rPr>
                <w:rFonts w:ascii="Times New Roman" w:hAnsi="Times New Roman" w:cs="Times New Roman"/>
                <w:sz w:val="18"/>
                <w:szCs w:val="18"/>
              </w:rPr>
              <w:t>500,00 – 1 million</w:t>
            </w:r>
          </w:p>
        </w:tc>
        <w:tc>
          <w:tcPr>
            <w:tcW w:w="1396" w:type="dxa"/>
          </w:tcPr>
          <w:p w:rsidR="00EC5E43" w:rsidRPr="003571FD" w:rsidRDefault="00EC5E43" w:rsidP="004A71ED">
            <w:pPr>
              <w:jc w:val="center"/>
              <w:rPr>
                <w:rFonts w:ascii="Times New Roman" w:hAnsi="Times New Roman" w:cs="Times New Roman"/>
                <w:sz w:val="18"/>
                <w:szCs w:val="18"/>
              </w:rPr>
            </w:pPr>
            <w:r w:rsidRPr="003571FD">
              <w:rPr>
                <w:rFonts w:ascii="Times New Roman" w:hAnsi="Times New Roman" w:cs="Times New Roman"/>
                <w:sz w:val="18"/>
                <w:szCs w:val="18"/>
              </w:rPr>
              <w:t>3</w:t>
            </w:r>
          </w:p>
        </w:tc>
      </w:tr>
      <w:tr w:rsidR="00EC5E43" w:rsidRPr="003571FD" w:rsidTr="004A71ED">
        <w:trPr>
          <w:trHeight w:val="363"/>
        </w:trPr>
        <w:tc>
          <w:tcPr>
            <w:tcW w:w="3166" w:type="dxa"/>
          </w:tcPr>
          <w:p w:rsidR="00EC5E43" w:rsidRPr="003571FD" w:rsidRDefault="00EC5E43" w:rsidP="004A71ED">
            <w:pPr>
              <w:rPr>
                <w:rFonts w:ascii="Times New Roman" w:hAnsi="Times New Roman" w:cs="Times New Roman"/>
                <w:sz w:val="18"/>
                <w:szCs w:val="18"/>
              </w:rPr>
            </w:pPr>
            <w:r w:rsidRPr="003571FD">
              <w:rPr>
                <w:rFonts w:ascii="Times New Roman" w:hAnsi="Times New Roman" w:cs="Times New Roman"/>
                <w:sz w:val="18"/>
                <w:szCs w:val="18"/>
              </w:rPr>
              <w:t>100,000 – 499,999</w:t>
            </w:r>
          </w:p>
        </w:tc>
        <w:tc>
          <w:tcPr>
            <w:tcW w:w="1396" w:type="dxa"/>
          </w:tcPr>
          <w:p w:rsidR="00EC5E43" w:rsidRPr="003571FD" w:rsidRDefault="00EC5E43" w:rsidP="004A71ED">
            <w:pPr>
              <w:jc w:val="center"/>
              <w:rPr>
                <w:rFonts w:ascii="Times New Roman" w:hAnsi="Times New Roman" w:cs="Times New Roman"/>
                <w:sz w:val="18"/>
                <w:szCs w:val="18"/>
              </w:rPr>
            </w:pPr>
            <w:r w:rsidRPr="003571FD">
              <w:rPr>
                <w:rFonts w:ascii="Times New Roman" w:hAnsi="Times New Roman" w:cs="Times New Roman"/>
                <w:sz w:val="18"/>
                <w:szCs w:val="18"/>
              </w:rPr>
              <w:t>6</w:t>
            </w:r>
          </w:p>
        </w:tc>
      </w:tr>
      <w:tr w:rsidR="00EC5E43" w:rsidRPr="003571FD" w:rsidTr="004A71ED">
        <w:trPr>
          <w:trHeight w:val="363"/>
        </w:trPr>
        <w:tc>
          <w:tcPr>
            <w:tcW w:w="3166" w:type="dxa"/>
          </w:tcPr>
          <w:p w:rsidR="00EC5E43" w:rsidRPr="003571FD" w:rsidRDefault="00EC5E43" w:rsidP="004A71ED">
            <w:pPr>
              <w:rPr>
                <w:rFonts w:ascii="Times New Roman" w:hAnsi="Times New Roman" w:cs="Times New Roman"/>
                <w:sz w:val="18"/>
                <w:szCs w:val="18"/>
              </w:rPr>
            </w:pPr>
            <w:r w:rsidRPr="003571FD">
              <w:rPr>
                <w:rFonts w:ascii="Times New Roman" w:hAnsi="Times New Roman" w:cs="Times New Roman"/>
                <w:sz w:val="18"/>
                <w:szCs w:val="18"/>
              </w:rPr>
              <w:t>50,000 – 99,999</w:t>
            </w:r>
          </w:p>
        </w:tc>
        <w:tc>
          <w:tcPr>
            <w:tcW w:w="1396" w:type="dxa"/>
          </w:tcPr>
          <w:p w:rsidR="00EC5E43" w:rsidRPr="003571FD" w:rsidRDefault="00EC5E43" w:rsidP="004A71ED">
            <w:pPr>
              <w:jc w:val="center"/>
              <w:rPr>
                <w:rFonts w:ascii="Times New Roman" w:hAnsi="Times New Roman" w:cs="Times New Roman"/>
                <w:sz w:val="18"/>
                <w:szCs w:val="18"/>
              </w:rPr>
            </w:pPr>
            <w:r w:rsidRPr="003571FD">
              <w:rPr>
                <w:rFonts w:ascii="Times New Roman" w:hAnsi="Times New Roman" w:cs="Times New Roman"/>
                <w:sz w:val="18"/>
                <w:szCs w:val="18"/>
              </w:rPr>
              <w:t>6</w:t>
            </w:r>
          </w:p>
        </w:tc>
      </w:tr>
      <w:tr w:rsidR="00EC5E43" w:rsidRPr="003571FD" w:rsidTr="004A71ED">
        <w:trPr>
          <w:trHeight w:val="363"/>
        </w:trPr>
        <w:tc>
          <w:tcPr>
            <w:tcW w:w="3166" w:type="dxa"/>
          </w:tcPr>
          <w:p w:rsidR="00EC5E43" w:rsidRPr="003571FD" w:rsidRDefault="00EC5E43" w:rsidP="004A71ED">
            <w:pPr>
              <w:rPr>
                <w:rFonts w:ascii="Times New Roman" w:hAnsi="Times New Roman" w:cs="Times New Roman"/>
                <w:sz w:val="18"/>
                <w:szCs w:val="18"/>
              </w:rPr>
            </w:pPr>
            <w:r w:rsidRPr="003571FD">
              <w:rPr>
                <w:rFonts w:ascii="Times New Roman" w:hAnsi="Times New Roman" w:cs="Times New Roman"/>
                <w:sz w:val="18"/>
                <w:szCs w:val="18"/>
              </w:rPr>
              <w:t>10,000 – 49,999</w:t>
            </w:r>
          </w:p>
        </w:tc>
        <w:tc>
          <w:tcPr>
            <w:tcW w:w="1396" w:type="dxa"/>
          </w:tcPr>
          <w:p w:rsidR="00EC5E43" w:rsidRPr="003571FD" w:rsidRDefault="00EC5E43" w:rsidP="004A71ED">
            <w:pPr>
              <w:jc w:val="center"/>
              <w:rPr>
                <w:rFonts w:ascii="Times New Roman" w:hAnsi="Times New Roman" w:cs="Times New Roman"/>
                <w:sz w:val="18"/>
                <w:szCs w:val="18"/>
              </w:rPr>
            </w:pPr>
            <w:r w:rsidRPr="003571FD">
              <w:rPr>
                <w:rFonts w:ascii="Times New Roman" w:hAnsi="Times New Roman" w:cs="Times New Roman"/>
                <w:sz w:val="18"/>
                <w:szCs w:val="18"/>
              </w:rPr>
              <w:t>27</w:t>
            </w:r>
          </w:p>
        </w:tc>
      </w:tr>
      <w:tr w:rsidR="00EC5E43" w:rsidRPr="003571FD" w:rsidTr="004A71ED">
        <w:trPr>
          <w:trHeight w:val="363"/>
        </w:trPr>
        <w:tc>
          <w:tcPr>
            <w:tcW w:w="3166" w:type="dxa"/>
          </w:tcPr>
          <w:p w:rsidR="00EC5E43" w:rsidRPr="003571FD" w:rsidRDefault="00EC5E43" w:rsidP="004A71ED">
            <w:pPr>
              <w:rPr>
                <w:rFonts w:ascii="Times New Roman" w:hAnsi="Times New Roman" w:cs="Times New Roman"/>
                <w:sz w:val="18"/>
                <w:szCs w:val="18"/>
              </w:rPr>
            </w:pPr>
            <w:r w:rsidRPr="003571FD">
              <w:rPr>
                <w:rFonts w:ascii="Times New Roman" w:hAnsi="Times New Roman" w:cs="Times New Roman"/>
                <w:sz w:val="18"/>
                <w:szCs w:val="18"/>
              </w:rPr>
              <w:t>Below</w:t>
            </w:r>
          </w:p>
        </w:tc>
        <w:tc>
          <w:tcPr>
            <w:tcW w:w="1396" w:type="dxa"/>
          </w:tcPr>
          <w:p w:rsidR="00EC5E43" w:rsidRPr="003571FD" w:rsidRDefault="00EC5E43" w:rsidP="004A71ED">
            <w:pPr>
              <w:jc w:val="center"/>
              <w:rPr>
                <w:rFonts w:ascii="Times New Roman" w:hAnsi="Times New Roman" w:cs="Times New Roman"/>
                <w:sz w:val="18"/>
                <w:szCs w:val="18"/>
              </w:rPr>
            </w:pPr>
            <w:r w:rsidRPr="003571FD">
              <w:rPr>
                <w:rFonts w:ascii="Times New Roman" w:hAnsi="Times New Roman" w:cs="Times New Roman"/>
                <w:sz w:val="18"/>
                <w:szCs w:val="18"/>
              </w:rPr>
              <w:t>284</w:t>
            </w:r>
          </w:p>
        </w:tc>
      </w:tr>
      <w:tr w:rsidR="00EC5E43" w:rsidRPr="003571FD" w:rsidTr="004A71ED">
        <w:trPr>
          <w:trHeight w:val="363"/>
        </w:trPr>
        <w:tc>
          <w:tcPr>
            <w:tcW w:w="3166" w:type="dxa"/>
          </w:tcPr>
          <w:p w:rsidR="00EC5E43" w:rsidRPr="003571FD" w:rsidRDefault="00EC5E43" w:rsidP="004A71ED">
            <w:pPr>
              <w:rPr>
                <w:rFonts w:ascii="Times New Roman" w:hAnsi="Times New Roman" w:cs="Times New Roman"/>
                <w:b/>
                <w:i/>
                <w:sz w:val="18"/>
                <w:szCs w:val="18"/>
              </w:rPr>
            </w:pPr>
            <w:r w:rsidRPr="003571FD">
              <w:rPr>
                <w:rFonts w:ascii="Times New Roman" w:hAnsi="Times New Roman" w:cs="Times New Roman"/>
                <w:b/>
                <w:i/>
                <w:sz w:val="18"/>
                <w:szCs w:val="18"/>
              </w:rPr>
              <w:t>Total municipalities</w:t>
            </w:r>
          </w:p>
        </w:tc>
        <w:tc>
          <w:tcPr>
            <w:tcW w:w="1396" w:type="dxa"/>
          </w:tcPr>
          <w:p w:rsidR="00EC5E43" w:rsidRPr="003571FD" w:rsidRDefault="00EC5E43" w:rsidP="004A71ED">
            <w:pPr>
              <w:jc w:val="center"/>
              <w:rPr>
                <w:rFonts w:ascii="Times New Roman" w:hAnsi="Times New Roman" w:cs="Times New Roman"/>
                <w:b/>
                <w:i/>
                <w:sz w:val="18"/>
                <w:szCs w:val="18"/>
              </w:rPr>
            </w:pPr>
            <w:r w:rsidRPr="003571FD">
              <w:rPr>
                <w:rFonts w:ascii="Times New Roman" w:hAnsi="Times New Roman" w:cs="Times New Roman"/>
                <w:b/>
                <w:i/>
                <w:sz w:val="18"/>
                <w:szCs w:val="18"/>
              </w:rPr>
              <w:t>327</w:t>
            </w:r>
          </w:p>
        </w:tc>
      </w:tr>
      <w:tr w:rsidR="00EC5E43" w:rsidRPr="003571FD" w:rsidTr="004A71ED">
        <w:trPr>
          <w:trHeight w:val="363"/>
        </w:trPr>
        <w:tc>
          <w:tcPr>
            <w:tcW w:w="3166" w:type="dxa"/>
            <w:tcBorders>
              <w:bottom w:val="single" w:sz="4" w:space="0" w:color="000000" w:themeColor="text1"/>
            </w:tcBorders>
          </w:tcPr>
          <w:p w:rsidR="00EC5E43" w:rsidRPr="003571FD" w:rsidRDefault="00EC5E43" w:rsidP="004A71ED">
            <w:pPr>
              <w:rPr>
                <w:rFonts w:ascii="Times New Roman" w:hAnsi="Times New Roman" w:cs="Times New Roman"/>
                <w:b/>
                <w:i/>
                <w:sz w:val="18"/>
                <w:szCs w:val="18"/>
              </w:rPr>
            </w:pPr>
            <w:r w:rsidRPr="003571FD">
              <w:rPr>
                <w:rFonts w:ascii="Times New Roman" w:hAnsi="Times New Roman" w:cs="Times New Roman"/>
                <w:b/>
                <w:i/>
                <w:sz w:val="18"/>
                <w:szCs w:val="18"/>
              </w:rPr>
              <w:t>Total locations</w:t>
            </w:r>
          </w:p>
        </w:tc>
        <w:tc>
          <w:tcPr>
            <w:tcW w:w="1396" w:type="dxa"/>
            <w:tcBorders>
              <w:bottom w:val="single" w:sz="4" w:space="0" w:color="000000" w:themeColor="text1"/>
            </w:tcBorders>
          </w:tcPr>
          <w:p w:rsidR="00EC5E43" w:rsidRPr="003571FD" w:rsidRDefault="00EC5E43" w:rsidP="004A71ED">
            <w:pPr>
              <w:jc w:val="center"/>
              <w:rPr>
                <w:rFonts w:ascii="Times New Roman" w:hAnsi="Times New Roman" w:cs="Times New Roman"/>
                <w:b/>
                <w:i/>
                <w:sz w:val="18"/>
                <w:szCs w:val="18"/>
              </w:rPr>
            </w:pPr>
            <w:r w:rsidRPr="003571FD">
              <w:rPr>
                <w:rFonts w:ascii="Times New Roman" w:hAnsi="Times New Roman" w:cs="Times New Roman"/>
                <w:b/>
                <w:i/>
                <w:sz w:val="18"/>
                <w:szCs w:val="18"/>
              </w:rPr>
              <w:t>14,000</w:t>
            </w:r>
          </w:p>
        </w:tc>
      </w:tr>
      <w:tr w:rsidR="00EC5E43" w:rsidRPr="003571FD" w:rsidTr="004A71ED">
        <w:trPr>
          <w:trHeight w:val="445"/>
        </w:trPr>
        <w:tc>
          <w:tcPr>
            <w:tcW w:w="4562" w:type="dxa"/>
            <w:gridSpan w:val="2"/>
            <w:tcBorders>
              <w:left w:val="nil"/>
              <w:bottom w:val="nil"/>
              <w:right w:val="nil"/>
            </w:tcBorders>
          </w:tcPr>
          <w:p w:rsidR="00EC5E43" w:rsidRPr="003571FD" w:rsidRDefault="00EC5E43" w:rsidP="004A71ED">
            <w:pPr>
              <w:rPr>
                <w:rFonts w:ascii="Times New Roman" w:hAnsi="Times New Roman" w:cs="Times New Roman"/>
                <w:i/>
                <w:sz w:val="18"/>
                <w:szCs w:val="18"/>
              </w:rPr>
            </w:pPr>
            <w:proofErr w:type="spellStart"/>
            <w:r w:rsidRPr="003571FD">
              <w:rPr>
                <w:rFonts w:ascii="Times New Roman" w:hAnsi="Times New Roman" w:cs="Times New Roman"/>
                <w:i/>
                <w:sz w:val="18"/>
                <w:szCs w:val="18"/>
              </w:rPr>
              <w:t>Source:INE</w:t>
            </w:r>
            <w:proofErr w:type="spellEnd"/>
          </w:p>
        </w:tc>
      </w:tr>
    </w:tbl>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Bolivia is one of the least densely populated countries in the world, which increases the costs of providing services in more remote areas. </w:t>
      </w:r>
      <w:r w:rsidRPr="003571FD">
        <w:rPr>
          <w:rFonts w:ascii="Times New Roman" w:hAnsi="Times New Roman" w:cs="Times New Roman"/>
          <w:sz w:val="24"/>
          <w:szCs w:val="24"/>
        </w:rPr>
        <w:t>Bolivia has on average 9 inhabitants per km</w:t>
      </w:r>
      <w:r w:rsidRPr="003571FD">
        <w:rPr>
          <w:rFonts w:ascii="Times New Roman" w:hAnsi="Times New Roman" w:cs="Times New Roman"/>
          <w:sz w:val="24"/>
          <w:szCs w:val="24"/>
          <w:vertAlign w:val="superscript"/>
        </w:rPr>
        <w:t>2</w:t>
      </w:r>
      <w:r w:rsidRPr="003571FD">
        <w:rPr>
          <w:rFonts w:ascii="Times New Roman" w:hAnsi="Times New Roman" w:cs="Times New Roman"/>
          <w:sz w:val="24"/>
          <w:szCs w:val="24"/>
        </w:rPr>
        <w:t>, compared to neighboring countries such as Paraguay, Chile and Peru with around 20, and countries like Mexico, Kenya, Honduras and Senegal with around 60 inhabitants per km</w:t>
      </w:r>
      <w:r w:rsidRPr="003571FD">
        <w:rPr>
          <w:rFonts w:ascii="Times New Roman" w:hAnsi="Times New Roman" w:cs="Times New Roman"/>
          <w:sz w:val="24"/>
          <w:szCs w:val="24"/>
          <w:vertAlign w:val="superscript"/>
        </w:rPr>
        <w:t>2</w:t>
      </w:r>
      <w:r w:rsidRPr="003571FD">
        <w:rPr>
          <w:rFonts w:ascii="Times New Roman" w:hAnsi="Times New Roman" w:cs="Times New Roman"/>
          <w:sz w:val="24"/>
          <w:szCs w:val="24"/>
        </w:rPr>
        <w:t>. About half of the population lives in the 16 cities with more than 50,000 inhabitants, while the remaining population is thinly spread out amongst the other 311 municipalities</w:t>
      </w:r>
      <w:r w:rsidR="00706E28" w:rsidRPr="003571FD">
        <w:rPr>
          <w:rFonts w:ascii="Times New Roman" w:hAnsi="Times New Roman" w:cs="Times New Roman"/>
          <w:sz w:val="24"/>
          <w:szCs w:val="24"/>
        </w:rPr>
        <w:t xml:space="preserve"> (see Table 7)</w:t>
      </w:r>
      <w:r w:rsidRPr="003571FD">
        <w:rPr>
          <w:rFonts w:ascii="Times New Roman" w:hAnsi="Times New Roman" w:cs="Times New Roman"/>
          <w:sz w:val="24"/>
          <w:szCs w:val="24"/>
        </w:rPr>
        <w:t xml:space="preserve">. Of the latter, close to 90 percent have less than 10,000 inhabitants and are thus very small. The municipalities themselves are sub-divided into 14,000 small localities, the majority of which have less than 1,000 inhabitants. Offering financial services in those small and remote localities with the traditional branch based approach is difficult to do in a financially self-sustainable way. </w:t>
      </w:r>
    </w:p>
    <w:p w:rsidR="00EC5E43" w:rsidRPr="003571FD" w:rsidRDefault="00EC5E43" w:rsidP="00EC5E43">
      <w:pPr>
        <w:jc w:val="both"/>
        <w:rPr>
          <w:rFonts w:ascii="Times New Roman" w:hAnsi="Times New Roman" w:cs="Times New Roman"/>
          <w:sz w:val="24"/>
          <w:szCs w:val="24"/>
        </w:rPr>
      </w:pPr>
    </w:p>
    <w:p w:rsidR="00EC5E43" w:rsidRPr="003571FD" w:rsidRDefault="00EC5E43" w:rsidP="00EC5E43">
      <w:pPr>
        <w:jc w:val="both"/>
        <w:rPr>
          <w:rFonts w:ascii="Times New Roman" w:hAnsi="Times New Roman" w:cs="Times New Roman"/>
          <w:sz w:val="24"/>
          <w:szCs w:val="24"/>
        </w:rPr>
      </w:pPr>
    </w:p>
    <w:p w:rsidR="00965E48" w:rsidRPr="003571FD" w:rsidRDefault="00965E48" w:rsidP="00EC5E43">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EC5E43" w:rsidRPr="003571FD">
        <w:trPr>
          <w:trHeight w:val="351"/>
        </w:trPr>
        <w:tc>
          <w:tcPr>
            <w:tcW w:w="9576" w:type="dxa"/>
            <w:gridSpan w:val="2"/>
          </w:tcPr>
          <w:p w:rsidR="00EC5E43" w:rsidRPr="00795642" w:rsidRDefault="00EC5E43" w:rsidP="009808F4">
            <w:pPr>
              <w:rPr>
                <w:rFonts w:ascii="Times New Roman" w:hAnsi="Times New Roman" w:cs="Times New Roman"/>
                <w:b/>
                <w:i/>
                <w:sz w:val="18"/>
                <w:szCs w:val="18"/>
              </w:rPr>
            </w:pPr>
            <w:bookmarkStart w:id="47" w:name="_Toc312317280"/>
            <w:r w:rsidRPr="00795642">
              <w:rPr>
                <w:rFonts w:ascii="Times New Roman" w:hAnsi="Times New Roman" w:cs="Times New Roman"/>
                <w:b/>
                <w:sz w:val="18"/>
                <w:szCs w:val="18"/>
              </w:rPr>
              <w:lastRenderedPageBreak/>
              <w:t xml:space="preserve">Chart </w:t>
            </w:r>
            <w:r w:rsidR="005744EE" w:rsidRPr="00795642">
              <w:rPr>
                <w:rFonts w:ascii="Times New Roman" w:hAnsi="Times New Roman" w:cs="Times New Roman"/>
                <w:b/>
                <w:sz w:val="18"/>
                <w:szCs w:val="18"/>
              </w:rPr>
              <w:fldChar w:fldCharType="begin"/>
            </w:r>
            <w:r w:rsidRPr="00795642">
              <w:rPr>
                <w:rFonts w:ascii="Times New Roman" w:hAnsi="Times New Roman" w:cs="Times New Roman"/>
                <w:b/>
                <w:sz w:val="18"/>
                <w:szCs w:val="18"/>
              </w:rPr>
              <w:instrText xml:space="preserve"> SEQ Chart \* ARABIC </w:instrText>
            </w:r>
            <w:r w:rsidR="005744EE" w:rsidRPr="00795642">
              <w:rPr>
                <w:rFonts w:ascii="Times New Roman" w:hAnsi="Times New Roman" w:cs="Times New Roman"/>
                <w:b/>
                <w:sz w:val="18"/>
                <w:szCs w:val="18"/>
              </w:rPr>
              <w:fldChar w:fldCharType="separate"/>
            </w:r>
            <w:r w:rsidR="00064A1B" w:rsidRPr="00795642">
              <w:rPr>
                <w:rFonts w:ascii="Times New Roman" w:hAnsi="Times New Roman" w:cs="Times New Roman"/>
                <w:b/>
                <w:noProof/>
                <w:sz w:val="18"/>
                <w:szCs w:val="18"/>
              </w:rPr>
              <w:t>14</w:t>
            </w:r>
            <w:r w:rsidR="005744EE" w:rsidRPr="00795642">
              <w:rPr>
                <w:rFonts w:ascii="Times New Roman" w:hAnsi="Times New Roman" w:cs="Times New Roman"/>
                <w:b/>
                <w:sz w:val="18"/>
                <w:szCs w:val="18"/>
              </w:rPr>
              <w:fldChar w:fldCharType="end"/>
            </w:r>
            <w:r w:rsidRPr="00795642">
              <w:rPr>
                <w:rFonts w:ascii="Times New Roman" w:hAnsi="Times New Roman" w:cs="Times New Roman"/>
                <w:b/>
                <w:sz w:val="18"/>
                <w:szCs w:val="18"/>
              </w:rPr>
              <w:t>: Overview over long-term indicators that can impede financial access in a country</w:t>
            </w:r>
            <w:bookmarkEnd w:id="47"/>
          </w:p>
        </w:tc>
      </w:tr>
      <w:tr w:rsidR="00EC5E43" w:rsidRPr="003571FD">
        <w:tc>
          <w:tcPr>
            <w:tcW w:w="9576" w:type="dxa"/>
            <w:gridSpan w:val="2"/>
          </w:tcPr>
          <w:p w:rsidR="00EC5E43" w:rsidRPr="003571FD" w:rsidRDefault="00EC5E43" w:rsidP="009808F4">
            <w:pPr>
              <w:rPr>
                <w:rFonts w:ascii="Times New Roman" w:hAnsi="Times New Roman" w:cs="Times New Roman"/>
                <w:i/>
                <w:sz w:val="18"/>
                <w:szCs w:val="18"/>
              </w:rPr>
            </w:pPr>
            <w:r w:rsidRPr="003571FD">
              <w:rPr>
                <w:rFonts w:ascii="Times New Roman" w:hAnsi="Times New Roman" w:cs="Times New Roman"/>
                <w:i/>
                <w:sz w:val="18"/>
                <w:szCs w:val="18"/>
              </w:rPr>
              <w:t>Bolivia has the lowest per capita income in the region and income is distributed comparatively uneven within the population.</w:t>
            </w:r>
          </w:p>
        </w:tc>
      </w:tr>
      <w:tr w:rsidR="00EC5E43" w:rsidRPr="003571FD">
        <w:tc>
          <w:tcPr>
            <w:tcW w:w="4788" w:type="dxa"/>
          </w:tcPr>
          <w:p w:rsidR="00EC5E43" w:rsidRPr="003571FD" w:rsidRDefault="00217616" w:rsidP="009808F4">
            <w:pPr>
              <w:rPr>
                <w:rFonts w:ascii="Times New Roman" w:hAnsi="Times New Roman" w:cs="Times New Roman"/>
                <w:i/>
                <w:sz w:val="18"/>
                <w:szCs w:val="18"/>
              </w:rPr>
            </w:pPr>
            <w:r w:rsidRPr="003571FD">
              <w:rPr>
                <w:rFonts w:ascii="Times New Roman" w:hAnsi="Times New Roman" w:cs="Times New Roman"/>
                <w:i/>
                <w:noProof/>
                <w:sz w:val="18"/>
                <w:szCs w:val="18"/>
              </w:rPr>
              <w:drawing>
                <wp:inline distT="0" distB="0" distL="0" distR="0">
                  <wp:extent cx="2895600" cy="2305050"/>
                  <wp:effectExtent l="1905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2895600" cy="2305050"/>
                          </a:xfrm>
                          <a:prstGeom prst="rect">
                            <a:avLst/>
                          </a:prstGeom>
                          <a:noFill/>
                          <a:ln w="9525">
                            <a:noFill/>
                            <a:miter lim="800000"/>
                            <a:headEnd/>
                            <a:tailEnd/>
                          </a:ln>
                        </pic:spPr>
                      </pic:pic>
                    </a:graphicData>
                  </a:graphic>
                </wp:inline>
              </w:drawing>
            </w:r>
          </w:p>
        </w:tc>
        <w:tc>
          <w:tcPr>
            <w:tcW w:w="4788" w:type="dxa"/>
          </w:tcPr>
          <w:p w:rsidR="00EC5E43" w:rsidRPr="003571FD" w:rsidRDefault="00217616" w:rsidP="009808F4">
            <w:pPr>
              <w:rPr>
                <w:rFonts w:ascii="Times New Roman" w:hAnsi="Times New Roman" w:cs="Times New Roman"/>
                <w:i/>
                <w:sz w:val="18"/>
                <w:szCs w:val="18"/>
              </w:rPr>
            </w:pPr>
            <w:r w:rsidRPr="003571FD">
              <w:rPr>
                <w:rFonts w:ascii="Times New Roman" w:hAnsi="Times New Roman" w:cs="Times New Roman"/>
                <w:i/>
                <w:noProof/>
                <w:sz w:val="18"/>
                <w:szCs w:val="18"/>
              </w:rPr>
              <w:drawing>
                <wp:inline distT="0" distB="0" distL="0" distR="0">
                  <wp:extent cx="2895600" cy="2028825"/>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895600" cy="2028825"/>
                          </a:xfrm>
                          <a:prstGeom prst="rect">
                            <a:avLst/>
                          </a:prstGeom>
                          <a:noFill/>
                          <a:ln w="9525">
                            <a:noFill/>
                            <a:miter lim="800000"/>
                            <a:headEnd/>
                            <a:tailEnd/>
                          </a:ln>
                        </pic:spPr>
                      </pic:pic>
                    </a:graphicData>
                  </a:graphic>
                </wp:inline>
              </w:drawing>
            </w:r>
          </w:p>
        </w:tc>
      </w:tr>
      <w:tr w:rsidR="00EC5E43" w:rsidRPr="003571FD">
        <w:tc>
          <w:tcPr>
            <w:tcW w:w="9576" w:type="dxa"/>
            <w:gridSpan w:val="2"/>
          </w:tcPr>
          <w:p w:rsidR="00EC5E43" w:rsidRPr="003571FD" w:rsidRDefault="00EC5E43" w:rsidP="009808F4">
            <w:pPr>
              <w:rPr>
                <w:rFonts w:ascii="Times New Roman" w:hAnsi="Times New Roman" w:cs="Times New Roman"/>
                <w:i/>
                <w:sz w:val="18"/>
                <w:szCs w:val="18"/>
              </w:rPr>
            </w:pPr>
            <w:r w:rsidRPr="003571FD">
              <w:rPr>
                <w:rFonts w:ascii="Times New Roman" w:hAnsi="Times New Roman" w:cs="Times New Roman"/>
                <w:i/>
                <w:sz w:val="18"/>
                <w:szCs w:val="18"/>
              </w:rPr>
              <w:t>An estimated 20 percent of the population is living in poverty, a large share of which in rural area</w:t>
            </w:r>
            <w:r w:rsidR="00217616" w:rsidRPr="003571FD">
              <w:rPr>
                <w:rFonts w:ascii="Times New Roman" w:hAnsi="Times New Roman" w:cs="Times New Roman"/>
                <w:i/>
                <w:sz w:val="18"/>
                <w:szCs w:val="18"/>
              </w:rPr>
              <w:t>s.</w:t>
            </w:r>
          </w:p>
        </w:tc>
      </w:tr>
      <w:tr w:rsidR="00EC5E43" w:rsidRPr="003571FD">
        <w:trPr>
          <w:trHeight w:val="2483"/>
        </w:trPr>
        <w:tc>
          <w:tcPr>
            <w:tcW w:w="4788" w:type="dxa"/>
          </w:tcPr>
          <w:p w:rsidR="00EC5E43" w:rsidRPr="003571FD" w:rsidRDefault="00217616" w:rsidP="009808F4">
            <w:pPr>
              <w:rPr>
                <w:rFonts w:ascii="Times New Roman" w:hAnsi="Times New Roman" w:cs="Times New Roman"/>
                <w:i/>
                <w:sz w:val="18"/>
                <w:szCs w:val="18"/>
              </w:rPr>
            </w:pPr>
            <w:r w:rsidRPr="003571FD">
              <w:rPr>
                <w:rFonts w:ascii="Times New Roman" w:hAnsi="Times New Roman" w:cs="Times New Roman"/>
                <w:i/>
                <w:noProof/>
                <w:sz w:val="18"/>
                <w:szCs w:val="18"/>
              </w:rPr>
              <w:drawing>
                <wp:inline distT="0" distB="0" distL="0" distR="0">
                  <wp:extent cx="2905125" cy="2362200"/>
                  <wp:effectExtent l="19050" t="0" r="9525"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2905125" cy="2362200"/>
                          </a:xfrm>
                          <a:prstGeom prst="rect">
                            <a:avLst/>
                          </a:prstGeom>
                          <a:noFill/>
                          <a:ln w="9525">
                            <a:noFill/>
                            <a:miter lim="800000"/>
                            <a:headEnd/>
                            <a:tailEnd/>
                          </a:ln>
                        </pic:spPr>
                      </pic:pic>
                    </a:graphicData>
                  </a:graphic>
                </wp:inline>
              </w:drawing>
            </w:r>
          </w:p>
        </w:tc>
        <w:tc>
          <w:tcPr>
            <w:tcW w:w="4788" w:type="dxa"/>
          </w:tcPr>
          <w:p w:rsidR="00EC5E43" w:rsidRPr="003571FD" w:rsidRDefault="00217616" w:rsidP="009808F4">
            <w:pPr>
              <w:rPr>
                <w:rFonts w:ascii="Times New Roman" w:hAnsi="Times New Roman" w:cs="Times New Roman"/>
                <w:i/>
                <w:sz w:val="18"/>
                <w:szCs w:val="18"/>
              </w:rPr>
            </w:pPr>
            <w:r w:rsidRPr="003571FD">
              <w:rPr>
                <w:rFonts w:ascii="Times New Roman" w:hAnsi="Times New Roman" w:cs="Times New Roman"/>
                <w:i/>
                <w:noProof/>
                <w:sz w:val="18"/>
                <w:szCs w:val="18"/>
              </w:rPr>
              <w:drawing>
                <wp:inline distT="0" distB="0" distL="0" distR="0">
                  <wp:extent cx="2895600" cy="2609850"/>
                  <wp:effectExtent l="19050" t="0" r="0" b="0"/>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2895600" cy="2609850"/>
                          </a:xfrm>
                          <a:prstGeom prst="rect">
                            <a:avLst/>
                          </a:prstGeom>
                          <a:noFill/>
                          <a:ln w="9525">
                            <a:noFill/>
                            <a:miter lim="800000"/>
                            <a:headEnd/>
                            <a:tailEnd/>
                          </a:ln>
                        </pic:spPr>
                      </pic:pic>
                    </a:graphicData>
                  </a:graphic>
                </wp:inline>
              </w:drawing>
            </w:r>
          </w:p>
        </w:tc>
      </w:tr>
      <w:tr w:rsidR="00EC5E43" w:rsidRPr="003571FD">
        <w:tc>
          <w:tcPr>
            <w:tcW w:w="9576" w:type="dxa"/>
            <w:gridSpan w:val="2"/>
          </w:tcPr>
          <w:p w:rsidR="00EC5E43" w:rsidRPr="003571FD" w:rsidRDefault="00EC5E43" w:rsidP="009808F4">
            <w:pPr>
              <w:rPr>
                <w:rFonts w:ascii="Times New Roman" w:hAnsi="Times New Roman" w:cs="Times New Roman"/>
                <w:i/>
                <w:sz w:val="18"/>
                <w:szCs w:val="18"/>
              </w:rPr>
            </w:pPr>
            <w:r w:rsidRPr="003571FD">
              <w:rPr>
                <w:rFonts w:ascii="Times New Roman" w:hAnsi="Times New Roman" w:cs="Times New Roman"/>
                <w:i/>
                <w:sz w:val="18"/>
                <w:szCs w:val="18"/>
              </w:rPr>
              <w:t>The population is thinly spread across the country, making it costly to service them, and coverage with phone services is low.</w:t>
            </w:r>
          </w:p>
        </w:tc>
      </w:tr>
      <w:tr w:rsidR="00EC5E43" w:rsidRPr="003571FD">
        <w:tc>
          <w:tcPr>
            <w:tcW w:w="4788" w:type="dxa"/>
          </w:tcPr>
          <w:p w:rsidR="00EC5E43" w:rsidRPr="003571FD" w:rsidRDefault="00217616" w:rsidP="009808F4">
            <w:pPr>
              <w:rPr>
                <w:rFonts w:ascii="Times New Roman" w:hAnsi="Times New Roman" w:cs="Times New Roman"/>
                <w:i/>
                <w:sz w:val="18"/>
                <w:szCs w:val="18"/>
              </w:rPr>
            </w:pPr>
            <w:r w:rsidRPr="003571FD">
              <w:rPr>
                <w:rFonts w:ascii="Times New Roman" w:hAnsi="Times New Roman" w:cs="Times New Roman"/>
                <w:i/>
                <w:noProof/>
                <w:sz w:val="18"/>
                <w:szCs w:val="18"/>
              </w:rPr>
              <w:drawing>
                <wp:inline distT="0" distB="0" distL="0" distR="0">
                  <wp:extent cx="2895600" cy="2486025"/>
                  <wp:effectExtent l="1905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2895600" cy="2486025"/>
                          </a:xfrm>
                          <a:prstGeom prst="rect">
                            <a:avLst/>
                          </a:prstGeom>
                          <a:noFill/>
                          <a:ln w="9525">
                            <a:noFill/>
                            <a:miter lim="800000"/>
                            <a:headEnd/>
                            <a:tailEnd/>
                          </a:ln>
                        </pic:spPr>
                      </pic:pic>
                    </a:graphicData>
                  </a:graphic>
                </wp:inline>
              </w:drawing>
            </w:r>
          </w:p>
        </w:tc>
        <w:tc>
          <w:tcPr>
            <w:tcW w:w="4788" w:type="dxa"/>
          </w:tcPr>
          <w:p w:rsidR="00EC5E43" w:rsidRPr="003571FD" w:rsidRDefault="00217616" w:rsidP="009808F4">
            <w:pPr>
              <w:rPr>
                <w:rFonts w:ascii="Times New Roman" w:hAnsi="Times New Roman" w:cs="Times New Roman"/>
                <w:i/>
                <w:sz w:val="18"/>
                <w:szCs w:val="18"/>
              </w:rPr>
            </w:pPr>
            <w:r w:rsidRPr="003571FD">
              <w:rPr>
                <w:rFonts w:ascii="Times New Roman" w:hAnsi="Times New Roman" w:cs="Times New Roman"/>
                <w:i/>
                <w:noProof/>
                <w:sz w:val="18"/>
                <w:szCs w:val="18"/>
              </w:rPr>
              <w:drawing>
                <wp:inline distT="0" distB="0" distL="0" distR="0">
                  <wp:extent cx="2905125" cy="2343150"/>
                  <wp:effectExtent l="19050" t="0" r="9525"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srcRect/>
                          <a:stretch>
                            <a:fillRect/>
                          </a:stretch>
                        </pic:blipFill>
                        <pic:spPr bwMode="auto">
                          <a:xfrm>
                            <a:off x="0" y="0"/>
                            <a:ext cx="2905125" cy="2343150"/>
                          </a:xfrm>
                          <a:prstGeom prst="rect">
                            <a:avLst/>
                          </a:prstGeom>
                          <a:noFill/>
                          <a:ln w="9525">
                            <a:noFill/>
                            <a:miter lim="800000"/>
                            <a:headEnd/>
                            <a:tailEnd/>
                          </a:ln>
                        </pic:spPr>
                      </pic:pic>
                    </a:graphicData>
                  </a:graphic>
                </wp:inline>
              </w:drawing>
            </w:r>
          </w:p>
        </w:tc>
      </w:tr>
    </w:tbl>
    <w:p w:rsidR="00EC5E43" w:rsidRPr="003571FD" w:rsidRDefault="00EC5E43" w:rsidP="00EC5E43">
      <w:pPr>
        <w:rPr>
          <w:rFonts w:ascii="Times New Roman" w:hAnsi="Times New Roman" w:cs="Times New Roman"/>
          <w:sz w:val="18"/>
          <w:szCs w:val="18"/>
        </w:rPr>
      </w:pPr>
      <w:r w:rsidRPr="003571FD">
        <w:rPr>
          <w:rFonts w:ascii="Times New Roman" w:hAnsi="Times New Roman" w:cs="Times New Roman"/>
          <w:sz w:val="18"/>
          <w:szCs w:val="18"/>
        </w:rPr>
        <w:t xml:space="preserve">Source: </w:t>
      </w:r>
      <w:r w:rsidRPr="003571FD">
        <w:rPr>
          <w:rFonts w:ascii="Times New Roman" w:hAnsi="Times New Roman" w:cs="Times New Roman"/>
          <w:i/>
          <w:sz w:val="18"/>
          <w:szCs w:val="18"/>
        </w:rPr>
        <w:t>World Bank data, 2008</w:t>
      </w:r>
      <w:r w:rsidRPr="003571FD">
        <w:rPr>
          <w:rFonts w:ascii="Times New Roman" w:hAnsi="Times New Roman" w:cs="Times New Roman"/>
          <w:sz w:val="18"/>
          <w:szCs w:val="18"/>
        </w:rPr>
        <w:t>.</w:t>
      </w:r>
      <w:r w:rsidRPr="003571FD">
        <w:rPr>
          <w:rFonts w:ascii="Times New Roman" w:hAnsi="Times New Roman" w:cs="Times New Roman"/>
          <w:sz w:val="18"/>
          <w:szCs w:val="18"/>
        </w:rPr>
        <w:br w:type="page"/>
      </w:r>
    </w:p>
    <w:p w:rsidR="00EC5E43" w:rsidRPr="003571FD" w:rsidRDefault="00EC5E43"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lastRenderedPageBreak/>
        <w:t xml:space="preserve">The communication and roads infrastructure in the country is not yet sufficiently developed, making coverage with modern financial services more difficult in remote areas. </w:t>
      </w:r>
      <w:r w:rsidRPr="003571FD">
        <w:rPr>
          <w:rFonts w:ascii="Times New Roman" w:hAnsi="Times New Roman" w:cs="Times New Roman"/>
          <w:sz w:val="24"/>
        </w:rPr>
        <w:t>One of the core issues mentioned by many financial institutions with regard to providing services on the rural level is the lack of ICT infrastructure. In many instances, telephone or Internet services are not available or not yet sufficiently reliable and fast for the transmission of data files. For example, only 45 percent of the population was covered by one of the mobile cellular networks in 2007, compared to over 90 percent in most other countries in the region or income bracket</w:t>
      </w:r>
      <w:r w:rsidRPr="003571FD">
        <w:rPr>
          <w:rStyle w:val="FootnoteReference"/>
          <w:rFonts w:ascii="Times New Roman" w:hAnsi="Times New Roman" w:cs="Times New Roman"/>
          <w:sz w:val="24"/>
        </w:rPr>
        <w:footnoteReference w:id="69"/>
      </w:r>
      <w:r w:rsidRPr="003571FD">
        <w:rPr>
          <w:rFonts w:ascii="Times New Roman" w:hAnsi="Times New Roman" w:cs="Times New Roman"/>
          <w:sz w:val="24"/>
        </w:rPr>
        <w:t>. For opening a branch, or using non-bank agents, the financial entities thus need to install expensive satellite dishes</w:t>
      </w:r>
      <w:r w:rsidRPr="003571FD">
        <w:rPr>
          <w:rStyle w:val="FootnoteReference"/>
          <w:rFonts w:ascii="Times New Roman" w:hAnsi="Times New Roman" w:cs="Times New Roman"/>
          <w:sz w:val="24"/>
        </w:rPr>
        <w:footnoteReference w:id="70"/>
      </w:r>
      <w:r w:rsidRPr="003571FD">
        <w:rPr>
          <w:rFonts w:ascii="Times New Roman" w:hAnsi="Times New Roman" w:cs="Times New Roman"/>
          <w:sz w:val="24"/>
        </w:rPr>
        <w:t xml:space="preserve"> to be able to process transactions on-line or transmit information to the main branch for compilation purposes. The public telecommunications company and the two larger private mobile phone providers are already undertaking broader efforts to increase coverage in rural areas, but the limitations in the ICT infrastructure will likely continue </w:t>
      </w:r>
      <w:r w:rsidR="005365AC" w:rsidRPr="003571FD">
        <w:rPr>
          <w:rFonts w:ascii="Times New Roman" w:hAnsi="Times New Roman" w:cs="Times New Roman"/>
          <w:sz w:val="24"/>
        </w:rPr>
        <w:t xml:space="preserve">on the short to medium term </w:t>
      </w:r>
      <w:r w:rsidRPr="003571FD">
        <w:rPr>
          <w:rFonts w:ascii="Times New Roman" w:hAnsi="Times New Roman" w:cs="Times New Roman"/>
          <w:sz w:val="24"/>
        </w:rPr>
        <w:t>to incur higher costs for outreach. Similar bottlenecks exist with regard to roads, where according to available World Bank data only 62,000 km of road network are available – on of the lowest in the region and by far the lowest if taken the size of the country into consideration. Only 6.7 percent of the roads are paved, and reports are frequent that even main routes are not passable during or after heavy rain. This makes outreach more difficult</w:t>
      </w:r>
      <w:r w:rsidR="005365AC">
        <w:rPr>
          <w:rFonts w:ascii="Times New Roman" w:hAnsi="Times New Roman" w:cs="Times New Roman"/>
          <w:sz w:val="24"/>
        </w:rPr>
        <w:t xml:space="preserve"> and costly</w:t>
      </w:r>
      <w:r w:rsidRPr="003571FD">
        <w:rPr>
          <w:rFonts w:ascii="Times New Roman" w:hAnsi="Times New Roman" w:cs="Times New Roman"/>
          <w:sz w:val="24"/>
        </w:rPr>
        <w:t xml:space="preserve">. </w:t>
      </w:r>
    </w:p>
    <w:p w:rsidR="00EC5E43" w:rsidRPr="003571FD" w:rsidRDefault="00EC5E43" w:rsidP="00F25889">
      <w:pPr>
        <w:pStyle w:val="Heading2"/>
      </w:pPr>
      <w:bookmarkStart w:id="48" w:name="_Toc312319500"/>
      <w:r w:rsidRPr="003571FD">
        <w:t>The available financial infrastructure</w:t>
      </w:r>
      <w:bookmarkEnd w:id="48"/>
    </w:p>
    <w:p w:rsidR="00EC5E43" w:rsidRPr="003571FD" w:rsidRDefault="00EC5E43" w:rsidP="00EC5E43">
      <w:pPr>
        <w:jc w:val="both"/>
        <w:rPr>
          <w:rFonts w:ascii="Times New Roman" w:hAnsi="Times New Roman" w:cs="Times New Roman"/>
          <w:b/>
        </w:rPr>
      </w:pPr>
    </w:p>
    <w:p w:rsidR="00E377D0" w:rsidRPr="003571FD" w:rsidRDefault="00EC5E43" w:rsidP="00CA07A0">
      <w:pPr>
        <w:pStyle w:val="ListParagraph"/>
        <w:numPr>
          <w:ilvl w:val="0"/>
          <w:numId w:val="8"/>
        </w:numPr>
        <w:spacing w:after="240"/>
        <w:jc w:val="both"/>
        <w:rPr>
          <w:rFonts w:ascii="Times New Roman" w:hAnsi="Times New Roman" w:cs="Times New Roman"/>
          <w:bCs/>
          <w:sz w:val="24"/>
          <w:szCs w:val="24"/>
        </w:rPr>
      </w:pPr>
      <w:r w:rsidRPr="003571FD">
        <w:rPr>
          <w:rFonts w:ascii="Times New Roman" w:hAnsi="Times New Roman" w:cs="Times New Roman"/>
          <w:b/>
          <w:bCs/>
          <w:sz w:val="24"/>
          <w:szCs w:val="24"/>
        </w:rPr>
        <w:t xml:space="preserve">Additional to those longer-term factors, the availability of adequate financial infrastructure also plays an important role for financial sector deepening. </w:t>
      </w:r>
      <w:r w:rsidR="005365AC">
        <w:rPr>
          <w:rFonts w:ascii="Times New Roman" w:hAnsi="Times New Roman" w:cs="Times New Roman"/>
          <w:bCs/>
          <w:sz w:val="24"/>
          <w:szCs w:val="24"/>
        </w:rPr>
        <w:t>A</w:t>
      </w:r>
      <w:r w:rsidRPr="003571FD">
        <w:rPr>
          <w:rFonts w:ascii="Times New Roman" w:hAnsi="Times New Roman" w:cs="Times New Roman"/>
          <w:bCs/>
          <w:sz w:val="24"/>
          <w:szCs w:val="24"/>
        </w:rPr>
        <w:t xml:space="preserve"> well functioning retail payment system, to which a broad variety of financial institutions </w:t>
      </w:r>
      <w:r w:rsidR="005365AC">
        <w:rPr>
          <w:rFonts w:ascii="Times New Roman" w:hAnsi="Times New Roman" w:cs="Times New Roman"/>
          <w:bCs/>
          <w:sz w:val="24"/>
          <w:szCs w:val="24"/>
        </w:rPr>
        <w:t xml:space="preserve">and non bank agents </w:t>
      </w:r>
      <w:r w:rsidRPr="003571FD">
        <w:rPr>
          <w:rFonts w:ascii="Times New Roman" w:hAnsi="Times New Roman" w:cs="Times New Roman"/>
          <w:bCs/>
          <w:sz w:val="24"/>
          <w:szCs w:val="24"/>
        </w:rPr>
        <w:t xml:space="preserve">have access, can facilitate the delivery of financial services </w:t>
      </w:r>
      <w:r w:rsidR="0043478F" w:rsidRPr="003571FD">
        <w:rPr>
          <w:rFonts w:ascii="Times New Roman" w:hAnsi="Times New Roman" w:cs="Times New Roman"/>
          <w:bCs/>
          <w:sz w:val="24"/>
          <w:szCs w:val="24"/>
        </w:rPr>
        <w:t>(including remittances and government transfers)</w:t>
      </w:r>
      <w:r w:rsidRPr="003571FD">
        <w:rPr>
          <w:rFonts w:ascii="Times New Roman" w:hAnsi="Times New Roman" w:cs="Times New Roman"/>
          <w:bCs/>
          <w:sz w:val="24"/>
          <w:szCs w:val="24"/>
        </w:rPr>
        <w:t>, lower the risk involved with using non-traditional delivery channels such as non-bank agents and mobile banking solutions</w:t>
      </w:r>
      <w:r w:rsidR="005365AC">
        <w:rPr>
          <w:rFonts w:ascii="Times New Roman" w:hAnsi="Times New Roman" w:cs="Times New Roman"/>
          <w:bCs/>
          <w:sz w:val="24"/>
          <w:szCs w:val="24"/>
        </w:rPr>
        <w:t>,</w:t>
      </w:r>
      <w:r w:rsidRPr="003571FD">
        <w:rPr>
          <w:rFonts w:ascii="Times New Roman" w:hAnsi="Times New Roman" w:cs="Times New Roman"/>
          <w:bCs/>
          <w:sz w:val="24"/>
          <w:szCs w:val="24"/>
        </w:rPr>
        <w:t xml:space="preserve"> and in combination reduce the costs of service delivery from the supply side. This can contribute to making outreach to rural areas “affordable” for financial institutions if demand for services </w:t>
      </w:r>
      <w:r w:rsidR="005365AC">
        <w:rPr>
          <w:rFonts w:ascii="Times New Roman" w:hAnsi="Times New Roman" w:cs="Times New Roman"/>
          <w:bCs/>
          <w:sz w:val="24"/>
          <w:szCs w:val="24"/>
        </w:rPr>
        <w:t>exists</w:t>
      </w:r>
      <w:r w:rsidRPr="003571FD">
        <w:rPr>
          <w:rFonts w:ascii="Times New Roman" w:hAnsi="Times New Roman" w:cs="Times New Roman"/>
          <w:bCs/>
          <w:sz w:val="24"/>
          <w:szCs w:val="24"/>
        </w:rPr>
        <w:t>. The government can support reforms of the financial infrastructure in many instances directly, through for example reforms of the regulatory framework for branchless banking and reforms of the retail payment system infrastructure, and also facilitate outreach through the way it channels its government to person and business payments. These reforms usually help foster outreach on the short to medium term.</w:t>
      </w:r>
      <w:r w:rsidR="00B07DFB" w:rsidRPr="003571FD">
        <w:rPr>
          <w:rFonts w:ascii="Times New Roman" w:hAnsi="Times New Roman" w:cs="Times New Roman"/>
          <w:bCs/>
          <w:sz w:val="24"/>
          <w:szCs w:val="24"/>
        </w:rPr>
        <w:t xml:space="preserve"> </w:t>
      </w:r>
      <w:r w:rsidR="00CE1063" w:rsidRPr="003571FD">
        <w:rPr>
          <w:rFonts w:ascii="Times New Roman" w:hAnsi="Times New Roman" w:cs="Times New Roman"/>
          <w:bCs/>
          <w:sz w:val="24"/>
          <w:szCs w:val="24"/>
        </w:rPr>
        <w:t xml:space="preserve">The following paragraphs will assess to what extent the necessary financial infrastructure is in place. </w:t>
      </w:r>
    </w:p>
    <w:p w:rsidR="00EC5E43" w:rsidRPr="003571FD" w:rsidRDefault="00EC5E43" w:rsidP="00EC5E43">
      <w:pPr>
        <w:jc w:val="both"/>
        <w:rPr>
          <w:rFonts w:ascii="Times New Roman" w:hAnsi="Times New Roman" w:cs="Times New Roman"/>
          <w:b/>
          <w:bCs/>
          <w:i/>
          <w:sz w:val="24"/>
          <w:szCs w:val="24"/>
        </w:rPr>
      </w:pPr>
      <w:r w:rsidRPr="003571FD">
        <w:rPr>
          <w:rFonts w:ascii="Times New Roman" w:hAnsi="Times New Roman" w:cs="Times New Roman"/>
          <w:b/>
          <w:bCs/>
          <w:i/>
          <w:sz w:val="24"/>
          <w:szCs w:val="24"/>
        </w:rPr>
        <w:lastRenderedPageBreak/>
        <w:t>Usage of “traditional” and” non-traditional” service points</w:t>
      </w: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As discussed in Chapter 2, the number of financial service points in the formal financial sector increased significantly over the last few years, but mostly in the form of more traditional branch networks. </w:t>
      </w:r>
      <w:r w:rsidRPr="003571FD">
        <w:rPr>
          <w:rFonts w:ascii="Times New Roman" w:hAnsi="Times New Roman" w:cs="Times New Roman"/>
          <w:sz w:val="24"/>
          <w:szCs w:val="24"/>
        </w:rPr>
        <w:t>Between 2007 and April 2010</w:t>
      </w:r>
      <w:r w:rsidRPr="003571FD">
        <w:rPr>
          <w:rStyle w:val="FootnoteReference"/>
          <w:rFonts w:ascii="Times New Roman" w:hAnsi="Times New Roman" w:cs="Times New Roman"/>
          <w:sz w:val="24"/>
          <w:szCs w:val="24"/>
        </w:rPr>
        <w:footnoteReference w:id="71"/>
      </w:r>
      <w:r w:rsidRPr="003571FD">
        <w:rPr>
          <w:rFonts w:ascii="Times New Roman" w:hAnsi="Times New Roman" w:cs="Times New Roman"/>
          <w:sz w:val="24"/>
          <w:szCs w:val="24"/>
        </w:rPr>
        <w:t>,</w:t>
      </w:r>
      <w:r w:rsidRPr="003571FD">
        <w:rPr>
          <w:rFonts w:ascii="Times New Roman" w:hAnsi="Times New Roman" w:cs="Times New Roman"/>
          <w:b/>
          <w:sz w:val="24"/>
          <w:szCs w:val="24"/>
        </w:rPr>
        <w:t xml:space="preserve"> </w:t>
      </w:r>
      <w:r w:rsidRPr="003571FD">
        <w:rPr>
          <w:rFonts w:ascii="Times New Roman" w:hAnsi="Times New Roman" w:cs="Times New Roman"/>
          <w:sz w:val="24"/>
          <w:szCs w:val="24"/>
        </w:rPr>
        <w:t>service points of the formal financial system increased by around 45 percent to a total number of 1290. The strongest growth came from microfinance banks (see Table</w:t>
      </w:r>
      <w:r w:rsidR="00813793" w:rsidRPr="003571FD">
        <w:rPr>
          <w:rFonts w:ascii="Times New Roman" w:hAnsi="Times New Roman" w:cs="Times New Roman"/>
          <w:sz w:val="24"/>
          <w:szCs w:val="24"/>
        </w:rPr>
        <w:t xml:space="preserve"> </w:t>
      </w:r>
      <w:r w:rsidR="00706E28" w:rsidRPr="003571FD">
        <w:rPr>
          <w:rFonts w:ascii="Times New Roman" w:hAnsi="Times New Roman" w:cs="Times New Roman"/>
          <w:sz w:val="24"/>
          <w:szCs w:val="24"/>
        </w:rPr>
        <w:t>8</w:t>
      </w:r>
      <w:r w:rsidRPr="003571FD">
        <w:rPr>
          <w:rFonts w:ascii="Times New Roman" w:hAnsi="Times New Roman" w:cs="Times New Roman"/>
          <w:sz w:val="24"/>
          <w:szCs w:val="24"/>
        </w:rPr>
        <w:t>), who more than doubled their service points between December 2007 and April 2010. Microfinance banks and finance companies set up a number of full branches in new locations, and also strongly invested into setting up “</w:t>
      </w:r>
      <w:proofErr w:type="spellStart"/>
      <w:r w:rsidRPr="003571FD">
        <w:rPr>
          <w:rFonts w:ascii="Times New Roman" w:hAnsi="Times New Roman" w:cs="Times New Roman"/>
          <w:i/>
          <w:sz w:val="24"/>
          <w:szCs w:val="24"/>
        </w:rPr>
        <w:t>cajas</w:t>
      </w:r>
      <w:proofErr w:type="spellEnd"/>
      <w:r w:rsidRPr="003571FD">
        <w:rPr>
          <w:rFonts w:ascii="Times New Roman" w:hAnsi="Times New Roman" w:cs="Times New Roman"/>
          <w:i/>
          <w:sz w:val="24"/>
          <w:szCs w:val="24"/>
        </w:rPr>
        <w:t xml:space="preserve"> </w:t>
      </w:r>
      <w:proofErr w:type="spellStart"/>
      <w:r w:rsidRPr="003571FD">
        <w:rPr>
          <w:rFonts w:ascii="Times New Roman" w:hAnsi="Times New Roman" w:cs="Times New Roman"/>
          <w:i/>
          <w:sz w:val="24"/>
          <w:szCs w:val="24"/>
        </w:rPr>
        <w:t>externas</w:t>
      </w:r>
      <w:proofErr w:type="spellEnd"/>
      <w:r w:rsidRPr="003571FD">
        <w:rPr>
          <w:rFonts w:ascii="Times New Roman" w:hAnsi="Times New Roman" w:cs="Times New Roman"/>
          <w:sz w:val="24"/>
          <w:szCs w:val="24"/>
        </w:rPr>
        <w:t>” and “</w:t>
      </w:r>
      <w:proofErr w:type="spellStart"/>
      <w:r w:rsidRPr="003571FD">
        <w:rPr>
          <w:rFonts w:ascii="Times New Roman" w:hAnsi="Times New Roman" w:cs="Times New Roman"/>
          <w:i/>
          <w:sz w:val="24"/>
          <w:szCs w:val="24"/>
        </w:rPr>
        <w:t>ventanillas</w:t>
      </w:r>
      <w:proofErr w:type="spellEnd"/>
      <w:r w:rsidRPr="003571FD">
        <w:rPr>
          <w:rFonts w:ascii="Times New Roman" w:hAnsi="Times New Roman" w:cs="Times New Roman"/>
          <w:sz w:val="24"/>
          <w:szCs w:val="24"/>
        </w:rPr>
        <w:t>” as cheaper additional service points for financial services or in some instances to pilot new locations. Banks and cooperatives on the other hand mostly expanded through the installation of less costly “</w:t>
      </w:r>
      <w:proofErr w:type="spellStart"/>
      <w:r w:rsidRPr="003571FD">
        <w:rPr>
          <w:rFonts w:ascii="Times New Roman" w:hAnsi="Times New Roman" w:cs="Times New Roman"/>
          <w:i/>
          <w:sz w:val="24"/>
          <w:szCs w:val="24"/>
        </w:rPr>
        <w:t>agencias</w:t>
      </w:r>
      <w:proofErr w:type="spellEnd"/>
      <w:r w:rsidRPr="003571FD">
        <w:rPr>
          <w:rFonts w:ascii="Times New Roman" w:hAnsi="Times New Roman" w:cs="Times New Roman"/>
          <w:i/>
          <w:sz w:val="24"/>
          <w:szCs w:val="24"/>
        </w:rPr>
        <w:t xml:space="preserve"> </w:t>
      </w:r>
      <w:proofErr w:type="spellStart"/>
      <w:r w:rsidRPr="003571FD">
        <w:rPr>
          <w:rFonts w:ascii="Times New Roman" w:hAnsi="Times New Roman" w:cs="Times New Roman"/>
          <w:i/>
          <w:sz w:val="24"/>
          <w:szCs w:val="24"/>
        </w:rPr>
        <w:t>fijas</w:t>
      </w:r>
      <w:proofErr w:type="spellEnd"/>
      <w:r w:rsidRPr="003571FD">
        <w:rPr>
          <w:rFonts w:ascii="Times New Roman" w:hAnsi="Times New Roman" w:cs="Times New Roman"/>
          <w:sz w:val="24"/>
          <w:szCs w:val="24"/>
        </w:rPr>
        <w:t>” and “</w:t>
      </w:r>
      <w:proofErr w:type="spellStart"/>
      <w:r w:rsidRPr="003571FD">
        <w:rPr>
          <w:rFonts w:ascii="Times New Roman" w:hAnsi="Times New Roman" w:cs="Times New Roman"/>
          <w:i/>
          <w:sz w:val="24"/>
          <w:szCs w:val="24"/>
        </w:rPr>
        <w:t>cajas</w:t>
      </w:r>
      <w:proofErr w:type="spellEnd"/>
      <w:r w:rsidRPr="003571FD">
        <w:rPr>
          <w:rFonts w:ascii="Times New Roman" w:hAnsi="Times New Roman" w:cs="Times New Roman"/>
          <w:i/>
          <w:sz w:val="24"/>
          <w:szCs w:val="24"/>
        </w:rPr>
        <w:t xml:space="preserve"> externas</w:t>
      </w:r>
      <w:r w:rsidRPr="003571FD">
        <w:rPr>
          <w:rFonts w:ascii="Times New Roman" w:hAnsi="Times New Roman" w:cs="Times New Roman"/>
          <w:sz w:val="24"/>
          <w:szCs w:val="24"/>
        </w:rPr>
        <w:t>”</w:t>
      </w:r>
      <w:r w:rsidRPr="003571FD">
        <w:rPr>
          <w:rStyle w:val="FootnoteReference"/>
          <w:rFonts w:ascii="Times New Roman" w:hAnsi="Times New Roman" w:cs="Times New Roman"/>
          <w:sz w:val="24"/>
          <w:szCs w:val="24"/>
        </w:rPr>
        <w:footnoteReference w:id="72"/>
      </w:r>
      <w:r w:rsidRPr="003571FD">
        <w:rPr>
          <w:rFonts w:ascii="Times New Roman" w:hAnsi="Times New Roman" w:cs="Times New Roman"/>
          <w:sz w:val="24"/>
          <w:szCs w:val="24"/>
        </w:rPr>
        <w:t>, which are forms of smaller satellite branches within or close to localities in which the respective financial entity is already present. While these smaller bank - operated service points help bring down the costs of service delivery, they however still involve significant investments in installations (i.e. for communication infrastructure as discussed above)</w:t>
      </w:r>
      <w:r w:rsidR="0043478F" w:rsidRPr="003571FD">
        <w:rPr>
          <w:rFonts w:ascii="Times New Roman" w:hAnsi="Times New Roman" w:cs="Times New Roman"/>
          <w:sz w:val="24"/>
          <w:szCs w:val="24"/>
        </w:rPr>
        <w:t>, security</w:t>
      </w:r>
      <w:r w:rsidRPr="003571FD">
        <w:rPr>
          <w:rFonts w:ascii="Times New Roman" w:hAnsi="Times New Roman" w:cs="Times New Roman"/>
          <w:sz w:val="24"/>
          <w:szCs w:val="24"/>
        </w:rPr>
        <w:t xml:space="preserve"> and human resources, and thus will require a more elevated volume of transactions to be financially viable. Given the low population density in Bolivia, the number of localities in which these type</w:t>
      </w:r>
      <w:r w:rsidR="0043478F" w:rsidRPr="003571FD">
        <w:rPr>
          <w:rFonts w:ascii="Times New Roman" w:hAnsi="Times New Roman" w:cs="Times New Roman"/>
          <w:sz w:val="24"/>
          <w:szCs w:val="24"/>
        </w:rPr>
        <w:t>s</w:t>
      </w:r>
      <w:r w:rsidRPr="003571FD">
        <w:rPr>
          <w:rFonts w:ascii="Times New Roman" w:hAnsi="Times New Roman" w:cs="Times New Roman"/>
          <w:sz w:val="24"/>
          <w:szCs w:val="24"/>
        </w:rPr>
        <w:t xml:space="preserve"> of branches are </w:t>
      </w:r>
      <w:r w:rsidR="005365AC">
        <w:rPr>
          <w:rFonts w:ascii="Times New Roman" w:hAnsi="Times New Roman" w:cs="Times New Roman"/>
          <w:sz w:val="24"/>
          <w:szCs w:val="24"/>
        </w:rPr>
        <w:t>viable</w:t>
      </w:r>
      <w:r w:rsidR="005365AC" w:rsidRPr="003571FD">
        <w:rPr>
          <w:rFonts w:ascii="Times New Roman" w:hAnsi="Times New Roman" w:cs="Times New Roman"/>
          <w:sz w:val="24"/>
          <w:szCs w:val="24"/>
        </w:rPr>
        <w:t xml:space="preserve"> </w:t>
      </w:r>
      <w:r w:rsidRPr="003571FD">
        <w:rPr>
          <w:rFonts w:ascii="Times New Roman" w:hAnsi="Times New Roman" w:cs="Times New Roman"/>
          <w:sz w:val="24"/>
          <w:szCs w:val="24"/>
        </w:rPr>
        <w:t>will therefore be limited and saturation in some municipalities can already be observed</w:t>
      </w:r>
      <w:r w:rsidRPr="003571FD">
        <w:rPr>
          <w:rStyle w:val="FootnoteReference"/>
          <w:rFonts w:ascii="Times New Roman" w:hAnsi="Times New Roman" w:cs="Times New Roman"/>
          <w:sz w:val="24"/>
          <w:szCs w:val="24"/>
        </w:rPr>
        <w:footnoteReference w:id="73"/>
      </w:r>
      <w:r w:rsidRPr="003571FD">
        <w:rPr>
          <w:rFonts w:ascii="Times New Roman" w:hAnsi="Times New Roman" w:cs="Times New Roman"/>
          <w:sz w:val="24"/>
          <w:szCs w:val="24"/>
        </w:rPr>
        <w:t xml:space="preserve">. The still unregulated </w:t>
      </w:r>
      <w:r w:rsidR="0043478F" w:rsidRPr="003571FD">
        <w:rPr>
          <w:rFonts w:ascii="Times New Roman" w:hAnsi="Times New Roman" w:cs="Times New Roman"/>
          <w:sz w:val="24"/>
          <w:szCs w:val="24"/>
        </w:rPr>
        <w:t>IFD</w:t>
      </w:r>
      <w:r w:rsidRPr="003571FD">
        <w:rPr>
          <w:rFonts w:ascii="Times New Roman" w:hAnsi="Times New Roman" w:cs="Times New Roman"/>
          <w:sz w:val="24"/>
          <w:szCs w:val="24"/>
        </w:rPr>
        <w:t>s and closed cooperatives also have a significant branch network (330 and 128 branches respectively, equivalent to 35 percent of formal sector branches). However, the available data is not sufficiently detailed to understand the type of service point used and the evolution over time, and likely also does not yet include small closed cooperatives which operate in rural areas and have not yet initiated the transition process.</w:t>
      </w:r>
    </w:p>
    <w:p w:rsidR="00904F6D" w:rsidRPr="003571FD" w:rsidRDefault="00904F6D" w:rsidP="00904F6D">
      <w:pPr>
        <w:pStyle w:val="ListParagraph"/>
        <w:ind w:left="360"/>
        <w:jc w:val="both"/>
        <w:rPr>
          <w:rFonts w:ascii="Times New Roman" w:hAnsi="Times New Roman" w:cs="Times New Roman"/>
          <w:sz w:val="24"/>
          <w:szCs w:val="24"/>
        </w:rPr>
      </w:pPr>
    </w:p>
    <w:p w:rsidR="005E725F" w:rsidRPr="003571FD" w:rsidRDefault="005E725F" w:rsidP="00904F6D">
      <w:pPr>
        <w:pStyle w:val="ListParagraph"/>
        <w:ind w:left="360"/>
        <w:jc w:val="both"/>
        <w:rPr>
          <w:rFonts w:ascii="Times New Roman" w:hAnsi="Times New Roman" w:cs="Times New Roman"/>
          <w:sz w:val="24"/>
          <w:szCs w:val="24"/>
        </w:rPr>
      </w:pPr>
    </w:p>
    <w:p w:rsidR="005E725F" w:rsidRPr="003571FD" w:rsidRDefault="005E725F" w:rsidP="00904F6D">
      <w:pPr>
        <w:pStyle w:val="ListParagraph"/>
        <w:ind w:left="360"/>
        <w:jc w:val="both"/>
        <w:rPr>
          <w:rFonts w:ascii="Times New Roman" w:hAnsi="Times New Roman" w:cs="Times New Roman"/>
          <w:sz w:val="24"/>
          <w:szCs w:val="24"/>
        </w:rPr>
      </w:pPr>
    </w:p>
    <w:p w:rsidR="005E725F" w:rsidRPr="003571FD" w:rsidRDefault="005E725F" w:rsidP="00904F6D">
      <w:pPr>
        <w:pStyle w:val="ListParagraph"/>
        <w:ind w:left="360"/>
        <w:jc w:val="both"/>
        <w:rPr>
          <w:rFonts w:ascii="Times New Roman" w:hAnsi="Times New Roman" w:cs="Times New Roman"/>
          <w:sz w:val="24"/>
          <w:szCs w:val="24"/>
        </w:rPr>
      </w:pPr>
    </w:p>
    <w:p w:rsidR="005E725F" w:rsidRPr="003571FD" w:rsidRDefault="005E725F" w:rsidP="00904F6D">
      <w:pPr>
        <w:pStyle w:val="ListParagraph"/>
        <w:ind w:left="360"/>
        <w:jc w:val="both"/>
        <w:rPr>
          <w:rFonts w:ascii="Times New Roman" w:hAnsi="Times New Roman" w:cs="Times New Roman"/>
          <w:sz w:val="24"/>
          <w:szCs w:val="24"/>
        </w:rPr>
      </w:pPr>
    </w:p>
    <w:p w:rsidR="005E725F" w:rsidRPr="003571FD" w:rsidRDefault="005E725F" w:rsidP="00904F6D">
      <w:pPr>
        <w:pStyle w:val="ListParagraph"/>
        <w:ind w:left="360"/>
        <w:jc w:val="both"/>
        <w:rPr>
          <w:rFonts w:ascii="Times New Roman" w:hAnsi="Times New Roman" w:cs="Times New Roman"/>
          <w:sz w:val="24"/>
          <w:szCs w:val="24"/>
        </w:rPr>
      </w:pPr>
    </w:p>
    <w:p w:rsidR="00EC5E43" w:rsidRPr="003571FD" w:rsidRDefault="00EC5E43" w:rsidP="00EC5E43">
      <w:pPr>
        <w:pStyle w:val="Caption"/>
        <w:keepNext/>
        <w:rPr>
          <w:rFonts w:ascii="Times New Roman" w:hAnsi="Times New Roman" w:cs="Times New Roman"/>
          <w:color w:val="auto"/>
        </w:rPr>
      </w:pPr>
      <w:bookmarkStart w:id="49" w:name="_Toc312317355"/>
      <w:r w:rsidRPr="003571FD">
        <w:rPr>
          <w:rFonts w:ascii="Times New Roman" w:hAnsi="Times New Roman" w:cs="Times New Roman"/>
          <w:color w:val="auto"/>
        </w:rPr>
        <w:lastRenderedPageBreak/>
        <w:t xml:space="preserve">Table </w:t>
      </w:r>
      <w:r w:rsidR="005744EE" w:rsidRPr="003571FD">
        <w:rPr>
          <w:rFonts w:ascii="Times New Roman" w:hAnsi="Times New Roman" w:cs="Times New Roman"/>
          <w:color w:val="auto"/>
        </w:rPr>
        <w:fldChar w:fldCharType="begin"/>
      </w:r>
      <w:r w:rsidR="00B42446"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8</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xml:space="preserve">: </w:t>
      </w:r>
      <w:r w:rsidRPr="003571FD">
        <w:rPr>
          <w:rFonts w:ascii="Times New Roman" w:hAnsi="Times New Roman" w:cs="Times New Roman"/>
          <w:bCs w:val="0"/>
          <w:color w:val="auto"/>
          <w:szCs w:val="20"/>
        </w:rPr>
        <w:t>Evolution of service points in the formal financial system</w:t>
      </w:r>
      <w:bookmarkEnd w:id="49"/>
    </w:p>
    <w:tbl>
      <w:tblPr>
        <w:tblW w:w="4887" w:type="pct"/>
        <w:tblInd w:w="108" w:type="dxa"/>
        <w:tblLayout w:type="fixed"/>
        <w:tblLook w:val="0000" w:firstRow="0" w:lastRow="0" w:firstColumn="0" w:lastColumn="0" w:noHBand="0" w:noVBand="0"/>
      </w:tblPr>
      <w:tblGrid>
        <w:gridCol w:w="1439"/>
        <w:gridCol w:w="631"/>
        <w:gridCol w:w="747"/>
        <w:gridCol w:w="747"/>
        <w:gridCol w:w="747"/>
        <w:gridCol w:w="747"/>
        <w:gridCol w:w="747"/>
        <w:gridCol w:w="766"/>
        <w:gridCol w:w="728"/>
        <w:gridCol w:w="747"/>
        <w:gridCol w:w="683"/>
        <w:gridCol w:w="631"/>
      </w:tblGrid>
      <w:tr w:rsidR="00EC5E43" w:rsidRPr="003571FD">
        <w:trPr>
          <w:trHeight w:val="144"/>
        </w:trPr>
        <w:tc>
          <w:tcPr>
            <w:tcW w:w="1106" w:type="pct"/>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sz w:val="14"/>
                <w:szCs w:val="14"/>
              </w:rPr>
            </w:pPr>
          </w:p>
        </w:tc>
        <w:tc>
          <w:tcPr>
            <w:tcW w:w="159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r w:rsidRPr="003571FD">
              <w:rPr>
                <w:rFonts w:ascii="Times" w:hAnsi="Times"/>
                <w:b/>
                <w:bCs/>
                <w:sz w:val="16"/>
                <w:szCs w:val="16"/>
              </w:rPr>
              <w:t>"Traditional" forms of branches</w:t>
            </w:r>
          </w:p>
        </w:tc>
        <w:tc>
          <w:tcPr>
            <w:tcW w:w="1596"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r w:rsidRPr="003571FD">
              <w:rPr>
                <w:rFonts w:ascii="Times" w:hAnsi="Times"/>
                <w:b/>
                <w:bCs/>
                <w:sz w:val="16"/>
                <w:szCs w:val="16"/>
              </w:rPr>
              <w:t>Innovative service points</w:t>
            </w:r>
          </w:p>
        </w:tc>
        <w:tc>
          <w:tcPr>
            <w:tcW w:w="702" w:type="pct"/>
            <w:gridSpan w:val="2"/>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sz w:val="14"/>
                <w:szCs w:val="14"/>
              </w:rPr>
            </w:pPr>
            <w:r w:rsidRPr="003571FD">
              <w:rPr>
                <w:rFonts w:ascii="Times New Roman" w:hAnsi="Times New Roman" w:cs="Times New Roman"/>
                <w:b/>
                <w:bCs/>
                <w:sz w:val="14"/>
                <w:szCs w:val="14"/>
              </w:rPr>
              <w:t xml:space="preserve">Total </w:t>
            </w:r>
          </w:p>
        </w:tc>
      </w:tr>
      <w:tr w:rsidR="00EC5E43" w:rsidRPr="003571FD" w:rsidTr="0043478F">
        <w:trPr>
          <w:trHeight w:val="720"/>
        </w:trPr>
        <w:tc>
          <w:tcPr>
            <w:tcW w:w="1106" w:type="pct"/>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sz w:val="14"/>
                <w:szCs w:val="14"/>
              </w:rPr>
            </w:pPr>
          </w:p>
        </w:tc>
        <w:tc>
          <w:tcPr>
            <w:tcW w:w="399" w:type="pct"/>
            <w:tcBorders>
              <w:top w:val="single" w:sz="4" w:space="0" w:color="000000" w:themeColor="text1"/>
              <w:left w:val="single" w:sz="4" w:space="0" w:color="000000" w:themeColor="text1"/>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r w:rsidRPr="003571FD">
              <w:rPr>
                <w:rFonts w:ascii="Times New Roman" w:hAnsi="Times New Roman" w:cs="Times New Roman"/>
                <w:b/>
                <w:bCs/>
                <w:i/>
                <w:sz w:val="14"/>
                <w:szCs w:val="14"/>
              </w:rPr>
              <w:t>Oficina Central</w:t>
            </w:r>
          </w:p>
        </w:tc>
        <w:tc>
          <w:tcPr>
            <w:tcW w:w="399" w:type="pct"/>
            <w:tcBorders>
              <w:top w:val="single" w:sz="4" w:space="0" w:color="000000" w:themeColor="text1"/>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r w:rsidRPr="003571FD">
              <w:rPr>
                <w:rFonts w:ascii="Times New Roman" w:hAnsi="Times New Roman" w:cs="Times New Roman"/>
                <w:b/>
                <w:bCs/>
                <w:i/>
                <w:sz w:val="14"/>
                <w:szCs w:val="14"/>
              </w:rPr>
              <w:t>Sucursal</w:t>
            </w:r>
          </w:p>
        </w:tc>
        <w:tc>
          <w:tcPr>
            <w:tcW w:w="399" w:type="pct"/>
            <w:tcBorders>
              <w:top w:val="single" w:sz="4" w:space="0" w:color="000000" w:themeColor="text1"/>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r w:rsidRPr="003571FD">
              <w:rPr>
                <w:rFonts w:ascii="Times New Roman" w:hAnsi="Times New Roman" w:cs="Times New Roman"/>
                <w:b/>
                <w:bCs/>
                <w:i/>
                <w:sz w:val="14"/>
                <w:szCs w:val="14"/>
              </w:rPr>
              <w:t>Agencia Fija</w:t>
            </w:r>
          </w:p>
        </w:tc>
        <w:tc>
          <w:tcPr>
            <w:tcW w:w="399" w:type="pct"/>
            <w:tcBorders>
              <w:top w:val="single" w:sz="4" w:space="0" w:color="000000" w:themeColor="text1"/>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proofErr w:type="spellStart"/>
            <w:r w:rsidRPr="003571FD">
              <w:rPr>
                <w:rFonts w:ascii="Times New Roman" w:hAnsi="Times New Roman" w:cs="Times New Roman"/>
                <w:b/>
                <w:bCs/>
                <w:i/>
                <w:sz w:val="14"/>
                <w:szCs w:val="14"/>
              </w:rPr>
              <w:t>Caja</w:t>
            </w:r>
            <w:proofErr w:type="spellEnd"/>
            <w:r w:rsidRPr="003571FD">
              <w:rPr>
                <w:rFonts w:ascii="Times New Roman" w:hAnsi="Times New Roman" w:cs="Times New Roman"/>
                <w:b/>
                <w:bCs/>
                <w:i/>
                <w:sz w:val="14"/>
                <w:szCs w:val="14"/>
              </w:rPr>
              <w:t xml:space="preserve"> </w:t>
            </w:r>
            <w:proofErr w:type="spellStart"/>
            <w:r w:rsidRPr="003571FD">
              <w:rPr>
                <w:rFonts w:ascii="Times New Roman" w:hAnsi="Times New Roman" w:cs="Times New Roman"/>
                <w:b/>
                <w:bCs/>
                <w:i/>
                <w:sz w:val="14"/>
                <w:szCs w:val="14"/>
              </w:rPr>
              <w:t>externa</w:t>
            </w:r>
            <w:proofErr w:type="spellEnd"/>
          </w:p>
        </w:tc>
        <w:tc>
          <w:tcPr>
            <w:tcW w:w="399" w:type="pct"/>
            <w:tcBorders>
              <w:top w:val="single" w:sz="4" w:space="0" w:color="000000" w:themeColor="text1"/>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r w:rsidRPr="003571FD">
              <w:rPr>
                <w:rFonts w:ascii="Times New Roman" w:hAnsi="Times New Roman" w:cs="Times New Roman"/>
                <w:b/>
                <w:bCs/>
                <w:i/>
                <w:sz w:val="14"/>
                <w:szCs w:val="14"/>
              </w:rPr>
              <w:t>Oficina Ferial</w:t>
            </w:r>
          </w:p>
        </w:tc>
        <w:tc>
          <w:tcPr>
            <w:tcW w:w="409" w:type="pct"/>
            <w:tcBorders>
              <w:top w:val="single" w:sz="4" w:space="0" w:color="000000" w:themeColor="text1"/>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proofErr w:type="spellStart"/>
            <w:r w:rsidRPr="003571FD">
              <w:rPr>
                <w:rFonts w:ascii="Times New Roman" w:hAnsi="Times New Roman" w:cs="Times New Roman"/>
                <w:b/>
                <w:bCs/>
                <w:i/>
                <w:sz w:val="14"/>
                <w:szCs w:val="14"/>
              </w:rPr>
              <w:t>Manda</w:t>
            </w:r>
            <w:proofErr w:type="spellEnd"/>
            <w:r w:rsidRPr="003571FD">
              <w:rPr>
                <w:rFonts w:ascii="Times New Roman" w:hAnsi="Times New Roman" w:cs="Times New Roman"/>
                <w:b/>
                <w:bCs/>
                <w:i/>
                <w:sz w:val="14"/>
                <w:szCs w:val="14"/>
              </w:rPr>
              <w:t>-to</w:t>
            </w:r>
          </w:p>
          <w:p w:rsidR="0043478F" w:rsidRPr="003571FD" w:rsidRDefault="0043478F" w:rsidP="009808F4">
            <w:pPr>
              <w:spacing w:before="2" w:after="2" w:line="360" w:lineRule="auto"/>
              <w:jc w:val="center"/>
              <w:rPr>
                <w:rFonts w:ascii="Times New Roman" w:hAnsi="Times New Roman" w:cs="Times New Roman"/>
                <w:b/>
                <w:bCs/>
                <w:i/>
                <w:sz w:val="14"/>
                <w:szCs w:val="14"/>
              </w:rPr>
            </w:pPr>
            <w:r w:rsidRPr="003571FD">
              <w:rPr>
                <w:rFonts w:ascii="Times New Roman" w:hAnsi="Times New Roman" w:cs="Times New Roman"/>
                <w:b/>
                <w:bCs/>
                <w:i/>
                <w:sz w:val="14"/>
                <w:szCs w:val="14"/>
              </w:rPr>
              <w:t>(Agent)</w:t>
            </w:r>
          </w:p>
        </w:tc>
        <w:tc>
          <w:tcPr>
            <w:tcW w:w="389" w:type="pct"/>
            <w:tcBorders>
              <w:top w:val="single" w:sz="4" w:space="0" w:color="000000" w:themeColor="text1"/>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proofErr w:type="spellStart"/>
            <w:r w:rsidRPr="003571FD">
              <w:rPr>
                <w:rFonts w:ascii="Times New Roman" w:hAnsi="Times New Roman" w:cs="Times New Roman"/>
                <w:b/>
                <w:bCs/>
                <w:i/>
                <w:sz w:val="14"/>
                <w:szCs w:val="14"/>
              </w:rPr>
              <w:t>Venta-nilla</w:t>
            </w:r>
            <w:proofErr w:type="spellEnd"/>
          </w:p>
        </w:tc>
        <w:tc>
          <w:tcPr>
            <w:tcW w:w="399" w:type="pct"/>
            <w:tcBorders>
              <w:top w:val="single" w:sz="4" w:space="0" w:color="000000" w:themeColor="text1"/>
              <w:left w:val="single" w:sz="4" w:space="0" w:color="auto"/>
              <w:bottom w:val="single" w:sz="4" w:space="0" w:color="auto"/>
              <w:right w:val="single" w:sz="4" w:space="0" w:color="000000" w:themeColor="text1"/>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i/>
                <w:sz w:val="14"/>
                <w:szCs w:val="14"/>
              </w:rPr>
            </w:pPr>
            <w:proofErr w:type="spellStart"/>
            <w:r w:rsidRPr="003571FD">
              <w:rPr>
                <w:rFonts w:ascii="Times New Roman" w:hAnsi="Times New Roman" w:cs="Times New Roman"/>
                <w:b/>
                <w:bCs/>
                <w:i/>
                <w:sz w:val="14"/>
                <w:szCs w:val="14"/>
              </w:rPr>
              <w:t>Agencia</w:t>
            </w:r>
            <w:proofErr w:type="spellEnd"/>
            <w:r w:rsidRPr="003571FD">
              <w:rPr>
                <w:rFonts w:ascii="Times New Roman" w:hAnsi="Times New Roman" w:cs="Times New Roman"/>
                <w:b/>
                <w:bCs/>
                <w:i/>
                <w:sz w:val="14"/>
                <w:szCs w:val="14"/>
              </w:rPr>
              <w:t xml:space="preserve"> </w:t>
            </w:r>
            <w:proofErr w:type="spellStart"/>
            <w:r w:rsidRPr="003571FD">
              <w:rPr>
                <w:rFonts w:ascii="Times New Roman" w:hAnsi="Times New Roman" w:cs="Times New Roman"/>
                <w:b/>
                <w:bCs/>
                <w:i/>
                <w:sz w:val="14"/>
                <w:szCs w:val="14"/>
              </w:rPr>
              <w:t>Movil</w:t>
            </w:r>
            <w:proofErr w:type="spellEnd"/>
          </w:p>
        </w:tc>
        <w:tc>
          <w:tcPr>
            <w:tcW w:w="702" w:type="pct"/>
            <w:gridSpan w:val="2"/>
            <w:vMerge/>
            <w:tcBorders>
              <w:left w:val="single" w:sz="4" w:space="0" w:color="000000" w:themeColor="text1"/>
              <w:bottom w:val="single" w:sz="4" w:space="0" w:color="auto"/>
              <w:right w:val="single" w:sz="4" w:space="0" w:color="000000" w:themeColor="text1"/>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b/>
                <w:bCs/>
                <w:sz w:val="14"/>
                <w:szCs w:val="14"/>
              </w:rPr>
            </w:pPr>
          </w:p>
        </w:tc>
      </w:tr>
      <w:tr w:rsidR="00EC5E43" w:rsidRPr="003571FD" w:rsidTr="0043478F">
        <w:trPr>
          <w:trHeight w:val="144"/>
        </w:trPr>
        <w:tc>
          <w:tcPr>
            <w:tcW w:w="769"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C5E43" w:rsidRPr="003571FD" w:rsidRDefault="00EC5E43" w:rsidP="009808F4">
            <w:pPr>
              <w:spacing w:before="2" w:after="2" w:line="360" w:lineRule="auto"/>
              <w:rPr>
                <w:rFonts w:ascii="Times New Roman" w:hAnsi="Times New Roman" w:cs="Times New Roman"/>
                <w:b/>
                <w:bCs/>
                <w:sz w:val="14"/>
                <w:szCs w:val="14"/>
              </w:rPr>
            </w:pPr>
            <w:r w:rsidRPr="003571FD">
              <w:rPr>
                <w:rFonts w:ascii="Times New Roman" w:hAnsi="Times New Roman" w:cs="Times New Roman"/>
                <w:b/>
                <w:bCs/>
                <w:sz w:val="14"/>
                <w:szCs w:val="14"/>
              </w:rPr>
              <w:t>Banks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285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0</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414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47.7%</w:t>
            </w:r>
          </w:p>
        </w:tc>
      </w:tr>
      <w:tr w:rsidR="00EC5E43" w:rsidRPr="003571FD" w:rsidTr="0043478F">
        <w:trPr>
          <w:trHeight w:val="144"/>
        </w:trPr>
        <w:tc>
          <w:tcPr>
            <w:tcW w:w="7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C5E43" w:rsidRPr="003571FD" w:rsidRDefault="00EC5E43" w:rsidP="009808F4">
            <w:pPr>
              <w:spacing w:before="2" w:after="2" w:line="360" w:lineRule="auto"/>
              <w:rPr>
                <w:rFonts w:ascii="Times New Roman" w:hAnsi="Times New Roman" w:cs="Times New Roman"/>
                <w:b/>
                <w:bCs/>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358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127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40</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622</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48.2%</w:t>
            </w:r>
          </w:p>
        </w:tc>
      </w:tr>
      <w:tr w:rsidR="00EC5E43" w:rsidRPr="003571FD" w:rsidTr="0043478F">
        <w:trPr>
          <w:trHeight w:val="144"/>
        </w:trPr>
        <w:tc>
          <w:tcPr>
            <w:tcW w:w="7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5E43" w:rsidRPr="003571FD" w:rsidRDefault="00B07DFB" w:rsidP="009808F4">
            <w:pPr>
              <w:spacing w:before="2" w:after="2" w:line="360" w:lineRule="auto"/>
              <w:rPr>
                <w:rFonts w:ascii="Times New Roman" w:hAnsi="Times New Roman" w:cs="Times New Roman"/>
                <w:bCs/>
                <w:i/>
                <w:sz w:val="14"/>
                <w:szCs w:val="14"/>
              </w:rPr>
            </w:pPr>
            <w:r w:rsidRPr="003571FD">
              <w:rPr>
                <w:rFonts w:ascii="Times New Roman" w:hAnsi="Times New Roman" w:cs="Times New Roman"/>
                <w:bCs/>
                <w:i/>
                <w:sz w:val="14"/>
                <w:szCs w:val="14"/>
              </w:rPr>
              <w:t xml:space="preserve"> </w:t>
            </w:r>
            <w:r w:rsidR="00EC5E43" w:rsidRPr="003571FD">
              <w:rPr>
                <w:rFonts w:ascii="Times New Roman" w:hAnsi="Times New Roman" w:cs="Times New Roman"/>
                <w:bCs/>
                <w:i/>
                <w:sz w:val="14"/>
                <w:szCs w:val="14"/>
              </w:rPr>
              <w:t>foreign subsidiaries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0.5%</w:t>
            </w:r>
          </w:p>
        </w:tc>
      </w:tr>
      <w:tr w:rsidR="00EC5E43" w:rsidRPr="003571FD" w:rsidTr="0043478F">
        <w:trPr>
          <w:trHeight w:val="144"/>
        </w:trPr>
        <w:tc>
          <w:tcPr>
            <w:tcW w:w="7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C5E43" w:rsidRPr="003571FD" w:rsidRDefault="00EC5E43" w:rsidP="009808F4">
            <w:pPr>
              <w:spacing w:before="2" w:after="2" w:line="360" w:lineRule="auto"/>
              <w:rPr>
                <w:rFonts w:ascii="Times New Roman" w:hAnsi="Times New Roman" w:cs="Times New Roman"/>
                <w:bCs/>
                <w:i/>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0.3%</w:t>
            </w:r>
          </w:p>
        </w:tc>
      </w:tr>
      <w:tr w:rsidR="00EC5E43" w:rsidRPr="003571FD" w:rsidTr="0043478F">
        <w:trPr>
          <w:trHeight w:val="144"/>
        </w:trPr>
        <w:tc>
          <w:tcPr>
            <w:tcW w:w="7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5E43" w:rsidRPr="003571FD" w:rsidRDefault="00B07DFB" w:rsidP="009808F4">
            <w:pPr>
              <w:spacing w:before="2" w:after="2" w:line="360" w:lineRule="auto"/>
              <w:rPr>
                <w:rFonts w:ascii="Times New Roman" w:hAnsi="Times New Roman" w:cs="Times New Roman"/>
                <w:bCs/>
                <w:i/>
                <w:sz w:val="14"/>
                <w:szCs w:val="14"/>
              </w:rPr>
            </w:pPr>
            <w:r w:rsidRPr="003571FD">
              <w:rPr>
                <w:rFonts w:ascii="Times New Roman" w:hAnsi="Times New Roman" w:cs="Times New Roman"/>
                <w:bCs/>
                <w:i/>
                <w:sz w:val="14"/>
                <w:szCs w:val="14"/>
              </w:rPr>
              <w:t xml:space="preserve"> </w:t>
            </w:r>
            <w:r w:rsidR="00EC5E43" w:rsidRPr="003571FD">
              <w:rPr>
                <w:rFonts w:ascii="Times New Roman" w:hAnsi="Times New Roman" w:cs="Times New Roman"/>
                <w:bCs/>
                <w:i/>
                <w:sz w:val="14"/>
                <w:szCs w:val="14"/>
              </w:rPr>
              <w:t>commercial banks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161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254</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29.3%</w:t>
            </w:r>
          </w:p>
        </w:tc>
      </w:tr>
      <w:tr w:rsidR="00EC5E43" w:rsidRPr="003571FD" w:rsidTr="0043478F">
        <w:trPr>
          <w:trHeight w:val="144"/>
        </w:trPr>
        <w:tc>
          <w:tcPr>
            <w:tcW w:w="7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C5E43" w:rsidRPr="003571FD" w:rsidRDefault="00EC5E43" w:rsidP="009808F4">
            <w:pPr>
              <w:spacing w:before="2" w:after="2" w:line="360" w:lineRule="auto"/>
              <w:rPr>
                <w:rFonts w:ascii="Times New Roman" w:hAnsi="Times New Roman" w:cs="Times New Roman"/>
                <w:bCs/>
                <w:i/>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209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345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26.7%</w:t>
            </w:r>
          </w:p>
        </w:tc>
      </w:tr>
      <w:tr w:rsidR="00EC5E43" w:rsidRPr="003571FD" w:rsidTr="0043478F">
        <w:trPr>
          <w:trHeight w:val="144"/>
        </w:trPr>
        <w:tc>
          <w:tcPr>
            <w:tcW w:w="7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5E43" w:rsidRPr="003571FD" w:rsidRDefault="00B07DFB" w:rsidP="009808F4">
            <w:pPr>
              <w:spacing w:before="2" w:after="2" w:line="360" w:lineRule="auto"/>
              <w:rPr>
                <w:rFonts w:ascii="Times New Roman" w:hAnsi="Times New Roman" w:cs="Times New Roman"/>
                <w:bCs/>
                <w:i/>
                <w:sz w:val="14"/>
                <w:szCs w:val="14"/>
              </w:rPr>
            </w:pPr>
            <w:r w:rsidRPr="003571FD">
              <w:rPr>
                <w:rFonts w:ascii="Times New Roman" w:hAnsi="Times New Roman" w:cs="Times New Roman"/>
                <w:bCs/>
                <w:i/>
                <w:sz w:val="14"/>
                <w:szCs w:val="14"/>
              </w:rPr>
              <w:t xml:space="preserve"> </w:t>
            </w:r>
            <w:r w:rsidR="00EC5E43" w:rsidRPr="003571FD">
              <w:rPr>
                <w:rFonts w:ascii="Times New Roman" w:hAnsi="Times New Roman" w:cs="Times New Roman"/>
                <w:bCs/>
                <w:i/>
                <w:sz w:val="14"/>
                <w:szCs w:val="14"/>
              </w:rPr>
              <w:t>MFI banks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84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12.4%</w:t>
            </w:r>
          </w:p>
        </w:tc>
      </w:tr>
      <w:tr w:rsidR="00EC5E43" w:rsidRPr="003571FD" w:rsidTr="0043478F">
        <w:trPr>
          <w:trHeight w:val="144"/>
        </w:trPr>
        <w:tc>
          <w:tcPr>
            <w:tcW w:w="7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C5E43" w:rsidRPr="003571FD" w:rsidRDefault="00EC5E43" w:rsidP="009808F4">
            <w:pPr>
              <w:spacing w:before="2" w:after="2" w:line="360" w:lineRule="auto"/>
              <w:rPr>
                <w:rFonts w:ascii="Times New Roman" w:hAnsi="Times New Roman" w:cs="Times New Roman"/>
                <w:bCs/>
                <w:i/>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86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221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17.1%</w:t>
            </w:r>
          </w:p>
        </w:tc>
      </w:tr>
      <w:tr w:rsidR="00EC5E43" w:rsidRPr="003571FD" w:rsidTr="0043478F">
        <w:trPr>
          <w:trHeight w:val="144"/>
        </w:trPr>
        <w:tc>
          <w:tcPr>
            <w:tcW w:w="7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5E43" w:rsidRPr="003571FD" w:rsidRDefault="00B07DFB" w:rsidP="009808F4">
            <w:pPr>
              <w:spacing w:before="2" w:after="2" w:line="360" w:lineRule="auto"/>
              <w:rPr>
                <w:rFonts w:ascii="Times New Roman" w:hAnsi="Times New Roman" w:cs="Times New Roman"/>
                <w:bCs/>
                <w:i/>
                <w:sz w:val="14"/>
                <w:szCs w:val="14"/>
              </w:rPr>
            </w:pPr>
            <w:r w:rsidRPr="003571FD">
              <w:rPr>
                <w:rFonts w:ascii="Times New Roman" w:hAnsi="Times New Roman" w:cs="Times New Roman"/>
                <w:bCs/>
                <w:i/>
                <w:sz w:val="14"/>
                <w:szCs w:val="14"/>
              </w:rPr>
              <w:t xml:space="preserve"> </w:t>
            </w:r>
            <w:r w:rsidR="00EC5E43" w:rsidRPr="003571FD">
              <w:rPr>
                <w:rFonts w:ascii="Times New Roman" w:hAnsi="Times New Roman" w:cs="Times New Roman"/>
                <w:bCs/>
                <w:i/>
                <w:sz w:val="14"/>
                <w:szCs w:val="14"/>
              </w:rPr>
              <w:t>public bank</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5.5%</w:t>
            </w:r>
          </w:p>
        </w:tc>
      </w:tr>
      <w:tr w:rsidR="00EC5E43" w:rsidRPr="003571FD" w:rsidTr="0043478F">
        <w:trPr>
          <w:trHeight w:val="144"/>
        </w:trPr>
        <w:tc>
          <w:tcPr>
            <w:tcW w:w="7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C5E43" w:rsidRPr="003571FD" w:rsidRDefault="00EC5E43" w:rsidP="009808F4">
            <w:pPr>
              <w:spacing w:before="2" w:after="2" w:line="360" w:lineRule="auto"/>
              <w:rPr>
                <w:rFonts w:ascii="Times New Roman" w:hAnsi="Times New Roman" w:cs="Times New Roman"/>
                <w:b/>
                <w:bCs/>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52</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4.0%</w:t>
            </w:r>
          </w:p>
        </w:tc>
      </w:tr>
      <w:tr w:rsidR="00EC5E43" w:rsidRPr="003571FD" w:rsidTr="0043478F">
        <w:trPr>
          <w:trHeight w:val="144"/>
        </w:trPr>
        <w:tc>
          <w:tcPr>
            <w:tcW w:w="769" w:type="pct"/>
            <w:vMerge w:val="restart"/>
            <w:tcBorders>
              <w:top w:val="single" w:sz="4" w:space="0" w:color="auto"/>
              <w:left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rPr>
                <w:rFonts w:ascii="Times New Roman" w:hAnsi="Times New Roman" w:cs="Times New Roman"/>
                <w:b/>
                <w:bCs/>
                <w:sz w:val="14"/>
                <w:szCs w:val="14"/>
              </w:rPr>
            </w:pPr>
            <w:r w:rsidRPr="003571FD">
              <w:rPr>
                <w:rFonts w:ascii="Times New Roman" w:hAnsi="Times New Roman" w:cs="Times New Roman"/>
                <w:b/>
                <w:bCs/>
                <w:sz w:val="14"/>
                <w:szCs w:val="14"/>
              </w:rPr>
              <w:t>SLAs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55</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6.3%</w:t>
            </w:r>
          </w:p>
        </w:tc>
      </w:tr>
      <w:tr w:rsidR="00EC5E43" w:rsidRPr="003571FD" w:rsidTr="0043478F">
        <w:trPr>
          <w:trHeight w:val="144"/>
        </w:trPr>
        <w:tc>
          <w:tcPr>
            <w:tcW w:w="769" w:type="pct"/>
            <w:vMerge/>
            <w:tcBorders>
              <w:left w:val="single" w:sz="4" w:space="0" w:color="auto"/>
              <w:bottom w:val="single" w:sz="4" w:space="0" w:color="000000"/>
              <w:right w:val="single" w:sz="4" w:space="0" w:color="auto"/>
            </w:tcBorders>
            <w:shd w:val="clear" w:color="auto" w:fill="auto"/>
            <w:noWrap/>
            <w:vAlign w:val="center"/>
          </w:tcPr>
          <w:p w:rsidR="00EC5E43" w:rsidRPr="003571FD" w:rsidRDefault="00EC5E43" w:rsidP="009808F4">
            <w:pPr>
              <w:spacing w:before="2" w:after="2" w:line="360" w:lineRule="auto"/>
              <w:rPr>
                <w:rFonts w:ascii="Times New Roman" w:hAnsi="Times New Roman" w:cs="Times New Roman"/>
                <w:b/>
                <w:bCs/>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3.8%</w:t>
            </w:r>
          </w:p>
        </w:tc>
      </w:tr>
      <w:tr w:rsidR="00EC5E43" w:rsidRPr="003571FD" w:rsidTr="0043478F">
        <w:trPr>
          <w:trHeight w:val="144"/>
        </w:trPr>
        <w:tc>
          <w:tcPr>
            <w:tcW w:w="769" w:type="pct"/>
            <w:vMerge w:val="restart"/>
            <w:tcBorders>
              <w:top w:val="single" w:sz="4" w:space="0" w:color="auto"/>
              <w:left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rPr>
                <w:rFonts w:ascii="Times New Roman" w:hAnsi="Times New Roman" w:cs="Times New Roman"/>
                <w:b/>
                <w:bCs/>
                <w:sz w:val="14"/>
                <w:szCs w:val="14"/>
              </w:rPr>
            </w:pPr>
            <w:r w:rsidRPr="003571FD">
              <w:rPr>
                <w:rFonts w:ascii="Times New Roman" w:hAnsi="Times New Roman" w:cs="Times New Roman"/>
                <w:b/>
                <w:bCs/>
                <w:sz w:val="14"/>
                <w:szCs w:val="14"/>
              </w:rPr>
              <w:t>Finance Companies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173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298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34.3%</w:t>
            </w:r>
          </w:p>
        </w:tc>
      </w:tr>
      <w:tr w:rsidR="00EC5E43" w:rsidRPr="003571FD" w:rsidTr="0043478F">
        <w:trPr>
          <w:trHeight w:val="144"/>
        </w:trPr>
        <w:tc>
          <w:tcPr>
            <w:tcW w:w="769" w:type="pct"/>
            <w:vMerge/>
            <w:tcBorders>
              <w:left w:val="single" w:sz="4" w:space="0" w:color="auto"/>
              <w:bottom w:val="single" w:sz="4" w:space="0" w:color="000000"/>
              <w:right w:val="single" w:sz="4" w:space="0" w:color="auto"/>
            </w:tcBorders>
            <w:shd w:val="clear" w:color="auto" w:fill="auto"/>
            <w:noWrap/>
            <w:vAlign w:val="center"/>
          </w:tcPr>
          <w:p w:rsidR="00EC5E43" w:rsidRPr="003571FD" w:rsidRDefault="00EC5E43" w:rsidP="009808F4">
            <w:pPr>
              <w:spacing w:before="2" w:after="2" w:line="360" w:lineRule="auto"/>
              <w:rPr>
                <w:rFonts w:ascii="Times New Roman" w:hAnsi="Times New Roman" w:cs="Times New Roman"/>
                <w:b/>
                <w:bCs/>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282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73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19</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83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490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38.0%</w:t>
            </w:r>
          </w:p>
        </w:tc>
      </w:tr>
      <w:tr w:rsidR="00EC5E43" w:rsidRPr="003571FD" w:rsidTr="0043478F">
        <w:trPr>
          <w:trHeight w:val="144"/>
        </w:trPr>
        <w:tc>
          <w:tcPr>
            <w:tcW w:w="7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C5E43" w:rsidRPr="003571FD" w:rsidRDefault="00EC5E43" w:rsidP="009808F4">
            <w:pPr>
              <w:spacing w:before="2" w:after="2" w:line="360" w:lineRule="auto"/>
              <w:rPr>
                <w:rFonts w:ascii="Times New Roman" w:hAnsi="Times New Roman" w:cs="Times New Roman"/>
                <w:b/>
                <w:bCs/>
                <w:sz w:val="14"/>
                <w:szCs w:val="14"/>
              </w:rPr>
            </w:pPr>
            <w:r w:rsidRPr="003571FD">
              <w:rPr>
                <w:rFonts w:ascii="Times New Roman" w:hAnsi="Times New Roman" w:cs="Times New Roman"/>
                <w:b/>
                <w:bCs/>
                <w:sz w:val="14"/>
                <w:szCs w:val="14"/>
              </w:rPr>
              <w:t>Open Cooperatives</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101</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11.6%</w:t>
            </w:r>
          </w:p>
        </w:tc>
      </w:tr>
      <w:tr w:rsidR="00EC5E43" w:rsidRPr="003571FD" w:rsidTr="0043478F">
        <w:trPr>
          <w:trHeight w:val="144"/>
        </w:trPr>
        <w:tc>
          <w:tcPr>
            <w:tcW w:w="769"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EC5E43" w:rsidRPr="003571FD" w:rsidRDefault="00EC5E43" w:rsidP="009808F4">
            <w:pPr>
              <w:spacing w:before="2" w:after="2" w:line="360" w:lineRule="auto"/>
              <w:rPr>
                <w:rFonts w:ascii="Times New Roman" w:hAnsi="Times New Roman" w:cs="Times New Roman"/>
                <w:b/>
                <w:bCs/>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78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129</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10.0%</w:t>
            </w:r>
          </w:p>
        </w:tc>
      </w:tr>
      <w:tr w:rsidR="00EC5E43" w:rsidRPr="003571FD" w:rsidTr="0043478F">
        <w:trPr>
          <w:trHeight w:val="144"/>
        </w:trPr>
        <w:tc>
          <w:tcPr>
            <w:tcW w:w="769" w:type="pct"/>
            <w:vMerge w:val="restart"/>
            <w:tcBorders>
              <w:top w:val="single" w:sz="4" w:space="0" w:color="auto"/>
              <w:left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rPr>
                <w:rFonts w:ascii="Times New Roman" w:hAnsi="Times New Roman" w:cs="Times New Roman"/>
                <w:b/>
                <w:bCs/>
                <w:sz w:val="14"/>
                <w:szCs w:val="14"/>
              </w:rPr>
            </w:pPr>
            <w:r w:rsidRPr="003571FD">
              <w:rPr>
                <w:rFonts w:ascii="Times New Roman" w:hAnsi="Times New Roman" w:cs="Times New Roman"/>
                <w:b/>
                <w:bCs/>
                <w:sz w:val="14"/>
                <w:szCs w:val="14"/>
              </w:rPr>
              <w:t>TOTAL</w:t>
            </w: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Dec-07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72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544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64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98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0</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868</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100%</w:t>
            </w:r>
          </w:p>
        </w:tc>
      </w:tr>
      <w:tr w:rsidR="00EC5E43" w:rsidRPr="003571FD" w:rsidTr="0043478F">
        <w:trPr>
          <w:trHeight w:val="144"/>
        </w:trPr>
        <w:tc>
          <w:tcPr>
            <w:tcW w:w="769" w:type="pct"/>
            <w:vMerge/>
            <w:tcBorders>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b/>
                <w:bCs/>
                <w:sz w:val="14"/>
                <w:szCs w:val="14"/>
              </w:rPr>
            </w:pPr>
          </w:p>
        </w:tc>
        <w:tc>
          <w:tcPr>
            <w:tcW w:w="3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4"/>
                <w:szCs w:val="14"/>
              </w:rPr>
            </w:pPr>
            <w:r w:rsidRPr="003571FD">
              <w:rPr>
                <w:rFonts w:ascii="Times New Roman" w:hAnsi="Times New Roman" w:cs="Times New Roman"/>
                <w:sz w:val="14"/>
                <w:szCs w:val="14"/>
              </w:rPr>
              <w:t>Apr-10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51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95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743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215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21</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42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122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1,290</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EC5E43" w:rsidRPr="003571FD" w:rsidRDefault="00EC5E43" w:rsidP="009808F4">
            <w:pPr>
              <w:spacing w:before="2" w:after="2" w:line="360" w:lineRule="auto"/>
              <w:jc w:val="center"/>
              <w:rPr>
                <w:rFonts w:ascii="Times New Roman" w:hAnsi="Times New Roman" w:cs="Times New Roman"/>
                <w:sz w:val="16"/>
                <w:szCs w:val="14"/>
              </w:rPr>
            </w:pPr>
            <w:r w:rsidRPr="003571FD">
              <w:rPr>
                <w:rFonts w:ascii="Times New Roman" w:hAnsi="Times New Roman" w:cs="Times New Roman"/>
                <w:sz w:val="16"/>
                <w:szCs w:val="14"/>
              </w:rPr>
              <w:t>100%</w:t>
            </w:r>
          </w:p>
        </w:tc>
      </w:tr>
    </w:tbl>
    <w:p w:rsidR="00EC5E43" w:rsidRPr="003571FD" w:rsidRDefault="00EC5E43" w:rsidP="00EC5E43">
      <w:pPr>
        <w:spacing w:before="240"/>
        <w:jc w:val="both"/>
        <w:rPr>
          <w:rFonts w:ascii="Times New Roman" w:hAnsi="Times New Roman" w:cs="Times New Roman"/>
          <w:i/>
          <w:sz w:val="18"/>
          <w:szCs w:val="18"/>
        </w:rPr>
      </w:pPr>
      <w:r w:rsidRPr="003571FD">
        <w:rPr>
          <w:rFonts w:ascii="Times New Roman" w:hAnsi="Times New Roman" w:cs="Times New Roman"/>
          <w:i/>
          <w:sz w:val="18"/>
          <w:szCs w:val="18"/>
        </w:rPr>
        <w:t xml:space="preserve">Source: </w:t>
      </w:r>
      <w:r w:rsidRPr="003571FD">
        <w:rPr>
          <w:rFonts w:ascii="Times New Roman" w:hAnsi="Times New Roman" w:cs="Times New Roman"/>
          <w:i/>
          <w:iCs/>
          <w:sz w:val="18"/>
          <w:szCs w:val="18"/>
        </w:rPr>
        <w:t>Compilation based on data from ASFI.</w:t>
      </w:r>
    </w:p>
    <w:p w:rsidR="0068206F" w:rsidRPr="003571FD" w:rsidRDefault="005E725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Innovative and less costly outreach points are also piloted, but lack of knowledge and trust of the population and the complex regulatory framework reportedly impede a stronger roll out.</w:t>
      </w:r>
      <w:r w:rsidR="00147F9F" w:rsidRPr="003571FD">
        <w:rPr>
          <w:rFonts w:ascii="Times New Roman" w:hAnsi="Times New Roman" w:cs="Times New Roman"/>
          <w:b/>
          <w:sz w:val="24"/>
          <w:szCs w:val="24"/>
        </w:rPr>
        <w:t xml:space="preserve"> </w:t>
      </w:r>
      <w:r w:rsidRPr="003571FD">
        <w:rPr>
          <w:rFonts w:ascii="Times New Roman" w:hAnsi="Times New Roman" w:cs="Times New Roman"/>
          <w:sz w:val="24"/>
          <w:szCs w:val="24"/>
        </w:rPr>
        <w:t>To a limited extent, innovative service points such as service windows at weekly markets (so-called “</w:t>
      </w:r>
      <w:r w:rsidR="00147F9F" w:rsidRPr="003571FD">
        <w:rPr>
          <w:rFonts w:ascii="Times New Roman" w:hAnsi="Times New Roman" w:cs="Times New Roman"/>
          <w:i/>
          <w:sz w:val="24"/>
          <w:szCs w:val="24"/>
        </w:rPr>
        <w:t>oficinas feriales</w:t>
      </w:r>
      <w:r w:rsidR="00147F9F" w:rsidRPr="003571FD">
        <w:rPr>
          <w:rFonts w:ascii="Times New Roman" w:hAnsi="Times New Roman" w:cs="Times New Roman"/>
          <w:sz w:val="24"/>
          <w:szCs w:val="24"/>
        </w:rPr>
        <w:t>”</w:t>
      </w:r>
      <w:r w:rsidRPr="003571FD">
        <w:rPr>
          <w:rFonts w:ascii="Times New Roman" w:hAnsi="Times New Roman" w:cs="Times New Roman"/>
          <w:sz w:val="24"/>
          <w:szCs w:val="24"/>
        </w:rPr>
        <w:t xml:space="preserve">), mobile branches and non-bank agents </w:t>
      </w:r>
      <w:r w:rsidR="0043478F" w:rsidRPr="003571FD">
        <w:rPr>
          <w:rFonts w:ascii="Times New Roman" w:hAnsi="Times New Roman" w:cs="Times New Roman"/>
          <w:sz w:val="24"/>
          <w:szCs w:val="24"/>
        </w:rPr>
        <w:t xml:space="preserve">(so called </w:t>
      </w:r>
      <w:r w:rsidR="00217616" w:rsidRPr="003571FD">
        <w:rPr>
          <w:rFonts w:ascii="Times New Roman" w:hAnsi="Times New Roman" w:cs="Times New Roman"/>
          <w:sz w:val="24"/>
          <w:szCs w:val="24"/>
        </w:rPr>
        <w:t>“</w:t>
      </w:r>
      <w:r w:rsidR="00217616" w:rsidRPr="003571FD">
        <w:rPr>
          <w:rFonts w:ascii="Times New Roman" w:hAnsi="Times New Roman" w:cs="Times New Roman"/>
          <w:i/>
          <w:sz w:val="24"/>
          <w:szCs w:val="24"/>
        </w:rPr>
        <w:t>mandates”</w:t>
      </w:r>
      <w:r w:rsidR="00147F9F" w:rsidRPr="003571FD">
        <w:rPr>
          <w:rFonts w:ascii="Times New Roman" w:hAnsi="Times New Roman" w:cs="Times New Roman"/>
          <w:sz w:val="24"/>
          <w:szCs w:val="24"/>
        </w:rPr>
        <w:t>) are being used, but the experience from financial institutions points to barriers in the uptake of those models by the population (see demand side barriers discussed below), as well as substantial costs due to the prevailing regulatory framework which make implementing some of these models less attractive</w:t>
      </w:r>
      <w:r w:rsidR="00464623" w:rsidRPr="003571FD">
        <w:rPr>
          <w:rFonts w:ascii="Times New Roman" w:hAnsi="Times New Roman" w:cs="Times New Roman"/>
          <w:sz w:val="24"/>
          <w:szCs w:val="24"/>
          <w:vertAlign w:val="superscript"/>
        </w:rPr>
        <w:footnoteReference w:id="74"/>
      </w:r>
      <w:r w:rsidR="00464623" w:rsidRPr="003571FD">
        <w:rPr>
          <w:rFonts w:ascii="Times New Roman" w:hAnsi="Times New Roman" w:cs="Times New Roman"/>
          <w:sz w:val="24"/>
          <w:szCs w:val="24"/>
        </w:rPr>
        <w:t xml:space="preserve">.  </w:t>
      </w:r>
    </w:p>
    <w:p w:rsidR="00873456" w:rsidRPr="003571FD" w:rsidRDefault="00873456" w:rsidP="005E725F">
      <w:pPr>
        <w:pStyle w:val="ListParagraph"/>
        <w:rPr>
          <w:rFonts w:ascii="Times New Roman" w:hAnsi="Times New Roman" w:cs="Times New Roman"/>
          <w:b/>
          <w:sz w:val="24"/>
          <w:szCs w:val="24"/>
        </w:rPr>
      </w:pPr>
    </w:p>
    <w:p w:rsidR="005E725F" w:rsidRPr="003571FD" w:rsidRDefault="005E725F"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There is no indication that larger chains such as supermarkets, </w:t>
      </w:r>
      <w:r w:rsidR="00194F46" w:rsidRPr="003571FD">
        <w:rPr>
          <w:rFonts w:ascii="Times New Roman" w:hAnsi="Times New Roman" w:cs="Times New Roman"/>
          <w:b/>
          <w:sz w:val="24"/>
          <w:szCs w:val="24"/>
        </w:rPr>
        <w:t>or other retail</w:t>
      </w:r>
      <w:r w:rsidR="00634572" w:rsidRPr="003571FD">
        <w:rPr>
          <w:rFonts w:ascii="Times New Roman" w:hAnsi="Times New Roman" w:cs="Times New Roman"/>
          <w:b/>
          <w:sz w:val="24"/>
          <w:szCs w:val="24"/>
        </w:rPr>
        <w:t xml:space="preserve"> chains</w:t>
      </w:r>
      <w:r w:rsidRPr="003571FD">
        <w:rPr>
          <w:rFonts w:ascii="Times New Roman" w:hAnsi="Times New Roman" w:cs="Times New Roman"/>
          <w:b/>
          <w:sz w:val="24"/>
          <w:szCs w:val="24"/>
        </w:rPr>
        <w:t xml:space="preserve"> exist throughout the country, which could provide easy cooperation points as non-bank agent</w:t>
      </w:r>
      <w:r w:rsidR="00194F46" w:rsidRPr="003571FD">
        <w:rPr>
          <w:rFonts w:ascii="Times New Roman" w:hAnsi="Times New Roman" w:cs="Times New Roman"/>
          <w:b/>
          <w:sz w:val="24"/>
          <w:szCs w:val="24"/>
        </w:rPr>
        <w:t>s</w:t>
      </w:r>
      <w:r w:rsidRPr="003571FD">
        <w:rPr>
          <w:rFonts w:ascii="Times New Roman" w:hAnsi="Times New Roman" w:cs="Times New Roman"/>
          <w:b/>
          <w:sz w:val="24"/>
          <w:szCs w:val="24"/>
        </w:rPr>
        <w:t xml:space="preserve"> to increase geographic access.</w:t>
      </w:r>
      <w:r w:rsidRPr="003571FD">
        <w:rPr>
          <w:rFonts w:ascii="Times New Roman" w:hAnsi="Times New Roman" w:cs="Times New Roman"/>
          <w:sz w:val="24"/>
          <w:szCs w:val="24"/>
        </w:rPr>
        <w:t xml:space="preserve"> The lack of larger chains makes establishing those agent models more costly, as agents need to be identified individually, contracts and the infrastructure requirements developed for a potentially diverse set of agents, as well as marketing campaigns launched to promote the use of those innovative delivery channels. Furthermore, </w:t>
      </w:r>
      <w:r w:rsidRPr="003571FD">
        <w:rPr>
          <w:rFonts w:ascii="Times New Roman" w:hAnsi="Times New Roman" w:cs="Times New Roman"/>
          <w:sz w:val="24"/>
          <w:szCs w:val="24"/>
        </w:rPr>
        <w:lastRenderedPageBreak/>
        <w:t>surveillance of the correct functioning of the non-bank agent has to be done solely by the financial institution, and cannot be a</w:t>
      </w:r>
      <w:r w:rsidR="0045392D">
        <w:rPr>
          <w:rFonts w:ascii="Times New Roman" w:hAnsi="Times New Roman" w:cs="Times New Roman"/>
          <w:sz w:val="24"/>
          <w:szCs w:val="24"/>
        </w:rPr>
        <w:t>ssumed</w:t>
      </w:r>
      <w:r w:rsidRPr="003571FD">
        <w:rPr>
          <w:rFonts w:ascii="Times New Roman" w:hAnsi="Times New Roman" w:cs="Times New Roman"/>
          <w:sz w:val="24"/>
          <w:szCs w:val="24"/>
        </w:rPr>
        <w:t xml:space="preserve"> joint</w:t>
      </w:r>
      <w:r w:rsidR="0045392D">
        <w:rPr>
          <w:rFonts w:ascii="Times New Roman" w:hAnsi="Times New Roman" w:cs="Times New Roman"/>
          <w:sz w:val="24"/>
          <w:szCs w:val="24"/>
        </w:rPr>
        <w:t xml:space="preserve">ly </w:t>
      </w:r>
      <w:r w:rsidR="009F5F66">
        <w:rPr>
          <w:rFonts w:ascii="Times New Roman" w:hAnsi="Times New Roman" w:cs="Times New Roman"/>
          <w:sz w:val="24"/>
          <w:szCs w:val="24"/>
        </w:rPr>
        <w:t xml:space="preserve">by </w:t>
      </w:r>
      <w:r w:rsidR="009F5F66" w:rsidRPr="003571FD">
        <w:rPr>
          <w:rFonts w:ascii="Times New Roman" w:hAnsi="Times New Roman" w:cs="Times New Roman"/>
          <w:sz w:val="24"/>
          <w:szCs w:val="24"/>
        </w:rPr>
        <w:t>the</w:t>
      </w:r>
      <w:r w:rsidRPr="003571FD">
        <w:rPr>
          <w:rFonts w:ascii="Times New Roman" w:hAnsi="Times New Roman" w:cs="Times New Roman"/>
          <w:sz w:val="24"/>
          <w:szCs w:val="24"/>
        </w:rPr>
        <w:t xml:space="preserve"> headquarters of a chain and the financial institution. </w:t>
      </w:r>
    </w:p>
    <w:p w:rsidR="005E725F" w:rsidRPr="003571FD" w:rsidRDefault="005E725F" w:rsidP="005E725F">
      <w:pPr>
        <w:pStyle w:val="ListParagraph"/>
        <w:spacing w:after="240"/>
        <w:ind w:left="0"/>
        <w:jc w:val="both"/>
        <w:rPr>
          <w:rFonts w:ascii="Times New Roman" w:hAnsi="Times New Roman" w:cs="Times New Roman"/>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Bank-based mobile banking platforms are starting to emerge, and could provide another alternative for accessing financial services in the medium term.</w:t>
      </w:r>
      <w:r w:rsidRPr="003571FD">
        <w:rPr>
          <w:rFonts w:ascii="Times New Roman" w:hAnsi="Times New Roman" w:cs="Times New Roman"/>
          <w:sz w:val="24"/>
          <w:szCs w:val="24"/>
        </w:rPr>
        <w:t xml:space="preserve"> </w:t>
      </w:r>
      <w:r w:rsidR="0043478F" w:rsidRPr="003571FD">
        <w:rPr>
          <w:rFonts w:ascii="Times New Roman" w:hAnsi="Times New Roman" w:cs="Times New Roman"/>
          <w:sz w:val="24"/>
          <w:szCs w:val="24"/>
        </w:rPr>
        <w:t>At a few banks</w:t>
      </w:r>
      <w:r w:rsidRPr="003571FD">
        <w:rPr>
          <w:rFonts w:ascii="Times New Roman" w:hAnsi="Times New Roman" w:cs="Times New Roman"/>
          <w:sz w:val="24"/>
          <w:szCs w:val="24"/>
        </w:rPr>
        <w:t xml:space="preserve">, clients can already use their cell phones to pay bills and check balances, and other financial entities offer Internet banking. These services are used by some urban clients, but in general have not yet led to an increase in outreach to new clients. The state-owned telephone provider ENTEL is currently working on developing a transactional platform for financial institutions to allow bank clients to conduct banking transaction from their account via their ENTEL cell phone. To what extent those models will be an additional viable option for rolling out financial services to hitherto unbanked segments of the population will strongly depend on the actual marketing and targeting of mobile banking services by the financial sector, as well as the relevance of the offered financial services to the population. There appears to be some interest in those models emerging, but implementation will likely take time and some prior piloting. </w:t>
      </w:r>
    </w:p>
    <w:p w:rsidR="0068206F" w:rsidRPr="003571FD" w:rsidRDefault="0068206F">
      <w:pPr>
        <w:pStyle w:val="ListParagraph"/>
        <w:spacing w:after="240"/>
        <w:ind w:left="0"/>
        <w:jc w:val="both"/>
        <w:rPr>
          <w:rFonts w:ascii="Times New Roman" w:hAnsi="Times New Roman" w:cs="Times New Roman"/>
          <w:sz w:val="24"/>
          <w:szCs w:val="24"/>
        </w:rPr>
      </w:pPr>
    </w:p>
    <w:p w:rsidR="00194F46" w:rsidRPr="003571FD" w:rsidRDefault="00194F46"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Experience in other countries shows that branchless banking solutions come with a considerable saving for the client and the financial institution</w:t>
      </w:r>
      <w:r w:rsidRPr="003571FD">
        <w:rPr>
          <w:rFonts w:ascii="Times New Roman" w:hAnsi="Times New Roman" w:cs="Times New Roman"/>
          <w:sz w:val="24"/>
          <w:szCs w:val="24"/>
        </w:rPr>
        <w:t>. The client saves time and transportation costs for traveling to the next service point, and frequently also pays less for the service itself</w:t>
      </w:r>
      <w:r w:rsidRPr="003571FD">
        <w:rPr>
          <w:rStyle w:val="FootnoteReference"/>
          <w:rFonts w:ascii="Times New Roman" w:hAnsi="Times New Roman" w:cs="Times New Roman"/>
          <w:sz w:val="24"/>
          <w:szCs w:val="24"/>
        </w:rPr>
        <w:footnoteReference w:id="75"/>
      </w:r>
      <w:r w:rsidR="00BE09F0" w:rsidRPr="003571FD">
        <w:rPr>
          <w:rFonts w:ascii="Times New Roman" w:hAnsi="Times New Roman" w:cs="Times New Roman"/>
          <w:sz w:val="24"/>
          <w:szCs w:val="24"/>
        </w:rPr>
        <w:t xml:space="preserve">. </w:t>
      </w:r>
      <w:r w:rsidR="00147F9F" w:rsidRPr="003571FD">
        <w:rPr>
          <w:rFonts w:ascii="Times New Roman" w:hAnsi="Times New Roman" w:cs="Times New Roman"/>
          <w:sz w:val="24"/>
          <w:szCs w:val="24"/>
        </w:rPr>
        <w:t xml:space="preserve">Delivery costs of financial institutions are also lower </w:t>
      </w:r>
      <w:r w:rsidR="00BE09F0" w:rsidRPr="003571FD">
        <w:rPr>
          <w:rFonts w:ascii="Times New Roman" w:hAnsi="Times New Roman" w:cs="Times New Roman"/>
          <w:sz w:val="24"/>
          <w:szCs w:val="24"/>
        </w:rPr>
        <w:t xml:space="preserve">than in the case of traditional channels </w:t>
      </w:r>
      <w:r w:rsidR="00147F9F" w:rsidRPr="003571FD">
        <w:rPr>
          <w:rFonts w:ascii="Times New Roman" w:hAnsi="Times New Roman" w:cs="Times New Roman"/>
          <w:sz w:val="24"/>
          <w:szCs w:val="24"/>
        </w:rPr>
        <w:t>(</w:t>
      </w:r>
      <w:r w:rsidRPr="003571FD">
        <w:rPr>
          <w:rFonts w:ascii="Times New Roman" w:hAnsi="Times New Roman" w:cs="Times New Roman"/>
          <w:sz w:val="24"/>
          <w:szCs w:val="24"/>
        </w:rPr>
        <w:t>the Consultative Group of the Poor (CGAP) suggests branchless banking services are overall 38 percent cheaper than traditional models</w:t>
      </w:r>
      <w:r w:rsidR="00BE09F0" w:rsidRPr="003571FD">
        <w:rPr>
          <w:rFonts w:ascii="Times New Roman" w:hAnsi="Times New Roman" w:cs="Times New Roman"/>
          <w:sz w:val="24"/>
          <w:szCs w:val="24"/>
        </w:rPr>
        <w:t>)</w:t>
      </w:r>
      <w:r w:rsidRPr="003571FD">
        <w:rPr>
          <w:rFonts w:ascii="Times New Roman" w:hAnsi="Times New Roman" w:cs="Times New Roman"/>
          <w:sz w:val="24"/>
          <w:szCs w:val="24"/>
        </w:rPr>
        <w:t xml:space="preserve">. Being able to make payments anywhere also significantly facilitates the development and integration of value chains, with a case study on Tanzania for example showing that mobile payments can lead to faster end-to-end processes, and an increase in asset turnover.  </w:t>
      </w:r>
    </w:p>
    <w:p w:rsidR="00EC5E43" w:rsidRPr="003571FD" w:rsidRDefault="00EC5E43" w:rsidP="00EC5E43">
      <w:pPr>
        <w:jc w:val="both"/>
        <w:rPr>
          <w:rFonts w:ascii="Times New Roman" w:hAnsi="Times New Roman" w:cs="Times New Roman"/>
          <w:b/>
          <w:i/>
          <w:sz w:val="24"/>
          <w:szCs w:val="24"/>
        </w:rPr>
      </w:pPr>
      <w:r w:rsidRPr="003571FD">
        <w:rPr>
          <w:rFonts w:ascii="Times New Roman" w:hAnsi="Times New Roman" w:cs="Times New Roman"/>
          <w:b/>
          <w:i/>
          <w:sz w:val="24"/>
          <w:szCs w:val="24"/>
        </w:rPr>
        <w:t xml:space="preserve">Payment system infrastructure </w:t>
      </w:r>
    </w:p>
    <w:p w:rsidR="00904F6D" w:rsidRPr="003571FD" w:rsidRDefault="00EC5E43"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With regard to financial service specific infrastructure, the transport of cash is expensive in Bolivia.</w:t>
      </w:r>
      <w:r w:rsidRPr="003571FD">
        <w:rPr>
          <w:rFonts w:ascii="Times New Roman" w:hAnsi="Times New Roman" w:cs="Times New Roman"/>
          <w:sz w:val="24"/>
          <w:szCs w:val="24"/>
        </w:rPr>
        <w:t xml:space="preserve"> Much of the economy is cash based, and financial institutions have to manage larger amounts and fluctuations in cash as a result. So far, only one transport company operates in Bolivia, enjoying a de facto monopoly with its 9 branches and around 100 armored vehicles throughout the country. Several interviews indicate that costs for the delivery of cash are high, service capacity is limited (as shown in particular during the recent run on deposits) and only an insufficient number of locations are being serviced. This leaves the risk of cash transport in the remaining locations to the financial entity. To facilitate the licensing of additional money transport providers and stimulate competition, ASFI recently incorporated money transport </w:t>
      </w:r>
      <w:r w:rsidRPr="003571FD">
        <w:rPr>
          <w:rFonts w:ascii="Times New Roman" w:hAnsi="Times New Roman" w:cs="Times New Roman"/>
          <w:sz w:val="24"/>
          <w:szCs w:val="24"/>
        </w:rPr>
        <w:lastRenderedPageBreak/>
        <w:t>companies into its regulatory sphere</w:t>
      </w:r>
      <w:r w:rsidRPr="003571FD">
        <w:rPr>
          <w:rStyle w:val="FootnoteReference"/>
          <w:rFonts w:ascii="Times New Roman" w:hAnsi="Times New Roman" w:cs="Times New Roman"/>
          <w:sz w:val="24"/>
          <w:szCs w:val="24"/>
        </w:rPr>
        <w:footnoteReference w:id="76"/>
      </w:r>
      <w:r w:rsidRPr="003571FD">
        <w:rPr>
          <w:rFonts w:ascii="Times New Roman" w:hAnsi="Times New Roman" w:cs="Times New Roman"/>
          <w:sz w:val="24"/>
          <w:szCs w:val="24"/>
        </w:rPr>
        <w:t>, and is in the process of drafting regulations to clarify the procedures and core requirements for obtaining a license. FINRURAL and ASOFIN are already in advanced stages of preparation for the launch of an additional service provider, as is one of the two card payment switches. These reforms should lead to a significant drop in costs at least on the medium term.</w:t>
      </w:r>
    </w:p>
    <w:p w:rsidR="00904F6D" w:rsidRPr="003571FD" w:rsidRDefault="00904F6D" w:rsidP="00904F6D">
      <w:pPr>
        <w:pStyle w:val="ListParagraph"/>
        <w:ind w:left="360"/>
        <w:jc w:val="both"/>
        <w:rPr>
          <w:rFonts w:ascii="Times New Roman" w:hAnsi="Times New Roman" w:cs="Times New Roman"/>
          <w:b/>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 xml:space="preserve">The large value payment system infrastructure is fairly advanced but only a limited number of supervised financial entities are </w:t>
      </w:r>
      <w:r w:rsidR="002F129F" w:rsidRPr="003571FD">
        <w:rPr>
          <w:rFonts w:ascii="Times New Roman" w:hAnsi="Times New Roman" w:cs="Times New Roman"/>
          <w:b/>
          <w:sz w:val="24"/>
          <w:szCs w:val="24"/>
        </w:rPr>
        <w:t xml:space="preserve">directly </w:t>
      </w:r>
      <w:r w:rsidRPr="003571FD">
        <w:rPr>
          <w:rFonts w:ascii="Times New Roman" w:hAnsi="Times New Roman" w:cs="Times New Roman"/>
          <w:b/>
          <w:sz w:val="24"/>
          <w:szCs w:val="24"/>
        </w:rPr>
        <w:t xml:space="preserve">connected to it. </w:t>
      </w:r>
      <w:r w:rsidRPr="003571FD">
        <w:rPr>
          <w:rFonts w:ascii="Times New Roman" w:hAnsi="Times New Roman" w:cs="Times New Roman"/>
          <w:sz w:val="24"/>
          <w:szCs w:val="24"/>
        </w:rPr>
        <w:t>Reforms since 2002 created a Real-Time Gross Settlement System (RTGS) at the Central Bank as well as a unified Treasury Payment System in which government payments are being processed. However, only banks, 4 finance companies and 3 clearing houses are direct accessing the RTGS</w:t>
      </w:r>
      <w:r w:rsidRPr="003571FD">
        <w:rPr>
          <w:rStyle w:val="FootnoteReference"/>
          <w:rFonts w:ascii="Times New Roman" w:hAnsi="Times New Roman" w:cs="Times New Roman"/>
          <w:sz w:val="24"/>
          <w:szCs w:val="24"/>
        </w:rPr>
        <w:footnoteReference w:id="77"/>
      </w:r>
      <w:r w:rsidRPr="003571FD">
        <w:rPr>
          <w:rFonts w:ascii="Times New Roman" w:hAnsi="Times New Roman" w:cs="Times New Roman"/>
          <w:sz w:val="24"/>
          <w:szCs w:val="24"/>
        </w:rPr>
        <w:t xml:space="preserve">, while cooperatives, </w:t>
      </w:r>
      <w:r w:rsidR="00F55EFE" w:rsidRPr="003571FD">
        <w:rPr>
          <w:rFonts w:ascii="Times New Roman" w:hAnsi="Times New Roman" w:cs="Times New Roman"/>
          <w:sz w:val="24"/>
          <w:szCs w:val="24"/>
        </w:rPr>
        <w:t>s</w:t>
      </w:r>
      <w:r w:rsidRPr="003571FD">
        <w:rPr>
          <w:rFonts w:ascii="Times New Roman" w:hAnsi="Times New Roman" w:cs="Times New Roman"/>
          <w:sz w:val="24"/>
          <w:szCs w:val="24"/>
        </w:rPr>
        <w:t xml:space="preserve">avings and </w:t>
      </w:r>
      <w:r w:rsidR="00F55EFE" w:rsidRPr="003571FD">
        <w:rPr>
          <w:rFonts w:ascii="Times New Roman" w:hAnsi="Times New Roman" w:cs="Times New Roman"/>
          <w:sz w:val="24"/>
          <w:szCs w:val="24"/>
        </w:rPr>
        <w:t>l</w:t>
      </w:r>
      <w:r w:rsidRPr="003571FD">
        <w:rPr>
          <w:rFonts w:ascii="Times New Roman" w:hAnsi="Times New Roman" w:cs="Times New Roman"/>
          <w:sz w:val="24"/>
          <w:szCs w:val="24"/>
        </w:rPr>
        <w:t xml:space="preserve">oan </w:t>
      </w:r>
      <w:r w:rsidR="00F55EFE" w:rsidRPr="003571FD">
        <w:rPr>
          <w:rFonts w:ascii="Times New Roman" w:hAnsi="Times New Roman" w:cs="Times New Roman"/>
          <w:sz w:val="24"/>
          <w:szCs w:val="24"/>
        </w:rPr>
        <w:t>a</w:t>
      </w:r>
      <w:r w:rsidRPr="003571FD">
        <w:rPr>
          <w:rFonts w:ascii="Times New Roman" w:hAnsi="Times New Roman" w:cs="Times New Roman"/>
          <w:sz w:val="24"/>
          <w:szCs w:val="24"/>
        </w:rPr>
        <w:t>ssociations, 2 finance companies and also one of the card network operators are not yet directly participating</w:t>
      </w:r>
      <w:r w:rsidRPr="003571FD">
        <w:rPr>
          <w:rStyle w:val="FootnoteReference"/>
          <w:rFonts w:ascii="Times New Roman" w:hAnsi="Times New Roman" w:cs="Times New Roman"/>
          <w:sz w:val="24"/>
          <w:szCs w:val="24"/>
        </w:rPr>
        <w:footnoteReference w:id="78"/>
      </w:r>
      <w:r w:rsidRPr="003571FD">
        <w:rPr>
          <w:rFonts w:ascii="Times New Roman" w:hAnsi="Times New Roman" w:cs="Times New Roman"/>
          <w:sz w:val="24"/>
          <w:szCs w:val="24"/>
        </w:rPr>
        <w:t>.</w:t>
      </w:r>
      <w:r w:rsidRPr="003571FD">
        <w:rPr>
          <w:rStyle w:val="CommentReference"/>
          <w:rFonts w:ascii="Times New Roman" w:hAnsi="Times New Roman" w:cs="Times New Roman"/>
          <w:vanish/>
          <w:sz w:val="24"/>
          <w:szCs w:val="24"/>
        </w:rPr>
        <w:t xml:space="preserve">  </w:t>
      </w:r>
      <w:r w:rsidR="00F25889" w:rsidRPr="003571FD">
        <w:rPr>
          <w:rStyle w:val="CommentReference"/>
          <w:rFonts w:ascii="Times New Roman" w:hAnsi="Times New Roman" w:cs="Times New Roman"/>
          <w:vanish/>
          <w:sz w:val="24"/>
          <w:szCs w:val="24"/>
        </w:rPr>
        <w:t xml:space="preserve">NN </w:t>
      </w:r>
      <w:r w:rsidR="00F25889" w:rsidRPr="003571FD">
        <w:rPr>
          <w:rFonts w:ascii="Times New Roman" w:hAnsi="Times New Roman" w:cs="Times New Roman"/>
          <w:sz w:val="24"/>
          <w:szCs w:val="24"/>
        </w:rPr>
        <w:t>The</w:t>
      </w:r>
      <w:r w:rsidRPr="003571FD">
        <w:rPr>
          <w:rFonts w:ascii="Times New Roman" w:hAnsi="Times New Roman" w:cs="Times New Roman"/>
          <w:sz w:val="24"/>
          <w:szCs w:val="24"/>
        </w:rPr>
        <w:t xml:space="preserve"> lack of direct access contributes to higher costs for non-participants for settling electronic transactions with other institutions, and also has a negative impact on liquidity management and ease of receiving cash</w:t>
      </w:r>
      <w:r w:rsidRPr="003571FD">
        <w:rPr>
          <w:rStyle w:val="FootnoteReference"/>
          <w:rFonts w:ascii="Times New Roman" w:hAnsi="Times New Roman" w:cs="Times New Roman"/>
          <w:sz w:val="24"/>
          <w:szCs w:val="24"/>
        </w:rPr>
        <w:footnoteReference w:id="79"/>
      </w:r>
      <w:r w:rsidRPr="003571FD">
        <w:rPr>
          <w:rFonts w:ascii="Times New Roman" w:hAnsi="Times New Roman" w:cs="Times New Roman"/>
          <w:sz w:val="24"/>
          <w:szCs w:val="24"/>
        </w:rPr>
        <w:t>. In consequence hereof, the entities that do not participate in the RTGS had significant difficulties to access cash during the recent run on deposits. Incorporating these entities into the RTGS will be an important measure that could contribute to the overall stability of the financial system.</w:t>
      </w:r>
    </w:p>
    <w:tbl>
      <w:tblPr>
        <w:tblpPr w:leftFromText="180" w:rightFromText="180" w:vertAnchor="text" w:horzAnchor="margin" w:tblpXSpec="right" w:tblpY="77"/>
        <w:tblOverlap w:val="never"/>
        <w:tblW w:w="5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900"/>
        <w:gridCol w:w="900"/>
        <w:gridCol w:w="900"/>
        <w:gridCol w:w="900"/>
      </w:tblGrid>
      <w:tr w:rsidR="00E377D0" w:rsidRPr="003571FD">
        <w:trPr>
          <w:trHeight w:val="363"/>
        </w:trPr>
        <w:tc>
          <w:tcPr>
            <w:tcW w:w="5652" w:type="dxa"/>
            <w:gridSpan w:val="5"/>
            <w:tcBorders>
              <w:top w:val="nil"/>
              <w:left w:val="nil"/>
              <w:right w:val="nil"/>
            </w:tcBorders>
            <w:shd w:val="clear" w:color="auto" w:fill="auto"/>
            <w:noWrap/>
            <w:vAlign w:val="center"/>
          </w:tcPr>
          <w:p w:rsidR="00E377D0" w:rsidRPr="003571FD" w:rsidRDefault="00E377D0" w:rsidP="00126B85">
            <w:pPr>
              <w:pStyle w:val="Caption"/>
              <w:keepNext/>
              <w:rPr>
                <w:rFonts w:ascii="Times New Roman" w:hAnsi="Times New Roman" w:cs="Times New Roman"/>
                <w:color w:val="auto"/>
              </w:rPr>
            </w:pPr>
            <w:bookmarkStart w:id="50" w:name="_Toc312317356"/>
            <w:r w:rsidRPr="003571FD">
              <w:rPr>
                <w:rFonts w:ascii="Times New Roman" w:hAnsi="Times New Roman" w:cs="Times New Roman"/>
                <w:color w:val="auto"/>
              </w:rPr>
              <w:t xml:space="preserve">Table </w:t>
            </w:r>
            <w:r w:rsidR="005744EE" w:rsidRPr="003571FD">
              <w:rPr>
                <w:rFonts w:ascii="Times New Roman" w:hAnsi="Times New Roman" w:cs="Times New Roman"/>
                <w:color w:val="auto"/>
              </w:rPr>
              <w:fldChar w:fldCharType="begin"/>
            </w:r>
            <w:r w:rsidR="00B42446"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9</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w:t>
            </w:r>
            <w:r w:rsidRPr="003571FD">
              <w:rPr>
                <w:rFonts w:ascii="Times New Roman" w:hAnsi="Times New Roman" w:cs="Times New Roman"/>
                <w:color w:val="auto"/>
                <w:szCs w:val="20"/>
              </w:rPr>
              <w:t xml:space="preserve"> Evolution of ATMs by type of financial entity</w:t>
            </w:r>
            <w:bookmarkEnd w:id="50"/>
          </w:p>
        </w:tc>
      </w:tr>
      <w:tr w:rsidR="00E377D0" w:rsidRPr="003571FD">
        <w:trPr>
          <w:trHeight w:val="432"/>
        </w:trPr>
        <w:tc>
          <w:tcPr>
            <w:tcW w:w="2052" w:type="dxa"/>
            <w:vMerge w:val="restart"/>
            <w:shd w:val="clear" w:color="auto" w:fill="auto"/>
            <w:noWrap/>
            <w:vAlign w:val="center"/>
          </w:tcPr>
          <w:p w:rsidR="00E377D0" w:rsidRPr="003571FD" w:rsidRDefault="00E377D0" w:rsidP="00E377D0">
            <w:pPr>
              <w:spacing w:after="0" w:line="240" w:lineRule="auto"/>
              <w:jc w:val="center"/>
              <w:rPr>
                <w:rFonts w:ascii="Times New Roman" w:hAnsi="Times New Roman" w:cs="Times New Roman"/>
                <w:sz w:val="20"/>
                <w:szCs w:val="20"/>
              </w:rPr>
            </w:pPr>
          </w:p>
        </w:tc>
        <w:tc>
          <w:tcPr>
            <w:tcW w:w="900" w:type="dxa"/>
            <w:vMerge w:val="restart"/>
            <w:shd w:val="clear" w:color="auto" w:fill="auto"/>
            <w:vAlign w:val="center"/>
          </w:tcPr>
          <w:p w:rsidR="00E377D0" w:rsidRPr="003571FD" w:rsidRDefault="00E377D0" w:rsidP="00E377D0">
            <w:pPr>
              <w:spacing w:after="0" w:line="240" w:lineRule="auto"/>
              <w:jc w:val="center"/>
              <w:rPr>
                <w:rFonts w:ascii="Times New Roman" w:hAnsi="Times New Roman" w:cs="Times New Roman"/>
                <w:b/>
                <w:bCs/>
                <w:sz w:val="20"/>
                <w:szCs w:val="20"/>
              </w:rPr>
            </w:pPr>
            <w:r w:rsidRPr="003571FD">
              <w:rPr>
                <w:rFonts w:ascii="Times New Roman" w:hAnsi="Times New Roman" w:cs="Times New Roman"/>
                <w:b/>
                <w:bCs/>
                <w:sz w:val="20"/>
                <w:szCs w:val="20"/>
              </w:rPr>
              <w:t>Dec-07</w:t>
            </w:r>
          </w:p>
        </w:tc>
        <w:tc>
          <w:tcPr>
            <w:tcW w:w="900" w:type="dxa"/>
            <w:vMerge w:val="restart"/>
            <w:shd w:val="clear" w:color="auto" w:fill="auto"/>
            <w:vAlign w:val="center"/>
          </w:tcPr>
          <w:p w:rsidR="00E377D0" w:rsidRPr="003571FD" w:rsidRDefault="00E377D0" w:rsidP="00E377D0">
            <w:pPr>
              <w:spacing w:after="0" w:line="240" w:lineRule="auto"/>
              <w:jc w:val="center"/>
              <w:rPr>
                <w:rFonts w:ascii="Times New Roman" w:hAnsi="Times New Roman" w:cs="Times New Roman"/>
                <w:b/>
                <w:bCs/>
                <w:sz w:val="20"/>
                <w:szCs w:val="20"/>
              </w:rPr>
            </w:pPr>
            <w:r w:rsidRPr="003571FD">
              <w:rPr>
                <w:rFonts w:ascii="Times New Roman" w:hAnsi="Times New Roman" w:cs="Times New Roman"/>
                <w:b/>
                <w:bCs/>
                <w:sz w:val="20"/>
                <w:szCs w:val="20"/>
              </w:rPr>
              <w:t>Apr-10</w:t>
            </w:r>
          </w:p>
        </w:tc>
        <w:tc>
          <w:tcPr>
            <w:tcW w:w="900" w:type="dxa"/>
            <w:vMerge w:val="restart"/>
            <w:shd w:val="clear" w:color="auto" w:fill="auto"/>
            <w:vAlign w:val="center"/>
          </w:tcPr>
          <w:p w:rsidR="00E377D0" w:rsidRPr="003571FD" w:rsidRDefault="00E377D0" w:rsidP="00E377D0">
            <w:pPr>
              <w:spacing w:after="0" w:line="240" w:lineRule="auto"/>
              <w:jc w:val="center"/>
              <w:rPr>
                <w:rFonts w:ascii="Times New Roman" w:hAnsi="Times New Roman" w:cs="Times New Roman"/>
                <w:b/>
                <w:bCs/>
                <w:sz w:val="20"/>
                <w:szCs w:val="20"/>
              </w:rPr>
            </w:pPr>
            <w:r w:rsidRPr="003571FD">
              <w:rPr>
                <w:rFonts w:ascii="Times New Roman" w:hAnsi="Times New Roman" w:cs="Times New Roman"/>
                <w:b/>
                <w:bCs/>
                <w:sz w:val="20"/>
                <w:szCs w:val="20"/>
              </w:rPr>
              <w:t>Growth</w:t>
            </w:r>
          </w:p>
        </w:tc>
        <w:tc>
          <w:tcPr>
            <w:tcW w:w="900" w:type="dxa"/>
            <w:vMerge w:val="restart"/>
            <w:shd w:val="clear" w:color="auto" w:fill="auto"/>
            <w:vAlign w:val="center"/>
          </w:tcPr>
          <w:p w:rsidR="00E377D0" w:rsidRPr="003571FD" w:rsidRDefault="00E377D0" w:rsidP="00E377D0">
            <w:pPr>
              <w:spacing w:after="0" w:line="240" w:lineRule="auto"/>
              <w:jc w:val="center"/>
              <w:rPr>
                <w:rFonts w:ascii="Times New Roman" w:hAnsi="Times New Roman" w:cs="Times New Roman"/>
                <w:b/>
                <w:bCs/>
                <w:sz w:val="20"/>
                <w:szCs w:val="20"/>
              </w:rPr>
            </w:pPr>
            <w:r w:rsidRPr="003571FD">
              <w:rPr>
                <w:rFonts w:ascii="Times New Roman" w:hAnsi="Times New Roman" w:cs="Times New Roman"/>
                <w:b/>
                <w:bCs/>
                <w:sz w:val="20"/>
                <w:szCs w:val="20"/>
              </w:rPr>
              <w:t>Share of total</w:t>
            </w:r>
          </w:p>
        </w:tc>
      </w:tr>
      <w:tr w:rsidR="00E377D0" w:rsidRPr="003571FD">
        <w:trPr>
          <w:trHeight w:val="230"/>
        </w:trPr>
        <w:tc>
          <w:tcPr>
            <w:tcW w:w="2052" w:type="dxa"/>
            <w:vMerge/>
            <w:shd w:val="clear" w:color="auto" w:fill="auto"/>
            <w:vAlign w:val="center"/>
          </w:tcPr>
          <w:p w:rsidR="00E377D0" w:rsidRPr="003571FD" w:rsidRDefault="00E377D0" w:rsidP="00E377D0">
            <w:pPr>
              <w:spacing w:after="0" w:line="240" w:lineRule="auto"/>
              <w:rPr>
                <w:rFonts w:ascii="Times New Roman" w:hAnsi="Times New Roman" w:cs="Times New Roman"/>
                <w:sz w:val="20"/>
                <w:szCs w:val="20"/>
              </w:rPr>
            </w:pPr>
          </w:p>
        </w:tc>
        <w:tc>
          <w:tcPr>
            <w:tcW w:w="900" w:type="dxa"/>
            <w:vMerge/>
            <w:shd w:val="clear" w:color="auto" w:fill="auto"/>
            <w:vAlign w:val="center"/>
          </w:tcPr>
          <w:p w:rsidR="00E377D0" w:rsidRPr="003571FD" w:rsidRDefault="00E377D0" w:rsidP="00E377D0">
            <w:pPr>
              <w:spacing w:after="0" w:line="240" w:lineRule="auto"/>
              <w:rPr>
                <w:rFonts w:ascii="Times New Roman" w:hAnsi="Times New Roman" w:cs="Times New Roman"/>
                <w:b/>
                <w:bCs/>
                <w:sz w:val="20"/>
                <w:szCs w:val="20"/>
              </w:rPr>
            </w:pPr>
          </w:p>
        </w:tc>
        <w:tc>
          <w:tcPr>
            <w:tcW w:w="900" w:type="dxa"/>
            <w:vMerge/>
            <w:shd w:val="clear" w:color="auto" w:fill="auto"/>
            <w:vAlign w:val="center"/>
          </w:tcPr>
          <w:p w:rsidR="00E377D0" w:rsidRPr="003571FD" w:rsidRDefault="00E377D0" w:rsidP="00E377D0">
            <w:pPr>
              <w:spacing w:after="0" w:line="240" w:lineRule="auto"/>
              <w:rPr>
                <w:rFonts w:ascii="Times New Roman" w:hAnsi="Times New Roman" w:cs="Times New Roman"/>
                <w:b/>
                <w:bCs/>
                <w:sz w:val="20"/>
                <w:szCs w:val="20"/>
              </w:rPr>
            </w:pPr>
          </w:p>
        </w:tc>
        <w:tc>
          <w:tcPr>
            <w:tcW w:w="900" w:type="dxa"/>
            <w:vMerge/>
            <w:shd w:val="clear" w:color="auto" w:fill="auto"/>
            <w:vAlign w:val="center"/>
          </w:tcPr>
          <w:p w:rsidR="00E377D0" w:rsidRPr="003571FD" w:rsidRDefault="00E377D0" w:rsidP="00E377D0">
            <w:pPr>
              <w:spacing w:after="0" w:line="240" w:lineRule="auto"/>
              <w:rPr>
                <w:rFonts w:ascii="Times New Roman" w:hAnsi="Times New Roman" w:cs="Times New Roman"/>
                <w:b/>
                <w:bCs/>
                <w:sz w:val="20"/>
                <w:szCs w:val="20"/>
              </w:rPr>
            </w:pPr>
          </w:p>
        </w:tc>
        <w:tc>
          <w:tcPr>
            <w:tcW w:w="900" w:type="dxa"/>
            <w:vMerge/>
            <w:shd w:val="clear" w:color="auto" w:fill="auto"/>
            <w:vAlign w:val="center"/>
          </w:tcPr>
          <w:p w:rsidR="00E377D0" w:rsidRPr="003571FD" w:rsidRDefault="00E377D0" w:rsidP="00E377D0">
            <w:pPr>
              <w:spacing w:after="0" w:line="240" w:lineRule="auto"/>
              <w:rPr>
                <w:rFonts w:ascii="Times New Roman" w:hAnsi="Times New Roman" w:cs="Times New Roman"/>
                <w:b/>
                <w:bCs/>
                <w:sz w:val="20"/>
                <w:szCs w:val="20"/>
              </w:rPr>
            </w:pPr>
          </w:p>
        </w:tc>
      </w:tr>
      <w:tr w:rsidR="00E377D0" w:rsidRPr="003571FD">
        <w:trPr>
          <w:trHeight w:val="240"/>
        </w:trPr>
        <w:tc>
          <w:tcPr>
            <w:tcW w:w="2052" w:type="dxa"/>
            <w:shd w:val="clear" w:color="auto" w:fill="auto"/>
            <w:noWrap/>
            <w:vAlign w:val="bottom"/>
          </w:tcPr>
          <w:p w:rsidR="00E377D0" w:rsidRPr="003571FD" w:rsidRDefault="00E377D0" w:rsidP="00E377D0">
            <w:pPr>
              <w:spacing w:after="0" w:line="240" w:lineRule="auto"/>
              <w:rPr>
                <w:rFonts w:ascii="Times New Roman" w:hAnsi="Times New Roman" w:cs="Times New Roman"/>
                <w:b/>
                <w:sz w:val="20"/>
                <w:szCs w:val="20"/>
              </w:rPr>
            </w:pPr>
            <w:r w:rsidRPr="003571FD">
              <w:rPr>
                <w:rFonts w:ascii="Times New Roman" w:hAnsi="Times New Roman" w:cs="Times New Roman"/>
                <w:b/>
                <w:sz w:val="20"/>
                <w:szCs w:val="20"/>
              </w:rPr>
              <w:t>Banks</w:t>
            </w:r>
          </w:p>
        </w:tc>
        <w:tc>
          <w:tcPr>
            <w:tcW w:w="900" w:type="dxa"/>
            <w:shd w:val="clear" w:color="auto" w:fill="auto"/>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719</w:t>
            </w:r>
          </w:p>
        </w:tc>
        <w:tc>
          <w:tcPr>
            <w:tcW w:w="900" w:type="dxa"/>
            <w:shd w:val="clear" w:color="auto" w:fill="auto"/>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967</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34%</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85%</w:t>
            </w:r>
          </w:p>
        </w:tc>
      </w:tr>
      <w:tr w:rsidR="00E377D0" w:rsidRPr="003571FD">
        <w:trPr>
          <w:trHeight w:val="240"/>
        </w:trPr>
        <w:tc>
          <w:tcPr>
            <w:tcW w:w="2052" w:type="dxa"/>
            <w:shd w:val="clear" w:color="auto" w:fill="auto"/>
            <w:noWrap/>
            <w:vAlign w:val="bottom"/>
          </w:tcPr>
          <w:p w:rsidR="00E377D0" w:rsidRPr="003571FD" w:rsidRDefault="00B07DFB" w:rsidP="00E377D0">
            <w:pPr>
              <w:spacing w:after="0" w:line="240" w:lineRule="auto"/>
              <w:rPr>
                <w:rFonts w:ascii="Times New Roman" w:hAnsi="Times New Roman" w:cs="Times New Roman"/>
                <w:i/>
                <w:sz w:val="20"/>
                <w:szCs w:val="20"/>
              </w:rPr>
            </w:pPr>
            <w:r w:rsidRPr="003571FD">
              <w:rPr>
                <w:rFonts w:ascii="Times New Roman" w:hAnsi="Times New Roman" w:cs="Times New Roman"/>
                <w:i/>
                <w:sz w:val="20"/>
                <w:szCs w:val="20"/>
              </w:rPr>
              <w:t xml:space="preserve"> </w:t>
            </w:r>
            <w:r w:rsidR="00E377D0" w:rsidRPr="003571FD">
              <w:rPr>
                <w:rFonts w:ascii="Times New Roman" w:hAnsi="Times New Roman" w:cs="Times New Roman"/>
                <w:i/>
                <w:sz w:val="20"/>
                <w:szCs w:val="20"/>
              </w:rPr>
              <w:t>foreign subsidiaries</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0%</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0%</w:t>
            </w:r>
          </w:p>
        </w:tc>
      </w:tr>
      <w:tr w:rsidR="00E377D0" w:rsidRPr="003571FD">
        <w:trPr>
          <w:trHeight w:val="240"/>
        </w:trPr>
        <w:tc>
          <w:tcPr>
            <w:tcW w:w="2052" w:type="dxa"/>
            <w:shd w:val="clear" w:color="auto" w:fill="auto"/>
            <w:noWrap/>
            <w:vAlign w:val="bottom"/>
          </w:tcPr>
          <w:p w:rsidR="00E377D0" w:rsidRPr="003571FD" w:rsidRDefault="00B07DFB" w:rsidP="00E377D0">
            <w:pPr>
              <w:spacing w:after="0" w:line="240" w:lineRule="auto"/>
              <w:rPr>
                <w:rFonts w:ascii="Times New Roman" w:hAnsi="Times New Roman" w:cs="Times New Roman"/>
                <w:i/>
                <w:sz w:val="20"/>
                <w:szCs w:val="20"/>
              </w:rPr>
            </w:pPr>
            <w:r w:rsidRPr="003571FD">
              <w:rPr>
                <w:rFonts w:ascii="Times New Roman" w:hAnsi="Times New Roman" w:cs="Times New Roman"/>
                <w:i/>
                <w:sz w:val="20"/>
                <w:szCs w:val="20"/>
              </w:rPr>
              <w:t xml:space="preserve"> </w:t>
            </w:r>
            <w:r w:rsidR="00E377D0" w:rsidRPr="003571FD">
              <w:rPr>
                <w:rFonts w:ascii="Times New Roman" w:hAnsi="Times New Roman" w:cs="Times New Roman"/>
                <w:i/>
                <w:sz w:val="20"/>
                <w:szCs w:val="20"/>
              </w:rPr>
              <w:t>commercial banks</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594</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772</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30%</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68%</w:t>
            </w:r>
          </w:p>
        </w:tc>
      </w:tr>
      <w:tr w:rsidR="00E377D0" w:rsidRPr="003571FD">
        <w:trPr>
          <w:trHeight w:val="240"/>
        </w:trPr>
        <w:tc>
          <w:tcPr>
            <w:tcW w:w="2052" w:type="dxa"/>
            <w:shd w:val="clear" w:color="auto" w:fill="auto"/>
            <w:noWrap/>
            <w:vAlign w:val="bottom"/>
          </w:tcPr>
          <w:p w:rsidR="00E377D0" w:rsidRPr="003571FD" w:rsidRDefault="00B07DFB" w:rsidP="00E377D0">
            <w:pPr>
              <w:spacing w:after="0" w:line="240" w:lineRule="auto"/>
              <w:rPr>
                <w:rFonts w:ascii="Times New Roman" w:hAnsi="Times New Roman" w:cs="Times New Roman"/>
                <w:i/>
                <w:sz w:val="20"/>
                <w:szCs w:val="20"/>
              </w:rPr>
            </w:pPr>
            <w:r w:rsidRPr="003571FD">
              <w:rPr>
                <w:rFonts w:ascii="Times New Roman" w:hAnsi="Times New Roman" w:cs="Times New Roman"/>
                <w:i/>
                <w:sz w:val="20"/>
                <w:szCs w:val="20"/>
              </w:rPr>
              <w:t xml:space="preserve"> </w:t>
            </w:r>
            <w:r w:rsidR="00E377D0" w:rsidRPr="003571FD">
              <w:rPr>
                <w:rFonts w:ascii="Times New Roman" w:hAnsi="Times New Roman" w:cs="Times New Roman"/>
                <w:i/>
                <w:sz w:val="20"/>
                <w:szCs w:val="20"/>
              </w:rPr>
              <w:t>MFI banks</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41</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98</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139%</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9%</w:t>
            </w:r>
          </w:p>
        </w:tc>
      </w:tr>
      <w:tr w:rsidR="00E377D0" w:rsidRPr="003571FD">
        <w:trPr>
          <w:trHeight w:val="240"/>
        </w:trPr>
        <w:tc>
          <w:tcPr>
            <w:tcW w:w="2052" w:type="dxa"/>
            <w:shd w:val="clear" w:color="auto" w:fill="auto"/>
            <w:noWrap/>
            <w:vAlign w:val="bottom"/>
          </w:tcPr>
          <w:p w:rsidR="00E377D0" w:rsidRPr="003571FD" w:rsidRDefault="00B07DFB" w:rsidP="00E377D0">
            <w:pPr>
              <w:spacing w:after="0" w:line="240" w:lineRule="auto"/>
              <w:rPr>
                <w:rFonts w:ascii="Times New Roman" w:hAnsi="Times New Roman" w:cs="Times New Roman"/>
                <w:i/>
                <w:sz w:val="20"/>
                <w:szCs w:val="20"/>
              </w:rPr>
            </w:pPr>
            <w:r w:rsidRPr="003571FD">
              <w:rPr>
                <w:rFonts w:ascii="Times New Roman" w:hAnsi="Times New Roman" w:cs="Times New Roman"/>
                <w:i/>
                <w:sz w:val="20"/>
                <w:szCs w:val="20"/>
              </w:rPr>
              <w:t xml:space="preserve"> </w:t>
            </w:r>
            <w:r w:rsidR="00E377D0" w:rsidRPr="003571FD">
              <w:rPr>
                <w:rFonts w:ascii="Times New Roman" w:hAnsi="Times New Roman" w:cs="Times New Roman"/>
                <w:i/>
                <w:sz w:val="20"/>
                <w:szCs w:val="20"/>
              </w:rPr>
              <w:t>public banks</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83</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96</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16%</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8%</w:t>
            </w:r>
          </w:p>
        </w:tc>
      </w:tr>
      <w:tr w:rsidR="00E377D0" w:rsidRPr="003571FD">
        <w:trPr>
          <w:trHeight w:val="240"/>
        </w:trPr>
        <w:tc>
          <w:tcPr>
            <w:tcW w:w="2052" w:type="dxa"/>
            <w:shd w:val="clear" w:color="auto" w:fill="auto"/>
            <w:noWrap/>
            <w:vAlign w:val="bottom"/>
          </w:tcPr>
          <w:p w:rsidR="00E377D0" w:rsidRPr="003571FD" w:rsidRDefault="00E377D0" w:rsidP="00E377D0">
            <w:pPr>
              <w:spacing w:after="0" w:line="240" w:lineRule="auto"/>
              <w:rPr>
                <w:rFonts w:ascii="Times New Roman" w:hAnsi="Times New Roman" w:cs="Times New Roman"/>
                <w:b/>
                <w:sz w:val="20"/>
                <w:szCs w:val="20"/>
              </w:rPr>
            </w:pPr>
            <w:r w:rsidRPr="003571FD">
              <w:rPr>
                <w:rFonts w:ascii="Times New Roman" w:hAnsi="Times New Roman" w:cs="Times New Roman"/>
                <w:b/>
                <w:sz w:val="20"/>
                <w:szCs w:val="20"/>
              </w:rPr>
              <w:t>SLAs</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14</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25</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79%</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2%</w:t>
            </w:r>
          </w:p>
        </w:tc>
      </w:tr>
      <w:tr w:rsidR="00E377D0" w:rsidRPr="003571FD">
        <w:trPr>
          <w:trHeight w:val="240"/>
        </w:trPr>
        <w:tc>
          <w:tcPr>
            <w:tcW w:w="2052" w:type="dxa"/>
            <w:shd w:val="clear" w:color="auto" w:fill="auto"/>
            <w:noWrap/>
            <w:vAlign w:val="bottom"/>
          </w:tcPr>
          <w:p w:rsidR="00E377D0" w:rsidRPr="003571FD" w:rsidRDefault="00E377D0" w:rsidP="00E377D0">
            <w:pPr>
              <w:spacing w:after="0" w:line="240" w:lineRule="auto"/>
              <w:rPr>
                <w:rFonts w:ascii="Times New Roman" w:hAnsi="Times New Roman" w:cs="Times New Roman"/>
                <w:b/>
                <w:sz w:val="20"/>
                <w:szCs w:val="20"/>
              </w:rPr>
            </w:pPr>
            <w:r w:rsidRPr="003571FD">
              <w:rPr>
                <w:rFonts w:ascii="Times New Roman" w:hAnsi="Times New Roman" w:cs="Times New Roman"/>
                <w:b/>
                <w:sz w:val="20"/>
                <w:szCs w:val="20"/>
              </w:rPr>
              <w:t>Finance Companies</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64</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115</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80%</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10%</w:t>
            </w:r>
          </w:p>
        </w:tc>
      </w:tr>
      <w:tr w:rsidR="00E377D0" w:rsidRPr="003571FD">
        <w:trPr>
          <w:trHeight w:val="240"/>
        </w:trPr>
        <w:tc>
          <w:tcPr>
            <w:tcW w:w="2052" w:type="dxa"/>
            <w:shd w:val="clear" w:color="auto" w:fill="auto"/>
            <w:noWrap/>
            <w:vAlign w:val="bottom"/>
          </w:tcPr>
          <w:p w:rsidR="00E377D0" w:rsidRPr="003571FD" w:rsidRDefault="00E377D0" w:rsidP="00E377D0">
            <w:pPr>
              <w:spacing w:after="0" w:line="240" w:lineRule="auto"/>
              <w:rPr>
                <w:rFonts w:ascii="Times New Roman" w:hAnsi="Times New Roman" w:cs="Times New Roman"/>
                <w:b/>
                <w:sz w:val="20"/>
                <w:szCs w:val="20"/>
              </w:rPr>
            </w:pPr>
            <w:r w:rsidRPr="003571FD">
              <w:rPr>
                <w:rFonts w:ascii="Times New Roman" w:hAnsi="Times New Roman" w:cs="Times New Roman"/>
                <w:b/>
                <w:sz w:val="20"/>
                <w:szCs w:val="20"/>
              </w:rPr>
              <w:t>Open Cooperatives</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9</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36</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300%</w:t>
            </w:r>
          </w:p>
        </w:tc>
        <w:tc>
          <w:tcPr>
            <w:tcW w:w="900" w:type="dxa"/>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3%</w:t>
            </w:r>
          </w:p>
        </w:tc>
      </w:tr>
      <w:tr w:rsidR="00E377D0" w:rsidRPr="003571FD">
        <w:trPr>
          <w:trHeight w:val="260"/>
        </w:trPr>
        <w:tc>
          <w:tcPr>
            <w:tcW w:w="2052" w:type="dxa"/>
            <w:tcBorders>
              <w:bottom w:val="single" w:sz="4" w:space="0" w:color="auto"/>
            </w:tcBorders>
            <w:shd w:val="clear" w:color="auto" w:fill="auto"/>
            <w:noWrap/>
            <w:vAlign w:val="bottom"/>
          </w:tcPr>
          <w:p w:rsidR="00E377D0" w:rsidRPr="003571FD" w:rsidRDefault="00E377D0" w:rsidP="00E377D0">
            <w:pPr>
              <w:spacing w:after="0" w:line="240" w:lineRule="auto"/>
              <w:rPr>
                <w:rFonts w:ascii="Times New Roman" w:hAnsi="Times New Roman" w:cs="Times New Roman"/>
                <w:b/>
                <w:bCs/>
                <w:sz w:val="20"/>
                <w:szCs w:val="20"/>
              </w:rPr>
            </w:pPr>
            <w:r w:rsidRPr="003571FD">
              <w:rPr>
                <w:rFonts w:ascii="Times New Roman" w:hAnsi="Times New Roman" w:cs="Times New Roman"/>
                <w:b/>
                <w:bCs/>
                <w:sz w:val="20"/>
                <w:szCs w:val="20"/>
              </w:rPr>
              <w:t>TOTAL</w:t>
            </w:r>
          </w:p>
        </w:tc>
        <w:tc>
          <w:tcPr>
            <w:tcW w:w="900" w:type="dxa"/>
            <w:tcBorders>
              <w:bottom w:val="single" w:sz="4" w:space="0" w:color="auto"/>
            </w:tcBorders>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806</w:t>
            </w:r>
          </w:p>
        </w:tc>
        <w:tc>
          <w:tcPr>
            <w:tcW w:w="900" w:type="dxa"/>
            <w:tcBorders>
              <w:bottom w:val="single" w:sz="4" w:space="0" w:color="auto"/>
            </w:tcBorders>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1,143</w:t>
            </w:r>
          </w:p>
        </w:tc>
        <w:tc>
          <w:tcPr>
            <w:tcW w:w="900" w:type="dxa"/>
            <w:tcBorders>
              <w:bottom w:val="single" w:sz="4" w:space="0" w:color="auto"/>
            </w:tcBorders>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42%</w:t>
            </w:r>
          </w:p>
        </w:tc>
        <w:tc>
          <w:tcPr>
            <w:tcW w:w="900" w:type="dxa"/>
            <w:tcBorders>
              <w:bottom w:val="single" w:sz="4" w:space="0" w:color="auto"/>
            </w:tcBorders>
            <w:shd w:val="clear" w:color="auto" w:fill="auto"/>
            <w:noWrap/>
            <w:vAlign w:val="bottom"/>
          </w:tcPr>
          <w:p w:rsidR="00E377D0" w:rsidRPr="003571FD" w:rsidRDefault="00E377D0" w:rsidP="00E377D0">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100%</w:t>
            </w:r>
          </w:p>
        </w:tc>
      </w:tr>
      <w:tr w:rsidR="00E377D0" w:rsidRPr="003571FD">
        <w:trPr>
          <w:trHeight w:val="260"/>
        </w:trPr>
        <w:tc>
          <w:tcPr>
            <w:tcW w:w="5652" w:type="dxa"/>
            <w:gridSpan w:val="5"/>
            <w:tcBorders>
              <w:left w:val="nil"/>
              <w:bottom w:val="nil"/>
              <w:right w:val="nil"/>
            </w:tcBorders>
            <w:shd w:val="clear" w:color="auto" w:fill="auto"/>
            <w:noWrap/>
            <w:vAlign w:val="bottom"/>
          </w:tcPr>
          <w:p w:rsidR="00E377D0" w:rsidRPr="003571FD" w:rsidRDefault="00E377D0" w:rsidP="00E377D0">
            <w:pPr>
              <w:spacing w:after="0" w:line="240" w:lineRule="auto"/>
              <w:rPr>
                <w:rFonts w:ascii="Times New Roman" w:hAnsi="Times New Roman" w:cs="Times New Roman"/>
                <w:i/>
                <w:sz w:val="18"/>
                <w:szCs w:val="18"/>
              </w:rPr>
            </w:pPr>
            <w:r w:rsidRPr="003571FD">
              <w:rPr>
                <w:rFonts w:ascii="Times New Roman" w:hAnsi="Times New Roman" w:cs="Times New Roman"/>
                <w:i/>
                <w:sz w:val="18"/>
                <w:szCs w:val="18"/>
              </w:rPr>
              <w:t>Source: ASFI.</w:t>
            </w:r>
          </w:p>
        </w:tc>
      </w:tr>
    </w:tbl>
    <w:p w:rsidR="0081379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In the retail payment system, oligopolistic tendencies lead to a fragmentation of the system and contribute to a low uptake of electronic payment transactions by the end-user.</w:t>
      </w:r>
      <w:r w:rsidRPr="003571FD">
        <w:rPr>
          <w:rFonts w:ascii="Times New Roman" w:hAnsi="Times New Roman" w:cs="Times New Roman"/>
          <w:sz w:val="24"/>
          <w:szCs w:val="24"/>
        </w:rPr>
        <w:t xml:space="preserve"> According to the current regulation, only banks are authorized to issue checks. </w:t>
      </w:r>
      <w:r w:rsidR="002F129F" w:rsidRPr="003571FD">
        <w:rPr>
          <w:rFonts w:ascii="Times New Roman" w:hAnsi="Times New Roman" w:cs="Times New Roman"/>
          <w:sz w:val="24"/>
          <w:szCs w:val="24"/>
        </w:rPr>
        <w:t xml:space="preserve">State of the art </w:t>
      </w:r>
      <w:r w:rsidRPr="003571FD">
        <w:rPr>
          <w:rFonts w:ascii="Times New Roman" w:hAnsi="Times New Roman" w:cs="Times New Roman"/>
          <w:sz w:val="24"/>
          <w:szCs w:val="24"/>
        </w:rPr>
        <w:t>check</w:t>
      </w:r>
      <w:r w:rsidR="002F129F" w:rsidRPr="003571FD">
        <w:rPr>
          <w:rFonts w:ascii="Times New Roman" w:hAnsi="Times New Roman" w:cs="Times New Roman"/>
          <w:sz w:val="24"/>
          <w:szCs w:val="24"/>
        </w:rPr>
        <w:t>-</w:t>
      </w:r>
      <w:r w:rsidRPr="003571FD">
        <w:rPr>
          <w:rFonts w:ascii="Times New Roman" w:hAnsi="Times New Roman" w:cs="Times New Roman"/>
          <w:sz w:val="24"/>
          <w:szCs w:val="24"/>
        </w:rPr>
        <w:t xml:space="preserve"> and electronic transfer clearinghouses are available </w:t>
      </w:r>
      <w:r w:rsidR="002F129F" w:rsidRPr="003571FD">
        <w:rPr>
          <w:rFonts w:ascii="Times New Roman" w:hAnsi="Times New Roman" w:cs="Times New Roman"/>
          <w:sz w:val="24"/>
          <w:szCs w:val="24"/>
        </w:rPr>
        <w:t xml:space="preserve">to </w:t>
      </w:r>
      <w:r w:rsidRPr="003571FD">
        <w:rPr>
          <w:rFonts w:ascii="Times New Roman" w:hAnsi="Times New Roman" w:cs="Times New Roman"/>
          <w:sz w:val="24"/>
          <w:szCs w:val="24"/>
        </w:rPr>
        <w:t xml:space="preserve">banks through </w:t>
      </w:r>
      <w:proofErr w:type="spellStart"/>
      <w:r w:rsidR="00F55EFE" w:rsidRPr="003571FD">
        <w:rPr>
          <w:rFonts w:ascii="Times New Roman" w:hAnsi="Times New Roman" w:cs="Times New Roman"/>
          <w:i/>
          <w:sz w:val="24"/>
          <w:szCs w:val="24"/>
        </w:rPr>
        <w:t>Administración</w:t>
      </w:r>
      <w:proofErr w:type="spellEnd"/>
      <w:r w:rsidR="00F55EFE" w:rsidRPr="003571FD">
        <w:rPr>
          <w:rFonts w:ascii="Times New Roman" w:hAnsi="Times New Roman" w:cs="Times New Roman"/>
          <w:i/>
          <w:sz w:val="24"/>
          <w:szCs w:val="24"/>
        </w:rPr>
        <w:t xml:space="preserve"> de </w:t>
      </w:r>
      <w:proofErr w:type="spellStart"/>
      <w:r w:rsidR="00F55EFE" w:rsidRPr="003571FD">
        <w:rPr>
          <w:rFonts w:ascii="Times New Roman" w:hAnsi="Times New Roman" w:cs="Times New Roman"/>
          <w:i/>
          <w:sz w:val="24"/>
          <w:szCs w:val="24"/>
        </w:rPr>
        <w:t>Cámaras</w:t>
      </w:r>
      <w:proofErr w:type="spellEnd"/>
      <w:r w:rsidR="00F55EFE" w:rsidRPr="003571FD">
        <w:rPr>
          <w:rFonts w:ascii="Times New Roman" w:hAnsi="Times New Roman" w:cs="Times New Roman"/>
          <w:i/>
          <w:sz w:val="24"/>
          <w:szCs w:val="24"/>
        </w:rPr>
        <w:t xml:space="preserve"> de </w:t>
      </w:r>
      <w:proofErr w:type="spellStart"/>
      <w:r w:rsidR="00F55EFE" w:rsidRPr="003571FD">
        <w:rPr>
          <w:rFonts w:ascii="Times New Roman" w:hAnsi="Times New Roman" w:cs="Times New Roman"/>
          <w:i/>
          <w:sz w:val="24"/>
          <w:szCs w:val="24"/>
        </w:rPr>
        <w:t>Compensación</w:t>
      </w:r>
      <w:proofErr w:type="spellEnd"/>
      <w:r w:rsidR="00F55EFE" w:rsidRPr="003571FD">
        <w:rPr>
          <w:rFonts w:ascii="Times New Roman" w:hAnsi="Times New Roman" w:cs="Times New Roman"/>
          <w:i/>
          <w:sz w:val="24"/>
          <w:szCs w:val="24"/>
        </w:rPr>
        <w:t xml:space="preserve"> y </w:t>
      </w:r>
      <w:proofErr w:type="spellStart"/>
      <w:r w:rsidR="00F55EFE" w:rsidRPr="003571FD">
        <w:rPr>
          <w:rFonts w:ascii="Times New Roman" w:hAnsi="Times New Roman" w:cs="Times New Roman"/>
          <w:i/>
          <w:sz w:val="24"/>
          <w:szCs w:val="24"/>
        </w:rPr>
        <w:t>Liquidación</w:t>
      </w:r>
      <w:proofErr w:type="spellEnd"/>
      <w:r w:rsidR="00F55EFE" w:rsidRPr="003571FD">
        <w:rPr>
          <w:rFonts w:ascii="Times New Roman" w:hAnsi="Times New Roman" w:cs="Times New Roman"/>
          <w:i/>
          <w:sz w:val="24"/>
          <w:szCs w:val="24"/>
        </w:rPr>
        <w:t xml:space="preserve"> </w:t>
      </w:r>
      <w:r w:rsidR="00F55EFE" w:rsidRPr="003571FD">
        <w:rPr>
          <w:rFonts w:ascii="Times New Roman" w:hAnsi="Times New Roman" w:cs="Times New Roman"/>
          <w:sz w:val="24"/>
          <w:szCs w:val="24"/>
        </w:rPr>
        <w:t xml:space="preserve">(ACCL, </w:t>
      </w:r>
      <w:r w:rsidRPr="003571FD">
        <w:rPr>
          <w:rFonts w:ascii="Times New Roman" w:hAnsi="Times New Roman" w:cs="Times New Roman"/>
          <w:sz w:val="24"/>
          <w:szCs w:val="24"/>
        </w:rPr>
        <w:t xml:space="preserve">housed in the Association of Private Banks, ASOBAN), while non-bank deposit taking institutions settle cross-institutional transactions via their accounts held at banks. Depending on the commissions charged by the corresponding bank, this can be </w:t>
      </w:r>
      <w:r w:rsidRPr="003571FD">
        <w:rPr>
          <w:rFonts w:ascii="Times New Roman" w:hAnsi="Times New Roman" w:cs="Times New Roman"/>
          <w:sz w:val="24"/>
          <w:szCs w:val="24"/>
        </w:rPr>
        <w:lastRenderedPageBreak/>
        <w:t xml:space="preserve">costly and cannot be passed on to the end-user due to regulatory restrictions on commissions. There are also two large credit and debit card networks operating in the country, </w:t>
      </w:r>
      <w:r w:rsidRPr="003571FD">
        <w:rPr>
          <w:rFonts w:ascii="Times New Roman" w:hAnsi="Times New Roman" w:cs="Times New Roman"/>
          <w:i/>
          <w:sz w:val="24"/>
          <w:szCs w:val="24"/>
        </w:rPr>
        <w:t>ATC</w:t>
      </w:r>
      <w:r w:rsidRPr="003571FD">
        <w:rPr>
          <w:rFonts w:ascii="Times New Roman" w:hAnsi="Times New Roman" w:cs="Times New Roman"/>
          <w:sz w:val="24"/>
          <w:szCs w:val="24"/>
        </w:rPr>
        <w:t xml:space="preserve"> and </w:t>
      </w:r>
      <w:proofErr w:type="spellStart"/>
      <w:r w:rsidRPr="003571FD">
        <w:rPr>
          <w:rFonts w:ascii="Times New Roman" w:hAnsi="Times New Roman" w:cs="Times New Roman"/>
          <w:i/>
          <w:sz w:val="24"/>
          <w:szCs w:val="24"/>
        </w:rPr>
        <w:t>Linkser</w:t>
      </w:r>
      <w:proofErr w:type="spellEnd"/>
      <w:r w:rsidRPr="003571FD">
        <w:rPr>
          <w:rFonts w:ascii="Times New Roman" w:hAnsi="Times New Roman" w:cs="Times New Roman"/>
          <w:sz w:val="24"/>
          <w:szCs w:val="24"/>
        </w:rPr>
        <w:t xml:space="preserve">. These </w:t>
      </w:r>
      <w:r w:rsidR="00634572" w:rsidRPr="003571FD">
        <w:rPr>
          <w:rFonts w:ascii="Times New Roman" w:hAnsi="Times New Roman" w:cs="Times New Roman"/>
          <w:sz w:val="24"/>
          <w:szCs w:val="24"/>
        </w:rPr>
        <w:t xml:space="preserve">two </w:t>
      </w:r>
      <w:r w:rsidRPr="003571FD">
        <w:rPr>
          <w:rFonts w:ascii="Times New Roman" w:hAnsi="Times New Roman" w:cs="Times New Roman"/>
          <w:sz w:val="24"/>
          <w:szCs w:val="24"/>
        </w:rPr>
        <w:t>networks are owned by a consortium of 4 and 3 banks respectively</w:t>
      </w:r>
      <w:r w:rsidR="00634572" w:rsidRPr="003571FD">
        <w:rPr>
          <w:rFonts w:ascii="Times New Roman" w:hAnsi="Times New Roman" w:cs="Times New Roman"/>
          <w:sz w:val="24"/>
          <w:szCs w:val="24"/>
        </w:rPr>
        <w:t>,</w:t>
      </w:r>
      <w:r w:rsidRPr="003571FD">
        <w:rPr>
          <w:rFonts w:ascii="Times New Roman" w:hAnsi="Times New Roman" w:cs="Times New Roman"/>
          <w:sz w:val="24"/>
          <w:szCs w:val="24"/>
        </w:rPr>
        <w:t xml:space="preserve"> and are interlinked. The ownership structure led to significant differences in the cost of using the network infrastructure between participating banks and other financial entities</w:t>
      </w:r>
      <w:r w:rsidRPr="003571FD">
        <w:rPr>
          <w:rStyle w:val="FootnoteReference"/>
          <w:rFonts w:ascii="Times New Roman" w:hAnsi="Times New Roman" w:cs="Times New Roman"/>
          <w:sz w:val="24"/>
          <w:szCs w:val="24"/>
        </w:rPr>
        <w:footnoteReference w:id="80"/>
      </w:r>
      <w:r w:rsidRPr="003571FD">
        <w:rPr>
          <w:rFonts w:ascii="Times New Roman" w:hAnsi="Times New Roman" w:cs="Times New Roman"/>
          <w:sz w:val="24"/>
          <w:szCs w:val="24"/>
        </w:rPr>
        <w:t>. Combined with existing restrictions on charging commissions on the services provided, it de facto discourages the promotion of payment cards by non-banks. Furthermore, in the absence of demand from clients and due to prevailing oligopolistic structures in the payment system infrastructure</w:t>
      </w:r>
      <w:r w:rsidR="00126B85" w:rsidRPr="003571FD">
        <w:rPr>
          <w:rFonts w:ascii="Times New Roman" w:hAnsi="Times New Roman" w:cs="Times New Roman"/>
          <w:sz w:val="24"/>
          <w:szCs w:val="24"/>
        </w:rPr>
        <w:t>,</w:t>
      </w:r>
      <w:r w:rsidRPr="003571FD">
        <w:rPr>
          <w:rFonts w:ascii="Times New Roman" w:hAnsi="Times New Roman" w:cs="Times New Roman"/>
          <w:sz w:val="24"/>
          <w:szCs w:val="24"/>
        </w:rPr>
        <w:t xml:space="preserve"> the financial institutions until recently did not invest into setting up a broad ATM and POS infrastructure, leading to a low number of ATMs particularly in the microfinance institutions: MFI banks, finance companies and cooperatives account for over 50 percent of all deposit accounts in the financial system, but their share in ATMs is only 2</w:t>
      </w:r>
      <w:r w:rsidR="00706E28" w:rsidRPr="003571FD">
        <w:rPr>
          <w:rFonts w:ascii="Times New Roman" w:hAnsi="Times New Roman" w:cs="Times New Roman"/>
          <w:sz w:val="24"/>
          <w:szCs w:val="24"/>
        </w:rPr>
        <w:t>2</w:t>
      </w:r>
      <w:r w:rsidRPr="003571FD">
        <w:rPr>
          <w:rFonts w:ascii="Times New Roman" w:hAnsi="Times New Roman" w:cs="Times New Roman"/>
          <w:sz w:val="24"/>
          <w:szCs w:val="24"/>
        </w:rPr>
        <w:t xml:space="preserve"> percent</w:t>
      </w:r>
      <w:r w:rsidR="00706E28" w:rsidRPr="003571FD">
        <w:rPr>
          <w:rFonts w:ascii="Times New Roman" w:hAnsi="Times New Roman" w:cs="Times New Roman"/>
          <w:sz w:val="24"/>
          <w:szCs w:val="24"/>
        </w:rPr>
        <w:t xml:space="preserve"> (see Table </w:t>
      </w:r>
      <w:r w:rsidR="00AB361B" w:rsidRPr="003571FD">
        <w:rPr>
          <w:rFonts w:ascii="Times New Roman" w:hAnsi="Times New Roman" w:cs="Times New Roman"/>
          <w:sz w:val="24"/>
          <w:szCs w:val="24"/>
        </w:rPr>
        <w:t>9</w:t>
      </w:r>
      <w:r w:rsidR="00706E28" w:rsidRPr="003571FD">
        <w:rPr>
          <w:rFonts w:ascii="Times New Roman" w:hAnsi="Times New Roman" w:cs="Times New Roman"/>
          <w:sz w:val="24"/>
          <w:szCs w:val="24"/>
        </w:rPr>
        <w:t>)</w:t>
      </w:r>
      <w:r w:rsidRPr="003571FD">
        <w:rPr>
          <w:rFonts w:ascii="Times New Roman" w:hAnsi="Times New Roman" w:cs="Times New Roman"/>
          <w:sz w:val="24"/>
          <w:szCs w:val="24"/>
        </w:rPr>
        <w:t xml:space="preserve">. </w:t>
      </w:r>
    </w:p>
    <w:p w:rsidR="00EC5E43" w:rsidRPr="003571FD" w:rsidRDefault="00EC5E43" w:rsidP="00813793">
      <w:pPr>
        <w:pStyle w:val="ListParagraph"/>
        <w:ind w:left="360"/>
        <w:jc w:val="both"/>
        <w:rPr>
          <w:rFonts w:ascii="Times New Roman" w:hAnsi="Times New Roman" w:cs="Times New Roman"/>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Given the high costs of using the existing retail payment system infrastructure, non-participating financial institutions and a data platform provider have started developing their own payment network.</w:t>
      </w:r>
      <w:r w:rsidRPr="003571FD">
        <w:rPr>
          <w:rFonts w:ascii="Times New Roman" w:hAnsi="Times New Roman" w:cs="Times New Roman"/>
          <w:sz w:val="24"/>
          <w:szCs w:val="24"/>
        </w:rPr>
        <w:t xml:space="preserve"> The cooperative system is setting up a debit card based payment network through </w:t>
      </w:r>
      <w:proofErr w:type="spellStart"/>
      <w:r w:rsidRPr="003571FD">
        <w:rPr>
          <w:rFonts w:ascii="Times New Roman" w:hAnsi="Times New Roman" w:cs="Times New Roman"/>
          <w:i/>
          <w:sz w:val="24"/>
          <w:szCs w:val="24"/>
        </w:rPr>
        <w:t>Linkser</w:t>
      </w:r>
      <w:proofErr w:type="spellEnd"/>
      <w:r w:rsidRPr="003571FD">
        <w:rPr>
          <w:rFonts w:ascii="Times New Roman" w:hAnsi="Times New Roman" w:cs="Times New Roman"/>
          <w:sz w:val="24"/>
          <w:szCs w:val="24"/>
        </w:rPr>
        <w:t>, which will be interoperable with the other systems and provide real-time clearance within the cooperative sector</w:t>
      </w:r>
      <w:r w:rsidRPr="003571FD">
        <w:rPr>
          <w:rStyle w:val="FootnoteReference"/>
          <w:rFonts w:ascii="Times New Roman" w:hAnsi="Times New Roman" w:cs="Times New Roman"/>
          <w:sz w:val="24"/>
          <w:szCs w:val="24"/>
        </w:rPr>
        <w:footnoteReference w:id="81"/>
      </w:r>
      <w:r w:rsidRPr="003571FD">
        <w:rPr>
          <w:rFonts w:ascii="Times New Roman" w:hAnsi="Times New Roman" w:cs="Times New Roman"/>
          <w:sz w:val="24"/>
          <w:szCs w:val="24"/>
        </w:rPr>
        <w:t xml:space="preserve">. The system also aims to incorporate remittances services, and is currently piloting this module. The micro-finance associations ASOFIN and FINRURAL are working on setting up a transactional switch, potentially using smart cards. In addition to these broader initiatives, individual institutions have or are developing their own ATM network and card systems, as the costs involved for developing and operating own payment platforms can be quickly amortized due to cost-savings reaped in comparison to using the comparatively expensive available infrastructure. Most of the cards in the system are equipped with a magnetic stripe, but pilots with smart cards are being conducted to overcome the lack of connectivity in remote areas. Finally, </w:t>
      </w:r>
      <w:proofErr w:type="spellStart"/>
      <w:r w:rsidRPr="003571FD">
        <w:rPr>
          <w:rFonts w:ascii="Times New Roman" w:hAnsi="Times New Roman" w:cs="Times New Roman"/>
          <w:i/>
          <w:sz w:val="24"/>
          <w:szCs w:val="24"/>
        </w:rPr>
        <w:t>Sintesis</w:t>
      </w:r>
      <w:proofErr w:type="spellEnd"/>
      <w:r w:rsidRPr="003571FD">
        <w:rPr>
          <w:rFonts w:ascii="Times New Roman" w:hAnsi="Times New Roman" w:cs="Times New Roman"/>
          <w:sz w:val="24"/>
          <w:szCs w:val="24"/>
        </w:rPr>
        <w:t xml:space="preserve"> - a data platform operator which is already providing the data platform for channeling of conditional cash transfers through financial entities – is in the process of setting up a transactional platform for processing of remittance, utility and general payment transactions, with the settlement of the transaction foreseen to be done through the national payment system infrastructure. The development of these individual initiatives is a positive development, as it will increase competition, and hopefully lead to a stronger push into automating payments from the supply side.</w:t>
      </w:r>
    </w:p>
    <w:p w:rsidR="00217616" w:rsidRPr="003571FD" w:rsidRDefault="00217616" w:rsidP="00217616">
      <w:pPr>
        <w:pStyle w:val="ListParagraph"/>
        <w:spacing w:after="240"/>
        <w:ind w:left="0"/>
        <w:jc w:val="both"/>
        <w:rPr>
          <w:rFonts w:ascii="Times New Roman" w:hAnsi="Times New Roman" w:cs="Times New Roman"/>
          <w:b/>
          <w:sz w:val="24"/>
          <w:szCs w:val="24"/>
        </w:rPr>
      </w:pPr>
    </w:p>
    <w:p w:rsidR="00217616" w:rsidRDefault="00217616" w:rsidP="00217616">
      <w:pPr>
        <w:pStyle w:val="ListParagraph"/>
        <w:spacing w:after="240"/>
        <w:ind w:left="0"/>
        <w:jc w:val="both"/>
        <w:rPr>
          <w:rFonts w:ascii="Times New Roman" w:hAnsi="Times New Roman" w:cs="Times New Roman"/>
          <w:sz w:val="24"/>
          <w:szCs w:val="24"/>
        </w:rPr>
      </w:pPr>
    </w:p>
    <w:p w:rsidR="00F25889" w:rsidRPr="003571FD" w:rsidRDefault="00F25889" w:rsidP="00217616">
      <w:pPr>
        <w:pStyle w:val="ListParagraph"/>
        <w:spacing w:after="240"/>
        <w:ind w:left="0"/>
        <w:jc w:val="both"/>
        <w:rPr>
          <w:rFonts w:ascii="Times New Roman" w:hAnsi="Times New Roman" w:cs="Times New Roman"/>
          <w:sz w:val="24"/>
          <w:szCs w:val="24"/>
        </w:rPr>
      </w:pPr>
    </w:p>
    <w:p w:rsidR="00EC5E43" w:rsidRPr="003571FD" w:rsidRDefault="00EC5E43" w:rsidP="00F25889">
      <w:pPr>
        <w:pStyle w:val="Heading2"/>
      </w:pPr>
      <w:bookmarkStart w:id="51" w:name="_Toc312319501"/>
      <w:r w:rsidRPr="003571FD">
        <w:lastRenderedPageBreak/>
        <w:t>Demand side factors</w:t>
      </w:r>
      <w:bookmarkEnd w:id="51"/>
    </w:p>
    <w:p w:rsidR="00EC5E43" w:rsidRPr="003571FD" w:rsidRDefault="00EC5E43" w:rsidP="00EC5E43">
      <w:pPr>
        <w:jc w:val="both"/>
        <w:rPr>
          <w:rFonts w:ascii="Times New Roman" w:hAnsi="Times New Roman" w:cs="Times New Roman"/>
        </w:rPr>
      </w:pPr>
    </w:p>
    <w:p w:rsidR="00EC5E43" w:rsidRPr="003571FD" w:rsidRDefault="00EC5E43"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 xml:space="preserve">A significant share of the population already uses the financial system for transactional purposes, but most of the transactions do not involve a more permanent bank-client relationship. </w:t>
      </w:r>
      <w:r w:rsidRPr="003571FD">
        <w:rPr>
          <w:rFonts w:ascii="Times New Roman" w:hAnsi="Times New Roman" w:cs="Times New Roman"/>
          <w:sz w:val="24"/>
          <w:szCs w:val="24"/>
        </w:rPr>
        <w:t>Lack of knowledge about the advantages of using electronic payment options on the part of the population, gaps on the supply side as well as a general more risk averse approach towards financial institutions due to earlier bad experiences during financial crises and a perception of higher fraud in the payment with cards lead to a strong reliance on cash as sole means of payment:</w:t>
      </w:r>
    </w:p>
    <w:p w:rsidR="00904F6D" w:rsidRPr="003571FD" w:rsidRDefault="00904F6D" w:rsidP="00904F6D">
      <w:pPr>
        <w:pStyle w:val="ListParagraph"/>
        <w:ind w:left="360"/>
        <w:jc w:val="both"/>
        <w:rPr>
          <w:rFonts w:ascii="Times New Roman" w:hAnsi="Times New Roman" w:cs="Times New Roman"/>
          <w:b/>
          <w:sz w:val="24"/>
          <w:szCs w:val="24"/>
        </w:rPr>
      </w:pPr>
    </w:p>
    <w:p w:rsidR="00EC5E43" w:rsidRPr="003571FD" w:rsidRDefault="00EC5E4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 xml:space="preserve">92 percent of the remittances are paid out in cash, with the remaining being paid into accounts. </w:t>
      </w:r>
      <w:r w:rsidRPr="003571FD">
        <w:rPr>
          <w:rFonts w:ascii="Times New Roman" w:hAnsi="Times New Roman" w:cs="Times New Roman"/>
          <w:sz w:val="24"/>
          <w:szCs w:val="24"/>
        </w:rPr>
        <w:t>Remittances are an important source of income for many Bolivians, and in percent of GDP account for over 6 percent. Based on a recent report by CEMLA, IADB and FOMIN (2010), close to 70 percent of all remittances are channeled on the Bolivian side through regulated financial entities, mostly banks</w:t>
      </w:r>
      <w:r w:rsidR="00A741B6">
        <w:rPr>
          <w:vertAlign w:val="superscript"/>
        </w:rPr>
        <w:footnoteReference w:id="82"/>
      </w:r>
      <w:r w:rsidRPr="003571FD">
        <w:rPr>
          <w:rFonts w:ascii="Times New Roman" w:hAnsi="Times New Roman" w:cs="Times New Roman"/>
          <w:sz w:val="24"/>
          <w:szCs w:val="24"/>
        </w:rPr>
        <w:t>, but get cashed out to the end-beneficiary upon delivery. Survey results for the CEMLAC / IADB / FOMIN study show that microfinance institutions have a higher occurrence of paying out remittances via accounts, indicating a stronger effort by those institutions to bank those clients, but even in these institutions cash-out dominates by far.</w:t>
      </w:r>
    </w:p>
    <w:p w:rsidR="00904F6D" w:rsidRPr="003571FD" w:rsidRDefault="00904F6D" w:rsidP="00904F6D">
      <w:pPr>
        <w:pStyle w:val="ListParagraph"/>
        <w:ind w:left="504"/>
        <w:jc w:val="both"/>
        <w:rPr>
          <w:rFonts w:ascii="Times New Roman" w:hAnsi="Times New Roman" w:cs="Times New Roman"/>
          <w:sz w:val="24"/>
          <w:szCs w:val="24"/>
        </w:rPr>
      </w:pPr>
    </w:p>
    <w:p w:rsidR="00904F6D" w:rsidRPr="003571FD" w:rsidRDefault="0081379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C</w:t>
      </w:r>
      <w:r w:rsidR="00EC5E43" w:rsidRPr="003571FD">
        <w:rPr>
          <w:rFonts w:ascii="Times New Roman" w:hAnsi="Times New Roman" w:cs="Times New Roman"/>
          <w:b/>
          <w:sz w:val="24"/>
          <w:szCs w:val="24"/>
        </w:rPr>
        <w:t>ash transfer</w:t>
      </w:r>
      <w:r w:rsidR="009F2548" w:rsidRPr="003571FD">
        <w:rPr>
          <w:rFonts w:ascii="Times New Roman" w:hAnsi="Times New Roman" w:cs="Times New Roman"/>
          <w:b/>
          <w:sz w:val="24"/>
          <w:szCs w:val="24"/>
        </w:rPr>
        <w:t xml:space="preserve"> program</w:t>
      </w:r>
      <w:r w:rsidR="00EC5E43" w:rsidRPr="003571FD">
        <w:rPr>
          <w:rFonts w:ascii="Times New Roman" w:hAnsi="Times New Roman" w:cs="Times New Roman"/>
          <w:b/>
          <w:sz w:val="24"/>
          <w:szCs w:val="24"/>
        </w:rPr>
        <w:t xml:space="preserve">s from the government are also to a large extent delivered through the financial system, </w:t>
      </w:r>
      <w:r w:rsidRPr="003571FD">
        <w:rPr>
          <w:rFonts w:ascii="Times New Roman" w:hAnsi="Times New Roman" w:cs="Times New Roman"/>
          <w:b/>
          <w:sz w:val="24"/>
          <w:szCs w:val="24"/>
        </w:rPr>
        <w:t>but</w:t>
      </w:r>
      <w:r w:rsidR="00EC5E43" w:rsidRPr="003571FD">
        <w:rPr>
          <w:rFonts w:ascii="Times New Roman" w:hAnsi="Times New Roman" w:cs="Times New Roman"/>
          <w:b/>
          <w:sz w:val="24"/>
          <w:szCs w:val="24"/>
        </w:rPr>
        <w:t xml:space="preserve"> </w:t>
      </w:r>
      <w:r w:rsidRPr="003571FD">
        <w:rPr>
          <w:rFonts w:ascii="Times New Roman" w:hAnsi="Times New Roman" w:cs="Times New Roman"/>
          <w:b/>
          <w:sz w:val="24"/>
          <w:szCs w:val="24"/>
        </w:rPr>
        <w:t>all get paid out directly in</w:t>
      </w:r>
      <w:r w:rsidR="00EC5E43" w:rsidRPr="003571FD">
        <w:rPr>
          <w:rFonts w:ascii="Times New Roman" w:hAnsi="Times New Roman" w:cs="Times New Roman"/>
          <w:b/>
          <w:sz w:val="24"/>
          <w:szCs w:val="24"/>
        </w:rPr>
        <w:t xml:space="preserve"> cash. </w:t>
      </w:r>
      <w:r w:rsidR="00EC5E43" w:rsidRPr="003571FD">
        <w:rPr>
          <w:rFonts w:ascii="Times New Roman" w:hAnsi="Times New Roman" w:cs="Times New Roman"/>
          <w:sz w:val="24"/>
          <w:szCs w:val="24"/>
        </w:rPr>
        <w:t xml:space="preserve">The </w:t>
      </w:r>
      <w:r w:rsidR="00EC5E43" w:rsidRPr="003571FD">
        <w:rPr>
          <w:rFonts w:ascii="Times New Roman" w:hAnsi="Times New Roman" w:cs="Times New Roman"/>
          <w:i/>
          <w:sz w:val="24"/>
          <w:szCs w:val="24"/>
        </w:rPr>
        <w:t xml:space="preserve">Bono Juana </w:t>
      </w:r>
      <w:r w:rsidR="00634D54" w:rsidRPr="003571FD">
        <w:rPr>
          <w:rFonts w:ascii="Times New Roman" w:hAnsi="Times New Roman" w:cs="Times New Roman"/>
          <w:i/>
          <w:sz w:val="24"/>
          <w:szCs w:val="24"/>
        </w:rPr>
        <w:t>Azurdu</w:t>
      </w:r>
      <w:r w:rsidR="00EC5E43" w:rsidRPr="003571FD">
        <w:rPr>
          <w:rFonts w:ascii="Times New Roman" w:hAnsi="Times New Roman" w:cs="Times New Roman"/>
          <w:i/>
          <w:sz w:val="24"/>
          <w:szCs w:val="24"/>
        </w:rPr>
        <w:t>y</w:t>
      </w:r>
      <w:r w:rsidR="00EC5E43" w:rsidRPr="003571FD">
        <w:rPr>
          <w:rFonts w:ascii="Times New Roman" w:hAnsi="Times New Roman" w:cs="Times New Roman"/>
          <w:sz w:val="24"/>
          <w:szCs w:val="24"/>
        </w:rPr>
        <w:t xml:space="preserve">, which is supporting pregnant mothers and newborns, is in its entirety delivered through the 33 participating financial institutions. The other two larger government transfer programs, the </w:t>
      </w:r>
      <w:r w:rsidR="00EC5E43" w:rsidRPr="003571FD">
        <w:rPr>
          <w:rFonts w:ascii="Times New Roman" w:hAnsi="Times New Roman" w:cs="Times New Roman"/>
          <w:i/>
          <w:sz w:val="24"/>
          <w:szCs w:val="24"/>
        </w:rPr>
        <w:t>Renta Dignidad</w:t>
      </w:r>
      <w:r w:rsidR="00EC5E43" w:rsidRPr="003571FD">
        <w:rPr>
          <w:rFonts w:ascii="Times New Roman" w:hAnsi="Times New Roman" w:cs="Times New Roman"/>
          <w:sz w:val="24"/>
          <w:szCs w:val="24"/>
        </w:rPr>
        <w:t xml:space="preserve"> and the </w:t>
      </w:r>
      <w:r w:rsidR="00EC5E43" w:rsidRPr="003571FD">
        <w:rPr>
          <w:rFonts w:ascii="Times New Roman" w:hAnsi="Times New Roman" w:cs="Times New Roman"/>
          <w:i/>
          <w:sz w:val="24"/>
          <w:szCs w:val="24"/>
        </w:rPr>
        <w:t>Bono Juancito Pinto</w:t>
      </w:r>
      <w:r w:rsidR="00EC5E43" w:rsidRPr="003571FD">
        <w:rPr>
          <w:rFonts w:ascii="Times New Roman" w:hAnsi="Times New Roman" w:cs="Times New Roman"/>
          <w:sz w:val="24"/>
          <w:szCs w:val="24"/>
        </w:rPr>
        <w:t xml:space="preserve">, also use for the vast majority of payments the financial system, with only remote locations being catered to by the armed forces. The conditional cash transfer payments are being made in cash, regardless of whether the beneficiary has an account or not. </w:t>
      </w:r>
    </w:p>
    <w:p w:rsidR="00904F6D" w:rsidRPr="003571FD" w:rsidRDefault="00904F6D" w:rsidP="00904F6D">
      <w:pPr>
        <w:pStyle w:val="ListParagraph"/>
        <w:ind w:left="504"/>
        <w:jc w:val="both"/>
        <w:rPr>
          <w:rFonts w:ascii="Times New Roman" w:hAnsi="Times New Roman" w:cs="Times New Roman"/>
          <w:sz w:val="24"/>
          <w:szCs w:val="24"/>
        </w:rPr>
      </w:pPr>
    </w:p>
    <w:p w:rsidR="00AF20D8" w:rsidRPr="003571FD" w:rsidRDefault="00EC5E4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 xml:space="preserve">Finally, payment of utility bills is also routinely done via financial entities, which receive a universally agreed commission from the utility provider for this service. </w:t>
      </w:r>
      <w:r w:rsidRPr="003571FD">
        <w:rPr>
          <w:rFonts w:ascii="Times New Roman" w:hAnsi="Times New Roman" w:cs="Times New Roman"/>
          <w:sz w:val="24"/>
          <w:szCs w:val="24"/>
        </w:rPr>
        <w:t>Most of the interviewed people reported either traveling personally to the nearest financial institution to pay the bills in cash (despite having a deposit account), or sending a person of trust from the village once a month to the next larger city.</w:t>
      </w:r>
    </w:p>
    <w:p w:rsidR="00AF20D8" w:rsidRPr="003571FD" w:rsidRDefault="00AF20D8" w:rsidP="00AF20D8">
      <w:pPr>
        <w:pStyle w:val="ListParagraph"/>
        <w:rPr>
          <w:rFonts w:ascii="Times New Roman" w:hAnsi="Times New Roman" w:cs="Times New Roman"/>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sz w:val="24"/>
          <w:szCs w:val="24"/>
        </w:rPr>
        <w:t xml:space="preserve">Having to go to a financial service point for making a payment or receiving funds is a considerable loss </w:t>
      </w:r>
      <w:r w:rsidR="00034529">
        <w:rPr>
          <w:rFonts w:ascii="Times New Roman" w:hAnsi="Times New Roman" w:cs="Times New Roman"/>
          <w:sz w:val="24"/>
          <w:szCs w:val="24"/>
        </w:rPr>
        <w:t>o</w:t>
      </w:r>
      <w:r w:rsidR="00034529" w:rsidRPr="003571FD">
        <w:rPr>
          <w:rFonts w:ascii="Times New Roman" w:hAnsi="Times New Roman" w:cs="Times New Roman"/>
          <w:sz w:val="24"/>
          <w:szCs w:val="24"/>
        </w:rPr>
        <w:t xml:space="preserve">f </w:t>
      </w:r>
      <w:r w:rsidRPr="003571FD">
        <w:rPr>
          <w:rFonts w:ascii="Times New Roman" w:hAnsi="Times New Roman" w:cs="Times New Roman"/>
          <w:sz w:val="24"/>
          <w:szCs w:val="24"/>
        </w:rPr>
        <w:t xml:space="preserve">efficiency for the client, as it implies traveling costs and time that could be used for more productive purposes. </w:t>
      </w: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lastRenderedPageBreak/>
        <w:t>The lack of knowledge and existing customer preferences make deploying electronic payment options and innovative delivery channels more difficult</w:t>
      </w:r>
      <w:r w:rsidRPr="003571FD">
        <w:rPr>
          <w:rFonts w:ascii="Times New Roman" w:hAnsi="Times New Roman" w:cs="Times New Roman"/>
          <w:sz w:val="24"/>
          <w:szCs w:val="24"/>
        </w:rPr>
        <w:t>. Random supply and demand side discussions indicate that clients use their deposit accounts for storing surplus funds or saving for a particular purpose, but manage their payment transaction via direct cash payments</w:t>
      </w:r>
      <w:r w:rsidRPr="003571FD">
        <w:rPr>
          <w:rStyle w:val="FootnoteReference"/>
          <w:rFonts w:ascii="Times New Roman" w:hAnsi="Times New Roman" w:cs="Times New Roman"/>
          <w:sz w:val="24"/>
          <w:szCs w:val="24"/>
        </w:rPr>
        <w:footnoteReference w:id="83"/>
      </w:r>
      <w:r w:rsidRPr="003571FD">
        <w:rPr>
          <w:rFonts w:ascii="Times New Roman" w:hAnsi="Times New Roman" w:cs="Times New Roman"/>
          <w:sz w:val="24"/>
          <w:szCs w:val="24"/>
        </w:rPr>
        <w:t>.</w:t>
      </w:r>
      <w:r w:rsidR="00B07DFB"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Financial institutions and utility companies reported that efforts to increase the number of direct debits were not successful, as the population was either not familiar with this, preferred using cash to manage their budget and pay whenever sufficient funding was available, or wanted to delay payments to the last moment. Similar experiences were reported from companies and government institutions with regard to the payroll. Most of the salaries are still paid in cash, as employees – if left with a choice - prefer cash over having the salary directly deposited into an account - even if they already have an account. </w:t>
      </w:r>
    </w:p>
    <w:p w:rsidR="00904F6D" w:rsidRPr="003571FD" w:rsidRDefault="00904F6D" w:rsidP="00904F6D">
      <w:pPr>
        <w:pStyle w:val="ListParagraph"/>
        <w:ind w:left="360"/>
        <w:jc w:val="both"/>
        <w:rPr>
          <w:rFonts w:ascii="Times New Roman" w:hAnsi="Times New Roman" w:cs="Times New Roman"/>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Finally, accessibility and ease of doing transactions also play a role for the uptake of a financial service provider in remote areas, but it is the trust that seems to be the driving factor of success</w:t>
      </w:r>
      <w:r w:rsidRPr="003571FD">
        <w:rPr>
          <w:rFonts w:ascii="Times New Roman" w:hAnsi="Times New Roman" w:cs="Times New Roman"/>
          <w:sz w:val="24"/>
          <w:szCs w:val="24"/>
        </w:rPr>
        <w:t xml:space="preserve">. An assessment of a pilot operation by </w:t>
      </w:r>
      <w:r w:rsidRPr="003571FD">
        <w:rPr>
          <w:rFonts w:ascii="Times New Roman" w:hAnsi="Times New Roman" w:cs="Times New Roman"/>
          <w:i/>
          <w:sz w:val="24"/>
          <w:szCs w:val="24"/>
        </w:rPr>
        <w:t>Financiera Prodem</w:t>
      </w:r>
      <w:r w:rsidRPr="003571FD">
        <w:rPr>
          <w:rFonts w:ascii="Times New Roman" w:hAnsi="Times New Roman" w:cs="Times New Roman"/>
          <w:sz w:val="24"/>
          <w:szCs w:val="24"/>
        </w:rPr>
        <w:t xml:space="preserve"> (2003) showed that a substantial amount of savings can be generated in </w:t>
      </w:r>
      <w:r w:rsidR="00BF5E70" w:rsidRPr="003571FD">
        <w:rPr>
          <w:rFonts w:ascii="Times New Roman" w:hAnsi="Times New Roman" w:cs="Times New Roman"/>
          <w:sz w:val="24"/>
          <w:szCs w:val="24"/>
        </w:rPr>
        <w:t xml:space="preserve">poor </w:t>
      </w:r>
      <w:r w:rsidRPr="003571FD">
        <w:rPr>
          <w:rFonts w:ascii="Times New Roman" w:hAnsi="Times New Roman" w:cs="Times New Roman"/>
          <w:sz w:val="24"/>
          <w:szCs w:val="24"/>
        </w:rPr>
        <w:t>rural areas, but success in attract savings and promoting other services hinges on the aura of trust and confidence that a financial institution manages to establish in a location</w:t>
      </w:r>
      <w:r w:rsidRPr="003571FD">
        <w:rPr>
          <w:rStyle w:val="FootnoteReference"/>
          <w:rFonts w:ascii="Times New Roman" w:hAnsi="Times New Roman" w:cs="Times New Roman"/>
          <w:sz w:val="24"/>
          <w:szCs w:val="24"/>
        </w:rPr>
        <w:footnoteReference w:id="84"/>
      </w:r>
      <w:r w:rsidRPr="003571FD">
        <w:rPr>
          <w:rFonts w:ascii="Times New Roman" w:hAnsi="Times New Roman" w:cs="Times New Roman"/>
          <w:sz w:val="24"/>
          <w:szCs w:val="24"/>
        </w:rPr>
        <w:t>.</w:t>
      </w:r>
    </w:p>
    <w:p w:rsidR="00EC5E43" w:rsidRPr="003571FD" w:rsidRDefault="00EC5E43" w:rsidP="00F25889">
      <w:pPr>
        <w:pStyle w:val="Heading2"/>
      </w:pPr>
      <w:bookmarkStart w:id="52" w:name="_Toc312319502"/>
      <w:r w:rsidRPr="003571FD">
        <w:t>Moving ahead – Possible options for increasing financial inclusion, in particular in rural areas</w:t>
      </w:r>
      <w:bookmarkEnd w:id="52"/>
    </w:p>
    <w:p w:rsidR="00EC5E43" w:rsidRPr="003571FD" w:rsidRDefault="00EC5E43" w:rsidP="00EC5E43">
      <w:pPr>
        <w:jc w:val="both"/>
        <w:rPr>
          <w:rFonts w:ascii="Times New Roman" w:hAnsi="Times New Roman" w:cs="Times New Roman"/>
        </w:rPr>
      </w:pP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There are already a number of government reform initiatives emerging or underway, which aim at furthering outreach with financial service points.</w:t>
      </w:r>
      <w:r w:rsidRPr="003571FD">
        <w:rPr>
          <w:rFonts w:ascii="Times New Roman" w:hAnsi="Times New Roman" w:cs="Times New Roman"/>
          <w:sz w:val="24"/>
          <w:szCs w:val="24"/>
        </w:rPr>
        <w:t xml:space="preserve"> Since 2009, ASFI introduced new regulations on service points, including mobile branches and also further clarified the characteristics and products offered under existing servicing points such as temporary branches at market places (so-called “</w:t>
      </w:r>
      <w:r w:rsidRPr="003571FD">
        <w:rPr>
          <w:rFonts w:ascii="Times New Roman" w:hAnsi="Times New Roman" w:cs="Times New Roman"/>
          <w:i/>
          <w:sz w:val="24"/>
          <w:szCs w:val="24"/>
        </w:rPr>
        <w:t>oficinas feriales”</w:t>
      </w:r>
      <w:r w:rsidRPr="003571FD">
        <w:rPr>
          <w:rFonts w:ascii="Times New Roman" w:hAnsi="Times New Roman" w:cs="Times New Roman"/>
          <w:sz w:val="24"/>
          <w:szCs w:val="24"/>
        </w:rPr>
        <w:t xml:space="preserve"> and “</w:t>
      </w:r>
      <w:r w:rsidRPr="003571FD">
        <w:rPr>
          <w:rFonts w:ascii="Times New Roman" w:hAnsi="Times New Roman" w:cs="Times New Roman"/>
          <w:i/>
          <w:sz w:val="24"/>
          <w:szCs w:val="24"/>
        </w:rPr>
        <w:t>oficinas externas</w:t>
      </w:r>
      <w:r w:rsidRPr="003571FD">
        <w:rPr>
          <w:rFonts w:ascii="Times New Roman" w:hAnsi="Times New Roman" w:cs="Times New Roman"/>
          <w:sz w:val="24"/>
          <w:szCs w:val="24"/>
        </w:rPr>
        <w:t>”</w:t>
      </w:r>
      <w:r w:rsidR="00126B85" w:rsidRPr="003571FD">
        <w:rPr>
          <w:rFonts w:ascii="Times New Roman" w:hAnsi="Times New Roman" w:cs="Times New Roman"/>
          <w:sz w:val="24"/>
          <w:szCs w:val="24"/>
        </w:rPr>
        <w:t>)</w:t>
      </w:r>
      <w:r w:rsidRPr="003571FD">
        <w:rPr>
          <w:rFonts w:ascii="Times New Roman" w:hAnsi="Times New Roman" w:cs="Times New Roman"/>
          <w:sz w:val="24"/>
          <w:szCs w:val="24"/>
        </w:rPr>
        <w:t xml:space="preserve"> in rural areas. Furthermore, ASFI introduced annual performance targets for financial entities with regard to opening of service points in hitherto underserved geographic locations, and developed a sophisticated coverage map and model. The fulfillment of those performance targets is a precondition for being allowed to open service points in other areas. Supported by the World Bank, one of the conditional cash transfers is now channeled in its entirety through the financial system. Finally, ASFI has created a dedicated unit for consumer protection and financial education, which developed courses, seminars and publications to foster financial education and so far has reached out to over 3</w:t>
      </w:r>
      <w:r w:rsidR="00A44F9D" w:rsidRPr="003571FD">
        <w:rPr>
          <w:rFonts w:ascii="Times New Roman" w:hAnsi="Times New Roman" w:cs="Times New Roman"/>
          <w:sz w:val="24"/>
          <w:szCs w:val="24"/>
        </w:rPr>
        <w:t>,</w:t>
      </w:r>
      <w:r w:rsidRPr="003571FD">
        <w:rPr>
          <w:rFonts w:ascii="Times New Roman" w:hAnsi="Times New Roman" w:cs="Times New Roman"/>
          <w:sz w:val="24"/>
          <w:szCs w:val="24"/>
        </w:rPr>
        <w:t xml:space="preserve">300 people of different social and cultural backgrounds with their training units. While these reforms move into the right direction, the regulatory framework </w:t>
      </w:r>
      <w:r w:rsidRPr="003571FD">
        <w:rPr>
          <w:rFonts w:ascii="Times New Roman" w:hAnsi="Times New Roman" w:cs="Times New Roman"/>
          <w:sz w:val="24"/>
          <w:szCs w:val="24"/>
        </w:rPr>
        <w:lastRenderedPageBreak/>
        <w:t>however imposes significant costs for security standards and consumer protection related measures on the financial entities, thus providing conflicting incentives with regard to outreach</w:t>
      </w:r>
      <w:r w:rsidRPr="003571FD">
        <w:rPr>
          <w:rStyle w:val="FootnoteReference"/>
          <w:rFonts w:ascii="Times New Roman" w:hAnsi="Times New Roman" w:cs="Times New Roman"/>
          <w:sz w:val="24"/>
          <w:szCs w:val="24"/>
        </w:rPr>
        <w:footnoteReference w:id="85"/>
      </w:r>
      <w:r w:rsidRPr="003571FD">
        <w:rPr>
          <w:rFonts w:ascii="Times New Roman" w:hAnsi="Times New Roman" w:cs="Times New Roman"/>
          <w:sz w:val="24"/>
          <w:szCs w:val="24"/>
        </w:rPr>
        <w:t xml:space="preserve">. </w:t>
      </w:r>
      <w:r w:rsidR="004D73B4" w:rsidRPr="003571FD">
        <w:rPr>
          <w:rFonts w:ascii="Times New Roman" w:hAnsi="Times New Roman" w:cs="Times New Roman"/>
          <w:sz w:val="24"/>
          <w:szCs w:val="24"/>
        </w:rPr>
        <w:t>Finally, Banco Union is also aiming to enhance its outreach through financial service points, but as described in Text Box</w:t>
      </w:r>
      <w:r w:rsidR="00217616" w:rsidRPr="003571FD">
        <w:rPr>
          <w:rFonts w:ascii="Times New Roman" w:hAnsi="Times New Roman" w:cs="Times New Roman"/>
          <w:sz w:val="24"/>
          <w:szCs w:val="24"/>
        </w:rPr>
        <w:t xml:space="preserve"> 2, m</w:t>
      </w:r>
      <w:r w:rsidR="004D73B4" w:rsidRPr="003571FD">
        <w:rPr>
          <w:rFonts w:ascii="Times New Roman" w:hAnsi="Times New Roman" w:cs="Times New Roman"/>
          <w:sz w:val="24"/>
          <w:szCs w:val="24"/>
        </w:rPr>
        <w:t xml:space="preserve">ight face some capacity constraints in doing so.  </w:t>
      </w:r>
    </w:p>
    <w:p w:rsidR="00217616" w:rsidRPr="003571FD" w:rsidRDefault="00217616" w:rsidP="00217616">
      <w:pPr>
        <w:pStyle w:val="ListParagraph"/>
        <w:spacing w:after="240"/>
        <w:ind w:left="0"/>
        <w:jc w:val="both"/>
        <w:rPr>
          <w:rFonts w:ascii="Times New Roman" w:hAnsi="Times New Roman" w:cs="Times New Roman"/>
          <w:b/>
          <w:sz w:val="24"/>
          <w:szCs w:val="24"/>
        </w:rPr>
      </w:pPr>
    </w:p>
    <w:tbl>
      <w:tblPr>
        <w:tblStyle w:val="TableGrid"/>
        <w:tblW w:w="9546" w:type="dxa"/>
        <w:shd w:val="clear" w:color="auto" w:fill="F2F2F2" w:themeFill="background1" w:themeFillShade="F2"/>
        <w:tblLook w:val="04A0" w:firstRow="1" w:lastRow="0" w:firstColumn="1" w:lastColumn="0" w:noHBand="0" w:noVBand="1"/>
      </w:tblPr>
      <w:tblGrid>
        <w:gridCol w:w="9546"/>
      </w:tblGrid>
      <w:tr w:rsidR="00217616" w:rsidRPr="003571FD" w:rsidTr="00F25889">
        <w:trPr>
          <w:trHeight w:val="7890"/>
        </w:trPr>
        <w:tc>
          <w:tcPr>
            <w:tcW w:w="9546" w:type="dxa"/>
            <w:shd w:val="clear" w:color="auto" w:fill="F2F2F2" w:themeFill="background1" w:themeFillShade="F2"/>
          </w:tcPr>
          <w:p w:rsidR="00217616" w:rsidRPr="003571FD" w:rsidRDefault="00217616" w:rsidP="00217616">
            <w:pPr>
              <w:jc w:val="both"/>
              <w:rPr>
                <w:rFonts w:ascii="Times New Roman" w:hAnsi="Times New Roman" w:cs="Times New Roman"/>
                <w:b/>
                <w:sz w:val="18"/>
                <w:szCs w:val="18"/>
              </w:rPr>
            </w:pPr>
          </w:p>
          <w:p w:rsidR="00217616" w:rsidRPr="00795642" w:rsidRDefault="00217616" w:rsidP="00217616">
            <w:pPr>
              <w:jc w:val="both"/>
              <w:rPr>
                <w:rFonts w:ascii="Times New Roman" w:hAnsi="Times New Roman" w:cs="Times New Roman"/>
                <w:b/>
                <w:i/>
                <w:sz w:val="18"/>
                <w:szCs w:val="18"/>
              </w:rPr>
            </w:pPr>
            <w:bookmarkStart w:id="53" w:name="_Toc312317342"/>
            <w:r w:rsidRPr="00795642">
              <w:rPr>
                <w:rFonts w:ascii="Times New Roman" w:hAnsi="Times New Roman" w:cs="Times New Roman"/>
                <w:b/>
                <w:sz w:val="18"/>
                <w:szCs w:val="18"/>
              </w:rPr>
              <w:t xml:space="preserve">Text Box </w:t>
            </w:r>
            <w:r w:rsidR="005744EE" w:rsidRPr="00795642">
              <w:rPr>
                <w:rFonts w:ascii="Times New Roman" w:hAnsi="Times New Roman" w:cs="Times New Roman"/>
                <w:b/>
                <w:sz w:val="18"/>
                <w:szCs w:val="18"/>
              </w:rPr>
              <w:fldChar w:fldCharType="begin"/>
            </w:r>
            <w:r w:rsidRPr="00795642">
              <w:rPr>
                <w:rFonts w:ascii="Times New Roman" w:hAnsi="Times New Roman" w:cs="Times New Roman"/>
                <w:b/>
                <w:sz w:val="18"/>
                <w:szCs w:val="18"/>
              </w:rPr>
              <w:instrText xml:space="preserve"> SEQ Text_Box \* ARABIC </w:instrText>
            </w:r>
            <w:r w:rsidR="005744EE" w:rsidRPr="00795642">
              <w:rPr>
                <w:rFonts w:ascii="Times New Roman" w:hAnsi="Times New Roman" w:cs="Times New Roman"/>
                <w:b/>
                <w:sz w:val="18"/>
                <w:szCs w:val="18"/>
              </w:rPr>
              <w:fldChar w:fldCharType="separate"/>
            </w:r>
            <w:r w:rsidR="00064A1B" w:rsidRPr="00795642">
              <w:rPr>
                <w:rFonts w:ascii="Times New Roman" w:hAnsi="Times New Roman" w:cs="Times New Roman"/>
                <w:b/>
                <w:noProof/>
                <w:sz w:val="18"/>
                <w:szCs w:val="18"/>
              </w:rPr>
              <w:t>2</w:t>
            </w:r>
            <w:r w:rsidR="005744EE" w:rsidRPr="00795642">
              <w:rPr>
                <w:rFonts w:ascii="Times New Roman" w:hAnsi="Times New Roman" w:cs="Times New Roman"/>
                <w:b/>
                <w:sz w:val="18"/>
                <w:szCs w:val="18"/>
              </w:rPr>
              <w:fldChar w:fldCharType="end"/>
            </w:r>
            <w:r w:rsidRPr="00795642">
              <w:rPr>
                <w:rFonts w:ascii="Times New Roman" w:hAnsi="Times New Roman" w:cs="Times New Roman"/>
                <w:b/>
                <w:sz w:val="18"/>
                <w:szCs w:val="18"/>
              </w:rPr>
              <w:t xml:space="preserve">: </w:t>
            </w:r>
            <w:r w:rsidRPr="00795642">
              <w:rPr>
                <w:rFonts w:ascii="Times New Roman" w:hAnsi="Times New Roman" w:cs="Times New Roman"/>
                <w:b/>
                <w:i/>
                <w:sz w:val="18"/>
                <w:szCs w:val="18"/>
              </w:rPr>
              <w:t>Banco Union</w:t>
            </w:r>
            <w:bookmarkEnd w:id="53"/>
          </w:p>
          <w:p w:rsidR="00217616" w:rsidRPr="003571FD" w:rsidRDefault="00217616" w:rsidP="00217616">
            <w:pPr>
              <w:jc w:val="both"/>
              <w:rPr>
                <w:rFonts w:ascii="Times New Roman" w:hAnsi="Times New Roman" w:cs="Times New Roman"/>
                <w:b/>
                <w:sz w:val="18"/>
                <w:szCs w:val="18"/>
              </w:rPr>
            </w:pPr>
          </w:p>
          <w:p w:rsidR="00D14922" w:rsidRDefault="00217616" w:rsidP="00217616">
            <w:pPr>
              <w:jc w:val="both"/>
              <w:rPr>
                <w:rFonts w:ascii="Times New Roman" w:hAnsi="Times New Roman" w:cs="Times New Roman"/>
                <w:sz w:val="18"/>
              </w:rPr>
            </w:pPr>
            <w:r w:rsidRPr="003571FD">
              <w:rPr>
                <w:rFonts w:ascii="Times New Roman" w:hAnsi="Times New Roman" w:cs="Times New Roman"/>
                <w:b/>
                <w:sz w:val="18"/>
              </w:rPr>
              <w:t xml:space="preserve">Supported by the new Constitution, the role of the public bank, </w:t>
            </w:r>
            <w:r w:rsidRPr="003571FD">
              <w:rPr>
                <w:rFonts w:ascii="Times New Roman" w:hAnsi="Times New Roman" w:cs="Times New Roman"/>
                <w:b/>
                <w:i/>
                <w:sz w:val="18"/>
              </w:rPr>
              <w:t>Banco Union</w:t>
            </w:r>
            <w:r w:rsidRPr="003571FD">
              <w:rPr>
                <w:rFonts w:ascii="Times New Roman" w:hAnsi="Times New Roman" w:cs="Times New Roman"/>
                <w:b/>
                <w:sz w:val="18"/>
              </w:rPr>
              <w:t xml:space="preserve">, is undergoing drastic change. </w:t>
            </w:r>
            <w:r w:rsidRPr="003571FD">
              <w:rPr>
                <w:rFonts w:ascii="Times New Roman" w:hAnsi="Times New Roman" w:cs="Times New Roman"/>
                <w:sz w:val="18"/>
              </w:rPr>
              <w:t xml:space="preserve">The new constitution mandates that a public bank conducts all financial transactions of the government, including at the local level. </w:t>
            </w:r>
            <w:r w:rsidR="00727ACE">
              <w:rPr>
                <w:rFonts w:ascii="Times New Roman" w:hAnsi="Times New Roman" w:cs="Times New Roman"/>
                <w:sz w:val="18"/>
              </w:rPr>
              <w:t>In general, b</w:t>
            </w:r>
            <w:r w:rsidR="00034529">
              <w:rPr>
                <w:rFonts w:ascii="Times New Roman" w:hAnsi="Times New Roman" w:cs="Times New Roman"/>
                <w:sz w:val="18"/>
              </w:rPr>
              <w:t xml:space="preserve">undling the </w:t>
            </w:r>
            <w:r w:rsidR="00727ACE">
              <w:rPr>
                <w:rFonts w:ascii="Times New Roman" w:hAnsi="Times New Roman" w:cs="Times New Roman"/>
                <w:sz w:val="18"/>
              </w:rPr>
              <w:t xml:space="preserve">various </w:t>
            </w:r>
            <w:r w:rsidR="00034529">
              <w:rPr>
                <w:rFonts w:ascii="Times New Roman" w:hAnsi="Times New Roman" w:cs="Times New Roman"/>
                <w:sz w:val="18"/>
              </w:rPr>
              <w:t>government accounts in</w:t>
            </w:r>
            <w:r w:rsidR="00727ACE">
              <w:rPr>
                <w:rFonts w:ascii="Times New Roman" w:hAnsi="Times New Roman" w:cs="Times New Roman"/>
                <w:sz w:val="18"/>
              </w:rPr>
              <w:t>to</w:t>
            </w:r>
            <w:r w:rsidR="00034529">
              <w:rPr>
                <w:rFonts w:ascii="Times New Roman" w:hAnsi="Times New Roman" w:cs="Times New Roman"/>
                <w:sz w:val="18"/>
              </w:rPr>
              <w:t xml:space="preserve"> one single account </w:t>
            </w:r>
            <w:r w:rsidR="00727ACE">
              <w:rPr>
                <w:rFonts w:ascii="Times New Roman" w:hAnsi="Times New Roman" w:cs="Times New Roman"/>
                <w:sz w:val="18"/>
              </w:rPr>
              <w:t xml:space="preserve">held at a financial entity </w:t>
            </w:r>
            <w:r w:rsidR="00034529">
              <w:rPr>
                <w:rFonts w:ascii="Times New Roman" w:hAnsi="Times New Roman" w:cs="Times New Roman"/>
                <w:sz w:val="18"/>
              </w:rPr>
              <w:t xml:space="preserve">can significantly enhance </w:t>
            </w:r>
            <w:r w:rsidR="00727ACE">
              <w:rPr>
                <w:rFonts w:ascii="Times New Roman" w:hAnsi="Times New Roman" w:cs="Times New Roman"/>
                <w:sz w:val="18"/>
              </w:rPr>
              <w:t>efficiency of</w:t>
            </w:r>
            <w:r w:rsidR="00034529">
              <w:rPr>
                <w:rFonts w:ascii="Times New Roman" w:hAnsi="Times New Roman" w:cs="Times New Roman"/>
                <w:sz w:val="18"/>
              </w:rPr>
              <w:t xml:space="preserve"> resource management, and </w:t>
            </w:r>
            <w:r w:rsidR="00727ACE">
              <w:rPr>
                <w:rFonts w:ascii="Times New Roman" w:hAnsi="Times New Roman" w:cs="Times New Roman"/>
                <w:sz w:val="18"/>
              </w:rPr>
              <w:t>increas</w:t>
            </w:r>
            <w:r w:rsidR="00034529">
              <w:rPr>
                <w:rFonts w:ascii="Times New Roman" w:hAnsi="Times New Roman" w:cs="Times New Roman"/>
                <w:sz w:val="18"/>
              </w:rPr>
              <w:t>e transparency</w:t>
            </w:r>
            <w:r w:rsidR="00D14922">
              <w:rPr>
                <w:rFonts w:ascii="Times New Roman" w:hAnsi="Times New Roman" w:cs="Times New Roman"/>
                <w:sz w:val="18"/>
              </w:rPr>
              <w:t xml:space="preserve">. However, attention needs to be paid that </w:t>
            </w:r>
            <w:r w:rsidR="00727ACE">
              <w:rPr>
                <w:rFonts w:ascii="Times New Roman" w:hAnsi="Times New Roman" w:cs="Times New Roman"/>
                <w:sz w:val="18"/>
              </w:rPr>
              <w:t>the government only uses its single account for originating its payments, and allows a broad range of financial entities to compete for the delivery of the payment to the recipient.</w:t>
            </w:r>
          </w:p>
          <w:p w:rsidR="00727ACE" w:rsidRDefault="00727ACE" w:rsidP="00217616">
            <w:pPr>
              <w:jc w:val="both"/>
              <w:rPr>
                <w:rFonts w:ascii="Times New Roman" w:hAnsi="Times New Roman" w:cs="Times New Roman"/>
                <w:sz w:val="18"/>
              </w:rPr>
            </w:pPr>
          </w:p>
          <w:p w:rsidR="00217616" w:rsidRPr="003571FD" w:rsidRDefault="00D14922" w:rsidP="00217616">
            <w:pPr>
              <w:jc w:val="both"/>
              <w:rPr>
                <w:rFonts w:ascii="Times New Roman" w:hAnsi="Times New Roman" w:cs="Times New Roman"/>
                <w:sz w:val="18"/>
              </w:rPr>
            </w:pPr>
            <w:r>
              <w:rPr>
                <w:rFonts w:ascii="Times New Roman" w:hAnsi="Times New Roman" w:cs="Times New Roman"/>
                <w:b/>
                <w:sz w:val="18"/>
              </w:rPr>
              <w:t>With a singly treasury account already in place, t</w:t>
            </w:r>
            <w:r w:rsidR="00781E2F" w:rsidRPr="00781E2F">
              <w:rPr>
                <w:rFonts w:ascii="Times New Roman" w:hAnsi="Times New Roman" w:cs="Times New Roman"/>
                <w:b/>
                <w:sz w:val="18"/>
              </w:rPr>
              <w:t xml:space="preserve">he government has started to shift some of its </w:t>
            </w:r>
            <w:r w:rsidR="009F5F66" w:rsidRPr="00781E2F">
              <w:rPr>
                <w:rFonts w:ascii="Times New Roman" w:hAnsi="Times New Roman" w:cs="Times New Roman"/>
                <w:b/>
                <w:sz w:val="18"/>
              </w:rPr>
              <w:t>transactions from</w:t>
            </w:r>
            <w:r w:rsidR="00781E2F" w:rsidRPr="00781E2F">
              <w:rPr>
                <w:rFonts w:ascii="Times New Roman" w:hAnsi="Times New Roman" w:cs="Times New Roman"/>
                <w:b/>
                <w:sz w:val="18"/>
              </w:rPr>
              <w:t xml:space="preserve"> private banks to </w:t>
            </w:r>
            <w:r w:rsidR="00781E2F" w:rsidRPr="00781E2F">
              <w:rPr>
                <w:rFonts w:ascii="Times New Roman" w:hAnsi="Times New Roman" w:cs="Times New Roman"/>
                <w:b/>
                <w:i/>
                <w:sz w:val="18"/>
              </w:rPr>
              <w:t>Banco Union</w:t>
            </w:r>
            <w:r>
              <w:rPr>
                <w:rFonts w:ascii="Times New Roman" w:hAnsi="Times New Roman" w:cs="Times New Roman"/>
                <w:b/>
                <w:i/>
                <w:sz w:val="18"/>
              </w:rPr>
              <w:t xml:space="preserve">. </w:t>
            </w:r>
            <w:r w:rsidR="00217616" w:rsidRPr="003571FD">
              <w:rPr>
                <w:rFonts w:ascii="Times New Roman" w:hAnsi="Times New Roman" w:cs="Times New Roman"/>
                <w:sz w:val="18"/>
              </w:rPr>
              <w:t xml:space="preserve"> </w:t>
            </w:r>
            <w:r w:rsidR="006E765F">
              <w:rPr>
                <w:rFonts w:ascii="Times New Roman" w:hAnsi="Times New Roman" w:cs="Times New Roman"/>
                <w:sz w:val="18"/>
              </w:rPr>
              <w:t xml:space="preserve">For example, </w:t>
            </w:r>
            <w:r w:rsidR="00217616" w:rsidRPr="003571FD">
              <w:rPr>
                <w:rFonts w:ascii="Times New Roman" w:hAnsi="Times New Roman" w:cs="Times New Roman"/>
                <w:sz w:val="18"/>
              </w:rPr>
              <w:t xml:space="preserve">civil servants </w:t>
            </w:r>
            <w:r w:rsidR="00A50F77">
              <w:rPr>
                <w:rFonts w:ascii="Times New Roman" w:hAnsi="Times New Roman" w:cs="Times New Roman"/>
                <w:sz w:val="18"/>
              </w:rPr>
              <w:t xml:space="preserve">now have to </w:t>
            </w:r>
            <w:r w:rsidR="00217616" w:rsidRPr="003571FD">
              <w:rPr>
                <w:rFonts w:ascii="Times New Roman" w:hAnsi="Times New Roman" w:cs="Times New Roman"/>
                <w:sz w:val="18"/>
              </w:rPr>
              <w:t xml:space="preserve">become clients of </w:t>
            </w:r>
            <w:r w:rsidR="00217616" w:rsidRPr="003571FD">
              <w:rPr>
                <w:rFonts w:ascii="Times New Roman" w:hAnsi="Times New Roman" w:cs="Times New Roman"/>
                <w:i/>
                <w:sz w:val="18"/>
              </w:rPr>
              <w:t>Banco Union</w:t>
            </w:r>
            <w:r w:rsidR="00217616" w:rsidRPr="003571FD">
              <w:rPr>
                <w:rFonts w:ascii="Times New Roman" w:hAnsi="Times New Roman" w:cs="Times New Roman"/>
                <w:sz w:val="18"/>
              </w:rPr>
              <w:t xml:space="preserve"> to receive their salary. The rationale behind this </w:t>
            </w:r>
            <w:r w:rsidR="00A50F77">
              <w:rPr>
                <w:rFonts w:ascii="Times New Roman" w:hAnsi="Times New Roman" w:cs="Times New Roman"/>
                <w:sz w:val="18"/>
              </w:rPr>
              <w:t xml:space="preserve">reform </w:t>
            </w:r>
            <w:r w:rsidR="00217616" w:rsidRPr="003571FD">
              <w:rPr>
                <w:rFonts w:ascii="Times New Roman" w:hAnsi="Times New Roman" w:cs="Times New Roman"/>
                <w:sz w:val="18"/>
              </w:rPr>
              <w:t xml:space="preserve">is not clear, as the constitutional mandate could also be fulfilled by using </w:t>
            </w:r>
            <w:r w:rsidR="00217616" w:rsidRPr="003571FD">
              <w:rPr>
                <w:rFonts w:ascii="Times New Roman" w:hAnsi="Times New Roman" w:cs="Times New Roman"/>
                <w:i/>
                <w:sz w:val="18"/>
              </w:rPr>
              <w:t>Banco Union</w:t>
            </w:r>
            <w:r w:rsidR="00217616" w:rsidRPr="003571FD">
              <w:rPr>
                <w:rFonts w:ascii="Times New Roman" w:hAnsi="Times New Roman" w:cs="Times New Roman"/>
                <w:sz w:val="18"/>
              </w:rPr>
              <w:t xml:space="preserve"> to transfer public funds into individual </w:t>
            </w:r>
            <w:r>
              <w:rPr>
                <w:rFonts w:ascii="Times New Roman" w:hAnsi="Times New Roman" w:cs="Times New Roman"/>
                <w:sz w:val="18"/>
              </w:rPr>
              <w:t xml:space="preserve">beneficiary </w:t>
            </w:r>
            <w:r w:rsidR="00217616" w:rsidRPr="003571FD">
              <w:rPr>
                <w:rFonts w:ascii="Times New Roman" w:hAnsi="Times New Roman" w:cs="Times New Roman"/>
                <w:sz w:val="18"/>
              </w:rPr>
              <w:t xml:space="preserve">accounts </w:t>
            </w:r>
            <w:r>
              <w:rPr>
                <w:rFonts w:ascii="Times New Roman" w:hAnsi="Times New Roman" w:cs="Times New Roman"/>
                <w:sz w:val="18"/>
              </w:rPr>
              <w:t xml:space="preserve">held </w:t>
            </w:r>
            <w:r w:rsidR="00217616" w:rsidRPr="003571FD">
              <w:rPr>
                <w:rFonts w:ascii="Times New Roman" w:hAnsi="Times New Roman" w:cs="Times New Roman"/>
                <w:sz w:val="18"/>
              </w:rPr>
              <w:t xml:space="preserve">at financial institutions of the recipients’ choice. </w:t>
            </w:r>
            <w:r w:rsidR="006E765F">
              <w:rPr>
                <w:rFonts w:ascii="Times New Roman" w:hAnsi="Times New Roman" w:cs="Times New Roman"/>
                <w:sz w:val="18"/>
              </w:rPr>
              <w:t xml:space="preserve">The Bono </w:t>
            </w:r>
            <w:proofErr w:type="spellStart"/>
            <w:r w:rsidR="006E765F">
              <w:rPr>
                <w:rFonts w:ascii="Times New Roman" w:hAnsi="Times New Roman" w:cs="Times New Roman"/>
                <w:sz w:val="18"/>
              </w:rPr>
              <w:t>Directo</w:t>
            </w:r>
            <w:proofErr w:type="spellEnd"/>
            <w:r w:rsidR="006E765F">
              <w:rPr>
                <w:rFonts w:ascii="Times New Roman" w:hAnsi="Times New Roman" w:cs="Times New Roman"/>
                <w:sz w:val="18"/>
              </w:rPr>
              <w:t xml:space="preserve">, which aims to provide the population with higher interest deposit alternatives, is only available through Banco Union. </w:t>
            </w:r>
            <w:r w:rsidR="00217616" w:rsidRPr="003571FD">
              <w:rPr>
                <w:rFonts w:ascii="Times New Roman" w:hAnsi="Times New Roman" w:cs="Times New Roman"/>
                <w:sz w:val="18"/>
              </w:rPr>
              <w:t xml:space="preserve">Other functions, such as tax and custom payments, and the cashing-out of conditional cash transfers are </w:t>
            </w:r>
            <w:r w:rsidR="00A50F77">
              <w:rPr>
                <w:rFonts w:ascii="Times New Roman" w:hAnsi="Times New Roman" w:cs="Times New Roman"/>
                <w:sz w:val="18"/>
              </w:rPr>
              <w:t xml:space="preserve">also </w:t>
            </w:r>
            <w:r w:rsidR="00217616" w:rsidRPr="003571FD">
              <w:rPr>
                <w:rFonts w:ascii="Times New Roman" w:hAnsi="Times New Roman" w:cs="Times New Roman"/>
                <w:sz w:val="18"/>
              </w:rPr>
              <w:t>under consideration</w:t>
            </w:r>
            <w:r>
              <w:rPr>
                <w:rFonts w:ascii="Times New Roman" w:hAnsi="Times New Roman" w:cs="Times New Roman"/>
                <w:sz w:val="18"/>
              </w:rPr>
              <w:t xml:space="preserve"> to be shifted in their entirety to </w:t>
            </w:r>
            <w:r w:rsidR="00781E2F" w:rsidRPr="00781E2F">
              <w:rPr>
                <w:rFonts w:ascii="Times New Roman" w:hAnsi="Times New Roman" w:cs="Times New Roman"/>
                <w:i/>
                <w:sz w:val="18"/>
              </w:rPr>
              <w:t>Banco Union</w:t>
            </w:r>
            <w:r w:rsidR="00A50F77">
              <w:rPr>
                <w:rFonts w:ascii="Times New Roman" w:hAnsi="Times New Roman" w:cs="Times New Roman"/>
                <w:sz w:val="18"/>
              </w:rPr>
              <w:t xml:space="preserve">. If implemented, this would transfer a </w:t>
            </w:r>
            <w:r w:rsidR="00217616" w:rsidRPr="003571FD">
              <w:rPr>
                <w:rFonts w:ascii="Times New Roman" w:hAnsi="Times New Roman" w:cs="Times New Roman"/>
                <w:sz w:val="18"/>
              </w:rPr>
              <w:t xml:space="preserve">gigantic amount of transactions to </w:t>
            </w:r>
            <w:r w:rsidR="00781E2F" w:rsidRPr="00781E2F">
              <w:rPr>
                <w:rFonts w:ascii="Times New Roman" w:hAnsi="Times New Roman" w:cs="Times New Roman"/>
                <w:i/>
                <w:sz w:val="18"/>
              </w:rPr>
              <w:t>Banco Union</w:t>
            </w:r>
            <w:r w:rsidR="00727ACE" w:rsidRPr="003571FD">
              <w:rPr>
                <w:rFonts w:ascii="Times New Roman" w:hAnsi="Times New Roman" w:cs="Times New Roman"/>
                <w:sz w:val="18"/>
              </w:rPr>
              <w:t xml:space="preserve"> </w:t>
            </w:r>
            <w:r w:rsidR="00A50F77">
              <w:rPr>
                <w:rFonts w:ascii="Times New Roman" w:hAnsi="Times New Roman" w:cs="Times New Roman"/>
                <w:sz w:val="18"/>
              </w:rPr>
              <w:t>which</w:t>
            </w:r>
            <w:r w:rsidR="00A50F77" w:rsidRPr="003571FD">
              <w:rPr>
                <w:rFonts w:ascii="Times New Roman" w:hAnsi="Times New Roman" w:cs="Times New Roman"/>
                <w:sz w:val="18"/>
              </w:rPr>
              <w:t xml:space="preserve"> </w:t>
            </w:r>
            <w:r w:rsidR="00217616" w:rsidRPr="003571FD">
              <w:rPr>
                <w:rFonts w:ascii="Times New Roman" w:hAnsi="Times New Roman" w:cs="Times New Roman"/>
                <w:sz w:val="18"/>
              </w:rPr>
              <w:t xml:space="preserve">currently </w:t>
            </w:r>
            <w:proofErr w:type="gramStart"/>
            <w:r w:rsidR="00217616" w:rsidRPr="003571FD">
              <w:rPr>
                <w:rFonts w:ascii="Times New Roman" w:hAnsi="Times New Roman" w:cs="Times New Roman"/>
                <w:sz w:val="18"/>
              </w:rPr>
              <w:t>are</w:t>
            </w:r>
            <w:proofErr w:type="gramEnd"/>
            <w:r w:rsidR="00217616" w:rsidRPr="003571FD">
              <w:rPr>
                <w:rFonts w:ascii="Times New Roman" w:hAnsi="Times New Roman" w:cs="Times New Roman"/>
                <w:sz w:val="18"/>
              </w:rPr>
              <w:t xml:space="preserve"> handled by the private financial system.</w:t>
            </w:r>
          </w:p>
          <w:p w:rsidR="00217616" w:rsidRPr="003571FD" w:rsidRDefault="00217616" w:rsidP="00217616">
            <w:pPr>
              <w:jc w:val="both"/>
              <w:rPr>
                <w:rFonts w:ascii="Times New Roman" w:hAnsi="Times New Roman" w:cs="Times New Roman"/>
                <w:sz w:val="18"/>
              </w:rPr>
            </w:pPr>
          </w:p>
          <w:p w:rsidR="00217616" w:rsidRPr="003571FD" w:rsidRDefault="00217616" w:rsidP="00217616">
            <w:pPr>
              <w:jc w:val="both"/>
              <w:rPr>
                <w:rFonts w:ascii="Times New Roman" w:hAnsi="Times New Roman" w:cs="Times New Roman"/>
                <w:sz w:val="18"/>
              </w:rPr>
            </w:pPr>
            <w:r w:rsidRPr="003571FD">
              <w:rPr>
                <w:rFonts w:ascii="Times New Roman" w:hAnsi="Times New Roman" w:cs="Times New Roman"/>
                <w:b/>
                <w:sz w:val="18"/>
              </w:rPr>
              <w:t xml:space="preserve">Providing the payment services to public employees and beneficiaries of public programs without increasing the cost of access for those previously already “banked” customers will imply substantial investment and growth in the branch network </w:t>
            </w:r>
            <w:r w:rsidRPr="00A50F77">
              <w:rPr>
                <w:rFonts w:ascii="Times New Roman" w:hAnsi="Times New Roman" w:cs="Times New Roman"/>
                <w:b/>
                <w:sz w:val="18"/>
              </w:rPr>
              <w:t xml:space="preserve">of </w:t>
            </w:r>
            <w:r w:rsidRPr="00A50F77">
              <w:rPr>
                <w:rFonts w:ascii="Times New Roman" w:hAnsi="Times New Roman" w:cs="Times New Roman"/>
                <w:b/>
                <w:i/>
                <w:sz w:val="18"/>
              </w:rPr>
              <w:t>Banco Union</w:t>
            </w:r>
            <w:r w:rsidRPr="003571FD">
              <w:rPr>
                <w:rFonts w:ascii="Times New Roman" w:hAnsi="Times New Roman" w:cs="Times New Roman"/>
                <w:b/>
                <w:sz w:val="18"/>
              </w:rPr>
              <w:t xml:space="preserve">. </w:t>
            </w:r>
            <w:r w:rsidRPr="003571FD">
              <w:rPr>
                <w:rFonts w:ascii="Times New Roman" w:hAnsi="Times New Roman" w:cs="Times New Roman"/>
                <w:sz w:val="18"/>
              </w:rPr>
              <w:t xml:space="preserve">This will include new branches in already well-banked locations, and also require additional human resources to cover the surge in transactions. Without direct government subsidies, this </w:t>
            </w:r>
            <w:r w:rsidR="00A50F77">
              <w:rPr>
                <w:rFonts w:ascii="Times New Roman" w:hAnsi="Times New Roman" w:cs="Times New Roman"/>
                <w:sz w:val="18"/>
              </w:rPr>
              <w:t xml:space="preserve">imply a reduction of </w:t>
            </w:r>
            <w:r w:rsidRPr="003571FD">
              <w:rPr>
                <w:rFonts w:ascii="Times New Roman" w:hAnsi="Times New Roman" w:cs="Times New Roman"/>
                <w:sz w:val="18"/>
              </w:rPr>
              <w:t xml:space="preserve"> available funding envelop </w:t>
            </w:r>
            <w:r w:rsidR="00A50F77">
              <w:rPr>
                <w:rFonts w:ascii="Times New Roman" w:hAnsi="Times New Roman" w:cs="Times New Roman"/>
                <w:sz w:val="18"/>
              </w:rPr>
              <w:t xml:space="preserve">and institutional capacity </w:t>
            </w:r>
            <w:r w:rsidRPr="003571FD">
              <w:rPr>
                <w:rFonts w:ascii="Times New Roman" w:hAnsi="Times New Roman" w:cs="Times New Roman"/>
                <w:sz w:val="18"/>
              </w:rPr>
              <w:t xml:space="preserve">for increasing outreach to underserved localities and segments of the population, and for the development of initiatives and alliances to foster credit to micro and small enterprises – two areas in which </w:t>
            </w:r>
            <w:r w:rsidRPr="003571FD">
              <w:rPr>
                <w:rFonts w:ascii="Times New Roman" w:hAnsi="Times New Roman" w:cs="Times New Roman"/>
                <w:i/>
                <w:sz w:val="18"/>
              </w:rPr>
              <w:t>Banco Union</w:t>
            </w:r>
            <w:r w:rsidRPr="003571FD">
              <w:rPr>
                <w:rFonts w:ascii="Times New Roman" w:hAnsi="Times New Roman" w:cs="Times New Roman"/>
                <w:sz w:val="18"/>
              </w:rPr>
              <w:t xml:space="preserve"> has already started to engaged. It will also draw the attention and institutional capacity of </w:t>
            </w:r>
            <w:r w:rsidRPr="003571FD">
              <w:rPr>
                <w:rFonts w:ascii="Times New Roman" w:hAnsi="Times New Roman" w:cs="Times New Roman"/>
                <w:i/>
                <w:sz w:val="18"/>
              </w:rPr>
              <w:t>Banco Union</w:t>
            </w:r>
            <w:r w:rsidRPr="003571FD">
              <w:rPr>
                <w:rFonts w:ascii="Times New Roman" w:hAnsi="Times New Roman" w:cs="Times New Roman"/>
                <w:sz w:val="18"/>
              </w:rPr>
              <w:t xml:space="preserve"> away from the developmental roles the Bank could </w:t>
            </w:r>
            <w:r w:rsidR="00A50F77">
              <w:rPr>
                <w:rFonts w:ascii="Times New Roman" w:hAnsi="Times New Roman" w:cs="Times New Roman"/>
                <w:sz w:val="18"/>
              </w:rPr>
              <w:t xml:space="preserve">meaningfully </w:t>
            </w:r>
            <w:r w:rsidRPr="003571FD">
              <w:rPr>
                <w:rFonts w:ascii="Times New Roman" w:hAnsi="Times New Roman" w:cs="Times New Roman"/>
                <w:sz w:val="18"/>
              </w:rPr>
              <w:t>play</w:t>
            </w:r>
            <w:r w:rsidR="00A50F77">
              <w:rPr>
                <w:rFonts w:ascii="Times New Roman" w:hAnsi="Times New Roman" w:cs="Times New Roman"/>
                <w:sz w:val="18"/>
              </w:rPr>
              <w:t>, and shift it towards</w:t>
            </w:r>
            <w:r w:rsidRPr="003571FD">
              <w:rPr>
                <w:rFonts w:ascii="Times New Roman" w:hAnsi="Times New Roman" w:cs="Times New Roman"/>
                <w:sz w:val="18"/>
              </w:rPr>
              <w:t xml:space="preserve"> functions that the private system is already fulfilling.</w:t>
            </w:r>
          </w:p>
          <w:p w:rsidR="00217616" w:rsidRPr="003571FD" w:rsidRDefault="00217616" w:rsidP="00217616">
            <w:pPr>
              <w:jc w:val="both"/>
              <w:rPr>
                <w:rFonts w:ascii="Times New Roman" w:hAnsi="Times New Roman" w:cs="Times New Roman"/>
                <w:b/>
                <w:sz w:val="18"/>
              </w:rPr>
            </w:pPr>
          </w:p>
          <w:p w:rsidR="00217616" w:rsidRPr="003571FD" w:rsidRDefault="00A50F77" w:rsidP="00217616">
            <w:pPr>
              <w:jc w:val="both"/>
              <w:rPr>
                <w:rFonts w:ascii="Times New Roman" w:hAnsi="Times New Roman" w:cs="Times New Roman"/>
                <w:sz w:val="18"/>
              </w:rPr>
            </w:pPr>
            <w:r>
              <w:rPr>
                <w:rFonts w:ascii="Times New Roman" w:hAnsi="Times New Roman" w:cs="Times New Roman"/>
                <w:b/>
                <w:sz w:val="18"/>
              </w:rPr>
              <w:t>Finally</w:t>
            </w:r>
            <w:r w:rsidR="00217616" w:rsidRPr="003571FD">
              <w:rPr>
                <w:rFonts w:ascii="Times New Roman" w:hAnsi="Times New Roman" w:cs="Times New Roman"/>
                <w:b/>
                <w:sz w:val="18"/>
              </w:rPr>
              <w:t xml:space="preserve">, shifting these transactions </w:t>
            </w:r>
            <w:r w:rsidR="009F5F66" w:rsidRPr="003571FD">
              <w:rPr>
                <w:rFonts w:ascii="Times New Roman" w:hAnsi="Times New Roman" w:cs="Times New Roman"/>
                <w:b/>
                <w:sz w:val="18"/>
              </w:rPr>
              <w:t xml:space="preserve">to </w:t>
            </w:r>
            <w:r w:rsidR="009F5F66">
              <w:rPr>
                <w:rFonts w:ascii="Times New Roman" w:hAnsi="Times New Roman" w:cs="Times New Roman"/>
                <w:b/>
                <w:sz w:val="18"/>
              </w:rPr>
              <w:t>a</w:t>
            </w:r>
            <w:r>
              <w:rPr>
                <w:rFonts w:ascii="Times New Roman" w:hAnsi="Times New Roman" w:cs="Times New Roman"/>
                <w:b/>
                <w:sz w:val="18"/>
              </w:rPr>
              <w:t xml:space="preserve"> </w:t>
            </w:r>
            <w:r w:rsidR="00034529">
              <w:rPr>
                <w:rFonts w:ascii="Times New Roman" w:hAnsi="Times New Roman" w:cs="Times New Roman"/>
                <w:b/>
                <w:sz w:val="18"/>
              </w:rPr>
              <w:t xml:space="preserve">single bank – be it in public or private hands </w:t>
            </w:r>
            <w:r w:rsidR="009F5F66">
              <w:rPr>
                <w:rFonts w:ascii="Times New Roman" w:hAnsi="Times New Roman" w:cs="Times New Roman"/>
                <w:b/>
                <w:sz w:val="18"/>
              </w:rPr>
              <w:t xml:space="preserve">- </w:t>
            </w:r>
            <w:r w:rsidR="009F5F66" w:rsidRPr="003571FD">
              <w:rPr>
                <w:rFonts w:ascii="Times New Roman" w:hAnsi="Times New Roman" w:cs="Times New Roman"/>
                <w:b/>
                <w:sz w:val="18"/>
              </w:rPr>
              <w:t>will</w:t>
            </w:r>
            <w:r w:rsidR="00217616" w:rsidRPr="003571FD">
              <w:rPr>
                <w:rFonts w:ascii="Times New Roman" w:hAnsi="Times New Roman" w:cs="Times New Roman"/>
                <w:b/>
                <w:sz w:val="18"/>
              </w:rPr>
              <w:t xml:space="preserve"> create distortions in the market, and reduce incentives for the </w:t>
            </w:r>
            <w:r w:rsidR="00034529">
              <w:rPr>
                <w:rFonts w:ascii="Times New Roman" w:hAnsi="Times New Roman" w:cs="Times New Roman"/>
                <w:b/>
                <w:sz w:val="18"/>
              </w:rPr>
              <w:t>other market participants</w:t>
            </w:r>
            <w:r w:rsidR="00217616" w:rsidRPr="003571FD">
              <w:rPr>
                <w:rFonts w:ascii="Times New Roman" w:hAnsi="Times New Roman" w:cs="Times New Roman"/>
                <w:b/>
                <w:sz w:val="18"/>
              </w:rPr>
              <w:t xml:space="preserve"> to increase outreach.</w:t>
            </w:r>
            <w:r w:rsidR="00217616" w:rsidRPr="003571FD">
              <w:rPr>
                <w:rFonts w:ascii="Times New Roman" w:hAnsi="Times New Roman" w:cs="Times New Roman"/>
                <w:sz w:val="18"/>
              </w:rPr>
              <w:t xml:space="preserve"> Handling </w:t>
            </w:r>
            <w:r w:rsidR="00034529">
              <w:rPr>
                <w:rFonts w:ascii="Times New Roman" w:hAnsi="Times New Roman" w:cs="Times New Roman"/>
                <w:sz w:val="18"/>
              </w:rPr>
              <w:t xml:space="preserve">of salary payments provides an important and viable opportunity for </w:t>
            </w:r>
            <w:proofErr w:type="gramStart"/>
            <w:r w:rsidR="00034529">
              <w:rPr>
                <w:rFonts w:ascii="Times New Roman" w:hAnsi="Times New Roman" w:cs="Times New Roman"/>
                <w:sz w:val="18"/>
              </w:rPr>
              <w:t>cross-selling,</w:t>
            </w:r>
            <w:proofErr w:type="gramEnd"/>
            <w:r w:rsidR="00034529">
              <w:rPr>
                <w:rFonts w:ascii="Times New Roman" w:hAnsi="Times New Roman" w:cs="Times New Roman"/>
                <w:sz w:val="18"/>
              </w:rPr>
              <w:t xml:space="preserve"> and </w:t>
            </w:r>
            <w:r w:rsidR="00217616" w:rsidRPr="003571FD">
              <w:rPr>
                <w:rFonts w:ascii="Times New Roman" w:hAnsi="Times New Roman" w:cs="Times New Roman"/>
                <w:sz w:val="18"/>
              </w:rPr>
              <w:t xml:space="preserve">payment services such as utility payments and taxes brings clients in contact with a financial institution, and helps </w:t>
            </w:r>
            <w:r w:rsidR="00034529">
              <w:rPr>
                <w:rFonts w:ascii="Times New Roman" w:hAnsi="Times New Roman" w:cs="Times New Roman"/>
                <w:sz w:val="18"/>
              </w:rPr>
              <w:t>establish</w:t>
            </w:r>
            <w:r w:rsidR="00034529" w:rsidRPr="003571FD">
              <w:rPr>
                <w:rFonts w:ascii="Times New Roman" w:hAnsi="Times New Roman" w:cs="Times New Roman"/>
                <w:sz w:val="18"/>
              </w:rPr>
              <w:t xml:space="preserve"> </w:t>
            </w:r>
            <w:r w:rsidR="00217616" w:rsidRPr="003571FD">
              <w:rPr>
                <w:rFonts w:ascii="Times New Roman" w:hAnsi="Times New Roman" w:cs="Times New Roman"/>
                <w:sz w:val="18"/>
              </w:rPr>
              <w:t xml:space="preserve">trust. Additionally, these transactions create an – albeit limited – source of income, which can help defray the costs of maintaining a branch network in a remote and small location. Handling these payments can thus be an important </w:t>
            </w:r>
            <w:r>
              <w:rPr>
                <w:rFonts w:ascii="Times New Roman" w:hAnsi="Times New Roman" w:cs="Times New Roman"/>
                <w:sz w:val="18"/>
              </w:rPr>
              <w:t xml:space="preserve">strategic </w:t>
            </w:r>
            <w:r w:rsidR="00217616" w:rsidRPr="003571FD">
              <w:rPr>
                <w:rFonts w:ascii="Times New Roman" w:hAnsi="Times New Roman" w:cs="Times New Roman"/>
                <w:sz w:val="18"/>
              </w:rPr>
              <w:t xml:space="preserve">element for </w:t>
            </w:r>
            <w:r w:rsidR="00034529">
              <w:rPr>
                <w:rFonts w:ascii="Times New Roman" w:hAnsi="Times New Roman" w:cs="Times New Roman"/>
                <w:sz w:val="18"/>
              </w:rPr>
              <w:t xml:space="preserve">increasing outreach and </w:t>
            </w:r>
            <w:r w:rsidR="00217616" w:rsidRPr="003571FD">
              <w:rPr>
                <w:rFonts w:ascii="Times New Roman" w:hAnsi="Times New Roman" w:cs="Times New Roman"/>
                <w:sz w:val="18"/>
              </w:rPr>
              <w:t xml:space="preserve">growth. Creating a transactional monopoly will on the other hand likely only lead to a strong dominance of and dependence </w:t>
            </w:r>
            <w:proofErr w:type="gramStart"/>
            <w:r w:rsidR="00217616" w:rsidRPr="003571FD">
              <w:rPr>
                <w:rFonts w:ascii="Times New Roman" w:hAnsi="Times New Roman" w:cs="Times New Roman"/>
                <w:sz w:val="18"/>
              </w:rPr>
              <w:t xml:space="preserve">on </w:t>
            </w:r>
            <w:r w:rsidR="00034529">
              <w:rPr>
                <w:rFonts w:ascii="Times New Roman" w:hAnsi="Times New Roman" w:cs="Times New Roman"/>
                <w:sz w:val="18"/>
              </w:rPr>
              <w:t xml:space="preserve"> one</w:t>
            </w:r>
            <w:proofErr w:type="gramEnd"/>
            <w:r w:rsidR="00034529">
              <w:rPr>
                <w:rFonts w:ascii="Times New Roman" w:hAnsi="Times New Roman" w:cs="Times New Roman"/>
                <w:sz w:val="18"/>
              </w:rPr>
              <w:t xml:space="preserve"> entity</w:t>
            </w:r>
            <w:r w:rsidR="00217616" w:rsidRPr="003571FD">
              <w:rPr>
                <w:rFonts w:ascii="Times New Roman" w:hAnsi="Times New Roman" w:cs="Times New Roman"/>
                <w:sz w:val="18"/>
              </w:rPr>
              <w:t xml:space="preserve">, instead of supporting a more organic and sustainable growth of the </w:t>
            </w:r>
            <w:r w:rsidR="00034529">
              <w:rPr>
                <w:rFonts w:ascii="Times New Roman" w:hAnsi="Times New Roman" w:cs="Times New Roman"/>
                <w:sz w:val="18"/>
              </w:rPr>
              <w:t>entire financial sector</w:t>
            </w:r>
            <w:r w:rsidR="00217616" w:rsidRPr="003571FD">
              <w:rPr>
                <w:rFonts w:ascii="Times New Roman" w:hAnsi="Times New Roman" w:cs="Times New Roman"/>
                <w:sz w:val="18"/>
              </w:rPr>
              <w:t xml:space="preserve">. </w:t>
            </w:r>
          </w:p>
          <w:p w:rsidR="00217616" w:rsidRPr="003571FD" w:rsidRDefault="00217616" w:rsidP="00217616">
            <w:pPr>
              <w:pStyle w:val="ListParagraph"/>
              <w:spacing w:after="240"/>
              <w:ind w:left="0"/>
              <w:jc w:val="both"/>
              <w:rPr>
                <w:rFonts w:ascii="Times New Roman" w:hAnsi="Times New Roman" w:cs="Times New Roman"/>
                <w:sz w:val="24"/>
                <w:szCs w:val="24"/>
              </w:rPr>
            </w:pPr>
          </w:p>
        </w:tc>
      </w:tr>
    </w:tbl>
    <w:p w:rsidR="00217616" w:rsidRPr="003571FD" w:rsidRDefault="00217616" w:rsidP="00217616">
      <w:pPr>
        <w:pStyle w:val="ListParagraph"/>
        <w:spacing w:after="240"/>
        <w:ind w:left="0"/>
        <w:jc w:val="both"/>
        <w:rPr>
          <w:rFonts w:ascii="Times New Roman" w:hAnsi="Times New Roman" w:cs="Times New Roman"/>
          <w:sz w:val="24"/>
          <w:szCs w:val="24"/>
        </w:rPr>
      </w:pPr>
    </w:p>
    <w:p w:rsidR="0068206F" w:rsidRPr="003571FD" w:rsidRDefault="0068206F">
      <w:pPr>
        <w:pStyle w:val="ListParagraph"/>
        <w:spacing w:after="240"/>
        <w:ind w:left="0"/>
        <w:jc w:val="both"/>
        <w:rPr>
          <w:rFonts w:ascii="Times New Roman" w:hAnsi="Times New Roman" w:cs="Times New Roman"/>
          <w:sz w:val="24"/>
          <w:szCs w:val="24"/>
        </w:rPr>
      </w:pPr>
    </w:p>
    <w:p w:rsidR="00634D54" w:rsidRPr="003571FD" w:rsidRDefault="00634D54">
      <w:pPr>
        <w:rPr>
          <w:rFonts w:ascii="Times New Roman" w:hAnsi="Times New Roman" w:cs="Times New Roman"/>
          <w:b/>
          <w:sz w:val="24"/>
          <w:szCs w:val="24"/>
        </w:rPr>
      </w:pPr>
      <w:r w:rsidRPr="003571FD">
        <w:rPr>
          <w:rFonts w:ascii="Times New Roman" w:hAnsi="Times New Roman" w:cs="Times New Roman"/>
          <w:b/>
          <w:sz w:val="24"/>
          <w:szCs w:val="24"/>
        </w:rPr>
        <w:br w:type="page"/>
      </w: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lastRenderedPageBreak/>
        <w:t>The above assessment suggests that reforms need to place a stronger focus on bringing down the costs of service delivery and at setting incentives for the use and supply of modern financial products.</w:t>
      </w:r>
      <w:r w:rsidRPr="003571FD">
        <w:rPr>
          <w:rFonts w:ascii="Times New Roman" w:hAnsi="Times New Roman" w:cs="Times New Roman"/>
          <w:sz w:val="24"/>
          <w:szCs w:val="24"/>
        </w:rPr>
        <w:t xml:space="preserve"> To complement and refocus ongoing efforts, survey work should be carried out to bridge the knowledge gap on the population’s actual access and use of financial services, and to determine existing perceptions and preferences as well as knowledge gaps that could impede uptake. Another priority would be to enhance the communication and national payment system infrastructure in the country to facilitate the use of modern banking tools. Furthermore, more flexibility and innovation will be needed to deliver financial service to less densely populated areas, for example through the use of mobile agencies, mobile banking technology and non-bank agent models.</w:t>
      </w:r>
      <w:r w:rsidR="00B07DFB" w:rsidRPr="003571FD">
        <w:rPr>
          <w:rFonts w:ascii="Times New Roman" w:hAnsi="Times New Roman" w:cs="Times New Roman"/>
          <w:sz w:val="24"/>
          <w:szCs w:val="24"/>
        </w:rPr>
        <w:t xml:space="preserve"> </w:t>
      </w:r>
      <w:r w:rsidRPr="003571FD">
        <w:rPr>
          <w:rFonts w:ascii="Times New Roman" w:hAnsi="Times New Roman" w:cs="Times New Roman"/>
          <w:sz w:val="24"/>
          <w:szCs w:val="24"/>
        </w:rPr>
        <w:t>This would imply reforms of the regulatory framework to reduce the costs for security, oversight and administrative burden for those solutions and well as government support in rolling them out. Finally, financial education would be needed to familiarize the population, in particular in rural areas, with the benefits of using modern forms of payments for their transactions. The implementation of all these reforms can be considerably facilitated through the way government to person and business payment is being handled. The following paragraph discusses these possible additional reforms in more depth:</w:t>
      </w:r>
    </w:p>
    <w:p w:rsidR="00EC5E43" w:rsidRPr="003571FD" w:rsidRDefault="00EC5E43" w:rsidP="00EC5E43">
      <w:pPr>
        <w:jc w:val="both"/>
        <w:rPr>
          <w:rFonts w:ascii="Times New Roman" w:hAnsi="Times New Roman" w:cs="Times New Roman"/>
          <w:i/>
          <w:sz w:val="24"/>
          <w:szCs w:val="24"/>
        </w:rPr>
      </w:pPr>
      <w:r w:rsidRPr="003571FD">
        <w:rPr>
          <w:rFonts w:ascii="Times New Roman" w:hAnsi="Times New Roman" w:cs="Times New Roman"/>
          <w:i/>
          <w:sz w:val="24"/>
          <w:szCs w:val="24"/>
        </w:rPr>
        <w:t xml:space="preserve">Enhance the available data on rural areas and actual outreach: </w:t>
      </w: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A demand side survey to assess the use of financial services and to determine bottlenecks should be rolled out in both rural and urban areas to help the authorities determine actual gaps, define adequate policies and track their impact.</w:t>
      </w:r>
      <w:r w:rsidRPr="003571FD">
        <w:rPr>
          <w:rFonts w:ascii="Times New Roman" w:hAnsi="Times New Roman" w:cs="Times New Roman"/>
          <w:sz w:val="24"/>
          <w:szCs w:val="24"/>
        </w:rPr>
        <w:t xml:space="preserve"> The survey should aim at determining the actual level of access to financial services by the population, at understanding the level of financial education in various segments of the population as well as determine existing preferences and perceptions that impede the use of financial services such as savings, electronic payments, credit and insurance. INE</w:t>
      </w:r>
      <w:r w:rsidR="00A44F9D" w:rsidRPr="003571FD">
        <w:rPr>
          <w:rFonts w:ascii="Times New Roman" w:hAnsi="Times New Roman" w:cs="Times New Roman"/>
          <w:sz w:val="24"/>
          <w:szCs w:val="24"/>
        </w:rPr>
        <w:t>,</w:t>
      </w:r>
      <w:r w:rsidRPr="003571FD">
        <w:rPr>
          <w:rFonts w:ascii="Times New Roman" w:hAnsi="Times New Roman" w:cs="Times New Roman"/>
          <w:sz w:val="24"/>
          <w:szCs w:val="24"/>
        </w:rPr>
        <w:t xml:space="preserve"> under guidance from the financial sector authorities</w:t>
      </w:r>
      <w:r w:rsidR="00A44F9D" w:rsidRPr="003571FD">
        <w:rPr>
          <w:rFonts w:ascii="Times New Roman" w:hAnsi="Times New Roman" w:cs="Times New Roman"/>
          <w:sz w:val="24"/>
          <w:szCs w:val="24"/>
        </w:rPr>
        <w:t>,</w:t>
      </w:r>
      <w:r w:rsidRPr="003571FD">
        <w:rPr>
          <w:rFonts w:ascii="Times New Roman" w:hAnsi="Times New Roman" w:cs="Times New Roman"/>
          <w:sz w:val="24"/>
          <w:szCs w:val="24"/>
        </w:rPr>
        <w:t xml:space="preserve"> would be the best-placed agency to carry out the survey. The survey is needed to prioritize and facilitate the development and implementation of different reforms and direct interventions (both geographically as </w:t>
      </w:r>
      <w:r w:rsidR="005D49F6">
        <w:rPr>
          <w:rFonts w:ascii="Times New Roman" w:hAnsi="Times New Roman" w:cs="Times New Roman"/>
          <w:sz w:val="24"/>
          <w:szCs w:val="24"/>
        </w:rPr>
        <w:t xml:space="preserve">well as </w:t>
      </w:r>
      <w:r w:rsidRPr="003571FD">
        <w:rPr>
          <w:rFonts w:ascii="Times New Roman" w:hAnsi="Times New Roman" w:cs="Times New Roman"/>
          <w:sz w:val="24"/>
          <w:szCs w:val="24"/>
        </w:rPr>
        <w:t xml:space="preserve">by type of financial service), as well as to be on the longer term able to monitor the actual achievements and effectiveness of reform measures. The information thus gathered would also be of use for financial entities to design adequate and tailored products and services, and should be made publicly available. For the medium to longer term, consideration should be given to regularly include a small financial sector module in the household survey, which would allow </w:t>
      </w:r>
      <w:r w:rsidR="009F5F66" w:rsidRPr="003571FD">
        <w:rPr>
          <w:rFonts w:ascii="Times New Roman" w:hAnsi="Times New Roman" w:cs="Times New Roman"/>
          <w:sz w:val="24"/>
          <w:szCs w:val="24"/>
        </w:rPr>
        <w:t>comparing results with established baselines and fine-tuning</w:t>
      </w:r>
      <w:r w:rsidRPr="003571FD">
        <w:rPr>
          <w:rFonts w:ascii="Times New Roman" w:hAnsi="Times New Roman" w:cs="Times New Roman"/>
          <w:sz w:val="24"/>
          <w:szCs w:val="24"/>
        </w:rPr>
        <w:t xml:space="preserve"> reform measures. Considerations could also be given to including a financial sector indicator into the “</w:t>
      </w:r>
      <w:proofErr w:type="spellStart"/>
      <w:r w:rsidRPr="003571FD">
        <w:rPr>
          <w:rFonts w:ascii="Times New Roman" w:hAnsi="Times New Roman" w:cs="Times New Roman"/>
          <w:i/>
          <w:sz w:val="24"/>
          <w:szCs w:val="24"/>
        </w:rPr>
        <w:t>vivir</w:t>
      </w:r>
      <w:proofErr w:type="spellEnd"/>
      <w:r w:rsidRPr="003571FD">
        <w:rPr>
          <w:rFonts w:ascii="Times New Roman" w:hAnsi="Times New Roman" w:cs="Times New Roman"/>
          <w:i/>
          <w:sz w:val="24"/>
          <w:szCs w:val="24"/>
        </w:rPr>
        <w:t xml:space="preserve"> </w:t>
      </w:r>
      <w:proofErr w:type="spellStart"/>
      <w:r w:rsidRPr="003571FD">
        <w:rPr>
          <w:rFonts w:ascii="Times New Roman" w:hAnsi="Times New Roman" w:cs="Times New Roman"/>
          <w:i/>
          <w:sz w:val="24"/>
          <w:szCs w:val="24"/>
        </w:rPr>
        <w:t>bien</w:t>
      </w:r>
      <w:proofErr w:type="spellEnd"/>
      <w:r w:rsidRPr="003571FD">
        <w:rPr>
          <w:rFonts w:ascii="Times New Roman" w:hAnsi="Times New Roman" w:cs="Times New Roman"/>
          <w:sz w:val="24"/>
          <w:szCs w:val="24"/>
        </w:rPr>
        <w:t xml:space="preserve">” indicator currently under development. </w:t>
      </w:r>
    </w:p>
    <w:p w:rsidR="00904F6D" w:rsidRPr="003571FD" w:rsidRDefault="00904F6D" w:rsidP="00904F6D">
      <w:pPr>
        <w:pStyle w:val="ListParagraph"/>
        <w:ind w:left="360"/>
        <w:jc w:val="both"/>
        <w:rPr>
          <w:rFonts w:ascii="Times New Roman" w:hAnsi="Times New Roman" w:cs="Times New Roman"/>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It would also be useful to develop a nationwide consistent definition of what constitutes rural, and foster the availability of data on the hitherto unregulated financial entities.</w:t>
      </w:r>
      <w:r w:rsidRPr="003571FD">
        <w:rPr>
          <w:rFonts w:ascii="Times New Roman" w:hAnsi="Times New Roman" w:cs="Times New Roman"/>
          <w:sz w:val="24"/>
          <w:szCs w:val="24"/>
        </w:rPr>
        <w:t xml:space="preserve"> In the absence of a homogenous definition of what constitutes rural, the reported data cannot be compiled and compared meaningfully, limiting policy analysis and the determination </w:t>
      </w:r>
      <w:r w:rsidRPr="003571FD">
        <w:rPr>
          <w:rFonts w:ascii="Times New Roman" w:hAnsi="Times New Roman" w:cs="Times New Roman"/>
          <w:sz w:val="24"/>
          <w:szCs w:val="24"/>
        </w:rPr>
        <w:lastRenderedPageBreak/>
        <w:t xml:space="preserve">of gaps. Additionally, efforts should be furthered to verify and compile data on the closed cooperatives and the </w:t>
      </w:r>
      <w:r w:rsidR="00217616" w:rsidRPr="003571FD">
        <w:rPr>
          <w:rFonts w:ascii="Times New Roman" w:hAnsi="Times New Roman" w:cs="Times New Roman"/>
          <w:sz w:val="24"/>
          <w:szCs w:val="24"/>
        </w:rPr>
        <w:t>IFDs</w:t>
      </w:r>
      <w:r w:rsidRPr="003571FD">
        <w:rPr>
          <w:rFonts w:ascii="Times New Roman" w:hAnsi="Times New Roman" w:cs="Times New Roman"/>
          <w:sz w:val="24"/>
          <w:szCs w:val="24"/>
        </w:rPr>
        <w:t xml:space="preserve"> sector, including those </w:t>
      </w:r>
      <w:r w:rsidR="00217616" w:rsidRPr="003571FD">
        <w:rPr>
          <w:rFonts w:ascii="Times New Roman" w:hAnsi="Times New Roman" w:cs="Times New Roman"/>
          <w:sz w:val="24"/>
          <w:szCs w:val="24"/>
        </w:rPr>
        <w:t>IFDs</w:t>
      </w:r>
      <w:r w:rsidRPr="003571FD">
        <w:rPr>
          <w:rFonts w:ascii="Times New Roman" w:hAnsi="Times New Roman" w:cs="Times New Roman"/>
          <w:sz w:val="24"/>
          <w:szCs w:val="24"/>
        </w:rPr>
        <w:t xml:space="preserve"> and closed cooperatives which have so far not initiated the transition process. Adding the data on the </w:t>
      </w:r>
      <w:r w:rsidR="00217616" w:rsidRPr="003571FD">
        <w:rPr>
          <w:rFonts w:ascii="Times New Roman" w:hAnsi="Times New Roman" w:cs="Times New Roman"/>
          <w:sz w:val="24"/>
          <w:szCs w:val="24"/>
        </w:rPr>
        <w:t>IFDs</w:t>
      </w:r>
      <w:r w:rsidRPr="003571FD">
        <w:rPr>
          <w:rFonts w:ascii="Times New Roman" w:hAnsi="Times New Roman" w:cs="Times New Roman"/>
          <w:sz w:val="24"/>
          <w:szCs w:val="24"/>
        </w:rPr>
        <w:t xml:space="preserve"> and closed cooperatives to the general data on the financial sector would provide a more holistic picture of the coverage with financial services, and determine gaps from the supply side. Results from the mission suggest that this will be a difficult and time-consuming task, and thus might imply the provision of – at least temporary – dedicated additional funding for ASFI.</w:t>
      </w:r>
    </w:p>
    <w:p w:rsidR="00EC5E43" w:rsidRPr="003571FD" w:rsidRDefault="00EC5E43" w:rsidP="00EC5E43">
      <w:pPr>
        <w:jc w:val="both"/>
        <w:rPr>
          <w:rFonts w:ascii="Times New Roman" w:hAnsi="Times New Roman" w:cs="Times New Roman"/>
          <w:i/>
          <w:sz w:val="24"/>
        </w:rPr>
      </w:pPr>
      <w:r w:rsidRPr="003571FD">
        <w:rPr>
          <w:rFonts w:ascii="Times New Roman" w:hAnsi="Times New Roman" w:cs="Times New Roman"/>
          <w:i/>
          <w:sz w:val="24"/>
        </w:rPr>
        <w:t>Supporting the availability of ICT and fostering a more integrated national payment system:</w:t>
      </w:r>
    </w:p>
    <w:p w:rsidR="00EC5E43" w:rsidRPr="003571FD" w:rsidRDefault="00EC5E43"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The government might want to link the rollout of new ICT coverage with a gap assessment for financial services.</w:t>
      </w:r>
      <w:r w:rsidRPr="003571FD">
        <w:rPr>
          <w:rFonts w:ascii="Times New Roman" w:hAnsi="Times New Roman" w:cs="Times New Roman"/>
          <w:sz w:val="24"/>
        </w:rPr>
        <w:t xml:space="preserve"> Targeting of the ICT rollout could at least for ENTEL be harmonized with perceived deficiencies in access to finance in rural areas, taking into consideration the work that ASFI has already undertaken to map the availability of financial services by localities and targeting explicitly remote rural areas, to which conditional cash transfers are being channeled regularly, but where geographic access is difficult either due to distance, a difficult terrain or insufficient road infrastructure. Furthermore, prior to the rollout ENTEL should consult with the financial sector to determine technical requirements, in particular whether the rollout of 2G technologies is sufficient, or should be upgraded to a more advanced technology. Those “priority” localities could be serviced with a combination of mobile banking platforms (POS) to recharge the smart cards on-line and in real-time (occasionally), and using the cards for regular or standard payment transactions off-line. This can only work with a holistic effort between the various ministries, technological platform providers and the financial system involved. </w:t>
      </w:r>
    </w:p>
    <w:p w:rsidR="00904F6D" w:rsidRPr="003571FD" w:rsidRDefault="00904F6D" w:rsidP="00904F6D">
      <w:pPr>
        <w:pStyle w:val="ListParagraph"/>
        <w:ind w:left="360"/>
        <w:jc w:val="both"/>
        <w:rPr>
          <w:rFonts w:ascii="Times New Roman" w:hAnsi="Times New Roman" w:cs="Times New Roman"/>
          <w:sz w:val="24"/>
        </w:rPr>
      </w:pPr>
    </w:p>
    <w:p w:rsidR="00904F6D" w:rsidRPr="003571FD" w:rsidRDefault="00EC5E43"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In the area of the national payment system, efforts to integrate the various available systems as well as setting incentives for the use of modern electronic payment mechanisms could be considered.</w:t>
      </w:r>
      <w:r w:rsidRPr="003571FD">
        <w:rPr>
          <w:rFonts w:ascii="Times New Roman" w:hAnsi="Times New Roman" w:cs="Times New Roman"/>
          <w:sz w:val="24"/>
        </w:rPr>
        <w:t xml:space="preserve"> The recent emergence of individual payment system initiatives in the private sector is positive and should be encouraged. However, the focus on developing own systems and the likely ensuing lack of interoperability will increase inefficiencies and duplication in coverage, as ATMs and POS systems will be set up in areas where others are already operational. The financial sector authorities should monitor and </w:t>
      </w:r>
      <w:r w:rsidR="002F129F" w:rsidRPr="003571FD">
        <w:rPr>
          <w:rFonts w:ascii="Times New Roman" w:hAnsi="Times New Roman" w:cs="Times New Roman"/>
          <w:sz w:val="24"/>
        </w:rPr>
        <w:t xml:space="preserve">oversee </w:t>
      </w:r>
      <w:r w:rsidRPr="003571FD">
        <w:rPr>
          <w:rFonts w:ascii="Times New Roman" w:hAnsi="Times New Roman" w:cs="Times New Roman"/>
          <w:sz w:val="24"/>
        </w:rPr>
        <w:t xml:space="preserve">the various emerging systems and promote inter-linkage of the systems through the development of a common standard and the provision of a joint platform. Reforms along those lines have in part already been initiated by the Central Bank. Furthermore, considerations could be given on how the costs of the needed infrastructure investments could be lowered and adequately covered. </w:t>
      </w:r>
      <w:r w:rsidR="001F0D31" w:rsidRPr="003571FD">
        <w:rPr>
          <w:rFonts w:ascii="Times New Roman" w:hAnsi="Times New Roman" w:cs="Times New Roman"/>
          <w:sz w:val="24"/>
        </w:rPr>
        <w:t xml:space="preserve">Ideally, those measures should be considered in combination with financial education programs as discussed below. </w:t>
      </w:r>
      <w:r w:rsidRPr="003571FD">
        <w:rPr>
          <w:rFonts w:ascii="Times New Roman" w:hAnsi="Times New Roman" w:cs="Times New Roman"/>
          <w:sz w:val="24"/>
        </w:rPr>
        <w:t xml:space="preserve">Options could include for example: </w:t>
      </w:r>
    </w:p>
    <w:p w:rsidR="00904F6D" w:rsidRPr="003571FD" w:rsidRDefault="00904F6D" w:rsidP="00904F6D">
      <w:pPr>
        <w:pStyle w:val="ListParagraph"/>
        <w:ind w:left="360"/>
        <w:jc w:val="both"/>
        <w:rPr>
          <w:rFonts w:ascii="Times New Roman" w:hAnsi="Times New Roman" w:cs="Times New Roman"/>
          <w:sz w:val="24"/>
        </w:rPr>
      </w:pPr>
    </w:p>
    <w:p w:rsidR="00EC5E43" w:rsidRPr="003571FD" w:rsidRDefault="00EC5E4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 xml:space="preserve">Easing of the regulation on commission income, through for example the creation of basic accounts with a limited number of free transactions. </w:t>
      </w:r>
      <w:r w:rsidRPr="003571FD">
        <w:rPr>
          <w:rFonts w:ascii="Times New Roman" w:hAnsi="Times New Roman" w:cs="Times New Roman"/>
          <w:sz w:val="24"/>
          <w:szCs w:val="24"/>
        </w:rPr>
        <w:t xml:space="preserve">This would allow the </w:t>
      </w:r>
      <w:r w:rsidRPr="003571FD">
        <w:rPr>
          <w:rFonts w:ascii="Times New Roman" w:hAnsi="Times New Roman" w:cs="Times New Roman"/>
          <w:sz w:val="24"/>
          <w:szCs w:val="24"/>
        </w:rPr>
        <w:lastRenderedPageBreak/>
        <w:t>financial entities to charge commissions for transactions from the other types of accounts, thus create some income on the infrastructure investment while at the same time fulfilling the financial inclusion goal of providing an affordable deposit account to the population with lower incomes and limited transactional needs. Reforms along this line should be accompanied with efforts to enhance price transparency for transactions.</w:t>
      </w:r>
      <w:r w:rsidR="00B07DFB" w:rsidRPr="003571FD">
        <w:rPr>
          <w:rFonts w:ascii="Times New Roman" w:hAnsi="Times New Roman" w:cs="Times New Roman"/>
          <w:sz w:val="24"/>
          <w:szCs w:val="24"/>
        </w:rPr>
        <w:t xml:space="preserve"> </w:t>
      </w:r>
    </w:p>
    <w:p w:rsidR="00904F6D" w:rsidRPr="003571FD" w:rsidRDefault="00904F6D" w:rsidP="00904F6D">
      <w:pPr>
        <w:pStyle w:val="ListParagraph"/>
        <w:ind w:left="504"/>
        <w:jc w:val="both"/>
        <w:rPr>
          <w:rFonts w:ascii="Times New Roman" w:hAnsi="Times New Roman" w:cs="Times New Roman"/>
          <w:sz w:val="24"/>
          <w:szCs w:val="24"/>
        </w:rPr>
      </w:pPr>
    </w:p>
    <w:p w:rsidR="00904F6D" w:rsidRPr="003571FD" w:rsidRDefault="00EC5E4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 xml:space="preserve">Regulations and direct support for fostering the use of electronic transfers. </w:t>
      </w:r>
      <w:r w:rsidRPr="003571FD">
        <w:rPr>
          <w:rFonts w:ascii="Times New Roman" w:hAnsi="Times New Roman" w:cs="Times New Roman"/>
          <w:sz w:val="24"/>
          <w:szCs w:val="24"/>
        </w:rPr>
        <w:t>This could include issuing regulations to promote the use of payment instruments in certain commercial transactions</w:t>
      </w:r>
      <w:r w:rsidRPr="003571FD">
        <w:rPr>
          <w:szCs w:val="24"/>
          <w:vertAlign w:val="superscript"/>
        </w:rPr>
        <w:footnoteReference w:id="86"/>
      </w:r>
      <w:r w:rsidRPr="003571FD">
        <w:rPr>
          <w:rFonts w:ascii="Times New Roman" w:hAnsi="Times New Roman" w:cs="Times New Roman"/>
          <w:sz w:val="24"/>
          <w:szCs w:val="24"/>
        </w:rPr>
        <w:t xml:space="preserve">, as well as reforms on how the government does its government to person or business transactions. Instead of ongoing efforts to channel public salaries exclusively through </w:t>
      </w:r>
      <w:r w:rsidRPr="003571FD">
        <w:rPr>
          <w:rFonts w:ascii="Times New Roman" w:hAnsi="Times New Roman" w:cs="Times New Roman"/>
          <w:i/>
          <w:sz w:val="24"/>
          <w:szCs w:val="24"/>
        </w:rPr>
        <w:t>Banco Union</w:t>
      </w:r>
      <w:r w:rsidRPr="003571FD">
        <w:rPr>
          <w:rFonts w:ascii="Times New Roman" w:hAnsi="Times New Roman" w:cs="Times New Roman"/>
          <w:szCs w:val="24"/>
          <w:vertAlign w:val="superscript"/>
        </w:rPr>
        <w:footnoteReference w:id="87"/>
      </w:r>
      <w:r w:rsidRPr="003571FD">
        <w:rPr>
          <w:rFonts w:ascii="Times New Roman" w:hAnsi="Times New Roman" w:cs="Times New Roman"/>
          <w:sz w:val="24"/>
          <w:szCs w:val="24"/>
        </w:rPr>
        <w:t>, the government could for example consider mandating the use of direct debits for the payment of salaries of formal private enterprises and government entities, while leaving the employee with the choice of picking the regulated financial institution for the deposit account.</w:t>
      </w:r>
      <w:r w:rsidR="00B07DFB" w:rsidRPr="003571FD">
        <w:rPr>
          <w:rFonts w:ascii="Times New Roman" w:hAnsi="Times New Roman" w:cs="Times New Roman"/>
          <w:sz w:val="24"/>
          <w:szCs w:val="24"/>
        </w:rPr>
        <w:t xml:space="preserve"> </w:t>
      </w:r>
      <w:r w:rsidRPr="003571FD">
        <w:rPr>
          <w:rFonts w:ascii="Times New Roman" w:hAnsi="Times New Roman" w:cs="Times New Roman"/>
          <w:sz w:val="24"/>
          <w:szCs w:val="24"/>
        </w:rPr>
        <w:t>This could imply higher costs for monitoring and enforcing in the case of private entities, as the government has less direct control over them, but could easily be implemented for public entities. This could still have a significant demonstration and financial education effect.</w:t>
      </w:r>
    </w:p>
    <w:p w:rsidR="00904F6D" w:rsidRPr="003571FD" w:rsidRDefault="00904F6D" w:rsidP="00904F6D">
      <w:pPr>
        <w:pStyle w:val="ListParagraph"/>
        <w:ind w:left="504"/>
        <w:jc w:val="both"/>
        <w:rPr>
          <w:rFonts w:ascii="Times New Roman" w:hAnsi="Times New Roman" w:cs="Times New Roman"/>
          <w:sz w:val="24"/>
          <w:szCs w:val="24"/>
        </w:rPr>
      </w:pPr>
    </w:p>
    <w:p w:rsidR="00904F6D" w:rsidRPr="003571FD" w:rsidRDefault="00EC5E4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 xml:space="preserve">Setting of tax incentives to allow deductions for the investments on the supply side or lower taxation rates for the use of electronic payments on the demand side to stimulate usage of selected payment instruments. </w:t>
      </w:r>
      <w:r w:rsidRPr="003571FD">
        <w:rPr>
          <w:rFonts w:ascii="Times New Roman" w:hAnsi="Times New Roman" w:cs="Times New Roman"/>
          <w:sz w:val="24"/>
          <w:szCs w:val="24"/>
        </w:rPr>
        <w:t xml:space="preserve">Investments into payment system infrastructure or developing agent models could for example be deducted fully from taxable income of financial entities, or – as has been done in Argentina - the use of electronic transfers could be supported through a re-crediting of a the value added tax into the account of the card user. </w:t>
      </w:r>
    </w:p>
    <w:p w:rsidR="00904F6D" w:rsidRPr="003571FD" w:rsidRDefault="00904F6D" w:rsidP="00904F6D">
      <w:pPr>
        <w:pStyle w:val="ListParagraph"/>
        <w:ind w:left="504"/>
        <w:jc w:val="both"/>
        <w:rPr>
          <w:rFonts w:ascii="Times New Roman" w:hAnsi="Times New Roman" w:cs="Times New Roman"/>
          <w:sz w:val="24"/>
          <w:szCs w:val="24"/>
        </w:rPr>
      </w:pPr>
    </w:p>
    <w:p w:rsidR="00EC5E43" w:rsidRPr="003571FD" w:rsidRDefault="00EC5E43" w:rsidP="00CA07A0">
      <w:pPr>
        <w:pStyle w:val="ListParagraph"/>
        <w:numPr>
          <w:ilvl w:val="0"/>
          <w:numId w:val="9"/>
        </w:numPr>
        <w:jc w:val="both"/>
        <w:rPr>
          <w:rFonts w:ascii="Times New Roman" w:hAnsi="Times New Roman" w:cs="Times New Roman"/>
          <w:b/>
          <w:sz w:val="24"/>
          <w:szCs w:val="24"/>
        </w:rPr>
      </w:pPr>
      <w:r w:rsidRPr="003571FD">
        <w:rPr>
          <w:rFonts w:ascii="Times New Roman" w:hAnsi="Times New Roman" w:cs="Times New Roman"/>
          <w:b/>
          <w:sz w:val="24"/>
          <w:szCs w:val="24"/>
        </w:rPr>
        <w:t xml:space="preserve">Direct provision of subsidies to support implementation of infrastructure. </w:t>
      </w:r>
      <w:r w:rsidRPr="003571FD">
        <w:rPr>
          <w:rFonts w:ascii="Times New Roman" w:hAnsi="Times New Roman" w:cs="Times New Roman"/>
          <w:sz w:val="24"/>
          <w:szCs w:val="24"/>
        </w:rPr>
        <w:t>In order to facilitate the provision of financial services in remote rural areas, the government might want to consider options to subsidize the technical equipment needed to deliver financial services, such as for example assuming the costs for satellite connectivity, covering a share of the investment costs in POS devi</w:t>
      </w:r>
      <w:r w:rsidR="00342F00" w:rsidRPr="003571FD">
        <w:rPr>
          <w:rFonts w:ascii="Times New Roman" w:hAnsi="Times New Roman" w:cs="Times New Roman"/>
          <w:sz w:val="24"/>
          <w:szCs w:val="24"/>
        </w:rPr>
        <w:t>c</w:t>
      </w:r>
      <w:r w:rsidRPr="003571FD">
        <w:rPr>
          <w:rFonts w:ascii="Times New Roman" w:hAnsi="Times New Roman" w:cs="Times New Roman"/>
          <w:sz w:val="24"/>
          <w:szCs w:val="24"/>
        </w:rPr>
        <w:t xml:space="preserve">es, and supporting fingerprinting technology where there is a confirmed lack of identification documents. </w:t>
      </w:r>
    </w:p>
    <w:p w:rsidR="00AF20D8" w:rsidRPr="003571FD" w:rsidRDefault="00AF20D8" w:rsidP="00AF20D8">
      <w:pPr>
        <w:pStyle w:val="ListParagraph"/>
        <w:jc w:val="both"/>
        <w:rPr>
          <w:rFonts w:ascii="Times New Roman" w:hAnsi="Times New Roman" w:cs="Times New Roman"/>
          <w:b/>
          <w:sz w:val="24"/>
          <w:szCs w:val="24"/>
        </w:rPr>
      </w:pPr>
    </w:p>
    <w:p w:rsidR="00EC5E43" w:rsidRPr="003571FD" w:rsidRDefault="00634D54" w:rsidP="001F0D31">
      <w:pPr>
        <w:rPr>
          <w:rFonts w:ascii="Times New Roman" w:hAnsi="Times New Roman" w:cs="Times New Roman"/>
          <w:sz w:val="24"/>
        </w:rPr>
      </w:pPr>
      <w:r w:rsidRPr="003571FD">
        <w:rPr>
          <w:rFonts w:ascii="Times New Roman" w:hAnsi="Times New Roman" w:cs="Times New Roman"/>
          <w:sz w:val="24"/>
        </w:rPr>
        <w:br w:type="page"/>
      </w:r>
    </w:p>
    <w:p w:rsidR="00EC5E43" w:rsidRPr="003571FD" w:rsidRDefault="00EC5E43" w:rsidP="00EC5E43">
      <w:pPr>
        <w:jc w:val="both"/>
        <w:rPr>
          <w:rFonts w:ascii="Times New Roman" w:hAnsi="Times New Roman" w:cs="Times New Roman"/>
          <w:i/>
          <w:sz w:val="24"/>
        </w:rPr>
      </w:pPr>
      <w:r w:rsidRPr="003571FD">
        <w:rPr>
          <w:rFonts w:ascii="Times New Roman" w:hAnsi="Times New Roman" w:cs="Times New Roman"/>
          <w:i/>
          <w:sz w:val="24"/>
        </w:rPr>
        <w:lastRenderedPageBreak/>
        <w:t>Reforms to the regulatory framework:</w:t>
      </w: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The regulatory framework for branches and other service points already defines and regulates a number of innovative solutions, but should be adapted to incorporate recent cost-saving international experiences. </w:t>
      </w:r>
      <w:r w:rsidRPr="003571FD">
        <w:rPr>
          <w:rFonts w:ascii="Times New Roman" w:hAnsi="Times New Roman" w:cs="Times New Roman"/>
          <w:sz w:val="24"/>
          <w:szCs w:val="24"/>
        </w:rPr>
        <w:t>Experience in other countries suggests that not all localities and types of service points require the same amount of security standards</w:t>
      </w:r>
      <w:r w:rsidRPr="003571FD">
        <w:rPr>
          <w:rFonts w:ascii="Times New Roman" w:hAnsi="Times New Roman" w:cs="Times New Roman"/>
          <w:b/>
          <w:sz w:val="24"/>
          <w:szCs w:val="24"/>
        </w:rPr>
        <w:t xml:space="preserve">. </w:t>
      </w:r>
      <w:r w:rsidRPr="003571FD">
        <w:rPr>
          <w:rFonts w:ascii="Times New Roman" w:hAnsi="Times New Roman" w:cs="Times New Roman"/>
          <w:sz w:val="24"/>
          <w:szCs w:val="24"/>
        </w:rPr>
        <w:t>While installing substantial amounts of security equipment might be justified in some locations, the investments might be unnecessary in other locations and should thus be left to the discretion of financial entities</w:t>
      </w:r>
      <w:r w:rsidRPr="003571FD">
        <w:rPr>
          <w:rStyle w:val="FootnoteReference"/>
          <w:rFonts w:ascii="Times New Roman" w:hAnsi="Times New Roman" w:cs="Times New Roman"/>
          <w:sz w:val="24"/>
          <w:szCs w:val="24"/>
        </w:rPr>
        <w:footnoteReference w:id="88"/>
      </w:r>
      <w:r w:rsidRPr="003571FD">
        <w:rPr>
          <w:rFonts w:ascii="Times New Roman" w:hAnsi="Times New Roman" w:cs="Times New Roman"/>
          <w:sz w:val="24"/>
          <w:szCs w:val="24"/>
        </w:rPr>
        <w:t>. Furthermore, it is not clear why mobile branches should be so tightly regulated, when they are in reality just another form of an “</w:t>
      </w:r>
      <w:r w:rsidRPr="003571FD">
        <w:rPr>
          <w:rFonts w:ascii="Times New Roman" w:hAnsi="Times New Roman" w:cs="Times New Roman"/>
          <w:i/>
          <w:sz w:val="24"/>
          <w:szCs w:val="24"/>
        </w:rPr>
        <w:t>oficina ferial</w:t>
      </w:r>
      <w:r w:rsidRPr="003571FD">
        <w:rPr>
          <w:rFonts w:ascii="Times New Roman" w:hAnsi="Times New Roman" w:cs="Times New Roman"/>
          <w:sz w:val="24"/>
          <w:szCs w:val="24"/>
        </w:rPr>
        <w:t xml:space="preserve">”. Finally, the ASFI might want to revamp the regulatory framework to only set core minimum requirements such as necessary oversight roles of headquarter or a main branch and the needed financial management information systems, but introduce more discretion in security requirements, services offered and institutional requirements. </w:t>
      </w:r>
    </w:p>
    <w:tbl>
      <w:tblPr>
        <w:tblStyle w:val="TableGrid"/>
        <w:tblW w:w="0" w:type="auto"/>
        <w:jc w:val="center"/>
        <w:tblInd w:w="-21" w:type="dxa"/>
        <w:shd w:val="clear" w:color="auto" w:fill="F2F2F2" w:themeFill="background1" w:themeFillShade="F2"/>
        <w:tblLook w:val="04A0" w:firstRow="1" w:lastRow="0" w:firstColumn="1" w:lastColumn="0" w:noHBand="0" w:noVBand="1"/>
      </w:tblPr>
      <w:tblGrid>
        <w:gridCol w:w="9339"/>
      </w:tblGrid>
      <w:tr w:rsidR="004340D4" w:rsidRPr="003571FD" w:rsidTr="00F25889">
        <w:trPr>
          <w:trHeight w:val="6009"/>
          <w:jc w:val="center"/>
        </w:trPr>
        <w:tc>
          <w:tcPr>
            <w:tcW w:w="9339" w:type="dxa"/>
            <w:shd w:val="clear" w:color="auto" w:fill="F2F2F2" w:themeFill="background1" w:themeFillShade="F2"/>
          </w:tcPr>
          <w:p w:rsidR="004340D4" w:rsidRPr="003571FD" w:rsidRDefault="004340D4" w:rsidP="004340D4">
            <w:pPr>
              <w:pStyle w:val="Caption"/>
              <w:rPr>
                <w:rFonts w:ascii="Times New Roman" w:hAnsi="Times New Roman" w:cs="Times New Roman"/>
                <w:color w:val="auto"/>
              </w:rPr>
            </w:pPr>
            <w:bookmarkStart w:id="54" w:name="_Toc292021086"/>
            <w:bookmarkStart w:id="55" w:name="_Toc312317343"/>
            <w:r w:rsidRPr="003571FD">
              <w:rPr>
                <w:rFonts w:ascii="Times New Roman" w:hAnsi="Times New Roman" w:cs="Times New Roman"/>
                <w:color w:val="auto"/>
              </w:rPr>
              <w:t xml:space="preserve">Text Box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Text_Box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3</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Reform measures in India to increase financial inclusion</w:t>
            </w:r>
            <w:bookmarkEnd w:id="54"/>
            <w:bookmarkEnd w:id="55"/>
          </w:p>
          <w:p w:rsidR="004340D4" w:rsidRPr="003571FD" w:rsidRDefault="004340D4" w:rsidP="004340D4"/>
          <w:p w:rsidR="004340D4" w:rsidRPr="003571FD" w:rsidRDefault="004340D4" w:rsidP="004340D4">
            <w:pPr>
              <w:pStyle w:val="Caption"/>
              <w:rPr>
                <w:rFonts w:ascii="Times New Roman" w:hAnsi="Times New Roman" w:cs="Times New Roman"/>
                <w:b w:val="0"/>
                <w:color w:val="auto"/>
              </w:rPr>
            </w:pPr>
            <w:r w:rsidRPr="003571FD">
              <w:rPr>
                <w:rFonts w:ascii="Times New Roman" w:hAnsi="Times New Roman" w:cs="Times New Roman"/>
                <w:b w:val="0"/>
                <w:color w:val="auto"/>
              </w:rPr>
              <w:t>Reform measures by the Reserve Bank of India to enhance access to financial services by low-income households, in particular in rural areas:</w:t>
            </w:r>
          </w:p>
          <w:p w:rsidR="004340D4" w:rsidRPr="003571FD" w:rsidRDefault="004340D4" w:rsidP="004340D4"/>
          <w:p w:rsidR="004340D4" w:rsidRPr="003571FD" w:rsidRDefault="004340D4" w:rsidP="00CA07A0">
            <w:pPr>
              <w:pStyle w:val="ListParagraph"/>
              <w:numPr>
                <w:ilvl w:val="0"/>
                <w:numId w:val="10"/>
              </w:numPr>
              <w:jc w:val="both"/>
              <w:rPr>
                <w:rFonts w:ascii="Times New Roman" w:hAnsi="Times New Roman" w:cs="Times New Roman"/>
                <w:sz w:val="18"/>
                <w:szCs w:val="18"/>
              </w:rPr>
            </w:pPr>
            <w:r w:rsidRPr="003571FD">
              <w:rPr>
                <w:rFonts w:ascii="Times New Roman" w:hAnsi="Times New Roman" w:cs="Times New Roman"/>
                <w:sz w:val="18"/>
                <w:szCs w:val="18"/>
              </w:rPr>
              <w:t xml:space="preserve">2005: Introduction of a ‘no-frills’ account with low or zero minimum balances and minimum charges. </w:t>
            </w:r>
          </w:p>
          <w:p w:rsidR="004340D4" w:rsidRPr="003571FD" w:rsidRDefault="004340D4" w:rsidP="00CA07A0">
            <w:pPr>
              <w:pStyle w:val="ListParagraph"/>
              <w:numPr>
                <w:ilvl w:val="0"/>
                <w:numId w:val="10"/>
              </w:numPr>
              <w:jc w:val="both"/>
              <w:rPr>
                <w:rFonts w:ascii="Times New Roman" w:hAnsi="Times New Roman" w:cs="Times New Roman"/>
                <w:sz w:val="18"/>
                <w:szCs w:val="18"/>
              </w:rPr>
            </w:pPr>
            <w:r w:rsidRPr="003571FD">
              <w:rPr>
                <w:rFonts w:ascii="Times New Roman" w:hAnsi="Times New Roman" w:cs="Times New Roman"/>
                <w:sz w:val="18"/>
                <w:szCs w:val="18"/>
              </w:rPr>
              <w:t>2006: Issuance of regulation to allow the use of non-bank agents (non-governmental organizations, microfinance institutions, retirees -</w:t>
            </w:r>
            <w:r w:rsidR="00376BEB" w:rsidRPr="003571FD">
              <w:rPr>
                <w:rFonts w:ascii="Times New Roman" w:hAnsi="Times New Roman" w:cs="Times New Roman"/>
                <w:sz w:val="18"/>
                <w:szCs w:val="18"/>
              </w:rPr>
              <w:t xml:space="preserve"> </w:t>
            </w:r>
            <w:r w:rsidRPr="003571FD">
              <w:rPr>
                <w:rFonts w:ascii="Times New Roman" w:hAnsi="Times New Roman" w:cs="Times New Roman"/>
                <w:sz w:val="18"/>
                <w:szCs w:val="18"/>
              </w:rPr>
              <w:t>of banks, government and military</w:t>
            </w:r>
            <w:r w:rsidR="00376BEB" w:rsidRPr="003571FD">
              <w:rPr>
                <w:rFonts w:ascii="Times New Roman" w:hAnsi="Times New Roman" w:cs="Times New Roman"/>
                <w:sz w:val="18"/>
                <w:szCs w:val="18"/>
              </w:rPr>
              <w:t xml:space="preserve"> </w:t>
            </w:r>
            <w:r w:rsidRPr="003571FD">
              <w:rPr>
                <w:rFonts w:ascii="Times New Roman" w:hAnsi="Times New Roman" w:cs="Times New Roman"/>
                <w:sz w:val="18"/>
                <w:szCs w:val="18"/>
              </w:rPr>
              <w:t>- as well as civil society organizations) for the provision of financial services. The restriction on who could act as non-bank agent was widened in 2009, and the maximum allowed distance between a non-bank agent and a linked bank branch increased from 15 to 30 km.</w:t>
            </w:r>
          </w:p>
          <w:p w:rsidR="004340D4" w:rsidRPr="003571FD" w:rsidRDefault="004340D4" w:rsidP="00CA07A0">
            <w:pPr>
              <w:pStyle w:val="ListParagraph"/>
              <w:numPr>
                <w:ilvl w:val="0"/>
                <w:numId w:val="10"/>
              </w:numPr>
              <w:jc w:val="both"/>
              <w:rPr>
                <w:rFonts w:ascii="Times New Roman" w:hAnsi="Times New Roman" w:cs="Times New Roman"/>
                <w:sz w:val="18"/>
                <w:szCs w:val="18"/>
              </w:rPr>
            </w:pPr>
            <w:r w:rsidRPr="003571FD">
              <w:rPr>
                <w:rFonts w:ascii="Times New Roman" w:hAnsi="Times New Roman" w:cs="Times New Roman"/>
                <w:sz w:val="18"/>
                <w:szCs w:val="18"/>
              </w:rPr>
              <w:t xml:space="preserve">2008: RBI permits banks to offer </w:t>
            </w:r>
            <w:r w:rsidR="00376BEB" w:rsidRPr="003571FD">
              <w:rPr>
                <w:rFonts w:ascii="Times New Roman" w:hAnsi="Times New Roman" w:cs="Times New Roman"/>
                <w:sz w:val="18"/>
                <w:szCs w:val="18"/>
              </w:rPr>
              <w:t>m</w:t>
            </w:r>
            <w:r w:rsidRPr="003571FD">
              <w:rPr>
                <w:rFonts w:ascii="Times New Roman" w:hAnsi="Times New Roman" w:cs="Times New Roman"/>
                <w:sz w:val="18"/>
                <w:szCs w:val="18"/>
              </w:rPr>
              <w:t xml:space="preserve">obile </w:t>
            </w:r>
            <w:r w:rsidR="00376BEB" w:rsidRPr="003571FD">
              <w:rPr>
                <w:rFonts w:ascii="Times New Roman" w:hAnsi="Times New Roman" w:cs="Times New Roman"/>
                <w:sz w:val="18"/>
                <w:szCs w:val="18"/>
              </w:rPr>
              <w:t>b</w:t>
            </w:r>
            <w:r w:rsidRPr="003571FD">
              <w:rPr>
                <w:rFonts w:ascii="Times New Roman" w:hAnsi="Times New Roman" w:cs="Times New Roman"/>
                <w:sz w:val="18"/>
                <w:szCs w:val="18"/>
              </w:rPr>
              <w:t xml:space="preserve">anking </w:t>
            </w:r>
            <w:r w:rsidR="00376BEB" w:rsidRPr="003571FD">
              <w:rPr>
                <w:rFonts w:ascii="Times New Roman" w:hAnsi="Times New Roman" w:cs="Times New Roman"/>
                <w:sz w:val="18"/>
                <w:szCs w:val="18"/>
              </w:rPr>
              <w:t>t</w:t>
            </w:r>
            <w:r w:rsidRPr="003571FD">
              <w:rPr>
                <w:rFonts w:ascii="Times New Roman" w:hAnsi="Times New Roman" w:cs="Times New Roman"/>
                <w:sz w:val="18"/>
                <w:szCs w:val="18"/>
              </w:rPr>
              <w:t>ransaction facility to their customers subject to a daily cap of Rs. 5</w:t>
            </w:r>
            <w:r w:rsidR="00376BEB" w:rsidRPr="003571FD">
              <w:rPr>
                <w:rFonts w:ascii="Times New Roman" w:hAnsi="Times New Roman" w:cs="Times New Roman"/>
                <w:sz w:val="18"/>
                <w:szCs w:val="18"/>
              </w:rPr>
              <w:t>,</w:t>
            </w:r>
            <w:r w:rsidRPr="003571FD">
              <w:rPr>
                <w:rFonts w:ascii="Times New Roman" w:hAnsi="Times New Roman" w:cs="Times New Roman"/>
                <w:sz w:val="18"/>
                <w:szCs w:val="18"/>
              </w:rPr>
              <w:t>000/- per custome</w:t>
            </w:r>
            <w:r w:rsidR="00376BEB" w:rsidRPr="003571FD">
              <w:rPr>
                <w:rFonts w:ascii="Times New Roman" w:hAnsi="Times New Roman" w:cs="Times New Roman"/>
                <w:sz w:val="18"/>
                <w:szCs w:val="18"/>
              </w:rPr>
              <w:t>r for funds transfer and Rs. 10,</w:t>
            </w:r>
            <w:r w:rsidRPr="003571FD">
              <w:rPr>
                <w:rFonts w:ascii="Times New Roman" w:hAnsi="Times New Roman" w:cs="Times New Roman"/>
                <w:sz w:val="18"/>
                <w:szCs w:val="18"/>
              </w:rPr>
              <w:t>000/- per customer for transactions involving purchase of goods/services.</w:t>
            </w:r>
          </w:p>
          <w:p w:rsidR="004340D4" w:rsidRPr="003571FD" w:rsidRDefault="004340D4" w:rsidP="00CA07A0">
            <w:pPr>
              <w:pStyle w:val="ListParagraph"/>
              <w:numPr>
                <w:ilvl w:val="0"/>
                <w:numId w:val="10"/>
              </w:numPr>
              <w:jc w:val="both"/>
              <w:rPr>
                <w:rFonts w:ascii="Times New Roman" w:hAnsi="Times New Roman" w:cs="Times New Roman"/>
                <w:sz w:val="18"/>
                <w:szCs w:val="18"/>
              </w:rPr>
            </w:pPr>
            <w:r w:rsidRPr="003571FD">
              <w:rPr>
                <w:rFonts w:ascii="Times New Roman" w:hAnsi="Times New Roman" w:cs="Times New Roman"/>
                <w:sz w:val="18"/>
                <w:szCs w:val="18"/>
              </w:rPr>
              <w:t xml:space="preserve">2009: Elimination of need for procuring a license for setting up ATMs, and for </w:t>
            </w:r>
            <w:r w:rsidR="00376BEB" w:rsidRPr="003571FD">
              <w:rPr>
                <w:rFonts w:ascii="Times New Roman" w:hAnsi="Times New Roman" w:cs="Times New Roman"/>
                <w:sz w:val="18"/>
                <w:szCs w:val="18"/>
              </w:rPr>
              <w:t>opening a</w:t>
            </w:r>
            <w:r w:rsidRPr="003571FD">
              <w:rPr>
                <w:rFonts w:ascii="Times New Roman" w:hAnsi="Times New Roman" w:cs="Times New Roman"/>
                <w:sz w:val="18"/>
                <w:szCs w:val="18"/>
              </w:rPr>
              <w:t xml:space="preserve"> bank branch in towns and villages with less than 50</w:t>
            </w:r>
            <w:r w:rsidR="00376BEB" w:rsidRPr="003571FD">
              <w:rPr>
                <w:rFonts w:ascii="Times New Roman" w:hAnsi="Times New Roman" w:cs="Times New Roman"/>
                <w:sz w:val="18"/>
                <w:szCs w:val="18"/>
              </w:rPr>
              <w:t>,</w:t>
            </w:r>
            <w:r w:rsidRPr="003571FD">
              <w:rPr>
                <w:rFonts w:ascii="Times New Roman" w:hAnsi="Times New Roman" w:cs="Times New Roman"/>
                <w:sz w:val="18"/>
                <w:szCs w:val="18"/>
              </w:rPr>
              <w:t>000 inhabitants. However, banks are required to set up at least one third of new branches within under-banked districts of under-banked states.</w:t>
            </w:r>
          </w:p>
          <w:p w:rsidR="004340D4" w:rsidRPr="003571FD" w:rsidRDefault="004340D4" w:rsidP="00CA07A0">
            <w:pPr>
              <w:pStyle w:val="ListParagraph"/>
              <w:numPr>
                <w:ilvl w:val="0"/>
                <w:numId w:val="10"/>
              </w:numPr>
              <w:jc w:val="both"/>
              <w:rPr>
                <w:rFonts w:ascii="Times New Roman" w:hAnsi="Times New Roman" w:cs="Times New Roman"/>
                <w:sz w:val="18"/>
                <w:szCs w:val="18"/>
              </w:rPr>
            </w:pPr>
            <w:r w:rsidRPr="003571FD">
              <w:rPr>
                <w:rFonts w:ascii="Times New Roman" w:hAnsi="Times New Roman" w:cs="Times New Roman"/>
                <w:sz w:val="18"/>
                <w:szCs w:val="18"/>
              </w:rPr>
              <w:t>Banks are also being allowed to charge customers “reasonable fees” (determined by each bank) for using services through non-bank agents, thus enhancing the bank’s and agent’s business case for this delivery channel.</w:t>
            </w:r>
            <w:r w:rsidR="00B07DFB" w:rsidRPr="003571FD">
              <w:rPr>
                <w:rFonts w:ascii="Times New Roman" w:hAnsi="Times New Roman" w:cs="Times New Roman"/>
                <w:sz w:val="18"/>
                <w:szCs w:val="18"/>
              </w:rPr>
              <w:t xml:space="preserve"> </w:t>
            </w:r>
          </w:p>
          <w:p w:rsidR="004340D4" w:rsidRPr="003571FD" w:rsidRDefault="004340D4" w:rsidP="00CA07A0">
            <w:pPr>
              <w:pStyle w:val="ListParagraph"/>
              <w:numPr>
                <w:ilvl w:val="0"/>
                <w:numId w:val="10"/>
              </w:numPr>
              <w:jc w:val="both"/>
              <w:rPr>
                <w:rFonts w:ascii="Times New Roman" w:hAnsi="Times New Roman" w:cs="Times New Roman"/>
                <w:sz w:val="18"/>
                <w:szCs w:val="18"/>
              </w:rPr>
            </w:pPr>
            <w:r w:rsidRPr="003571FD">
              <w:rPr>
                <w:rFonts w:ascii="Times New Roman" w:hAnsi="Times New Roman" w:cs="Times New Roman"/>
                <w:sz w:val="18"/>
                <w:szCs w:val="18"/>
              </w:rPr>
              <w:t xml:space="preserve">Ongoing: The RBI is in consultation with state governments to encourage adoption of </w:t>
            </w:r>
            <w:r w:rsidR="00376BEB" w:rsidRPr="003571FD">
              <w:rPr>
                <w:rFonts w:ascii="Times New Roman" w:hAnsi="Times New Roman" w:cs="Times New Roman"/>
                <w:sz w:val="18"/>
                <w:szCs w:val="18"/>
              </w:rPr>
              <w:t>e</w:t>
            </w:r>
            <w:r w:rsidRPr="003571FD">
              <w:rPr>
                <w:rFonts w:ascii="Times New Roman" w:hAnsi="Times New Roman" w:cs="Times New Roman"/>
                <w:sz w:val="18"/>
                <w:szCs w:val="18"/>
              </w:rPr>
              <w:t xml:space="preserve">lectronic </w:t>
            </w:r>
            <w:r w:rsidR="00376BEB" w:rsidRPr="003571FD">
              <w:rPr>
                <w:rFonts w:ascii="Times New Roman" w:hAnsi="Times New Roman" w:cs="Times New Roman"/>
                <w:sz w:val="18"/>
                <w:szCs w:val="18"/>
              </w:rPr>
              <w:t>b</w:t>
            </w:r>
            <w:r w:rsidRPr="003571FD">
              <w:rPr>
                <w:rFonts w:ascii="Times New Roman" w:hAnsi="Times New Roman" w:cs="Times New Roman"/>
                <w:sz w:val="18"/>
                <w:szCs w:val="18"/>
              </w:rPr>
              <w:t xml:space="preserve">enefit </w:t>
            </w:r>
            <w:r w:rsidR="00376BEB" w:rsidRPr="003571FD">
              <w:rPr>
                <w:rFonts w:ascii="Times New Roman" w:hAnsi="Times New Roman" w:cs="Times New Roman"/>
                <w:sz w:val="18"/>
                <w:szCs w:val="18"/>
              </w:rPr>
              <w:t>t</w:t>
            </w:r>
            <w:r w:rsidRPr="003571FD">
              <w:rPr>
                <w:rFonts w:ascii="Times New Roman" w:hAnsi="Times New Roman" w:cs="Times New Roman"/>
                <w:sz w:val="18"/>
                <w:szCs w:val="18"/>
              </w:rPr>
              <w:t>ransfers (EBTs) by banks. It has also launched a financial inclusion drive targeting one district in each state for 100</w:t>
            </w:r>
            <w:r w:rsidR="00376BEB" w:rsidRPr="003571FD">
              <w:rPr>
                <w:rFonts w:ascii="Times New Roman" w:hAnsi="Times New Roman" w:cs="Times New Roman"/>
                <w:sz w:val="18"/>
                <w:szCs w:val="18"/>
              </w:rPr>
              <w:t xml:space="preserve"> percent</w:t>
            </w:r>
            <w:r w:rsidRPr="003571FD">
              <w:rPr>
                <w:rFonts w:ascii="Times New Roman" w:hAnsi="Times New Roman" w:cs="Times New Roman"/>
                <w:sz w:val="18"/>
                <w:szCs w:val="18"/>
              </w:rPr>
              <w:t xml:space="preserve"> financial inclusion.</w:t>
            </w:r>
          </w:p>
          <w:p w:rsidR="004340D4" w:rsidRPr="003571FD" w:rsidRDefault="004340D4" w:rsidP="004340D4">
            <w:pPr>
              <w:pStyle w:val="ListParagraph"/>
              <w:ind w:left="1485"/>
              <w:jc w:val="both"/>
              <w:rPr>
                <w:rFonts w:ascii="Times New Roman" w:hAnsi="Times New Roman" w:cs="Times New Roman"/>
                <w:sz w:val="18"/>
                <w:szCs w:val="18"/>
              </w:rPr>
            </w:pPr>
          </w:p>
          <w:p w:rsidR="004340D4" w:rsidRPr="003571FD" w:rsidRDefault="004340D4" w:rsidP="004340D4">
            <w:pPr>
              <w:jc w:val="both"/>
              <w:rPr>
                <w:rFonts w:ascii="Times New Roman" w:hAnsi="Times New Roman" w:cs="Times New Roman"/>
                <w:sz w:val="18"/>
                <w:szCs w:val="18"/>
              </w:rPr>
            </w:pPr>
            <w:r w:rsidRPr="003571FD">
              <w:rPr>
                <w:rFonts w:ascii="Times New Roman" w:hAnsi="Times New Roman" w:cs="Times New Roman"/>
                <w:sz w:val="18"/>
                <w:szCs w:val="18"/>
              </w:rPr>
              <w:t>These efforts have yielded positive results. A research study conducted in Karnataka concluded that financial inclusion efforts of opening no frills accounts resulted in nearly 60</w:t>
            </w:r>
            <w:r w:rsidR="00376BEB" w:rsidRPr="003571FD">
              <w:rPr>
                <w:rFonts w:ascii="Times New Roman" w:hAnsi="Times New Roman" w:cs="Times New Roman"/>
                <w:sz w:val="18"/>
                <w:szCs w:val="18"/>
              </w:rPr>
              <w:t xml:space="preserve"> percent</w:t>
            </w:r>
            <w:r w:rsidRPr="003571FD">
              <w:rPr>
                <w:rFonts w:ascii="Times New Roman" w:hAnsi="Times New Roman" w:cs="Times New Roman"/>
                <w:sz w:val="18"/>
                <w:szCs w:val="18"/>
              </w:rPr>
              <w:t xml:space="preserve"> of the adult population opening a bank account. This is high when compared with other developing countries such as South Africa (32</w:t>
            </w:r>
            <w:r w:rsidR="00376BEB" w:rsidRPr="003571FD">
              <w:rPr>
                <w:rFonts w:ascii="Times New Roman" w:hAnsi="Times New Roman" w:cs="Times New Roman"/>
                <w:sz w:val="18"/>
                <w:szCs w:val="18"/>
              </w:rPr>
              <w:t xml:space="preserve"> percent), Tanzania (6) or Colombia (39</w:t>
            </w:r>
            <w:r w:rsidRPr="003571FD">
              <w:rPr>
                <w:rFonts w:ascii="Times New Roman" w:hAnsi="Times New Roman" w:cs="Times New Roman"/>
                <w:sz w:val="18"/>
                <w:szCs w:val="18"/>
              </w:rPr>
              <w:t>), but low</w:t>
            </w:r>
            <w:r w:rsidR="00376BEB" w:rsidRPr="003571FD">
              <w:rPr>
                <w:rFonts w:ascii="Times New Roman" w:hAnsi="Times New Roman" w:cs="Times New Roman"/>
                <w:sz w:val="18"/>
                <w:szCs w:val="18"/>
              </w:rPr>
              <w:t xml:space="preserve"> when compared with Denmark (99</w:t>
            </w:r>
            <w:r w:rsidRPr="003571FD">
              <w:rPr>
                <w:rFonts w:ascii="Times New Roman" w:hAnsi="Times New Roman" w:cs="Times New Roman"/>
                <w:sz w:val="18"/>
                <w:szCs w:val="18"/>
              </w:rPr>
              <w:t xml:space="preserve">), the </w:t>
            </w:r>
            <w:r w:rsidR="00376BEB" w:rsidRPr="003571FD">
              <w:rPr>
                <w:rFonts w:ascii="Times New Roman" w:hAnsi="Times New Roman" w:cs="Times New Roman"/>
                <w:sz w:val="18"/>
                <w:szCs w:val="18"/>
              </w:rPr>
              <w:t>UK (88) or the US (91</w:t>
            </w:r>
            <w:r w:rsidRPr="003571FD">
              <w:rPr>
                <w:rFonts w:ascii="Times New Roman" w:hAnsi="Times New Roman" w:cs="Times New Roman"/>
                <w:sz w:val="18"/>
                <w:szCs w:val="18"/>
              </w:rPr>
              <w:t>).</w:t>
            </w:r>
          </w:p>
          <w:p w:rsidR="004340D4" w:rsidRPr="003571FD" w:rsidRDefault="004340D4" w:rsidP="004340D4">
            <w:pPr>
              <w:jc w:val="both"/>
              <w:rPr>
                <w:rFonts w:ascii="Times New Roman" w:hAnsi="Times New Roman" w:cs="Times New Roman"/>
                <w:sz w:val="18"/>
                <w:szCs w:val="18"/>
              </w:rPr>
            </w:pPr>
          </w:p>
        </w:tc>
      </w:tr>
    </w:tbl>
    <w:p w:rsidR="00F25889" w:rsidRDefault="00F25889" w:rsidP="00F25889">
      <w:pPr>
        <w:pStyle w:val="ListParagraph"/>
        <w:spacing w:after="240"/>
        <w:ind w:left="0"/>
        <w:jc w:val="both"/>
        <w:rPr>
          <w:rFonts w:ascii="Times New Roman" w:hAnsi="Times New Roman" w:cs="Times New Roman"/>
          <w:b/>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Additionally, some of the regulations to enhance consumer protection impose significant additional costs for opening and maintaining service points and</w:t>
      </w:r>
      <w:r w:rsidRPr="003571FD" w:rsidDel="00BF710B">
        <w:rPr>
          <w:rFonts w:ascii="Times New Roman" w:hAnsi="Times New Roman" w:cs="Times New Roman"/>
          <w:b/>
          <w:sz w:val="24"/>
          <w:szCs w:val="24"/>
        </w:rPr>
        <w:t xml:space="preserve"> </w:t>
      </w:r>
      <w:r w:rsidRPr="003571FD">
        <w:rPr>
          <w:rFonts w:ascii="Times New Roman" w:hAnsi="Times New Roman" w:cs="Times New Roman"/>
          <w:b/>
          <w:sz w:val="24"/>
          <w:szCs w:val="24"/>
        </w:rPr>
        <w:t xml:space="preserve">should be </w:t>
      </w:r>
      <w:r w:rsidR="00613F9D">
        <w:rPr>
          <w:rFonts w:ascii="Times New Roman" w:hAnsi="Times New Roman" w:cs="Times New Roman"/>
          <w:b/>
          <w:sz w:val="24"/>
          <w:szCs w:val="24"/>
        </w:rPr>
        <w:t>revised</w:t>
      </w:r>
      <w:r w:rsidR="00613F9D" w:rsidRPr="003571FD">
        <w:rPr>
          <w:rFonts w:ascii="Times New Roman" w:hAnsi="Times New Roman" w:cs="Times New Roman"/>
          <w:b/>
          <w:sz w:val="24"/>
          <w:szCs w:val="24"/>
        </w:rPr>
        <w:t xml:space="preserve"> </w:t>
      </w:r>
      <w:r w:rsidRPr="003571FD">
        <w:rPr>
          <w:rFonts w:ascii="Times New Roman" w:hAnsi="Times New Roman" w:cs="Times New Roman"/>
          <w:b/>
          <w:sz w:val="24"/>
          <w:szCs w:val="24"/>
        </w:rPr>
        <w:t xml:space="preserve">to facilitate outreach to underserved segments of the population or new geographic </w:t>
      </w:r>
      <w:r w:rsidRPr="003571FD">
        <w:rPr>
          <w:rFonts w:ascii="Times New Roman" w:hAnsi="Times New Roman" w:cs="Times New Roman"/>
          <w:b/>
          <w:sz w:val="24"/>
          <w:szCs w:val="24"/>
        </w:rPr>
        <w:lastRenderedPageBreak/>
        <w:t>areas.</w:t>
      </w:r>
      <w:r w:rsidRPr="003571FD">
        <w:rPr>
          <w:rFonts w:ascii="Times New Roman" w:hAnsi="Times New Roman" w:cs="Times New Roman"/>
          <w:sz w:val="24"/>
          <w:szCs w:val="24"/>
        </w:rPr>
        <w:t xml:space="preserve"> This includes regulations to eliminate commissions as discussed under payment system reforms, costs incurred for changing larger bills into smaller denominations free of charge, the security measures mandated for ATMs to protect the client from direct assaults, the installation of a Service Representative for client complaints in all branches as well as the tracking of service times for all locations. In particular the mandate to serving every client within 30 minutes in each branch can increase costs in more remote locations which can witness significant fluctuations in client business, yet are involved in conditional cash transfers that bring for a brief period of time large number of clients to the service point.</w:t>
      </w:r>
    </w:p>
    <w:p w:rsidR="00217616" w:rsidRPr="003571FD" w:rsidRDefault="00217616" w:rsidP="00217616">
      <w:pPr>
        <w:pStyle w:val="ListParagraph"/>
        <w:spacing w:after="240"/>
        <w:ind w:left="0"/>
        <w:jc w:val="both"/>
        <w:rPr>
          <w:rFonts w:ascii="Times New Roman" w:hAnsi="Times New Roman" w:cs="Times New Roman"/>
          <w:b/>
          <w:sz w:val="24"/>
          <w:szCs w:val="24"/>
        </w:rPr>
      </w:pPr>
    </w:p>
    <w:p w:rsidR="00194F46" w:rsidRPr="003571FD" w:rsidRDefault="00194F46"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 xml:space="preserve">Finally, to foster </w:t>
      </w:r>
      <w:r w:rsidR="00147F9F" w:rsidRPr="003571FD">
        <w:rPr>
          <w:rFonts w:ascii="Times New Roman" w:hAnsi="Times New Roman" w:cs="Times New Roman"/>
          <w:b/>
          <w:sz w:val="24"/>
          <w:szCs w:val="24"/>
        </w:rPr>
        <w:t>and facilitate the roll-out of branchl</w:t>
      </w:r>
      <w:r w:rsidR="001B4776" w:rsidRPr="003571FD">
        <w:rPr>
          <w:rFonts w:ascii="Times New Roman" w:hAnsi="Times New Roman" w:cs="Times New Roman"/>
          <w:b/>
          <w:sz w:val="24"/>
          <w:szCs w:val="24"/>
        </w:rPr>
        <w:t xml:space="preserve">ess banking solutions, </w:t>
      </w:r>
      <w:r w:rsidR="00147F9F" w:rsidRPr="003571FD">
        <w:rPr>
          <w:rFonts w:ascii="Times New Roman" w:hAnsi="Times New Roman" w:cs="Times New Roman"/>
          <w:b/>
          <w:sz w:val="24"/>
          <w:szCs w:val="24"/>
        </w:rPr>
        <w:t>the legal framework should be assessed to clarify whether the recommended laws and regulations are in place</w:t>
      </w:r>
      <w:r w:rsidRPr="003571FD">
        <w:rPr>
          <w:rFonts w:ascii="Times New Roman" w:hAnsi="Times New Roman" w:cs="Times New Roman"/>
          <w:b/>
          <w:sz w:val="24"/>
          <w:szCs w:val="24"/>
        </w:rPr>
        <w:t>.</w:t>
      </w:r>
      <w:r w:rsidR="001B4776" w:rsidRPr="003571FD">
        <w:rPr>
          <w:rFonts w:ascii="Times New Roman" w:hAnsi="Times New Roman" w:cs="Times New Roman"/>
          <w:sz w:val="24"/>
          <w:szCs w:val="24"/>
        </w:rPr>
        <w:t xml:space="preserve"> This would include a review of regulations </w:t>
      </w:r>
      <w:r w:rsidRPr="003571FD">
        <w:rPr>
          <w:rFonts w:ascii="Times New Roman" w:hAnsi="Times New Roman" w:cs="Times New Roman"/>
          <w:sz w:val="24"/>
          <w:szCs w:val="24"/>
        </w:rPr>
        <w:t>pertaining to e-commerce, the issuance of e-</w:t>
      </w:r>
      <w:r w:rsidR="00F25889" w:rsidRPr="003571FD">
        <w:rPr>
          <w:rFonts w:ascii="Times New Roman" w:hAnsi="Times New Roman" w:cs="Times New Roman"/>
          <w:sz w:val="24"/>
          <w:szCs w:val="24"/>
        </w:rPr>
        <w:t>money;</w:t>
      </w:r>
      <w:r w:rsidRPr="003571FD">
        <w:rPr>
          <w:rFonts w:ascii="Times New Roman" w:hAnsi="Times New Roman" w:cs="Times New Roman"/>
          <w:sz w:val="24"/>
          <w:szCs w:val="24"/>
        </w:rPr>
        <w:t xml:space="preserve"> know your customer regulations for opening of virtual accounts or by third parties, and other regulations regarding the use of agents</w:t>
      </w:r>
      <w:r w:rsidR="001B4776" w:rsidRPr="003571FD">
        <w:rPr>
          <w:rFonts w:ascii="Times New Roman" w:hAnsi="Times New Roman" w:cs="Times New Roman"/>
          <w:sz w:val="24"/>
          <w:szCs w:val="24"/>
        </w:rPr>
        <w:t>.</w:t>
      </w:r>
      <w:r w:rsidRPr="003571FD">
        <w:rPr>
          <w:rFonts w:ascii="Times New Roman" w:hAnsi="Times New Roman" w:cs="Times New Roman"/>
          <w:sz w:val="24"/>
          <w:szCs w:val="24"/>
        </w:rPr>
        <w:t xml:space="preserve"> It should also be clarified whether money network operators can offer those services on a stand-alone basis, or to what extent they need to involve regulated financial institutions</w:t>
      </w:r>
      <w:r w:rsidR="001B4776" w:rsidRPr="003571FD">
        <w:rPr>
          <w:rFonts w:ascii="Times New Roman" w:hAnsi="Times New Roman" w:cs="Times New Roman"/>
          <w:sz w:val="24"/>
          <w:szCs w:val="24"/>
        </w:rPr>
        <w:t xml:space="preserve">, and which </w:t>
      </w:r>
      <w:r w:rsidR="00147F9F" w:rsidRPr="003571FD">
        <w:rPr>
          <w:rFonts w:ascii="Times New Roman" w:hAnsi="Times New Roman" w:cs="Times New Roman"/>
          <w:sz w:val="24"/>
          <w:szCs w:val="24"/>
        </w:rPr>
        <w:t>communication,</w:t>
      </w:r>
      <w:r w:rsidR="002942C8" w:rsidRPr="003571FD">
        <w:rPr>
          <w:rFonts w:ascii="Times New Roman" w:hAnsi="Times New Roman" w:cs="Times New Roman"/>
          <w:sz w:val="24"/>
          <w:szCs w:val="24"/>
        </w:rPr>
        <w:t xml:space="preserve"> </w:t>
      </w:r>
      <w:r w:rsidR="001B4776" w:rsidRPr="003571FD">
        <w:rPr>
          <w:rFonts w:ascii="Times New Roman" w:hAnsi="Times New Roman" w:cs="Times New Roman"/>
          <w:sz w:val="24"/>
          <w:szCs w:val="24"/>
        </w:rPr>
        <w:t>security standards and consumer protection regulations need to be determined in agent models</w:t>
      </w:r>
      <w:r w:rsidR="005D49F6">
        <w:rPr>
          <w:rStyle w:val="FootnoteReference"/>
          <w:rFonts w:ascii="Times New Roman" w:hAnsi="Times New Roman" w:cs="Times New Roman"/>
          <w:sz w:val="24"/>
          <w:szCs w:val="24"/>
        </w:rPr>
        <w:footnoteReference w:id="89"/>
      </w:r>
      <w:r w:rsidR="001B4776" w:rsidRPr="003571FD">
        <w:rPr>
          <w:rFonts w:ascii="Times New Roman" w:hAnsi="Times New Roman" w:cs="Times New Roman"/>
          <w:sz w:val="24"/>
          <w:szCs w:val="24"/>
        </w:rPr>
        <w:t>.</w:t>
      </w:r>
    </w:p>
    <w:p w:rsidR="00EC5E43" w:rsidRPr="003571FD" w:rsidRDefault="00EC5E43" w:rsidP="00EC5E43">
      <w:pPr>
        <w:jc w:val="both"/>
        <w:rPr>
          <w:rFonts w:ascii="Times New Roman" w:hAnsi="Times New Roman" w:cs="Times New Roman"/>
          <w:sz w:val="24"/>
          <w:szCs w:val="24"/>
        </w:rPr>
      </w:pPr>
      <w:r w:rsidRPr="003571FD">
        <w:rPr>
          <w:rFonts w:ascii="Times New Roman" w:hAnsi="Times New Roman" w:cs="Times New Roman"/>
          <w:i/>
          <w:sz w:val="24"/>
          <w:szCs w:val="24"/>
        </w:rPr>
        <w:t>Foster new technologies to reach out to underserved localities:</w:t>
      </w: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government can play an important role in fostering the use non-bank agents</w:t>
      </w:r>
      <w:r w:rsidRPr="003571FD">
        <w:rPr>
          <w:rFonts w:ascii="Times New Roman" w:hAnsi="Times New Roman" w:cs="Times New Roman"/>
          <w:sz w:val="24"/>
          <w:szCs w:val="24"/>
        </w:rPr>
        <w:t>. This would include:</w:t>
      </w:r>
    </w:p>
    <w:p w:rsidR="00904F6D" w:rsidRPr="003571FD" w:rsidRDefault="00904F6D" w:rsidP="00904F6D">
      <w:pPr>
        <w:pStyle w:val="ListParagraph"/>
        <w:ind w:left="360"/>
        <w:jc w:val="both"/>
        <w:rPr>
          <w:rFonts w:ascii="Times New Roman" w:hAnsi="Times New Roman" w:cs="Times New Roman"/>
          <w:sz w:val="24"/>
          <w:szCs w:val="24"/>
        </w:rPr>
      </w:pPr>
    </w:p>
    <w:p w:rsidR="00EC5E43" w:rsidRPr="003571FD" w:rsidRDefault="00EC5E4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 xml:space="preserve">Fostering the development of agent relationships within the financial sector. </w:t>
      </w:r>
      <w:r w:rsidR="00217616" w:rsidRPr="003571FD">
        <w:rPr>
          <w:rFonts w:ascii="Times New Roman" w:hAnsi="Times New Roman" w:cs="Times New Roman"/>
          <w:sz w:val="24"/>
          <w:szCs w:val="24"/>
        </w:rPr>
        <w:t xml:space="preserve">IFDs </w:t>
      </w:r>
      <w:r w:rsidRPr="003571FD">
        <w:rPr>
          <w:rFonts w:ascii="Times New Roman" w:hAnsi="Times New Roman" w:cs="Times New Roman"/>
          <w:sz w:val="24"/>
          <w:szCs w:val="24"/>
        </w:rPr>
        <w:t xml:space="preserve">for example cannot receive deposits and have no access to the national payment system, but could as agents of banks or finance companies offer those services to their clients. This could be used to provide incentives for </w:t>
      </w:r>
      <w:r w:rsidR="00217616" w:rsidRPr="003571FD">
        <w:rPr>
          <w:rFonts w:ascii="Times New Roman" w:hAnsi="Times New Roman" w:cs="Times New Roman"/>
          <w:sz w:val="24"/>
          <w:szCs w:val="24"/>
        </w:rPr>
        <w:t>IFDs</w:t>
      </w:r>
      <w:r w:rsidRPr="003571FD">
        <w:rPr>
          <w:rFonts w:ascii="Times New Roman" w:hAnsi="Times New Roman" w:cs="Times New Roman"/>
          <w:sz w:val="24"/>
          <w:szCs w:val="24"/>
        </w:rPr>
        <w:t xml:space="preserve"> and closed cooperatives during the transition process, and allow for some twinning and capacity building from larger institutions to smaller ones. Furthermore, it would allow deepening already existing relationships between financial entities and individuals, and benefiting from the already solid understanding of financial services by staff of so far unregulated entities. Several entities already expressed interest in such solutions, but so far no direct forms of cooperation have emerged. </w:t>
      </w:r>
    </w:p>
    <w:p w:rsidR="00904F6D" w:rsidRPr="003571FD" w:rsidRDefault="00904F6D" w:rsidP="00904F6D">
      <w:pPr>
        <w:pStyle w:val="ListParagraph"/>
        <w:ind w:left="504"/>
        <w:jc w:val="both"/>
        <w:rPr>
          <w:rFonts w:ascii="Times New Roman" w:hAnsi="Times New Roman" w:cs="Times New Roman"/>
          <w:sz w:val="24"/>
          <w:szCs w:val="24"/>
        </w:rPr>
      </w:pPr>
    </w:p>
    <w:p w:rsidR="00904F6D" w:rsidRPr="003571FD" w:rsidRDefault="00EC5E43"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sz w:val="24"/>
          <w:szCs w:val="24"/>
        </w:rPr>
        <w:t>Channeling government to person payments through non-bank agents.</w:t>
      </w:r>
      <w:r w:rsidRPr="003571FD">
        <w:rPr>
          <w:rFonts w:ascii="Times New Roman" w:hAnsi="Times New Roman" w:cs="Times New Roman"/>
          <w:sz w:val="24"/>
          <w:szCs w:val="24"/>
        </w:rPr>
        <w:t xml:space="preserve"> The government has a significant number of transactions that could make the development and rollout of innovative payment solutions interesting and feasible for the private sector. The government should thus aim to determine the number of regular transactions it conducts in individual municipalities / </w:t>
      </w:r>
      <w:r w:rsidR="00F25889" w:rsidRPr="003571FD">
        <w:rPr>
          <w:rFonts w:ascii="Times New Roman" w:hAnsi="Times New Roman" w:cs="Times New Roman"/>
          <w:sz w:val="24"/>
          <w:szCs w:val="24"/>
        </w:rPr>
        <w:t>localities;</w:t>
      </w:r>
      <w:r w:rsidRPr="003571FD">
        <w:rPr>
          <w:rFonts w:ascii="Times New Roman" w:hAnsi="Times New Roman" w:cs="Times New Roman"/>
          <w:sz w:val="24"/>
          <w:szCs w:val="24"/>
        </w:rPr>
        <w:t xml:space="preserve"> assess the use of alternative payment options </w:t>
      </w:r>
      <w:r w:rsidR="00DC0C6C">
        <w:rPr>
          <w:rFonts w:ascii="Times New Roman" w:hAnsi="Times New Roman" w:cs="Times New Roman"/>
          <w:sz w:val="24"/>
          <w:szCs w:val="24"/>
        </w:rPr>
        <w:t xml:space="preserve">available within </w:t>
      </w:r>
      <w:r w:rsidRPr="003571FD">
        <w:rPr>
          <w:rFonts w:ascii="Times New Roman" w:hAnsi="Times New Roman" w:cs="Times New Roman"/>
          <w:sz w:val="24"/>
          <w:szCs w:val="24"/>
        </w:rPr>
        <w:t xml:space="preserve">the financial system, and contract out the provision of payment </w:t>
      </w:r>
      <w:r w:rsidRPr="003571FD">
        <w:rPr>
          <w:rFonts w:ascii="Times New Roman" w:hAnsi="Times New Roman" w:cs="Times New Roman"/>
          <w:sz w:val="24"/>
          <w:szCs w:val="24"/>
        </w:rPr>
        <w:lastRenderedPageBreak/>
        <w:t xml:space="preserve">services where feasible through accounts or payment cards. Similar efforts were successfully undertaken for the delivery of conditional cash transfers in countries like Brazil, Colombia and Mexico, and are currently underway in India and Honduras. </w:t>
      </w:r>
    </w:p>
    <w:p w:rsidR="00904F6D" w:rsidRPr="003571FD" w:rsidRDefault="00904F6D" w:rsidP="00904F6D">
      <w:pPr>
        <w:pStyle w:val="ListParagraph"/>
        <w:ind w:left="504"/>
        <w:jc w:val="both"/>
        <w:rPr>
          <w:rFonts w:ascii="Times New Roman" w:hAnsi="Times New Roman" w:cs="Times New Roman"/>
          <w:sz w:val="24"/>
          <w:szCs w:val="24"/>
        </w:rPr>
      </w:pPr>
    </w:p>
    <w:p w:rsidR="00AF20D8" w:rsidRPr="003571FD" w:rsidRDefault="00147F9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b/>
          <w:i/>
          <w:sz w:val="24"/>
          <w:szCs w:val="24"/>
        </w:rPr>
        <w:t>Banco Union</w:t>
      </w:r>
      <w:r w:rsidRPr="003571FD">
        <w:rPr>
          <w:rFonts w:ascii="Times New Roman" w:hAnsi="Times New Roman" w:cs="Times New Roman"/>
          <w:b/>
          <w:sz w:val="24"/>
          <w:szCs w:val="24"/>
        </w:rPr>
        <w:t xml:space="preserve"> could become a pioneer in establishing those agency relationships,</w:t>
      </w:r>
      <w:r w:rsidR="00EC5E43" w:rsidRPr="003571FD">
        <w:rPr>
          <w:rFonts w:ascii="Times New Roman" w:hAnsi="Times New Roman" w:cs="Times New Roman"/>
          <w:sz w:val="24"/>
          <w:szCs w:val="24"/>
        </w:rPr>
        <w:t xml:space="preserve"> for example through contracting agents in target localities in the initial two years of operation on an exclusivity basis, and then open the agent relationships up to other financial service providers.</w:t>
      </w:r>
      <w:r w:rsidR="00A378FA" w:rsidRPr="003571FD">
        <w:rPr>
          <w:rFonts w:ascii="Times New Roman" w:hAnsi="Times New Roman" w:cs="Times New Roman"/>
          <w:sz w:val="24"/>
          <w:szCs w:val="24"/>
        </w:rPr>
        <w:t xml:space="preserve"> To facilitate this, the government should reconsider whether it is necessary to transfer the full execution of all financial transactions originating in the government and especially of the management of salaries to </w:t>
      </w:r>
      <w:r w:rsidR="00A378FA" w:rsidRPr="003571FD">
        <w:rPr>
          <w:rFonts w:ascii="Times New Roman" w:hAnsi="Times New Roman" w:cs="Times New Roman"/>
          <w:i/>
          <w:sz w:val="24"/>
          <w:szCs w:val="24"/>
        </w:rPr>
        <w:t>Banco Union</w:t>
      </w:r>
      <w:r w:rsidR="00A378FA" w:rsidRPr="003571FD">
        <w:rPr>
          <w:rFonts w:ascii="Times New Roman" w:hAnsi="Times New Roman" w:cs="Times New Roman"/>
          <w:sz w:val="24"/>
          <w:szCs w:val="24"/>
        </w:rPr>
        <w:t xml:space="preserve">, or limit this mandate to the direct processing of the government funds, with the </w:t>
      </w:r>
      <w:r w:rsidR="00DC0C6C">
        <w:rPr>
          <w:rFonts w:ascii="Times New Roman" w:hAnsi="Times New Roman" w:cs="Times New Roman"/>
          <w:sz w:val="24"/>
          <w:szCs w:val="24"/>
        </w:rPr>
        <w:t>entire financial system</w:t>
      </w:r>
      <w:r w:rsidR="00A378FA" w:rsidRPr="003571FD">
        <w:rPr>
          <w:rFonts w:ascii="Times New Roman" w:hAnsi="Times New Roman" w:cs="Times New Roman"/>
          <w:sz w:val="24"/>
          <w:szCs w:val="24"/>
        </w:rPr>
        <w:t xml:space="preserve"> being where possible involved in the actual delivery of payments to the private business or </w:t>
      </w:r>
      <w:r w:rsidR="001B4776" w:rsidRPr="003571FD">
        <w:rPr>
          <w:rFonts w:ascii="Times New Roman" w:hAnsi="Times New Roman" w:cs="Times New Roman"/>
          <w:sz w:val="24"/>
          <w:szCs w:val="24"/>
        </w:rPr>
        <w:t xml:space="preserve">individual. This would free </w:t>
      </w:r>
      <w:r w:rsidR="001B4776" w:rsidRPr="003571FD">
        <w:rPr>
          <w:rFonts w:ascii="Times New Roman" w:hAnsi="Times New Roman" w:cs="Times New Roman"/>
          <w:i/>
          <w:sz w:val="24"/>
          <w:szCs w:val="24"/>
        </w:rPr>
        <w:t>Banco Union</w:t>
      </w:r>
      <w:r w:rsidR="001B4776" w:rsidRPr="003571FD">
        <w:rPr>
          <w:rFonts w:ascii="Times New Roman" w:hAnsi="Times New Roman" w:cs="Times New Roman"/>
          <w:sz w:val="24"/>
          <w:szCs w:val="24"/>
        </w:rPr>
        <w:t xml:space="preserve"> </w:t>
      </w:r>
      <w:r w:rsidR="00A378FA" w:rsidRPr="003571FD">
        <w:rPr>
          <w:rFonts w:ascii="Times New Roman" w:hAnsi="Times New Roman" w:cs="Times New Roman"/>
          <w:sz w:val="24"/>
          <w:szCs w:val="24"/>
        </w:rPr>
        <w:t xml:space="preserve">to focus its </w:t>
      </w:r>
      <w:r w:rsidR="00DC0C6C">
        <w:rPr>
          <w:rFonts w:ascii="Times New Roman" w:hAnsi="Times New Roman" w:cs="Times New Roman"/>
          <w:sz w:val="24"/>
          <w:szCs w:val="24"/>
        </w:rPr>
        <w:t xml:space="preserve">scarce </w:t>
      </w:r>
      <w:r w:rsidR="00A378FA" w:rsidRPr="003571FD">
        <w:rPr>
          <w:rFonts w:ascii="Times New Roman" w:hAnsi="Times New Roman" w:cs="Times New Roman"/>
          <w:sz w:val="24"/>
          <w:szCs w:val="24"/>
        </w:rPr>
        <w:t>resources on reaching out to geographic areas that are not yet covered by a financial institution, and to provide funding to underdeveloped sectors which are determined as priority sectors.</w:t>
      </w:r>
    </w:p>
    <w:p w:rsidR="00AF20D8" w:rsidRPr="003571FD" w:rsidRDefault="00AF20D8" w:rsidP="00AF20D8">
      <w:pPr>
        <w:pStyle w:val="ListParagraph"/>
        <w:ind w:left="504"/>
        <w:jc w:val="both"/>
        <w:rPr>
          <w:rFonts w:ascii="Times New Roman" w:hAnsi="Times New Roman" w:cs="Times New Roman"/>
          <w:sz w:val="24"/>
          <w:szCs w:val="24"/>
        </w:rPr>
      </w:pPr>
    </w:p>
    <w:p w:rsidR="00EC5E43" w:rsidRPr="003571FD" w:rsidRDefault="00EC5E43"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sz w:val="24"/>
          <w:szCs w:val="24"/>
        </w:rPr>
        <w:t xml:space="preserve">The rollout should be supported and facilitated by the government through media campaigns, workshops and seminar with stakeholders, and tax incentives or other direct monetary support for the establishment of agent networks and the building of trust in the population. </w:t>
      </w:r>
    </w:p>
    <w:p w:rsidR="00801E58" w:rsidRPr="003571FD" w:rsidRDefault="00801E58" w:rsidP="00AF20D8">
      <w:pPr>
        <w:jc w:val="both"/>
        <w:rPr>
          <w:rFonts w:ascii="Times New Roman" w:hAnsi="Times New Roman" w:cs="Times New Roman"/>
          <w:i/>
          <w:sz w:val="24"/>
          <w:szCs w:val="24"/>
        </w:rPr>
      </w:pPr>
      <w:r w:rsidRPr="003571FD">
        <w:rPr>
          <w:rFonts w:ascii="Times New Roman" w:hAnsi="Times New Roman" w:cs="Times New Roman"/>
          <w:i/>
          <w:sz w:val="24"/>
          <w:szCs w:val="24"/>
        </w:rPr>
        <w:t>Provide targeted financial education ba</w:t>
      </w:r>
      <w:r w:rsidR="00AF20D8" w:rsidRPr="003571FD">
        <w:rPr>
          <w:rFonts w:ascii="Times New Roman" w:hAnsi="Times New Roman" w:cs="Times New Roman"/>
          <w:i/>
          <w:sz w:val="24"/>
          <w:szCs w:val="24"/>
        </w:rPr>
        <w:t>sed on findings from the survey:</w:t>
      </w:r>
    </w:p>
    <w:p w:rsidR="00904F6D" w:rsidRPr="007671C3" w:rsidRDefault="00801E58" w:rsidP="00EC5E43">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In addition to already developed workshops and promotional material, broader financial education campaigns could be launched to change perceptions and attitudes towards the financial system as determined through survey work.</w:t>
      </w:r>
      <w:r w:rsidRPr="003571FD">
        <w:rPr>
          <w:rFonts w:ascii="Times New Roman" w:hAnsi="Times New Roman" w:cs="Times New Roman"/>
          <w:sz w:val="24"/>
          <w:szCs w:val="24"/>
        </w:rPr>
        <w:t xml:space="preserve"> ASFI </w:t>
      </w:r>
      <w:r w:rsidR="00DC0C6C">
        <w:rPr>
          <w:rFonts w:ascii="Times New Roman" w:hAnsi="Times New Roman" w:cs="Times New Roman"/>
          <w:sz w:val="24"/>
          <w:szCs w:val="24"/>
        </w:rPr>
        <w:t>and the Central Bank have</w:t>
      </w:r>
      <w:r w:rsidRPr="003571FD">
        <w:rPr>
          <w:rFonts w:ascii="Times New Roman" w:hAnsi="Times New Roman" w:cs="Times New Roman"/>
          <w:sz w:val="24"/>
          <w:szCs w:val="24"/>
        </w:rPr>
        <w:t xml:space="preserve"> already established a work-program and material to increase the level of financial education in the population. </w:t>
      </w:r>
      <w:r w:rsidR="00DC0C6C">
        <w:rPr>
          <w:rFonts w:ascii="Times New Roman" w:hAnsi="Times New Roman" w:cs="Times New Roman"/>
          <w:sz w:val="24"/>
          <w:szCs w:val="24"/>
        </w:rPr>
        <w:t>ASFI</w:t>
      </w:r>
      <w:r w:rsidR="00DC0C6C"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regularly conducts workshops and seminars with entrepreneurs and students in selected locations, with so far strong interest and positive feedback from the participants. </w:t>
      </w:r>
      <w:r w:rsidR="00DC0C6C">
        <w:rPr>
          <w:rFonts w:ascii="Times New Roman" w:hAnsi="Times New Roman" w:cs="Times New Roman"/>
          <w:sz w:val="24"/>
          <w:szCs w:val="24"/>
        </w:rPr>
        <w:t xml:space="preserve">The Central Bank focuses on a broad information campaign to help create knowledge on the composition of the financial system, its functioning, and measures to enhance its security. </w:t>
      </w:r>
      <w:r w:rsidRPr="003571FD">
        <w:rPr>
          <w:rFonts w:ascii="Times New Roman" w:hAnsi="Times New Roman" w:cs="Times New Roman"/>
          <w:sz w:val="24"/>
          <w:szCs w:val="24"/>
        </w:rPr>
        <w:t xml:space="preserve">However, in the absence of surveys to determine the actual gaps in financial education and cultural factors, </w:t>
      </w:r>
      <w:r w:rsidR="00DC0C6C">
        <w:rPr>
          <w:rFonts w:ascii="Times New Roman" w:hAnsi="Times New Roman" w:cs="Times New Roman"/>
          <w:sz w:val="24"/>
          <w:szCs w:val="24"/>
        </w:rPr>
        <w:t>both</w:t>
      </w:r>
      <w:r w:rsidR="00DC0C6C" w:rsidRPr="003571FD">
        <w:rPr>
          <w:rFonts w:ascii="Times New Roman" w:hAnsi="Times New Roman" w:cs="Times New Roman"/>
          <w:sz w:val="24"/>
          <w:szCs w:val="24"/>
        </w:rPr>
        <w:t xml:space="preserve"> </w:t>
      </w:r>
      <w:r w:rsidRPr="003571FD">
        <w:rPr>
          <w:rFonts w:ascii="Times New Roman" w:hAnsi="Times New Roman" w:cs="Times New Roman"/>
          <w:sz w:val="24"/>
          <w:szCs w:val="24"/>
        </w:rPr>
        <w:t>work program</w:t>
      </w:r>
      <w:r w:rsidR="00DC0C6C">
        <w:rPr>
          <w:rFonts w:ascii="Times New Roman" w:hAnsi="Times New Roman" w:cs="Times New Roman"/>
          <w:sz w:val="24"/>
          <w:szCs w:val="24"/>
        </w:rPr>
        <w:t>s</w:t>
      </w:r>
      <w:r w:rsidRPr="003571FD">
        <w:rPr>
          <w:rFonts w:ascii="Times New Roman" w:hAnsi="Times New Roman" w:cs="Times New Roman"/>
          <w:sz w:val="24"/>
          <w:szCs w:val="24"/>
        </w:rPr>
        <w:t xml:space="preserve"> </w:t>
      </w:r>
      <w:r w:rsidR="00DC0C6C">
        <w:rPr>
          <w:rFonts w:ascii="Times New Roman" w:hAnsi="Times New Roman" w:cs="Times New Roman"/>
          <w:sz w:val="24"/>
          <w:szCs w:val="24"/>
        </w:rPr>
        <w:t>have</w:t>
      </w:r>
      <w:r w:rsidR="00DC0C6C"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naturally stayed broad. Moving ahead, a more targeted approach could be considered. Radio talk shows, TV shows and other targeted media campaigns can have a good impact on increasing the awareness of the population of different payment alternatives, and familiarizing the population with how they work. In combination with carefully designed promotion campaigns, built on experiences gained while piloting the delivery of </w:t>
      </w:r>
      <w:r w:rsidR="00525F02" w:rsidRPr="003571FD">
        <w:rPr>
          <w:rFonts w:ascii="Times New Roman" w:hAnsi="Times New Roman" w:cs="Times New Roman"/>
          <w:sz w:val="24"/>
          <w:szCs w:val="24"/>
        </w:rPr>
        <w:t>conditional cash transfers (</w:t>
      </w:r>
      <w:r w:rsidRPr="003571FD">
        <w:rPr>
          <w:rFonts w:ascii="Times New Roman" w:hAnsi="Times New Roman" w:cs="Times New Roman"/>
          <w:sz w:val="24"/>
          <w:szCs w:val="24"/>
        </w:rPr>
        <w:t>CCTs</w:t>
      </w:r>
      <w:r w:rsidR="00525F02" w:rsidRPr="003571FD">
        <w:rPr>
          <w:rFonts w:ascii="Times New Roman" w:hAnsi="Times New Roman" w:cs="Times New Roman"/>
          <w:sz w:val="24"/>
          <w:szCs w:val="24"/>
        </w:rPr>
        <w:t>)</w:t>
      </w:r>
      <w:r w:rsidRPr="003571FD">
        <w:rPr>
          <w:rFonts w:ascii="Times New Roman" w:hAnsi="Times New Roman" w:cs="Times New Roman"/>
          <w:sz w:val="24"/>
          <w:szCs w:val="24"/>
        </w:rPr>
        <w:t xml:space="preserve"> and government salaries through modern technologies, this could be a very effective way of promoting the use of the services and reaching scale, while at the same time lowering the initial start-up costs and riskiness for financial institutions to develop and roll out those techniques</w:t>
      </w:r>
      <w:r w:rsidR="007671C3">
        <w:rPr>
          <w:rFonts w:ascii="Times New Roman" w:hAnsi="Times New Roman" w:cs="Times New Roman"/>
          <w:sz w:val="24"/>
          <w:szCs w:val="24"/>
        </w:rPr>
        <w:t>.</w:t>
      </w:r>
    </w:p>
    <w:p w:rsidR="00995758" w:rsidRPr="003571FD" w:rsidRDefault="00995758" w:rsidP="00AA3DAB">
      <w:pPr>
        <w:pStyle w:val="Heading1"/>
        <w:rPr>
          <w:rFonts w:cs="Times New Roman"/>
        </w:rPr>
      </w:pPr>
      <w:bookmarkStart w:id="56" w:name="_Toc312319503"/>
      <w:r w:rsidRPr="003571FD">
        <w:rPr>
          <w:rFonts w:cs="Times New Roman"/>
        </w:rPr>
        <w:lastRenderedPageBreak/>
        <w:t>Fostering credit to MSMEs</w:t>
      </w:r>
      <w:bookmarkEnd w:id="56"/>
      <w:r w:rsidRPr="003571FD">
        <w:rPr>
          <w:rFonts w:cs="Times New Roman"/>
        </w:rPr>
        <w:t xml:space="preserve"> </w:t>
      </w:r>
    </w:p>
    <w:p w:rsidR="00995758" w:rsidRPr="003571FD" w:rsidRDefault="00995758" w:rsidP="00995758">
      <w:pPr>
        <w:jc w:val="both"/>
        <w:rPr>
          <w:rFonts w:ascii="Times New Roman" w:hAnsi="Times New Roman" w:cs="Times New Roman"/>
          <w:sz w:val="24"/>
          <w:szCs w:val="24"/>
        </w:rPr>
      </w:pPr>
      <w:bookmarkStart w:id="57" w:name="_Toc292020986"/>
    </w:p>
    <w:bookmarkEnd w:id="57"/>
    <w:p w:rsidR="00995758" w:rsidRPr="003571FD" w:rsidRDefault="00995758" w:rsidP="00995758">
      <w:pPr>
        <w:jc w:val="both"/>
        <w:rPr>
          <w:rFonts w:ascii="Times New Roman" w:hAnsi="Times New Roman" w:cs="Times New Roman"/>
          <w:i/>
          <w:sz w:val="24"/>
          <w:szCs w:val="24"/>
        </w:rPr>
      </w:pPr>
      <w:r w:rsidRPr="003571FD">
        <w:rPr>
          <w:rFonts w:ascii="Times New Roman" w:hAnsi="Times New Roman" w:cs="Times New Roman"/>
          <w:i/>
          <w:sz w:val="24"/>
          <w:szCs w:val="24"/>
        </w:rPr>
        <w:t>Credit to the private sector as a share of GDP decreased over the last few years in Bolivia, but its composition shifted towards a stronger inclusion of smaller borrowers. Enterprises have in general access to working capital, partially funded by sources outside of the financial system such as remittances</w:t>
      </w:r>
      <w:r w:rsidR="00474B51">
        <w:rPr>
          <w:rFonts w:ascii="Times New Roman" w:hAnsi="Times New Roman" w:cs="Times New Roman"/>
          <w:i/>
          <w:sz w:val="24"/>
          <w:szCs w:val="24"/>
        </w:rPr>
        <w:t xml:space="preserve"> and grants</w:t>
      </w:r>
      <w:r w:rsidRPr="003571FD">
        <w:rPr>
          <w:rFonts w:ascii="Times New Roman" w:hAnsi="Times New Roman" w:cs="Times New Roman"/>
          <w:i/>
          <w:sz w:val="24"/>
          <w:szCs w:val="24"/>
        </w:rPr>
        <w:t>, but are restraint with regard to investment financing and larger working capital loans.</w:t>
      </w:r>
      <w:r w:rsidR="00B07DFB" w:rsidRPr="003571FD">
        <w:rPr>
          <w:rFonts w:ascii="Times New Roman" w:hAnsi="Times New Roman" w:cs="Times New Roman"/>
          <w:i/>
          <w:sz w:val="24"/>
          <w:szCs w:val="24"/>
        </w:rPr>
        <w:t xml:space="preserve"> </w:t>
      </w:r>
      <w:r w:rsidRPr="003571FD">
        <w:rPr>
          <w:rFonts w:ascii="Times New Roman" w:hAnsi="Times New Roman" w:cs="Times New Roman"/>
          <w:i/>
          <w:sz w:val="24"/>
          <w:szCs w:val="24"/>
        </w:rPr>
        <w:t>There are a number of demand and supply side bottlenecks that contribute to this:</w:t>
      </w:r>
    </w:p>
    <w:p w:rsidR="00995758" w:rsidRPr="003571FD" w:rsidRDefault="00995758" w:rsidP="00CA07A0">
      <w:pPr>
        <w:pStyle w:val="ListParagraph"/>
        <w:numPr>
          <w:ilvl w:val="0"/>
          <w:numId w:val="9"/>
        </w:numPr>
        <w:jc w:val="both"/>
        <w:rPr>
          <w:rFonts w:ascii="Times New Roman" w:hAnsi="Times New Roman" w:cs="Times New Roman"/>
          <w:i/>
          <w:sz w:val="24"/>
          <w:szCs w:val="24"/>
        </w:rPr>
      </w:pPr>
      <w:r w:rsidRPr="003571FD">
        <w:rPr>
          <w:rFonts w:ascii="Times New Roman" w:hAnsi="Times New Roman" w:cs="Times New Roman"/>
          <w:i/>
          <w:sz w:val="24"/>
          <w:szCs w:val="24"/>
        </w:rPr>
        <w:t xml:space="preserve">On the demand side, the economic structure of the country, in particular the large share of micro and small enterprises, </w:t>
      </w:r>
      <w:r w:rsidR="00380D4A" w:rsidRPr="003571FD">
        <w:rPr>
          <w:rFonts w:ascii="Times New Roman" w:hAnsi="Times New Roman" w:cs="Times New Roman"/>
          <w:i/>
          <w:sz w:val="24"/>
          <w:szCs w:val="24"/>
        </w:rPr>
        <w:t>a poor overall investment climate, as well as</w:t>
      </w:r>
      <w:r w:rsidRPr="003571FD">
        <w:rPr>
          <w:rFonts w:ascii="Times New Roman" w:hAnsi="Times New Roman" w:cs="Times New Roman"/>
          <w:i/>
          <w:sz w:val="24"/>
          <w:szCs w:val="24"/>
        </w:rPr>
        <w:t xml:space="preserve"> the lack of integration into value chains impede profitability in the enterprise sector and limit growth “opportunities”. Thus, in the first place a larger and more coordinated effort to foster economic growth through elimination of barriers to the investment climate and integration of the MSME sector will be required. </w:t>
      </w:r>
    </w:p>
    <w:p w:rsidR="004340D4" w:rsidRPr="003571FD" w:rsidRDefault="004340D4" w:rsidP="004340D4">
      <w:pPr>
        <w:pStyle w:val="ListParagraph"/>
        <w:jc w:val="both"/>
        <w:rPr>
          <w:rFonts w:ascii="Times New Roman" w:hAnsi="Times New Roman" w:cs="Times New Roman"/>
          <w:i/>
          <w:sz w:val="24"/>
          <w:szCs w:val="24"/>
        </w:rPr>
      </w:pPr>
    </w:p>
    <w:p w:rsidR="00995758" w:rsidRPr="003571FD" w:rsidRDefault="00995758" w:rsidP="00CA07A0">
      <w:pPr>
        <w:pStyle w:val="ListParagraph"/>
        <w:numPr>
          <w:ilvl w:val="0"/>
          <w:numId w:val="9"/>
        </w:numPr>
        <w:jc w:val="both"/>
        <w:rPr>
          <w:rFonts w:ascii="Times New Roman" w:hAnsi="Times New Roman" w:cs="Times New Roman"/>
          <w:i/>
          <w:sz w:val="24"/>
          <w:szCs w:val="24"/>
        </w:rPr>
      </w:pPr>
      <w:r w:rsidRPr="003571FD">
        <w:rPr>
          <w:rFonts w:ascii="Times New Roman" w:hAnsi="Times New Roman" w:cs="Times New Roman"/>
          <w:i/>
          <w:sz w:val="24"/>
          <w:szCs w:val="24"/>
        </w:rPr>
        <w:t>With regard to supply of credit from the financial sector, neither the available resource envelope nor the level of interest rates were determined to be significant constraints for the expansion of lending, including to the productive sector. The above mentioned demand side barriers much rather point to higher risks involved in lending to the productive sector, with non-performing loans traditionally being higher in this segments, as well as higher costs involved in gathering information on (potential) client</w:t>
      </w:r>
      <w:r w:rsidR="00474B51">
        <w:rPr>
          <w:rFonts w:ascii="Times New Roman" w:hAnsi="Times New Roman" w:cs="Times New Roman"/>
          <w:i/>
          <w:sz w:val="24"/>
          <w:szCs w:val="24"/>
        </w:rPr>
        <w:t>s due to the prevailing informality in doing busines</w:t>
      </w:r>
      <w:r w:rsidRPr="003571FD">
        <w:rPr>
          <w:rFonts w:ascii="Times New Roman" w:hAnsi="Times New Roman" w:cs="Times New Roman"/>
          <w:i/>
          <w:sz w:val="24"/>
          <w:szCs w:val="24"/>
        </w:rPr>
        <w:t>s. The assessment highlights gaps in available risk mitigating tools (i.e. available collateral) and products (i.e. factoring and leasing) and information infrastructure. Reforms to the collateral regime and credit bureau infrastructure should thus be priorities in order to facilitate a borrower’s eligibility for loans, while legal reforms and government support should aim at fostering the use of risk-mitigating products such as leasing, factoring and partial credit guarantees. Furthermore, fostering links between financial institutions and value chains could be useful to overcome information barriers, and link recipients of grant funding to the financial sector</w:t>
      </w:r>
      <w:r w:rsidR="00320A4D">
        <w:rPr>
          <w:rFonts w:ascii="Times New Roman" w:hAnsi="Times New Roman" w:cs="Times New Roman"/>
          <w:i/>
          <w:sz w:val="24"/>
          <w:szCs w:val="24"/>
        </w:rPr>
        <w:t xml:space="preserve"> in order to</w:t>
      </w:r>
      <w:r w:rsidR="00EA65F2" w:rsidRPr="003571FD">
        <w:rPr>
          <w:rFonts w:ascii="Times New Roman" w:hAnsi="Times New Roman" w:cs="Times New Roman"/>
          <w:i/>
          <w:sz w:val="24"/>
          <w:szCs w:val="24"/>
        </w:rPr>
        <w:t xml:space="preserve"> help</w:t>
      </w:r>
      <w:r w:rsidRPr="003571FD">
        <w:rPr>
          <w:rFonts w:ascii="Times New Roman" w:hAnsi="Times New Roman" w:cs="Times New Roman"/>
          <w:i/>
          <w:sz w:val="24"/>
          <w:szCs w:val="24"/>
        </w:rPr>
        <w:t xml:space="preserve"> them graduate from direct government support. </w:t>
      </w:r>
    </w:p>
    <w:p w:rsidR="00995758" w:rsidRDefault="00995758" w:rsidP="00995758">
      <w:pPr>
        <w:jc w:val="both"/>
        <w:rPr>
          <w:rFonts w:ascii="Times New Roman" w:hAnsi="Times New Roman" w:cs="Times New Roman"/>
          <w:i/>
          <w:sz w:val="24"/>
          <w:szCs w:val="24"/>
        </w:rPr>
      </w:pPr>
    </w:p>
    <w:p w:rsidR="007671C3" w:rsidRDefault="007671C3" w:rsidP="00995758">
      <w:pPr>
        <w:jc w:val="both"/>
        <w:rPr>
          <w:rFonts w:ascii="Times New Roman" w:hAnsi="Times New Roman" w:cs="Times New Roman"/>
          <w:i/>
          <w:sz w:val="24"/>
          <w:szCs w:val="24"/>
        </w:rPr>
      </w:pPr>
    </w:p>
    <w:p w:rsidR="007671C3" w:rsidRPr="003571FD" w:rsidRDefault="007671C3" w:rsidP="00995758">
      <w:pPr>
        <w:jc w:val="both"/>
        <w:rPr>
          <w:rFonts w:ascii="Times New Roman" w:hAnsi="Times New Roman" w:cs="Times New Roman"/>
          <w:i/>
          <w:sz w:val="24"/>
          <w:szCs w:val="24"/>
        </w:rPr>
      </w:pPr>
    </w:p>
    <w:p w:rsidR="00995758" w:rsidRPr="003571FD" w:rsidRDefault="00995758" w:rsidP="007671C3">
      <w:pPr>
        <w:pStyle w:val="Heading2"/>
      </w:pPr>
      <w:bookmarkStart w:id="58" w:name="_Toc312319504"/>
      <w:r w:rsidRPr="003571FD">
        <w:lastRenderedPageBreak/>
        <w:t>Access to credit – Actual situation and evolution over time</w:t>
      </w:r>
      <w:bookmarkEnd w:id="58"/>
      <w:r w:rsidRPr="003571FD">
        <w:t xml:space="preserve"> </w:t>
      </w:r>
    </w:p>
    <w:p w:rsidR="00995758" w:rsidRPr="003571FD" w:rsidRDefault="00995758" w:rsidP="007671C3">
      <w:pPr>
        <w:pStyle w:val="Heading3"/>
      </w:pPr>
      <w:bookmarkStart w:id="59" w:name="_Toc312319505"/>
      <w:r w:rsidRPr="003571FD">
        <w:t>Demand for credit</w:t>
      </w:r>
      <w:bookmarkEnd w:id="59"/>
    </w:p>
    <w:p w:rsidR="00995758" w:rsidRPr="003571FD" w:rsidRDefault="00995758" w:rsidP="00613E2E">
      <w:pPr>
        <w:pStyle w:val="Heading3"/>
        <w:numPr>
          <w:ilvl w:val="0"/>
          <w:numId w:val="0"/>
        </w:numPr>
        <w:spacing w:line="240" w:lineRule="auto"/>
      </w:pPr>
    </w:p>
    <w:tbl>
      <w:tblPr>
        <w:tblStyle w:val="TableGrid"/>
        <w:tblpPr w:leftFromText="180" w:rightFromText="180" w:vertAnchor="text" w:horzAnchor="margin" w:tblpY="233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tblGrid>
      <w:tr w:rsidR="00E334A5" w:rsidRPr="003571FD">
        <w:trPr>
          <w:trHeight w:val="258"/>
        </w:trPr>
        <w:tc>
          <w:tcPr>
            <w:tcW w:w="5496" w:type="dxa"/>
          </w:tcPr>
          <w:p w:rsidR="00E334A5" w:rsidRPr="00795642" w:rsidRDefault="00E334A5" w:rsidP="00E33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sz w:val="24"/>
                <w:szCs w:val="24"/>
              </w:rPr>
            </w:pPr>
            <w:bookmarkStart w:id="60" w:name="_Toc312317281"/>
            <w:r w:rsidRPr="00795642">
              <w:rPr>
                <w:rFonts w:ascii="Times New Roman" w:hAnsi="Times New Roman" w:cs="Times New Roman"/>
                <w:b/>
                <w:sz w:val="18"/>
              </w:rPr>
              <w:t xml:space="preserve">Chart </w:t>
            </w:r>
            <w:r w:rsidR="005744EE" w:rsidRPr="00795642">
              <w:rPr>
                <w:rFonts w:ascii="Times New Roman" w:hAnsi="Times New Roman" w:cs="Times New Roman"/>
                <w:b/>
                <w:sz w:val="18"/>
              </w:rPr>
              <w:fldChar w:fldCharType="begin"/>
            </w:r>
            <w:r w:rsidRPr="00795642">
              <w:rPr>
                <w:rFonts w:ascii="Times New Roman" w:hAnsi="Times New Roman" w:cs="Times New Roman"/>
                <w:b/>
                <w:sz w:val="18"/>
              </w:rPr>
              <w:instrText xml:space="preserve"> SEQ Chart \* ARABIC </w:instrText>
            </w:r>
            <w:r w:rsidR="005744EE" w:rsidRPr="00795642">
              <w:rPr>
                <w:rFonts w:ascii="Times New Roman" w:hAnsi="Times New Roman" w:cs="Times New Roman"/>
                <w:b/>
                <w:sz w:val="18"/>
              </w:rPr>
              <w:fldChar w:fldCharType="separate"/>
            </w:r>
            <w:r w:rsidR="00064A1B" w:rsidRPr="00795642">
              <w:rPr>
                <w:rFonts w:ascii="Times New Roman" w:hAnsi="Times New Roman" w:cs="Times New Roman"/>
                <w:b/>
                <w:noProof/>
                <w:sz w:val="18"/>
              </w:rPr>
              <w:t>15</w:t>
            </w:r>
            <w:r w:rsidR="005744EE" w:rsidRPr="00795642">
              <w:rPr>
                <w:rFonts w:ascii="Times New Roman" w:hAnsi="Times New Roman" w:cs="Times New Roman"/>
                <w:b/>
                <w:sz w:val="18"/>
              </w:rPr>
              <w:fldChar w:fldCharType="end"/>
            </w:r>
            <w:r w:rsidRPr="00795642">
              <w:rPr>
                <w:rFonts w:ascii="Times New Roman" w:hAnsi="Times New Roman" w:cs="Times New Roman"/>
                <w:b/>
                <w:sz w:val="18"/>
              </w:rPr>
              <w:t>: Sources of funding of enterprises</w:t>
            </w:r>
            <w:bookmarkEnd w:id="60"/>
          </w:p>
        </w:tc>
      </w:tr>
      <w:tr w:rsidR="00E334A5" w:rsidRPr="003571FD">
        <w:trPr>
          <w:trHeight w:val="1276"/>
        </w:trPr>
        <w:tc>
          <w:tcPr>
            <w:tcW w:w="5496" w:type="dxa"/>
          </w:tcPr>
          <w:p w:rsidR="00E334A5" w:rsidRPr="003571FD" w:rsidRDefault="00E334A5" w:rsidP="00E334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sz w:val="24"/>
                <w:szCs w:val="24"/>
              </w:rPr>
            </w:pPr>
            <w:r w:rsidRPr="003571FD">
              <w:rPr>
                <w:rFonts w:ascii="Times New Roman" w:hAnsi="Times New Roman" w:cs="Times New Roman"/>
                <w:b/>
                <w:noProof/>
                <w:sz w:val="24"/>
                <w:szCs w:val="24"/>
              </w:rPr>
              <w:drawing>
                <wp:inline distT="0" distB="0" distL="0" distR="0">
                  <wp:extent cx="3325997" cy="2514600"/>
                  <wp:effectExtent l="19050" t="0" r="7753"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3326130" cy="2514600"/>
                          </a:xfrm>
                          <a:prstGeom prst="rect">
                            <a:avLst/>
                          </a:prstGeom>
                          <a:noFill/>
                          <a:ln w="9525">
                            <a:noFill/>
                            <a:miter lim="800000"/>
                            <a:headEnd/>
                            <a:tailEnd/>
                          </a:ln>
                        </pic:spPr>
                      </pic:pic>
                    </a:graphicData>
                  </a:graphic>
                </wp:inline>
              </w:drawing>
            </w:r>
          </w:p>
        </w:tc>
      </w:tr>
      <w:tr w:rsidR="00E334A5" w:rsidRPr="003571FD">
        <w:trPr>
          <w:trHeight w:val="350"/>
        </w:trPr>
        <w:tc>
          <w:tcPr>
            <w:tcW w:w="5496" w:type="dxa"/>
          </w:tcPr>
          <w:p w:rsidR="00E334A5" w:rsidRPr="003571FD" w:rsidRDefault="00E334A5" w:rsidP="00525F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szCs w:val="24"/>
              </w:rPr>
            </w:pPr>
            <w:r w:rsidRPr="003571FD">
              <w:rPr>
                <w:rFonts w:ascii="Times New Roman" w:hAnsi="Times New Roman" w:cs="Times New Roman"/>
                <w:i/>
                <w:sz w:val="18"/>
                <w:szCs w:val="24"/>
              </w:rPr>
              <w:t>Source: World Bank – Enterprise Survey</w:t>
            </w:r>
            <w:r w:rsidR="0019537F" w:rsidRPr="003571FD">
              <w:rPr>
                <w:rFonts w:ascii="Times New Roman" w:hAnsi="Times New Roman" w:cs="Times New Roman"/>
                <w:i/>
                <w:sz w:val="18"/>
                <w:szCs w:val="24"/>
              </w:rPr>
              <w:t>s (latest available)</w:t>
            </w:r>
            <w:r w:rsidR="00525F02" w:rsidRPr="003571FD">
              <w:rPr>
                <w:rFonts w:ascii="Times New Roman" w:hAnsi="Times New Roman" w:cs="Times New Roman"/>
                <w:i/>
                <w:sz w:val="18"/>
                <w:szCs w:val="24"/>
              </w:rPr>
              <w:t>.</w:t>
            </w:r>
          </w:p>
        </w:tc>
      </w:tr>
    </w:tbl>
    <w:p w:rsidR="00634D54" w:rsidRDefault="00801E58" w:rsidP="00613E2E">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A</w:t>
      </w:r>
      <w:r w:rsidR="00995758" w:rsidRPr="003571FD">
        <w:rPr>
          <w:rFonts w:ascii="Times New Roman" w:hAnsi="Times New Roman" w:cs="Times New Roman"/>
          <w:b/>
          <w:sz w:val="24"/>
          <w:szCs w:val="24"/>
        </w:rPr>
        <w:t xml:space="preserve">s in the case of access to financial services by the population, hardly any survey results are available to measure the enterprise sector’s access and use of financing from the financial sector. </w:t>
      </w:r>
      <w:r w:rsidR="00995758" w:rsidRPr="003571FD">
        <w:rPr>
          <w:rFonts w:ascii="Times New Roman" w:hAnsi="Times New Roman" w:cs="Times New Roman"/>
          <w:sz w:val="24"/>
          <w:szCs w:val="24"/>
        </w:rPr>
        <w:t>The statistics institute INE conducted a number of surveys on the agricultural sector, manufacturing industry as well as the export sector. Although these surveys include one or two questions on the main sources of funding, the results on those questions are not publicly available and in the absence of a broader set of questions cannot provide any indication on drivers behind the actual recorded level of access</w:t>
      </w:r>
      <w:r w:rsidR="00995758" w:rsidRPr="003571FD">
        <w:rPr>
          <w:rStyle w:val="FootnoteReference"/>
          <w:rFonts w:ascii="Times New Roman" w:hAnsi="Times New Roman" w:cs="Times New Roman"/>
          <w:sz w:val="24"/>
          <w:szCs w:val="24"/>
        </w:rPr>
        <w:footnoteReference w:id="90"/>
      </w:r>
      <w:r w:rsidR="00995758" w:rsidRPr="003571FD">
        <w:rPr>
          <w:rFonts w:ascii="Times New Roman" w:hAnsi="Times New Roman" w:cs="Times New Roman"/>
          <w:sz w:val="24"/>
          <w:szCs w:val="24"/>
        </w:rPr>
        <w:t xml:space="preserve">. The </w:t>
      </w:r>
      <w:r w:rsidR="00525F02" w:rsidRPr="003571FD">
        <w:rPr>
          <w:rFonts w:ascii="Times New Roman" w:hAnsi="Times New Roman" w:cs="Times New Roman"/>
          <w:sz w:val="24"/>
          <w:szCs w:val="24"/>
        </w:rPr>
        <w:t>E</w:t>
      </w:r>
      <w:r w:rsidR="00995758" w:rsidRPr="003571FD">
        <w:rPr>
          <w:rFonts w:ascii="Times New Roman" w:hAnsi="Times New Roman" w:cs="Times New Roman"/>
          <w:sz w:val="24"/>
          <w:szCs w:val="24"/>
        </w:rPr>
        <w:t xml:space="preserve">nterprise </w:t>
      </w:r>
      <w:r w:rsidR="00525F02" w:rsidRPr="003571FD">
        <w:rPr>
          <w:rFonts w:ascii="Times New Roman" w:hAnsi="Times New Roman" w:cs="Times New Roman"/>
          <w:sz w:val="24"/>
          <w:szCs w:val="24"/>
        </w:rPr>
        <w:t>S</w:t>
      </w:r>
      <w:r w:rsidR="00995758" w:rsidRPr="003571FD">
        <w:rPr>
          <w:rFonts w:ascii="Times New Roman" w:hAnsi="Times New Roman" w:cs="Times New Roman"/>
          <w:sz w:val="24"/>
          <w:szCs w:val="24"/>
        </w:rPr>
        <w:t>urvey of the World Bank (2006</w:t>
      </w:r>
      <w:r w:rsidR="00126B85" w:rsidRPr="003571FD">
        <w:rPr>
          <w:rFonts w:ascii="Times New Roman" w:hAnsi="Times New Roman" w:cs="Times New Roman"/>
          <w:sz w:val="24"/>
          <w:szCs w:val="24"/>
        </w:rPr>
        <w:t>, see Chart 15</w:t>
      </w:r>
      <w:r w:rsidR="00995758" w:rsidRPr="003571FD">
        <w:rPr>
          <w:rFonts w:ascii="Times New Roman" w:hAnsi="Times New Roman" w:cs="Times New Roman"/>
          <w:sz w:val="24"/>
          <w:szCs w:val="24"/>
        </w:rPr>
        <w:t xml:space="preserve">) shows that formal enterprises rely to over 60 percent on own resources to fund investments, which is higher than regional and worldwide averages. This could reflect personal preferences to only invest when sufficient own resources </w:t>
      </w:r>
      <w:r w:rsidR="00320A4D">
        <w:rPr>
          <w:rFonts w:ascii="Times New Roman" w:hAnsi="Times New Roman" w:cs="Times New Roman"/>
          <w:sz w:val="24"/>
          <w:szCs w:val="24"/>
        </w:rPr>
        <w:t xml:space="preserve">or grant funds </w:t>
      </w:r>
      <w:r w:rsidR="00995758" w:rsidRPr="003571FD">
        <w:rPr>
          <w:rFonts w:ascii="Times New Roman" w:hAnsi="Times New Roman" w:cs="Times New Roman"/>
          <w:sz w:val="24"/>
          <w:szCs w:val="24"/>
        </w:rPr>
        <w:t>are available, but could also point to restrictions in available external funding for investment purposes</w:t>
      </w:r>
      <w:r w:rsidR="00320A4D">
        <w:rPr>
          <w:rFonts w:ascii="Times New Roman" w:hAnsi="Times New Roman" w:cs="Times New Roman"/>
          <w:sz w:val="24"/>
          <w:szCs w:val="24"/>
        </w:rPr>
        <w:t xml:space="preserve"> </w:t>
      </w:r>
      <w:r w:rsidR="00995758" w:rsidRPr="003571FD">
        <w:rPr>
          <w:rFonts w:ascii="Times New Roman" w:hAnsi="Times New Roman" w:cs="Times New Roman"/>
          <w:sz w:val="24"/>
          <w:szCs w:val="24"/>
        </w:rPr>
        <w:t xml:space="preserve">– an aspect that was highlighted in a number of interviews. With regard to external sources of funding, credit from financial entities plays an important role for investment financing, accounting for over 22 percent of funding, while trade credit and other sources of funding such as supplier credit are negligible. The latter is likely a result of the discussed lack of strategic alliances within the enterprise sector, which naturally limits the available financing from suppliers or wholesalers. Funding via capital markets does not play a role. </w:t>
      </w:r>
    </w:p>
    <w:p w:rsidR="00613E2E" w:rsidRPr="00613E2E" w:rsidRDefault="00613E2E" w:rsidP="00613E2E">
      <w:pPr>
        <w:pStyle w:val="ListParagraph"/>
        <w:spacing w:after="240"/>
        <w:ind w:left="0"/>
        <w:jc w:val="both"/>
        <w:rPr>
          <w:rFonts w:ascii="Times New Roman" w:hAnsi="Times New Roman" w:cs="Times New Roman"/>
          <w:sz w:val="24"/>
          <w:szCs w:val="24"/>
        </w:rPr>
      </w:pPr>
    </w:p>
    <w:p w:rsidR="00995758" w:rsidRPr="003571FD" w:rsidRDefault="00995758" w:rsidP="001F0D31">
      <w:pPr>
        <w:pStyle w:val="ListParagraph"/>
        <w:numPr>
          <w:ilvl w:val="0"/>
          <w:numId w:val="8"/>
        </w:numPr>
        <w:spacing w:after="0"/>
        <w:jc w:val="both"/>
        <w:rPr>
          <w:rFonts w:ascii="Times New Roman" w:hAnsi="Times New Roman" w:cs="Times New Roman"/>
          <w:sz w:val="24"/>
        </w:rPr>
      </w:pPr>
      <w:r w:rsidRPr="003571FD">
        <w:rPr>
          <w:rFonts w:ascii="Times New Roman" w:hAnsi="Times New Roman" w:cs="Times New Roman"/>
          <w:b/>
          <w:sz w:val="24"/>
        </w:rPr>
        <w:t xml:space="preserve">Demand for financial services from larger </w:t>
      </w:r>
      <w:r w:rsidR="00320A4D">
        <w:rPr>
          <w:rFonts w:ascii="Times New Roman" w:hAnsi="Times New Roman" w:cs="Times New Roman"/>
          <w:b/>
          <w:sz w:val="24"/>
        </w:rPr>
        <w:t>enterprises</w:t>
      </w:r>
      <w:r w:rsidR="00320A4D" w:rsidRPr="003571FD">
        <w:rPr>
          <w:rFonts w:ascii="Times New Roman" w:hAnsi="Times New Roman" w:cs="Times New Roman"/>
          <w:b/>
          <w:sz w:val="24"/>
        </w:rPr>
        <w:t xml:space="preserve"> </w:t>
      </w:r>
      <w:r w:rsidRPr="003571FD">
        <w:rPr>
          <w:rFonts w:ascii="Times New Roman" w:hAnsi="Times New Roman" w:cs="Times New Roman"/>
          <w:b/>
          <w:sz w:val="24"/>
        </w:rPr>
        <w:t>decreased due to lower investment activities</w:t>
      </w:r>
      <w:r w:rsidR="00320A4D">
        <w:rPr>
          <w:rFonts w:ascii="Times New Roman" w:hAnsi="Times New Roman" w:cs="Times New Roman"/>
          <w:b/>
          <w:sz w:val="24"/>
        </w:rPr>
        <w:t xml:space="preserve"> originating in the private sector</w:t>
      </w:r>
      <w:r w:rsidRPr="003571FD">
        <w:rPr>
          <w:rFonts w:ascii="Times New Roman" w:hAnsi="Times New Roman" w:cs="Times New Roman"/>
          <w:b/>
          <w:sz w:val="24"/>
        </w:rPr>
        <w:t xml:space="preserve">. </w:t>
      </w:r>
      <w:r w:rsidRPr="003571FD">
        <w:rPr>
          <w:rFonts w:ascii="Times New Roman" w:hAnsi="Times New Roman" w:cs="Times New Roman"/>
          <w:sz w:val="24"/>
        </w:rPr>
        <w:t xml:space="preserve">Several aspects contributed to this. </w:t>
      </w:r>
      <w:r w:rsidR="00727897" w:rsidRPr="003571FD">
        <w:rPr>
          <w:rFonts w:ascii="Times New Roman" w:hAnsi="Times New Roman" w:cs="Times New Roman"/>
          <w:sz w:val="24"/>
        </w:rPr>
        <w:t>T</w:t>
      </w:r>
      <w:r w:rsidRPr="003571FD">
        <w:rPr>
          <w:rFonts w:ascii="Times New Roman" w:hAnsi="Times New Roman" w:cs="Times New Roman"/>
          <w:sz w:val="24"/>
        </w:rPr>
        <w:t>he government’s policies to foster public investment and ownership in a number of sectors, such as hydrocarbons, telecommunication, air transportation and electricity, ha</w:t>
      </w:r>
      <w:r w:rsidR="00FA0AB8" w:rsidRPr="003571FD">
        <w:rPr>
          <w:rFonts w:ascii="Times New Roman" w:hAnsi="Times New Roman" w:cs="Times New Roman"/>
          <w:sz w:val="24"/>
        </w:rPr>
        <w:t>ve</w:t>
      </w:r>
      <w:r w:rsidRPr="003571FD">
        <w:rPr>
          <w:rFonts w:ascii="Times New Roman" w:hAnsi="Times New Roman" w:cs="Times New Roman"/>
          <w:sz w:val="24"/>
        </w:rPr>
        <w:t xml:space="preserve"> reduced the size of the country’s private sector. </w:t>
      </w:r>
      <w:r w:rsidR="00727897" w:rsidRPr="003571FD">
        <w:rPr>
          <w:rFonts w:ascii="Times New Roman" w:hAnsi="Times New Roman" w:cs="Times New Roman"/>
          <w:sz w:val="24"/>
        </w:rPr>
        <w:t>Together with</w:t>
      </w:r>
      <w:r w:rsidRPr="003571FD">
        <w:rPr>
          <w:rFonts w:ascii="Times New Roman" w:hAnsi="Times New Roman" w:cs="Times New Roman"/>
          <w:sz w:val="24"/>
        </w:rPr>
        <w:t xml:space="preserve"> efforts to set up public entities to foster the development </w:t>
      </w:r>
      <w:r w:rsidRPr="003571FD">
        <w:rPr>
          <w:rFonts w:ascii="Times New Roman" w:hAnsi="Times New Roman" w:cs="Times New Roman"/>
          <w:sz w:val="24"/>
        </w:rPr>
        <w:lastRenderedPageBreak/>
        <w:t>of small-scale farmers and productive businesses</w:t>
      </w:r>
      <w:r w:rsidR="00380D4A" w:rsidRPr="003571FD">
        <w:rPr>
          <w:rStyle w:val="FootnoteReference"/>
          <w:rFonts w:ascii="Times New Roman" w:hAnsi="Times New Roman" w:cs="Times New Roman"/>
          <w:sz w:val="24"/>
        </w:rPr>
        <w:footnoteReference w:id="91"/>
      </w:r>
      <w:r w:rsidR="00320A4D">
        <w:rPr>
          <w:rFonts w:ascii="Times New Roman" w:hAnsi="Times New Roman" w:cs="Times New Roman"/>
          <w:sz w:val="24"/>
        </w:rPr>
        <w:t>,</w:t>
      </w:r>
      <w:r w:rsidRPr="003571FD">
        <w:rPr>
          <w:rFonts w:ascii="Times New Roman" w:hAnsi="Times New Roman" w:cs="Times New Roman"/>
          <w:sz w:val="24"/>
        </w:rPr>
        <w:t xml:space="preserve"> </w:t>
      </w:r>
      <w:r w:rsidR="00727897" w:rsidRPr="003571FD">
        <w:rPr>
          <w:rFonts w:ascii="Times New Roman" w:hAnsi="Times New Roman" w:cs="Times New Roman"/>
          <w:sz w:val="24"/>
        </w:rPr>
        <w:t xml:space="preserve">this </w:t>
      </w:r>
      <w:r w:rsidRPr="003571FD">
        <w:rPr>
          <w:rFonts w:ascii="Times New Roman" w:hAnsi="Times New Roman" w:cs="Times New Roman"/>
          <w:sz w:val="24"/>
        </w:rPr>
        <w:t>has created some insecurity over the intended long-term role of the state</w:t>
      </w:r>
      <w:proofErr w:type="gramStart"/>
      <w:r w:rsidRPr="003571FD">
        <w:rPr>
          <w:rFonts w:ascii="Times New Roman" w:hAnsi="Times New Roman" w:cs="Times New Roman"/>
          <w:sz w:val="24"/>
        </w:rPr>
        <w:t>,</w:t>
      </w:r>
      <w:proofErr w:type="gramEnd"/>
      <w:r w:rsidR="00380D4A" w:rsidRPr="003571FD">
        <w:rPr>
          <w:rStyle w:val="FootnoteReference"/>
          <w:rFonts w:ascii="Times New Roman" w:hAnsi="Times New Roman" w:cs="Times New Roman"/>
          <w:sz w:val="24"/>
        </w:rPr>
        <w:t xml:space="preserve"> </w:t>
      </w:r>
      <w:r w:rsidRPr="003571FD">
        <w:rPr>
          <w:rFonts w:ascii="Times New Roman" w:hAnsi="Times New Roman" w:cs="Times New Roman"/>
          <w:sz w:val="24"/>
        </w:rPr>
        <w:t xml:space="preserve">the chosen strategic sectors, as well as over potential distortions that could arise out of it. </w:t>
      </w:r>
      <w:r w:rsidR="00FA0AB8" w:rsidRPr="003571FD">
        <w:rPr>
          <w:rFonts w:ascii="Times New Roman" w:hAnsi="Times New Roman" w:cs="Times New Roman"/>
          <w:sz w:val="24"/>
        </w:rPr>
        <w:t>Measures like t</w:t>
      </w:r>
      <w:r w:rsidRPr="003571FD">
        <w:rPr>
          <w:rFonts w:ascii="Times New Roman" w:hAnsi="Times New Roman" w:cs="Times New Roman"/>
          <w:sz w:val="24"/>
        </w:rPr>
        <w:t xml:space="preserve">his negatively impact the investment climate </w:t>
      </w:r>
      <w:r w:rsidR="00147F9F" w:rsidRPr="003571FD">
        <w:rPr>
          <w:rFonts w:ascii="Times New Roman" w:hAnsi="Times New Roman" w:cs="Times New Roman"/>
          <w:sz w:val="24"/>
        </w:rPr>
        <w:t>for</w:t>
      </w:r>
      <w:r w:rsidR="002942C8" w:rsidRPr="003571FD">
        <w:rPr>
          <w:rFonts w:ascii="Times New Roman" w:hAnsi="Times New Roman" w:cs="Times New Roman"/>
          <w:sz w:val="24"/>
        </w:rPr>
        <w:t xml:space="preserve"> </w:t>
      </w:r>
      <w:r w:rsidRPr="003571FD">
        <w:rPr>
          <w:rFonts w:ascii="Times New Roman" w:hAnsi="Times New Roman" w:cs="Times New Roman"/>
          <w:sz w:val="24"/>
        </w:rPr>
        <w:t xml:space="preserve">the private sector, in particular of large enterprises that contribute a </w:t>
      </w:r>
      <w:r w:rsidR="009E7F3E">
        <w:rPr>
          <w:rFonts w:ascii="Times New Roman" w:hAnsi="Times New Roman" w:cs="Times New Roman"/>
          <w:sz w:val="24"/>
        </w:rPr>
        <w:t>vast</w:t>
      </w:r>
      <w:r w:rsidR="009E7F3E" w:rsidRPr="003571FD">
        <w:rPr>
          <w:rFonts w:ascii="Times New Roman" w:hAnsi="Times New Roman" w:cs="Times New Roman"/>
          <w:sz w:val="24"/>
        </w:rPr>
        <w:t xml:space="preserve"> </w:t>
      </w:r>
      <w:r w:rsidRPr="003571FD">
        <w:rPr>
          <w:rFonts w:ascii="Times New Roman" w:hAnsi="Times New Roman" w:cs="Times New Roman"/>
          <w:sz w:val="24"/>
        </w:rPr>
        <w:t xml:space="preserve">share to overall GDP. </w:t>
      </w:r>
      <w:r w:rsidR="00FA0AB8" w:rsidRPr="003571FD">
        <w:rPr>
          <w:rFonts w:ascii="Times New Roman" w:hAnsi="Times New Roman" w:cs="Times New Roman"/>
          <w:sz w:val="24"/>
        </w:rPr>
        <w:t xml:space="preserve">Furthermore a number of </w:t>
      </w:r>
      <w:r w:rsidR="00380D4A" w:rsidRPr="003571FD">
        <w:rPr>
          <w:rFonts w:ascii="Times New Roman" w:hAnsi="Times New Roman" w:cs="Times New Roman"/>
          <w:sz w:val="24"/>
        </w:rPr>
        <w:t xml:space="preserve">market </w:t>
      </w:r>
      <w:r w:rsidR="00FA0AB8" w:rsidRPr="003571FD">
        <w:rPr>
          <w:rFonts w:ascii="Times New Roman" w:hAnsi="Times New Roman" w:cs="Times New Roman"/>
          <w:sz w:val="24"/>
        </w:rPr>
        <w:t xml:space="preserve">developments and competitive pressures reduced overall demand for some products, </w:t>
      </w:r>
      <w:r w:rsidR="00380D4A" w:rsidRPr="003571FD">
        <w:rPr>
          <w:rFonts w:ascii="Times New Roman" w:hAnsi="Times New Roman" w:cs="Times New Roman"/>
          <w:sz w:val="24"/>
        </w:rPr>
        <w:t>and</w:t>
      </w:r>
      <w:r w:rsidR="00FA0AB8" w:rsidRPr="003571FD">
        <w:rPr>
          <w:rFonts w:ascii="Times New Roman" w:hAnsi="Times New Roman" w:cs="Times New Roman"/>
          <w:sz w:val="24"/>
        </w:rPr>
        <w:t xml:space="preserve"> lower</w:t>
      </w:r>
      <w:r w:rsidR="00380D4A" w:rsidRPr="003571FD">
        <w:rPr>
          <w:rFonts w:ascii="Times New Roman" w:hAnsi="Times New Roman" w:cs="Times New Roman"/>
          <w:sz w:val="24"/>
        </w:rPr>
        <w:t>ed enterprises’ need</w:t>
      </w:r>
      <w:r w:rsidR="00FA0AB8" w:rsidRPr="003571FD">
        <w:rPr>
          <w:rFonts w:ascii="Times New Roman" w:hAnsi="Times New Roman" w:cs="Times New Roman"/>
          <w:sz w:val="24"/>
        </w:rPr>
        <w:t xml:space="preserve"> for external fund</w:t>
      </w:r>
      <w:r w:rsidR="00380D4A" w:rsidRPr="003571FD">
        <w:rPr>
          <w:rFonts w:ascii="Times New Roman" w:hAnsi="Times New Roman" w:cs="Times New Roman"/>
          <w:sz w:val="24"/>
        </w:rPr>
        <w:t>s</w:t>
      </w:r>
      <w:r w:rsidR="00176309" w:rsidRPr="003571FD">
        <w:rPr>
          <w:rStyle w:val="FootnoteReference"/>
          <w:rFonts w:ascii="Times New Roman" w:hAnsi="Times New Roman" w:cs="Times New Roman"/>
          <w:sz w:val="24"/>
          <w:szCs w:val="24"/>
        </w:rPr>
        <w:footnoteReference w:id="92"/>
      </w:r>
      <w:r w:rsidR="009E7F3E">
        <w:rPr>
          <w:rFonts w:ascii="Times New Roman" w:hAnsi="Times New Roman" w:cs="Times New Roman"/>
          <w:sz w:val="24"/>
        </w:rPr>
        <w:t>.</w:t>
      </w:r>
      <w:r w:rsidR="00176309" w:rsidRPr="003571FD">
        <w:rPr>
          <w:rFonts w:ascii="Times New Roman" w:hAnsi="Times New Roman" w:cs="Times New Roman"/>
          <w:sz w:val="24"/>
        </w:rPr>
        <w:t xml:space="preserve"> </w:t>
      </w:r>
      <w:r w:rsidRPr="003571FD">
        <w:rPr>
          <w:rFonts w:ascii="Times New Roman" w:hAnsi="Times New Roman" w:cs="Times New Roman"/>
          <w:sz w:val="24"/>
        </w:rPr>
        <w:t>Private fixed capital formation as a share of GDP dropped from 12 percent in 2000 to currently 6.8 percent</w:t>
      </w:r>
      <w:r w:rsidR="00126B85" w:rsidRPr="003571FD">
        <w:rPr>
          <w:rFonts w:ascii="Times New Roman" w:hAnsi="Times New Roman" w:cs="Times New Roman"/>
          <w:sz w:val="24"/>
        </w:rPr>
        <w:t xml:space="preserve"> (see Chart 16)</w:t>
      </w:r>
      <w:r w:rsidRPr="003571FD">
        <w:rPr>
          <w:rFonts w:ascii="Times New Roman" w:hAnsi="Times New Roman" w:cs="Times New Roman"/>
          <w:sz w:val="24"/>
        </w:rPr>
        <w:t>, with for example private sector investment in energy and telecommunication witnessing a reduction by 50 to 70 percent between 2000 and 2009</w:t>
      </w:r>
      <w:r w:rsidRPr="003571FD">
        <w:rPr>
          <w:rStyle w:val="FootnoteReference"/>
          <w:rFonts w:ascii="Times New Roman" w:hAnsi="Times New Roman" w:cs="Times New Roman"/>
          <w:sz w:val="24"/>
        </w:rPr>
        <w:footnoteReference w:id="93"/>
      </w:r>
      <w:r w:rsidR="009E7F3E" w:rsidRPr="003571FD">
        <w:rPr>
          <w:rFonts w:ascii="Times New Roman" w:hAnsi="Times New Roman" w:cs="Times New Roman"/>
          <w:sz w:val="24"/>
        </w:rPr>
        <w:t>.</w:t>
      </w:r>
      <w:r w:rsidR="009E7F3E">
        <w:rPr>
          <w:rFonts w:ascii="Times New Roman" w:hAnsi="Times New Roman" w:cs="Times New Roman"/>
          <w:sz w:val="24"/>
        </w:rPr>
        <w:t xml:space="preserve"> </w:t>
      </w:r>
      <w:r w:rsidRPr="003571FD">
        <w:rPr>
          <w:rFonts w:ascii="Times New Roman" w:hAnsi="Times New Roman" w:cs="Times New Roman"/>
          <w:sz w:val="24"/>
        </w:rPr>
        <w:t xml:space="preserve">The level of </w:t>
      </w:r>
      <w:r w:rsidR="00342F00" w:rsidRPr="003571FD">
        <w:rPr>
          <w:rFonts w:ascii="Times New Roman" w:hAnsi="Times New Roman" w:cs="Times New Roman"/>
          <w:sz w:val="24"/>
        </w:rPr>
        <w:t>f</w:t>
      </w:r>
      <w:r w:rsidRPr="003571FD">
        <w:rPr>
          <w:rFonts w:ascii="Times New Roman" w:hAnsi="Times New Roman" w:cs="Times New Roman"/>
          <w:sz w:val="24"/>
        </w:rPr>
        <w:t xml:space="preserve">oreign </w:t>
      </w:r>
      <w:r w:rsidR="00342F00" w:rsidRPr="003571FD">
        <w:rPr>
          <w:rFonts w:ascii="Times New Roman" w:hAnsi="Times New Roman" w:cs="Times New Roman"/>
          <w:sz w:val="24"/>
        </w:rPr>
        <w:t>d</w:t>
      </w:r>
      <w:r w:rsidRPr="003571FD">
        <w:rPr>
          <w:rFonts w:ascii="Times New Roman" w:hAnsi="Times New Roman" w:cs="Times New Roman"/>
          <w:sz w:val="24"/>
        </w:rPr>
        <w:t xml:space="preserve">irect </w:t>
      </w:r>
      <w:r w:rsidR="00342F00" w:rsidRPr="003571FD">
        <w:rPr>
          <w:rFonts w:ascii="Times New Roman" w:hAnsi="Times New Roman" w:cs="Times New Roman"/>
          <w:sz w:val="24"/>
        </w:rPr>
        <w:t>i</w:t>
      </w:r>
      <w:r w:rsidRPr="003571FD">
        <w:rPr>
          <w:rFonts w:ascii="Times New Roman" w:hAnsi="Times New Roman" w:cs="Times New Roman"/>
          <w:sz w:val="24"/>
        </w:rPr>
        <w:t>nvestment also fell from over 8 percent in 2005 to 2.5 percent in 2009, indirectly impacting the growth potential of local suppliers for working and capital financing.</w:t>
      </w:r>
      <w:r w:rsidR="00B07DFB" w:rsidRPr="003571FD">
        <w:rPr>
          <w:rFonts w:ascii="Times New Roman" w:hAnsi="Times New Roman" w:cs="Times New Roman"/>
          <w:sz w:val="24"/>
        </w:rPr>
        <w:t xml:space="preserve"> </w:t>
      </w:r>
      <w:r w:rsidRPr="003571FD">
        <w:rPr>
          <w:rFonts w:ascii="Times New Roman" w:hAnsi="Times New Roman" w:cs="Times New Roman"/>
          <w:sz w:val="24"/>
        </w:rPr>
        <w:t xml:space="preserve">This drop in investment </w:t>
      </w:r>
      <w:r w:rsidR="003B1243">
        <w:rPr>
          <w:rFonts w:ascii="Times New Roman" w:hAnsi="Times New Roman" w:cs="Times New Roman"/>
          <w:sz w:val="24"/>
        </w:rPr>
        <w:t xml:space="preserve">in the private sector </w:t>
      </w:r>
      <w:r w:rsidRPr="003571FD">
        <w:rPr>
          <w:rFonts w:ascii="Times New Roman" w:hAnsi="Times New Roman" w:cs="Times New Roman"/>
          <w:sz w:val="24"/>
        </w:rPr>
        <w:t xml:space="preserve">was compensated by a large increase in investment by the government, which however was funded from sources outside the private financial sector. </w:t>
      </w:r>
    </w:p>
    <w:tbl>
      <w:tblPr>
        <w:tblStyle w:val="TableGrid"/>
        <w:tblpPr w:leftFromText="180" w:rightFromText="180" w:vertAnchor="text" w:horzAnchor="margin" w:tblpXSpec="right" w:tblpY="-36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tblGrid>
      <w:tr w:rsidR="00995758" w:rsidRPr="003571FD">
        <w:trPr>
          <w:trHeight w:val="260"/>
        </w:trPr>
        <w:tc>
          <w:tcPr>
            <w:tcW w:w="5208" w:type="dxa"/>
          </w:tcPr>
          <w:p w:rsidR="00995758" w:rsidRPr="003571FD" w:rsidRDefault="00995758" w:rsidP="00995758">
            <w:pPr>
              <w:pStyle w:val="Caption"/>
              <w:rPr>
                <w:rFonts w:ascii="Times New Roman" w:hAnsi="Times New Roman" w:cs="Times New Roman"/>
                <w:color w:val="auto"/>
                <w:sz w:val="24"/>
              </w:rPr>
            </w:pPr>
            <w:bookmarkStart w:id="61" w:name="_Toc312317282"/>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16</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Gross fixed capital formation of the private sector (as % of GDP).</w:t>
            </w:r>
            <w:bookmarkEnd w:id="61"/>
          </w:p>
        </w:tc>
      </w:tr>
      <w:tr w:rsidR="00995758" w:rsidRPr="003571FD">
        <w:trPr>
          <w:trHeight w:val="1287"/>
        </w:trPr>
        <w:tc>
          <w:tcPr>
            <w:tcW w:w="5208" w:type="dxa"/>
          </w:tcPr>
          <w:p w:rsidR="00995758" w:rsidRPr="003571FD" w:rsidRDefault="00995758" w:rsidP="009957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sz w:val="24"/>
                <w:szCs w:val="24"/>
              </w:rPr>
            </w:pPr>
            <w:r w:rsidRPr="003571FD">
              <w:rPr>
                <w:rFonts w:ascii="Times New Roman" w:hAnsi="Times New Roman" w:cs="Times New Roman"/>
                <w:b/>
                <w:noProof/>
                <w:sz w:val="24"/>
                <w:szCs w:val="24"/>
              </w:rPr>
              <w:drawing>
                <wp:inline distT="0" distB="0" distL="0" distR="0">
                  <wp:extent cx="3324225" cy="2000250"/>
                  <wp:effectExtent l="19050" t="0" r="9525"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3324225" cy="2000250"/>
                          </a:xfrm>
                          <a:prstGeom prst="rect">
                            <a:avLst/>
                          </a:prstGeom>
                          <a:noFill/>
                          <a:ln w="9525">
                            <a:noFill/>
                            <a:miter lim="800000"/>
                            <a:headEnd/>
                            <a:tailEnd/>
                          </a:ln>
                        </pic:spPr>
                      </pic:pic>
                    </a:graphicData>
                  </a:graphic>
                </wp:inline>
              </w:drawing>
            </w:r>
          </w:p>
        </w:tc>
      </w:tr>
      <w:tr w:rsidR="00995758" w:rsidRPr="003571FD">
        <w:trPr>
          <w:trHeight w:val="353"/>
        </w:trPr>
        <w:tc>
          <w:tcPr>
            <w:tcW w:w="5208" w:type="dxa"/>
          </w:tcPr>
          <w:p w:rsidR="00995758" w:rsidRPr="003571FD" w:rsidRDefault="00995758" w:rsidP="009957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szCs w:val="24"/>
              </w:rPr>
            </w:pPr>
            <w:r w:rsidRPr="003571FD">
              <w:rPr>
                <w:rFonts w:ascii="Times New Roman" w:hAnsi="Times New Roman" w:cs="Times New Roman"/>
                <w:i/>
                <w:sz w:val="18"/>
                <w:szCs w:val="24"/>
              </w:rPr>
              <w:t>Source: World Bank.</w:t>
            </w:r>
          </w:p>
        </w:tc>
      </w:tr>
    </w:tbl>
    <w:p w:rsidR="00995758" w:rsidRPr="003571FD" w:rsidRDefault="00995758" w:rsidP="001F0D31">
      <w:pPr>
        <w:pStyle w:val="ListParagraph"/>
        <w:spacing w:after="240"/>
        <w:ind w:left="0"/>
        <w:jc w:val="both"/>
        <w:rPr>
          <w:rFonts w:ascii="Times New Roman" w:hAnsi="Times New Roman" w:cs="Times New Roman"/>
          <w:b/>
          <w:sz w:val="24"/>
          <w:szCs w:val="24"/>
        </w:rPr>
      </w:pPr>
    </w:p>
    <w:p w:rsidR="00995758" w:rsidRPr="003571FD" w:rsidRDefault="00995758" w:rsidP="001F0D31">
      <w:pPr>
        <w:pStyle w:val="ListParagraph"/>
        <w:numPr>
          <w:ilvl w:val="0"/>
          <w:numId w:val="8"/>
        </w:numPr>
        <w:spacing w:after="0"/>
        <w:jc w:val="both"/>
        <w:rPr>
          <w:rFonts w:ascii="Times New Roman" w:hAnsi="Times New Roman" w:cs="Times New Roman"/>
          <w:sz w:val="24"/>
        </w:rPr>
      </w:pPr>
      <w:r w:rsidRPr="003571FD">
        <w:rPr>
          <w:rFonts w:ascii="Times New Roman" w:hAnsi="Times New Roman" w:cs="Times New Roman"/>
          <w:b/>
          <w:sz w:val="24"/>
        </w:rPr>
        <w:t>Small and medium sized enterprises usually demand and have access to working capital, but feel constraint with regard to investment financing and larger working capital loans.</w:t>
      </w:r>
      <w:r w:rsidRPr="003571FD">
        <w:rPr>
          <w:rFonts w:ascii="Times New Roman" w:hAnsi="Times New Roman" w:cs="Times New Roman"/>
          <w:sz w:val="24"/>
        </w:rPr>
        <w:t xml:space="preserve"> Information from the World Bank’s Enterprise </w:t>
      </w:r>
      <w:r w:rsidR="00342F00" w:rsidRPr="003571FD">
        <w:rPr>
          <w:rFonts w:ascii="Times New Roman" w:hAnsi="Times New Roman" w:cs="Times New Roman"/>
          <w:sz w:val="24"/>
        </w:rPr>
        <w:t>S</w:t>
      </w:r>
      <w:r w:rsidRPr="003571FD">
        <w:rPr>
          <w:rFonts w:ascii="Times New Roman" w:hAnsi="Times New Roman" w:cs="Times New Roman"/>
          <w:sz w:val="24"/>
        </w:rPr>
        <w:t xml:space="preserve">urveys (2006), the Bank’s study on informality (2007) as well as interviews carried out in the frame of this study generally </w:t>
      </w:r>
      <w:r w:rsidR="005A47B7" w:rsidRPr="003571FD">
        <w:rPr>
          <w:rFonts w:ascii="Times New Roman" w:hAnsi="Times New Roman" w:cs="Times New Roman"/>
          <w:sz w:val="24"/>
        </w:rPr>
        <w:t>confirms</w:t>
      </w:r>
      <w:r w:rsidRPr="003571FD">
        <w:rPr>
          <w:rFonts w:ascii="Times New Roman" w:hAnsi="Times New Roman" w:cs="Times New Roman"/>
          <w:sz w:val="24"/>
        </w:rPr>
        <w:t xml:space="preserve"> that access to larger credit amounts is considered as an obstacle for enterprises in Bolivia</w:t>
      </w:r>
      <w:r w:rsidR="007157F7">
        <w:rPr>
          <w:rFonts w:ascii="Times New Roman" w:hAnsi="Times New Roman" w:cs="Times New Roman"/>
          <w:sz w:val="24"/>
        </w:rPr>
        <w:t xml:space="preserve">, </w:t>
      </w:r>
      <w:r w:rsidR="00613E2E">
        <w:rPr>
          <w:rFonts w:ascii="Times New Roman" w:hAnsi="Times New Roman" w:cs="Times New Roman"/>
          <w:sz w:val="24"/>
        </w:rPr>
        <w:t xml:space="preserve">while </w:t>
      </w:r>
      <w:r w:rsidRPr="003571FD">
        <w:rPr>
          <w:rFonts w:ascii="Times New Roman" w:hAnsi="Times New Roman" w:cs="Times New Roman"/>
          <w:sz w:val="24"/>
        </w:rPr>
        <w:t>smaller sized loans</w:t>
      </w:r>
      <w:r w:rsidR="007157F7">
        <w:rPr>
          <w:rFonts w:ascii="Times New Roman" w:hAnsi="Times New Roman" w:cs="Times New Roman"/>
          <w:sz w:val="24"/>
        </w:rPr>
        <w:t xml:space="preserve"> are not </w:t>
      </w:r>
      <w:r w:rsidR="00CF6717">
        <w:rPr>
          <w:rFonts w:ascii="Times New Roman" w:hAnsi="Times New Roman" w:cs="Times New Roman"/>
          <w:sz w:val="24"/>
        </w:rPr>
        <w:t xml:space="preserve">perceived as a constraint. </w:t>
      </w:r>
      <w:r w:rsidR="007157F7">
        <w:rPr>
          <w:rFonts w:ascii="Times New Roman" w:hAnsi="Times New Roman" w:cs="Times New Roman"/>
          <w:sz w:val="24"/>
        </w:rPr>
        <w:t>A</w:t>
      </w:r>
      <w:r w:rsidRPr="003571FD">
        <w:rPr>
          <w:rFonts w:ascii="Times New Roman" w:hAnsi="Times New Roman" w:cs="Times New Roman"/>
          <w:sz w:val="24"/>
        </w:rPr>
        <w:t>ll of the interviewed companies reported to have some credit from the formal financial sector</w:t>
      </w:r>
      <w:r w:rsidR="007157F7">
        <w:rPr>
          <w:rFonts w:ascii="Times New Roman" w:hAnsi="Times New Roman" w:cs="Times New Roman"/>
          <w:sz w:val="24"/>
        </w:rPr>
        <w:t>,</w:t>
      </w:r>
      <w:r w:rsidRPr="003571FD">
        <w:rPr>
          <w:rFonts w:ascii="Times New Roman" w:hAnsi="Times New Roman" w:cs="Times New Roman"/>
          <w:sz w:val="24"/>
        </w:rPr>
        <w:t xml:space="preserve"> and visited producer associations </w:t>
      </w:r>
      <w:r w:rsidR="007157F7" w:rsidRPr="003571FD">
        <w:rPr>
          <w:rFonts w:ascii="Times New Roman" w:hAnsi="Times New Roman" w:cs="Times New Roman"/>
          <w:sz w:val="24"/>
        </w:rPr>
        <w:t>confirm</w:t>
      </w:r>
      <w:r w:rsidR="007157F7">
        <w:rPr>
          <w:rFonts w:ascii="Times New Roman" w:hAnsi="Times New Roman" w:cs="Times New Roman"/>
          <w:sz w:val="24"/>
        </w:rPr>
        <w:t>ed</w:t>
      </w:r>
      <w:r w:rsidR="007157F7" w:rsidRPr="003571FD">
        <w:rPr>
          <w:rFonts w:ascii="Times New Roman" w:hAnsi="Times New Roman" w:cs="Times New Roman"/>
          <w:sz w:val="24"/>
        </w:rPr>
        <w:t xml:space="preserve"> </w:t>
      </w:r>
      <w:r w:rsidRPr="003571FD">
        <w:rPr>
          <w:rFonts w:ascii="Times New Roman" w:hAnsi="Times New Roman" w:cs="Times New Roman"/>
          <w:sz w:val="24"/>
        </w:rPr>
        <w:t xml:space="preserve">the availability of </w:t>
      </w:r>
      <w:r w:rsidR="007157F7">
        <w:rPr>
          <w:rFonts w:ascii="Times New Roman" w:hAnsi="Times New Roman" w:cs="Times New Roman"/>
          <w:sz w:val="24"/>
        </w:rPr>
        <w:t>small</w:t>
      </w:r>
      <w:r w:rsidR="007157F7" w:rsidRPr="003571FD">
        <w:rPr>
          <w:rFonts w:ascii="Times New Roman" w:hAnsi="Times New Roman" w:cs="Times New Roman"/>
          <w:sz w:val="24"/>
        </w:rPr>
        <w:t xml:space="preserve"> </w:t>
      </w:r>
      <w:r w:rsidRPr="003571FD">
        <w:rPr>
          <w:rFonts w:ascii="Times New Roman" w:hAnsi="Times New Roman" w:cs="Times New Roman"/>
          <w:sz w:val="24"/>
        </w:rPr>
        <w:t xml:space="preserve">loans from a variety of financial institutions, pawn shops and to more limited extent from suppliers. Additionally, many micro-entrepreneurs receive remittance income or have access to available government or donor grants, leading to a lesser dependence on external funding sources. Constraints reportedly mostly exist with regard to credits over USD </w:t>
      </w:r>
      <w:r w:rsidRPr="003571FD">
        <w:rPr>
          <w:rFonts w:ascii="Times New Roman" w:hAnsi="Times New Roman" w:cs="Times New Roman"/>
          <w:sz w:val="24"/>
        </w:rPr>
        <w:lastRenderedPageBreak/>
        <w:t>10,000</w:t>
      </w:r>
      <w:r w:rsidR="007157F7">
        <w:rPr>
          <w:rFonts w:ascii="Times New Roman" w:hAnsi="Times New Roman" w:cs="Times New Roman"/>
          <w:sz w:val="24"/>
        </w:rPr>
        <w:t>,</w:t>
      </w:r>
      <w:r w:rsidRPr="003571FD">
        <w:rPr>
          <w:rFonts w:ascii="Times New Roman" w:hAnsi="Times New Roman" w:cs="Times New Roman"/>
          <w:sz w:val="24"/>
        </w:rPr>
        <w:t xml:space="preserve"> which require collateral in the form of real estate. Specific credit design features, such as the lack of grace periods to allow investments to generate income also constrain the usefulness of such loans. Furthermore, in the absence of strategic alliances with buyers and markets, enterprises report of difficulties in benefiting from growth opportunities through larger one-time contracts offered by existing or new clients. </w:t>
      </w:r>
      <w:r w:rsidR="00CF6717">
        <w:rPr>
          <w:rFonts w:ascii="Times New Roman" w:hAnsi="Times New Roman" w:cs="Times New Roman"/>
          <w:sz w:val="24"/>
        </w:rPr>
        <w:t>In line with prudent risk management standards, f</w:t>
      </w:r>
      <w:r w:rsidRPr="003571FD">
        <w:rPr>
          <w:rFonts w:ascii="Times New Roman" w:hAnsi="Times New Roman" w:cs="Times New Roman"/>
          <w:sz w:val="24"/>
        </w:rPr>
        <w:t xml:space="preserve">inancial entities are reportedly reluctant to fund the necessary investment and working capital to scale up production without a stable </w:t>
      </w:r>
      <w:r w:rsidR="00CF6717">
        <w:rPr>
          <w:rFonts w:ascii="Times New Roman" w:hAnsi="Times New Roman" w:cs="Times New Roman"/>
          <w:sz w:val="24"/>
        </w:rPr>
        <w:t xml:space="preserve">larger </w:t>
      </w:r>
      <w:r w:rsidRPr="003571FD">
        <w:rPr>
          <w:rFonts w:ascii="Times New Roman" w:hAnsi="Times New Roman" w:cs="Times New Roman"/>
          <w:sz w:val="24"/>
        </w:rPr>
        <w:t>contract base</w:t>
      </w:r>
      <w:r w:rsidR="00CF6717">
        <w:rPr>
          <w:rFonts w:ascii="Times New Roman" w:hAnsi="Times New Roman" w:cs="Times New Roman"/>
          <w:sz w:val="24"/>
        </w:rPr>
        <w:t xml:space="preserve"> in place to make the investment viable on the longer term</w:t>
      </w:r>
      <w:r w:rsidRPr="003571FD">
        <w:rPr>
          <w:rFonts w:ascii="Times New Roman" w:hAnsi="Times New Roman" w:cs="Times New Roman"/>
          <w:sz w:val="24"/>
        </w:rPr>
        <w:t xml:space="preserve">, and require high levels of collateral. The latter – if available - is in many instances already used to finance the needed working capital, making the borrower ineligible for additional lending. </w:t>
      </w:r>
    </w:p>
    <w:p w:rsidR="00995758" w:rsidRPr="003571FD" w:rsidRDefault="00995758" w:rsidP="001F0D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sz w:val="24"/>
        </w:rPr>
      </w:pPr>
    </w:p>
    <w:p w:rsidR="00995758" w:rsidRPr="003571FD" w:rsidRDefault="00995758" w:rsidP="001F0D31">
      <w:pPr>
        <w:pStyle w:val="ListParagraph"/>
        <w:numPr>
          <w:ilvl w:val="0"/>
          <w:numId w:val="8"/>
        </w:numPr>
        <w:spacing w:after="0"/>
        <w:jc w:val="both"/>
        <w:rPr>
          <w:rFonts w:ascii="Times New Roman" w:hAnsi="Times New Roman" w:cs="Times New Roman"/>
          <w:sz w:val="24"/>
        </w:rPr>
      </w:pPr>
      <w:r w:rsidRPr="003571FD">
        <w:rPr>
          <w:rFonts w:ascii="Times New Roman" w:hAnsi="Times New Roman" w:cs="Times New Roman"/>
          <w:sz w:val="24"/>
        </w:rPr>
        <w:t>However, most interviewed companies and associations agreed that access to finance is not the most pressing problem and that increasing access to financial services in the absence of targeted technical assistance to help enterprises develop the necessary entrepreneurial skills or to foster integration along the value chain could potentially lead to repayment problems and ensuing over-indebtedness.</w:t>
      </w:r>
    </w:p>
    <w:p w:rsidR="00995758" w:rsidRPr="003571FD" w:rsidRDefault="00995758" w:rsidP="00613E2E">
      <w:pPr>
        <w:pStyle w:val="Heading3"/>
      </w:pPr>
      <w:bookmarkStart w:id="62" w:name="_Toc312319506"/>
      <w:r w:rsidRPr="003571FD">
        <w:t>Supply of credit</w:t>
      </w:r>
      <w:bookmarkEnd w:id="62"/>
    </w:p>
    <w:p w:rsidR="00995758" w:rsidRPr="003571FD" w:rsidRDefault="00995758" w:rsidP="00995758">
      <w:pPr>
        <w:widowControl w:val="0"/>
        <w:autoSpaceDE w:val="0"/>
        <w:autoSpaceDN w:val="0"/>
        <w:adjustRightInd w:val="0"/>
        <w:spacing w:after="240"/>
        <w:jc w:val="both"/>
        <w:rPr>
          <w:rFonts w:ascii="Times New Roman" w:hAnsi="Times New Roman" w:cs="Times New Roman"/>
          <w:b/>
          <w:sz w:val="24"/>
          <w:szCs w:val="24"/>
        </w:rPr>
      </w:pPr>
    </w:p>
    <w:p w:rsidR="00613E2E" w:rsidRPr="003571FD" w:rsidRDefault="00995758" w:rsidP="005411D5">
      <w:pPr>
        <w:pStyle w:val="ListParagraph"/>
        <w:numPr>
          <w:ilvl w:val="0"/>
          <w:numId w:val="8"/>
        </w:numPr>
        <w:spacing w:after="0"/>
        <w:jc w:val="both"/>
        <w:rPr>
          <w:rFonts w:ascii="Times New Roman" w:hAnsi="Times New Roman" w:cs="Times New Roman"/>
          <w:sz w:val="24"/>
          <w:szCs w:val="24"/>
        </w:rPr>
      </w:pPr>
      <w:r w:rsidRPr="003571FD">
        <w:rPr>
          <w:rFonts w:ascii="Times New Roman" w:hAnsi="Times New Roman" w:cs="Times New Roman"/>
          <w:b/>
          <w:noProof/>
          <w:sz w:val="24"/>
          <w:szCs w:val="24"/>
        </w:rPr>
        <w:t>The client base shifted</w:t>
      </w:r>
      <w:r w:rsidRPr="003571FD">
        <w:rPr>
          <w:rFonts w:ascii="Times New Roman" w:hAnsi="Times New Roman" w:cs="Times New Roman"/>
          <w:b/>
          <w:sz w:val="24"/>
          <w:szCs w:val="24"/>
        </w:rPr>
        <w:t xml:space="preserve"> towards clients with credits between USD 1</w:t>
      </w:r>
      <w:r w:rsidR="00342F00" w:rsidRPr="003571FD">
        <w:rPr>
          <w:rFonts w:ascii="Times New Roman" w:hAnsi="Times New Roman" w:cs="Times New Roman"/>
          <w:b/>
          <w:sz w:val="24"/>
          <w:szCs w:val="24"/>
        </w:rPr>
        <w:t>,</w:t>
      </w:r>
      <w:r w:rsidRPr="003571FD">
        <w:rPr>
          <w:rFonts w:ascii="Times New Roman" w:hAnsi="Times New Roman" w:cs="Times New Roman"/>
          <w:b/>
          <w:sz w:val="24"/>
          <w:szCs w:val="24"/>
        </w:rPr>
        <w:t>000 and 10</w:t>
      </w:r>
      <w:r w:rsidR="00342F00" w:rsidRPr="003571FD">
        <w:rPr>
          <w:rFonts w:ascii="Times New Roman" w:hAnsi="Times New Roman" w:cs="Times New Roman"/>
          <w:b/>
          <w:sz w:val="24"/>
          <w:szCs w:val="24"/>
        </w:rPr>
        <w:t>,</w:t>
      </w:r>
      <w:r w:rsidRPr="003571FD">
        <w:rPr>
          <w:rFonts w:ascii="Times New Roman" w:hAnsi="Times New Roman" w:cs="Times New Roman"/>
          <w:b/>
          <w:sz w:val="24"/>
          <w:szCs w:val="24"/>
        </w:rPr>
        <w:t>000</w:t>
      </w:r>
      <w:r w:rsidRPr="003571FD">
        <w:rPr>
          <w:rFonts w:ascii="Times New Roman" w:hAnsi="Times New Roman" w:cs="Times New Roman"/>
          <w:sz w:val="24"/>
          <w:szCs w:val="24"/>
        </w:rPr>
        <w:t>.</w:t>
      </w:r>
    </w:p>
    <w:tbl>
      <w:tblPr>
        <w:tblStyle w:val="TableGrid"/>
        <w:tblpPr w:leftFromText="180" w:rightFromText="180" w:vertAnchor="text" w:horzAnchor="margin" w:tblpY="8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tblGrid>
      <w:tr w:rsidR="00613E2E" w:rsidRPr="003571FD" w:rsidTr="002E49EC">
        <w:trPr>
          <w:trHeight w:val="353"/>
        </w:trPr>
        <w:tc>
          <w:tcPr>
            <w:tcW w:w="5496" w:type="dxa"/>
          </w:tcPr>
          <w:p w:rsidR="00613E2E" w:rsidRDefault="00613E2E" w:rsidP="002E49EC">
            <w:pPr>
              <w:jc w:val="both"/>
              <w:rPr>
                <w:rFonts w:ascii="Times New Roman" w:hAnsi="Times New Roman" w:cs="Times New Roman"/>
                <w:b/>
                <w:sz w:val="18"/>
              </w:rPr>
            </w:pPr>
          </w:p>
          <w:p w:rsidR="00613E2E" w:rsidRPr="00795642" w:rsidRDefault="00613E2E" w:rsidP="002E49EC">
            <w:pPr>
              <w:jc w:val="both"/>
              <w:rPr>
                <w:rFonts w:ascii="Times New Roman" w:hAnsi="Times New Roman" w:cs="Times New Roman"/>
                <w:b/>
                <w:sz w:val="24"/>
                <w:szCs w:val="24"/>
              </w:rPr>
            </w:pPr>
            <w:bookmarkStart w:id="63" w:name="_Toc312317283"/>
            <w:r w:rsidRPr="00795642">
              <w:rPr>
                <w:rFonts w:ascii="Times New Roman" w:hAnsi="Times New Roman" w:cs="Times New Roman"/>
                <w:b/>
                <w:sz w:val="18"/>
              </w:rPr>
              <w:t xml:space="preserve">Chart </w:t>
            </w:r>
            <w:r w:rsidR="005744EE" w:rsidRPr="00795642">
              <w:rPr>
                <w:rFonts w:ascii="Times New Roman" w:hAnsi="Times New Roman" w:cs="Times New Roman"/>
                <w:b/>
                <w:sz w:val="18"/>
              </w:rPr>
              <w:fldChar w:fldCharType="begin"/>
            </w:r>
            <w:r w:rsidRPr="00795642">
              <w:rPr>
                <w:rFonts w:ascii="Times New Roman" w:hAnsi="Times New Roman" w:cs="Times New Roman"/>
                <w:b/>
                <w:sz w:val="18"/>
              </w:rPr>
              <w:instrText xml:space="preserve"> SEQ Chart \* ARABIC </w:instrText>
            </w:r>
            <w:r w:rsidR="005744EE" w:rsidRPr="00795642">
              <w:rPr>
                <w:rFonts w:ascii="Times New Roman" w:hAnsi="Times New Roman" w:cs="Times New Roman"/>
                <w:b/>
                <w:sz w:val="18"/>
              </w:rPr>
              <w:fldChar w:fldCharType="separate"/>
            </w:r>
            <w:r w:rsidR="00064A1B" w:rsidRPr="00795642">
              <w:rPr>
                <w:rFonts w:ascii="Times New Roman" w:hAnsi="Times New Roman" w:cs="Times New Roman"/>
                <w:b/>
                <w:noProof/>
                <w:sz w:val="18"/>
              </w:rPr>
              <w:t>17</w:t>
            </w:r>
            <w:r w:rsidR="005744EE" w:rsidRPr="00795642">
              <w:rPr>
                <w:rFonts w:ascii="Times New Roman" w:hAnsi="Times New Roman" w:cs="Times New Roman"/>
                <w:b/>
                <w:sz w:val="18"/>
              </w:rPr>
              <w:fldChar w:fldCharType="end"/>
            </w:r>
            <w:r w:rsidRPr="00795642">
              <w:rPr>
                <w:rFonts w:ascii="Times New Roman" w:hAnsi="Times New Roman" w:cs="Times New Roman"/>
                <w:b/>
                <w:sz w:val="18"/>
              </w:rPr>
              <w:t>: Evolution of credit by loan size</w:t>
            </w:r>
            <w:bookmarkEnd w:id="63"/>
          </w:p>
        </w:tc>
      </w:tr>
      <w:tr w:rsidR="00613E2E" w:rsidRPr="003571FD" w:rsidTr="002E49EC">
        <w:trPr>
          <w:trHeight w:val="2447"/>
        </w:trPr>
        <w:tc>
          <w:tcPr>
            <w:tcW w:w="5496" w:type="dxa"/>
          </w:tcPr>
          <w:p w:rsidR="00613E2E" w:rsidRPr="003571FD" w:rsidRDefault="00613E2E" w:rsidP="002E49EC">
            <w:pPr>
              <w:jc w:val="both"/>
              <w:rPr>
                <w:rFonts w:ascii="Times New Roman" w:hAnsi="Times New Roman" w:cs="Times New Roman"/>
                <w:b/>
                <w:sz w:val="24"/>
                <w:szCs w:val="24"/>
              </w:rPr>
            </w:pPr>
            <w:r w:rsidRPr="003571FD">
              <w:rPr>
                <w:rFonts w:ascii="Times New Roman" w:hAnsi="Times New Roman" w:cs="Times New Roman"/>
                <w:b/>
                <w:noProof/>
                <w:sz w:val="24"/>
                <w:szCs w:val="24"/>
              </w:rPr>
              <w:drawing>
                <wp:inline distT="0" distB="0" distL="0" distR="0">
                  <wp:extent cx="3333750" cy="1971675"/>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3333750" cy="1971675"/>
                          </a:xfrm>
                          <a:prstGeom prst="rect">
                            <a:avLst/>
                          </a:prstGeom>
                          <a:noFill/>
                          <a:ln w="9525">
                            <a:noFill/>
                            <a:miter lim="800000"/>
                            <a:headEnd/>
                            <a:tailEnd/>
                          </a:ln>
                        </pic:spPr>
                      </pic:pic>
                    </a:graphicData>
                  </a:graphic>
                </wp:inline>
              </w:drawing>
            </w:r>
          </w:p>
          <w:p w:rsidR="00613E2E" w:rsidRPr="003571FD" w:rsidRDefault="00613E2E" w:rsidP="002E49EC">
            <w:pPr>
              <w:tabs>
                <w:tab w:val="left" w:pos="900"/>
              </w:tabs>
              <w:rPr>
                <w:rFonts w:ascii="Times New Roman" w:hAnsi="Times New Roman" w:cs="Times New Roman"/>
                <w:sz w:val="24"/>
                <w:szCs w:val="24"/>
              </w:rPr>
            </w:pPr>
          </w:p>
        </w:tc>
      </w:tr>
      <w:tr w:rsidR="00613E2E" w:rsidRPr="003571FD" w:rsidTr="002E49EC">
        <w:trPr>
          <w:trHeight w:val="350"/>
        </w:trPr>
        <w:tc>
          <w:tcPr>
            <w:tcW w:w="5496" w:type="dxa"/>
          </w:tcPr>
          <w:p w:rsidR="00613E2E" w:rsidRPr="003571FD" w:rsidRDefault="00613E2E" w:rsidP="002E49EC">
            <w:pPr>
              <w:jc w:val="both"/>
              <w:rPr>
                <w:rFonts w:ascii="Times New Roman" w:hAnsi="Times New Roman" w:cs="Times New Roman"/>
                <w:b/>
                <w:sz w:val="24"/>
                <w:szCs w:val="24"/>
              </w:rPr>
            </w:pPr>
            <w:r w:rsidRPr="003571FD">
              <w:rPr>
                <w:rFonts w:ascii="Times New Roman" w:hAnsi="Times New Roman" w:cs="Times New Roman"/>
                <w:i/>
                <w:noProof/>
                <w:sz w:val="18"/>
                <w:szCs w:val="24"/>
              </w:rPr>
              <w:t xml:space="preserve">Source: </w:t>
            </w:r>
            <w:r w:rsidRPr="003571FD">
              <w:rPr>
                <w:rFonts w:ascii="Times New Roman" w:hAnsi="Times New Roman" w:cs="Times New Roman"/>
                <w:i/>
                <w:sz w:val="18"/>
              </w:rPr>
              <w:t>World Bank’s own calculations, based on data from ASFI and the Central Bank.</w:t>
            </w:r>
          </w:p>
        </w:tc>
      </w:tr>
    </w:tbl>
    <w:p w:rsidR="00995758" w:rsidRPr="003571FD" w:rsidRDefault="00995758" w:rsidP="00613E2E">
      <w:pPr>
        <w:pStyle w:val="ListParagraph"/>
        <w:spacing w:after="0"/>
        <w:ind w:left="0"/>
        <w:jc w:val="both"/>
        <w:rPr>
          <w:rFonts w:ascii="Times New Roman" w:hAnsi="Times New Roman" w:cs="Times New Roman"/>
          <w:sz w:val="24"/>
          <w:szCs w:val="24"/>
        </w:rPr>
      </w:pPr>
      <w:r w:rsidRPr="003571FD">
        <w:rPr>
          <w:rFonts w:ascii="Times New Roman" w:hAnsi="Times New Roman" w:cs="Times New Roman"/>
          <w:sz w:val="24"/>
          <w:szCs w:val="24"/>
        </w:rPr>
        <w:t>This client segment now accounts for close to 60 percent of the total borrower base, up from 42 percent in 2006. Some of the growth into this market segment is the result of the Bolivian microfinance market being a mature market, with the strong competition between the financial institutions supporting the graduation of micro-borrowers into larger loan sizes</w:t>
      </w:r>
      <w:r w:rsidRPr="003571FD">
        <w:rPr>
          <w:rStyle w:val="FootnoteReference"/>
          <w:rFonts w:ascii="Times New Roman" w:hAnsi="Times New Roman" w:cs="Times New Roman"/>
          <w:sz w:val="24"/>
          <w:szCs w:val="24"/>
        </w:rPr>
        <w:footnoteReference w:id="94"/>
      </w:r>
      <w:r w:rsidRPr="003571FD">
        <w:rPr>
          <w:rFonts w:ascii="Times New Roman" w:hAnsi="Times New Roman" w:cs="Times New Roman"/>
          <w:sz w:val="24"/>
          <w:szCs w:val="24"/>
        </w:rPr>
        <w:t>. This needs to be watched as it can lead to over-indebtedness if the increased loan sizes are not appropriate to the business’s payment capacity. The strong increase in loans to the commercial and services sectors also supported the increase in number of small borrowers, as these sectors usually mostly need working capital and do not demand large credits and longer maturities. Finally, the regulatory framework allows for microcredit up to B</w:t>
      </w:r>
      <w:r w:rsidR="005A47B7" w:rsidRPr="003571FD">
        <w:rPr>
          <w:rFonts w:ascii="Times New Roman" w:hAnsi="Times New Roman" w:cs="Times New Roman"/>
          <w:sz w:val="24"/>
          <w:szCs w:val="24"/>
        </w:rPr>
        <w:t>s</w:t>
      </w:r>
      <w:r w:rsidRPr="003571FD">
        <w:rPr>
          <w:rFonts w:ascii="Times New Roman" w:hAnsi="Times New Roman" w:cs="Times New Roman"/>
          <w:sz w:val="24"/>
          <w:szCs w:val="24"/>
        </w:rPr>
        <w:t xml:space="preserve"> 84,000 (~ USD 12,000) to be granted with personal or group guarantees, </w:t>
      </w:r>
      <w:r w:rsidRPr="003571FD">
        <w:rPr>
          <w:rFonts w:ascii="Times New Roman" w:hAnsi="Times New Roman" w:cs="Times New Roman"/>
          <w:sz w:val="24"/>
          <w:szCs w:val="24"/>
        </w:rPr>
        <w:lastRenderedPageBreak/>
        <w:t>and for loans under B</w:t>
      </w:r>
      <w:r w:rsidR="00BD571A" w:rsidRPr="003571FD">
        <w:rPr>
          <w:rFonts w:ascii="Times New Roman" w:hAnsi="Times New Roman" w:cs="Times New Roman"/>
          <w:sz w:val="24"/>
          <w:szCs w:val="24"/>
        </w:rPr>
        <w:t>S</w:t>
      </w:r>
      <w:r w:rsidRPr="003571FD">
        <w:rPr>
          <w:rFonts w:ascii="Times New Roman" w:hAnsi="Times New Roman" w:cs="Times New Roman"/>
          <w:sz w:val="24"/>
          <w:szCs w:val="24"/>
        </w:rPr>
        <w:t xml:space="preserve"> 54,000 to be granted with unregistered chattel mortgage. These regulations provide strong incentives for entities to stay within this range - in particular if a financial entity reaches the limit of unguaranteed loans to capital. While the facilitation of guarantee requirements is positive, it nevertheless provides disincentives for investment loans in the range of </w:t>
      </w:r>
      <w:r w:rsidR="00743DA6" w:rsidRPr="003571FD">
        <w:rPr>
          <w:rFonts w:ascii="Times New Roman" w:hAnsi="Times New Roman" w:cs="Times New Roman"/>
          <w:sz w:val="24"/>
          <w:szCs w:val="24"/>
        </w:rPr>
        <w:t xml:space="preserve">USD </w:t>
      </w:r>
      <w:r w:rsidRPr="003571FD">
        <w:rPr>
          <w:rFonts w:ascii="Times New Roman" w:hAnsi="Times New Roman" w:cs="Times New Roman"/>
          <w:sz w:val="24"/>
          <w:szCs w:val="24"/>
        </w:rPr>
        <w:t>10,000 to 30,000 - a fact that was repeatedly mentioned during interviews with the private sector</w:t>
      </w:r>
      <w:r w:rsidR="00CF6717">
        <w:rPr>
          <w:rStyle w:val="FootnoteReference"/>
          <w:rFonts w:ascii="Times New Roman" w:hAnsi="Times New Roman" w:cs="Times New Roman"/>
          <w:sz w:val="24"/>
          <w:szCs w:val="24"/>
        </w:rPr>
        <w:footnoteReference w:id="95"/>
      </w:r>
      <w:r w:rsidRPr="003571FD">
        <w:rPr>
          <w:rFonts w:ascii="Times New Roman" w:hAnsi="Times New Roman" w:cs="Times New Roman"/>
          <w:sz w:val="24"/>
          <w:szCs w:val="24"/>
        </w:rPr>
        <w:t xml:space="preserve">. </w:t>
      </w:r>
    </w:p>
    <w:p w:rsidR="00801E58" w:rsidRPr="003571FD" w:rsidRDefault="00801E58" w:rsidP="005411D5">
      <w:pPr>
        <w:pStyle w:val="ListParagraph"/>
        <w:spacing w:after="0"/>
        <w:ind w:left="36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533274" w:rsidRPr="003571FD">
        <w:trPr>
          <w:trHeight w:val="305"/>
        </w:trPr>
        <w:tc>
          <w:tcPr>
            <w:tcW w:w="9576" w:type="dxa"/>
            <w:gridSpan w:val="2"/>
          </w:tcPr>
          <w:p w:rsidR="00533274" w:rsidRPr="003571FD" w:rsidRDefault="00533274" w:rsidP="005411D5">
            <w:pPr>
              <w:pStyle w:val="Caption"/>
              <w:keepNext/>
              <w:rPr>
                <w:rFonts w:ascii="Times New Roman" w:hAnsi="Times New Roman" w:cs="Times New Roman"/>
                <w:sz w:val="24"/>
                <w:szCs w:val="24"/>
              </w:rPr>
            </w:pPr>
            <w:bookmarkStart w:id="64" w:name="_Toc312317284"/>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18</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Credit growth by type of entity and by department</w:t>
            </w:r>
            <w:bookmarkEnd w:id="64"/>
          </w:p>
        </w:tc>
      </w:tr>
      <w:tr w:rsidR="00533274" w:rsidRPr="003571FD">
        <w:trPr>
          <w:trHeight w:val="278"/>
        </w:trPr>
        <w:tc>
          <w:tcPr>
            <w:tcW w:w="9576" w:type="dxa"/>
            <w:gridSpan w:val="2"/>
          </w:tcPr>
          <w:p w:rsidR="00533274" w:rsidRPr="003571FD" w:rsidRDefault="00533274" w:rsidP="00533274">
            <w:pPr>
              <w:pStyle w:val="Caption"/>
              <w:keepNext/>
              <w:jc w:val="center"/>
              <w:rPr>
                <w:rFonts w:ascii="Times New Roman" w:hAnsi="Times New Roman" w:cs="Times New Roman"/>
                <w:b w:val="0"/>
                <w:color w:val="auto"/>
              </w:rPr>
            </w:pPr>
            <w:r w:rsidRPr="003571FD">
              <w:rPr>
                <w:rFonts w:ascii="Times New Roman" w:hAnsi="Times New Roman" w:cs="Times New Roman"/>
                <w:b w:val="0"/>
                <w:i/>
                <w:color w:val="auto"/>
              </w:rPr>
              <w:t>Credit growth was strongest for microfinance institutions, which correspondingly increased their market share in credit.</w:t>
            </w:r>
          </w:p>
        </w:tc>
      </w:tr>
      <w:tr w:rsidR="00533274" w:rsidRPr="003571FD">
        <w:trPr>
          <w:trHeight w:val="2942"/>
        </w:trPr>
        <w:tc>
          <w:tcPr>
            <w:tcW w:w="4788" w:type="dxa"/>
          </w:tcPr>
          <w:p w:rsidR="00533274" w:rsidRPr="003571FD" w:rsidRDefault="005A47B7" w:rsidP="00E334A5">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43075"/>
                  <wp:effectExtent l="1905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c>
          <w:tcPr>
            <w:tcW w:w="4788" w:type="dxa"/>
          </w:tcPr>
          <w:p w:rsidR="00533274" w:rsidRPr="003571FD" w:rsidRDefault="005A47B7" w:rsidP="00E334A5">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743075"/>
                  <wp:effectExtent l="1905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2895600" cy="1743075"/>
                          </a:xfrm>
                          <a:prstGeom prst="rect">
                            <a:avLst/>
                          </a:prstGeom>
                          <a:noFill/>
                          <a:ln w="9525">
                            <a:noFill/>
                            <a:miter lim="800000"/>
                            <a:headEnd/>
                            <a:tailEnd/>
                          </a:ln>
                        </pic:spPr>
                      </pic:pic>
                    </a:graphicData>
                  </a:graphic>
                </wp:inline>
              </w:drawing>
            </w:r>
          </w:p>
        </w:tc>
      </w:tr>
      <w:tr w:rsidR="00533274" w:rsidRPr="003571FD">
        <w:trPr>
          <w:trHeight w:val="530"/>
        </w:trPr>
        <w:tc>
          <w:tcPr>
            <w:tcW w:w="9576" w:type="dxa"/>
            <w:gridSpan w:val="2"/>
          </w:tcPr>
          <w:p w:rsidR="00533274" w:rsidRPr="003571FD" w:rsidRDefault="00533274" w:rsidP="00B13171">
            <w:pPr>
              <w:rPr>
                <w:rFonts w:ascii="Times New Roman" w:hAnsi="Times New Roman" w:cs="Times New Roman"/>
                <w:noProof/>
                <w:sz w:val="24"/>
                <w:szCs w:val="24"/>
              </w:rPr>
            </w:pPr>
            <w:r w:rsidRPr="003571FD">
              <w:rPr>
                <w:rFonts w:ascii="Times New Roman" w:hAnsi="Times New Roman" w:cs="Times New Roman"/>
                <w:i/>
                <w:sz w:val="18"/>
              </w:rPr>
              <w:t>Smaller departments profited disproportionally from credit growth, with microfinance institutions increasing their already strong presence in the small departments such as Pando, Beni and Potosi further.</w:t>
            </w:r>
          </w:p>
        </w:tc>
      </w:tr>
      <w:tr w:rsidR="00533274" w:rsidRPr="003571FD">
        <w:tc>
          <w:tcPr>
            <w:tcW w:w="4788" w:type="dxa"/>
          </w:tcPr>
          <w:p w:rsidR="00533274" w:rsidRPr="003571FD" w:rsidRDefault="00C628EE" w:rsidP="00E334A5">
            <w:pPr>
              <w:rPr>
                <w:rFonts w:ascii="Times New Roman" w:hAnsi="Times New Roman" w:cs="Times New Roman"/>
                <w:noProof/>
                <w:sz w:val="24"/>
                <w:szCs w:val="24"/>
              </w:rPr>
            </w:pPr>
            <w:r w:rsidRPr="003571FD">
              <w:rPr>
                <w:rFonts w:ascii="Times New Roman" w:hAnsi="Times New Roman" w:cs="Times New Roman"/>
                <w:noProof/>
                <w:sz w:val="24"/>
                <w:szCs w:val="24"/>
              </w:rPr>
              <w:drawing>
                <wp:inline distT="0" distB="0" distL="0" distR="0">
                  <wp:extent cx="2895600" cy="19431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895600" cy="1943100"/>
                          </a:xfrm>
                          <a:prstGeom prst="rect">
                            <a:avLst/>
                          </a:prstGeom>
                          <a:noFill/>
                          <a:ln w="9525">
                            <a:noFill/>
                            <a:miter lim="800000"/>
                            <a:headEnd/>
                            <a:tailEnd/>
                          </a:ln>
                        </pic:spPr>
                      </pic:pic>
                    </a:graphicData>
                  </a:graphic>
                </wp:inline>
              </w:drawing>
            </w:r>
          </w:p>
        </w:tc>
        <w:tc>
          <w:tcPr>
            <w:tcW w:w="4788" w:type="dxa"/>
          </w:tcPr>
          <w:p w:rsidR="00533274" w:rsidRPr="003571FD" w:rsidRDefault="00C628EE" w:rsidP="00E334A5">
            <w:pPr>
              <w:rPr>
                <w:rFonts w:ascii="Times New Roman" w:hAnsi="Times New Roman" w:cs="Times New Roman"/>
                <w:noProof/>
                <w:sz w:val="24"/>
                <w:szCs w:val="24"/>
              </w:rPr>
            </w:pPr>
            <w:r w:rsidRPr="003571FD">
              <w:rPr>
                <w:rFonts w:ascii="Times New Roman" w:hAnsi="Times New Roman" w:cs="Times New Roman"/>
                <w:noProof/>
                <w:sz w:val="24"/>
                <w:szCs w:val="24"/>
              </w:rPr>
              <w:drawing>
                <wp:inline distT="0" distB="0" distL="0" distR="0">
                  <wp:extent cx="2895600" cy="1933575"/>
                  <wp:effectExtent l="1905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p>
        </w:tc>
      </w:tr>
      <w:tr w:rsidR="00533274" w:rsidRPr="003571FD">
        <w:tc>
          <w:tcPr>
            <w:tcW w:w="9576" w:type="dxa"/>
            <w:gridSpan w:val="2"/>
          </w:tcPr>
          <w:p w:rsidR="00533274" w:rsidRPr="003571FD" w:rsidRDefault="00B96987" w:rsidP="00E334A5">
            <w:pPr>
              <w:rPr>
                <w:rFonts w:ascii="Times New Roman" w:hAnsi="Times New Roman" w:cs="Times New Roman"/>
                <w:i/>
                <w:noProof/>
                <w:sz w:val="24"/>
                <w:szCs w:val="24"/>
              </w:rPr>
            </w:pPr>
            <w:r w:rsidRPr="003571FD">
              <w:rPr>
                <w:rFonts w:ascii="Times New Roman" w:hAnsi="Times New Roman" w:cs="Times New Roman"/>
                <w:i/>
                <w:noProof/>
                <w:sz w:val="18"/>
                <w:szCs w:val="24"/>
              </w:rPr>
              <w:t xml:space="preserve">Source: </w:t>
            </w:r>
            <w:r w:rsidRPr="003571FD">
              <w:rPr>
                <w:rFonts w:ascii="Times New Roman" w:hAnsi="Times New Roman" w:cs="Times New Roman"/>
                <w:i/>
                <w:sz w:val="18"/>
              </w:rPr>
              <w:t>World Bank’s own calculations, based on data from ASFI and the Central Bank.</w:t>
            </w:r>
          </w:p>
        </w:tc>
      </w:tr>
    </w:tbl>
    <w:p w:rsidR="005A47B7" w:rsidRPr="003571FD" w:rsidRDefault="005A47B7" w:rsidP="005A47B7">
      <w:pPr>
        <w:pStyle w:val="ListParagraph"/>
        <w:spacing w:after="240"/>
        <w:ind w:left="0"/>
        <w:jc w:val="both"/>
        <w:rPr>
          <w:rFonts w:ascii="Times New Roman" w:hAnsi="Times New Roman"/>
          <w:b/>
          <w:noProof/>
          <w:sz w:val="24"/>
        </w:rPr>
      </w:pPr>
    </w:p>
    <w:p w:rsidR="005411D5" w:rsidRPr="003571FD" w:rsidRDefault="005411D5" w:rsidP="005411D5">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Departments like </w:t>
      </w:r>
      <w:r w:rsidRPr="003571FD">
        <w:rPr>
          <w:rFonts w:ascii="Times New Roman" w:hAnsi="Times New Roman" w:cs="Times New Roman"/>
          <w:b/>
          <w:i/>
          <w:sz w:val="24"/>
          <w:szCs w:val="24"/>
        </w:rPr>
        <w:t>Beni</w:t>
      </w:r>
      <w:r w:rsidRPr="003571FD">
        <w:rPr>
          <w:rFonts w:ascii="Times New Roman" w:hAnsi="Times New Roman" w:cs="Times New Roman"/>
          <w:b/>
          <w:sz w:val="24"/>
          <w:szCs w:val="24"/>
        </w:rPr>
        <w:t xml:space="preserve">, </w:t>
      </w:r>
      <w:r w:rsidRPr="003571FD">
        <w:rPr>
          <w:rFonts w:ascii="Times New Roman" w:hAnsi="Times New Roman" w:cs="Times New Roman"/>
          <w:b/>
          <w:i/>
          <w:sz w:val="24"/>
          <w:szCs w:val="24"/>
        </w:rPr>
        <w:t>Potosi</w:t>
      </w:r>
      <w:r w:rsidRPr="003571FD">
        <w:rPr>
          <w:rFonts w:ascii="Times New Roman" w:hAnsi="Times New Roman" w:cs="Times New Roman"/>
          <w:b/>
          <w:sz w:val="24"/>
          <w:szCs w:val="24"/>
        </w:rPr>
        <w:t xml:space="preserve">, </w:t>
      </w:r>
      <w:r w:rsidRPr="003571FD">
        <w:rPr>
          <w:rFonts w:ascii="Times New Roman" w:hAnsi="Times New Roman" w:cs="Times New Roman"/>
          <w:b/>
          <w:i/>
          <w:sz w:val="24"/>
          <w:szCs w:val="24"/>
        </w:rPr>
        <w:t>Tarija</w:t>
      </w:r>
      <w:r w:rsidRPr="003571FD">
        <w:rPr>
          <w:rFonts w:ascii="Times New Roman" w:hAnsi="Times New Roman" w:cs="Times New Roman"/>
          <w:b/>
          <w:sz w:val="24"/>
          <w:szCs w:val="24"/>
        </w:rPr>
        <w:t xml:space="preserve"> and </w:t>
      </w:r>
      <w:r w:rsidRPr="003571FD">
        <w:rPr>
          <w:rFonts w:ascii="Times New Roman" w:hAnsi="Times New Roman" w:cs="Times New Roman"/>
          <w:b/>
          <w:i/>
          <w:sz w:val="24"/>
          <w:szCs w:val="24"/>
        </w:rPr>
        <w:t>Pando</w:t>
      </w:r>
      <w:r w:rsidRPr="003571FD">
        <w:rPr>
          <w:rFonts w:ascii="Times New Roman" w:hAnsi="Times New Roman" w:cs="Times New Roman"/>
          <w:b/>
          <w:sz w:val="24"/>
          <w:szCs w:val="24"/>
        </w:rPr>
        <w:t xml:space="preserve"> saw their loan portfolio and number of borrowers increase, but overall continue to account for </w:t>
      </w:r>
      <w:r w:rsidR="00CF6717">
        <w:rPr>
          <w:rFonts w:ascii="Times New Roman" w:hAnsi="Times New Roman" w:cs="Times New Roman"/>
          <w:b/>
          <w:sz w:val="24"/>
          <w:szCs w:val="24"/>
        </w:rPr>
        <w:t xml:space="preserve">only </w:t>
      </w:r>
      <w:r w:rsidRPr="003571FD">
        <w:rPr>
          <w:rFonts w:ascii="Times New Roman" w:hAnsi="Times New Roman" w:cs="Times New Roman"/>
          <w:b/>
          <w:sz w:val="24"/>
          <w:szCs w:val="24"/>
        </w:rPr>
        <w:t xml:space="preserve">a fraction of borrowers and loans by volume. </w:t>
      </w:r>
      <w:r w:rsidRPr="003571FD">
        <w:rPr>
          <w:rFonts w:ascii="Times New Roman" w:hAnsi="Times New Roman" w:cs="Times New Roman"/>
          <w:sz w:val="24"/>
          <w:szCs w:val="24"/>
        </w:rPr>
        <w:t>MFI banks, finance companies and lately the public bank (coming from a low base) more than doubled their client base, adding 80 percent of the 350,000 additional borrowers in the 6 less populated departments since 2005. They also had the strongest growth in credit, as can be seen in Chart</w:t>
      </w:r>
      <w:r w:rsidR="00C10035">
        <w:rPr>
          <w:rFonts w:ascii="Times New Roman" w:hAnsi="Times New Roman" w:cs="Times New Roman"/>
          <w:sz w:val="24"/>
          <w:szCs w:val="24"/>
        </w:rPr>
        <w:t xml:space="preserve"> </w:t>
      </w:r>
      <w:r w:rsidRPr="003571FD">
        <w:rPr>
          <w:rFonts w:ascii="Times New Roman" w:hAnsi="Times New Roman" w:cs="Times New Roman"/>
          <w:sz w:val="24"/>
          <w:szCs w:val="24"/>
        </w:rPr>
        <w:t xml:space="preserve">18. This cut into the market share of cooperatives which however continue to play an important role in some of the smaller departments, with for example a market share of 32 and 19 percent of borrowers in </w:t>
      </w:r>
      <w:r w:rsidRPr="003571FD">
        <w:rPr>
          <w:rFonts w:ascii="Times New Roman" w:hAnsi="Times New Roman" w:cs="Times New Roman"/>
          <w:i/>
          <w:sz w:val="24"/>
          <w:szCs w:val="24"/>
        </w:rPr>
        <w:t>Potosi</w:t>
      </w:r>
      <w:r w:rsidRPr="003571FD">
        <w:rPr>
          <w:rFonts w:ascii="Times New Roman" w:hAnsi="Times New Roman" w:cs="Times New Roman"/>
          <w:sz w:val="24"/>
          <w:szCs w:val="24"/>
        </w:rPr>
        <w:t xml:space="preserve"> and </w:t>
      </w:r>
      <w:r w:rsidRPr="003571FD">
        <w:rPr>
          <w:rFonts w:ascii="Times New Roman" w:hAnsi="Times New Roman" w:cs="Times New Roman"/>
          <w:i/>
          <w:sz w:val="24"/>
          <w:szCs w:val="24"/>
        </w:rPr>
        <w:t>Tarija</w:t>
      </w:r>
      <w:r w:rsidRPr="003571FD">
        <w:rPr>
          <w:rFonts w:ascii="Times New Roman" w:hAnsi="Times New Roman" w:cs="Times New Roman"/>
          <w:sz w:val="24"/>
          <w:szCs w:val="24"/>
        </w:rPr>
        <w:t xml:space="preserve">. Credit growth was more </w:t>
      </w:r>
      <w:r w:rsidRPr="003571FD">
        <w:rPr>
          <w:rFonts w:ascii="Times New Roman" w:hAnsi="Times New Roman" w:cs="Times New Roman"/>
          <w:sz w:val="24"/>
          <w:szCs w:val="24"/>
        </w:rPr>
        <w:lastRenderedPageBreak/>
        <w:t xml:space="preserve">pronounced in the 6 smaller departments, but the departments of </w:t>
      </w:r>
      <w:r w:rsidRPr="003571FD">
        <w:rPr>
          <w:rFonts w:ascii="Times New Roman" w:hAnsi="Times New Roman" w:cs="Times New Roman"/>
          <w:i/>
          <w:sz w:val="24"/>
          <w:szCs w:val="24"/>
        </w:rPr>
        <w:t>La Paz</w:t>
      </w:r>
      <w:r w:rsidRPr="003571FD">
        <w:rPr>
          <w:rFonts w:ascii="Times New Roman" w:hAnsi="Times New Roman" w:cs="Times New Roman"/>
          <w:sz w:val="24"/>
          <w:szCs w:val="24"/>
        </w:rPr>
        <w:t xml:space="preserve">, </w:t>
      </w:r>
      <w:r w:rsidRPr="003571FD">
        <w:rPr>
          <w:rFonts w:ascii="Times New Roman" w:hAnsi="Times New Roman" w:cs="Times New Roman"/>
          <w:i/>
          <w:sz w:val="24"/>
          <w:szCs w:val="24"/>
        </w:rPr>
        <w:t>Santa Cruz</w:t>
      </w:r>
      <w:r w:rsidRPr="003571FD">
        <w:rPr>
          <w:rFonts w:ascii="Times New Roman" w:hAnsi="Times New Roman" w:cs="Times New Roman"/>
          <w:sz w:val="24"/>
          <w:szCs w:val="24"/>
        </w:rPr>
        <w:t xml:space="preserve"> and </w:t>
      </w:r>
      <w:r w:rsidRPr="003571FD">
        <w:rPr>
          <w:rFonts w:ascii="Times New Roman" w:hAnsi="Times New Roman" w:cs="Times New Roman"/>
          <w:i/>
          <w:sz w:val="24"/>
          <w:szCs w:val="24"/>
        </w:rPr>
        <w:t>Cochabamba</w:t>
      </w:r>
      <w:r w:rsidRPr="003571FD">
        <w:rPr>
          <w:rFonts w:ascii="Times New Roman" w:hAnsi="Times New Roman" w:cs="Times New Roman"/>
          <w:sz w:val="24"/>
          <w:szCs w:val="24"/>
        </w:rPr>
        <w:t xml:space="preserve"> continue to account for 79 percent of borrowers and 86 percent of loans by volume (down from 80 and 88 percent in 2005).</w:t>
      </w:r>
    </w:p>
    <w:p w:rsidR="005411D5" w:rsidRPr="003571FD" w:rsidRDefault="005411D5" w:rsidP="005411D5">
      <w:pPr>
        <w:pStyle w:val="ListParagraph"/>
        <w:spacing w:after="240"/>
        <w:ind w:left="0"/>
        <w:jc w:val="both"/>
        <w:rPr>
          <w:rFonts w:ascii="Times New Roman" w:hAnsi="Times New Roman" w:cs="Times New Roman"/>
          <w:sz w:val="24"/>
          <w:szCs w:val="24"/>
        </w:rPr>
      </w:pPr>
    </w:p>
    <w:p w:rsidR="00C10035" w:rsidRDefault="00991D4C" w:rsidP="005411D5">
      <w:pPr>
        <w:pStyle w:val="ListParagraph"/>
        <w:numPr>
          <w:ilvl w:val="0"/>
          <w:numId w:val="8"/>
        </w:numPr>
        <w:spacing w:after="0"/>
        <w:jc w:val="both"/>
        <w:rPr>
          <w:rFonts w:ascii="Times New Roman" w:hAnsi="Times New Roman"/>
          <w:sz w:val="24"/>
        </w:rPr>
      </w:pPr>
      <w:r w:rsidRPr="003571FD">
        <w:rPr>
          <w:rFonts w:ascii="Times New Roman" w:hAnsi="Times New Roman"/>
          <w:b/>
          <w:noProof/>
          <w:sz w:val="24"/>
        </w:rPr>
        <w:t>Growth</w:t>
      </w:r>
      <w:r w:rsidRPr="003571FD">
        <w:rPr>
          <w:rFonts w:ascii="Times New Roman" w:hAnsi="Times New Roman"/>
          <w:b/>
          <w:sz w:val="24"/>
        </w:rPr>
        <w:t xml:space="preserve"> was unevenly distributed amongst the sectors, with a lower share of credit now going to the traditional productive sectors.</w:t>
      </w:r>
      <w:r w:rsidRPr="003571FD">
        <w:rPr>
          <w:rFonts w:ascii="Times New Roman" w:hAnsi="Times New Roman"/>
          <w:sz w:val="24"/>
        </w:rPr>
        <w:t xml:space="preserve"> Loans to commerce, the services sector and construction more than doubled between 2005 and December 2009, and dominate the loan portfolio of the formal financial system with a share of 24, 34 and 14 percent respectively. On the other hand, credit to the traditional productive sectors (agriculture, forestry, manufacturing industry and extractive industries) only increased by 23 percent over the same period of time, and now only account for 20 percent of lending compared to 29 percent in 2005. This widened the already existing gap between credit to the productive sector and its share in GDP further (see Chart</w:t>
      </w:r>
      <w:r w:rsidR="00743DA6" w:rsidRPr="003571FD">
        <w:rPr>
          <w:rFonts w:ascii="Times New Roman" w:hAnsi="Times New Roman"/>
          <w:sz w:val="24"/>
        </w:rPr>
        <w:t xml:space="preserve"> 19</w:t>
      </w:r>
      <w:r w:rsidRPr="003571FD">
        <w:rPr>
          <w:rFonts w:ascii="Times New Roman" w:hAnsi="Times New Roman"/>
          <w:sz w:val="24"/>
        </w:rPr>
        <w:t>) and led the government to issue a number of circulars and regulations to stimulate credit to the productive sector, and to provide dedicated funding sources for productive credit through its second tier bank</w:t>
      </w:r>
      <w:r w:rsidR="00B13171" w:rsidRPr="003571FD">
        <w:rPr>
          <w:rFonts w:ascii="Times New Roman" w:hAnsi="Times New Roman"/>
          <w:sz w:val="24"/>
        </w:rPr>
        <w:t xml:space="preserve"> and through grant programs</w:t>
      </w:r>
      <w:r w:rsidRPr="003571FD">
        <w:rPr>
          <w:rFonts w:ascii="Times New Roman" w:hAnsi="Times New Roman"/>
          <w:sz w:val="24"/>
        </w:rPr>
        <w:t xml:space="preserve">. </w:t>
      </w:r>
    </w:p>
    <w:p w:rsidR="001B543D" w:rsidRDefault="001B543D">
      <w:pPr>
        <w:pStyle w:val="ListParagraph"/>
        <w:rPr>
          <w:rFonts w:ascii="Times New Roman" w:hAnsi="Times New Roman"/>
          <w:sz w:val="24"/>
        </w:rPr>
      </w:pPr>
    </w:p>
    <w:p w:rsidR="00991D4C" w:rsidRPr="003571FD" w:rsidRDefault="00781E2F" w:rsidP="005411D5">
      <w:pPr>
        <w:pStyle w:val="ListParagraph"/>
        <w:numPr>
          <w:ilvl w:val="0"/>
          <w:numId w:val="8"/>
        </w:numPr>
        <w:spacing w:after="0"/>
        <w:jc w:val="both"/>
        <w:rPr>
          <w:rFonts w:ascii="Times New Roman" w:hAnsi="Times New Roman"/>
          <w:sz w:val="24"/>
        </w:rPr>
      </w:pPr>
      <w:r w:rsidRPr="00781E2F">
        <w:rPr>
          <w:rFonts w:ascii="Times New Roman" w:hAnsi="Times New Roman"/>
          <w:b/>
          <w:sz w:val="24"/>
        </w:rPr>
        <w:t>With regard to the type of credit, microcredit and to some extent also consumer loans gained market share</w:t>
      </w:r>
      <w:r w:rsidR="00991D4C" w:rsidRPr="003571FD">
        <w:rPr>
          <w:rFonts w:ascii="Times New Roman" w:hAnsi="Times New Roman"/>
          <w:sz w:val="24"/>
        </w:rPr>
        <w:t>. The increase in microcredit is almost exclusively due to the growth of MFI banks and finance companies, while consumer credit increased mostly in the cooperative sector, the SLAs and the public bank (see Chart</w:t>
      </w:r>
      <w:r w:rsidR="00743DA6" w:rsidRPr="003571FD">
        <w:rPr>
          <w:rFonts w:ascii="Times New Roman" w:hAnsi="Times New Roman"/>
          <w:sz w:val="24"/>
        </w:rPr>
        <w:t xml:space="preserve"> 19</w:t>
      </w:r>
      <w:r w:rsidR="00991D4C" w:rsidRPr="003571FD">
        <w:rPr>
          <w:rFonts w:ascii="Times New Roman" w:hAnsi="Times New Roman"/>
          <w:sz w:val="24"/>
        </w:rPr>
        <w:t>)</w:t>
      </w:r>
      <w:r w:rsidR="00991D4C" w:rsidRPr="003571FD">
        <w:rPr>
          <w:rStyle w:val="FootnoteReference"/>
          <w:rFonts w:ascii="Times New Roman" w:hAnsi="Times New Roman"/>
          <w:sz w:val="24"/>
        </w:rPr>
        <w:footnoteReference w:id="96"/>
      </w:r>
      <w:r w:rsidR="00991D4C" w:rsidRPr="003571FD">
        <w:rPr>
          <w:rFonts w:ascii="Times New Roman" w:hAnsi="Times New Roman"/>
          <w:sz w:val="24"/>
        </w:rPr>
        <w:t>. Microcredit and consumer loans now account for 24 and 11 percent of loans respectively (up from 16 and 8 percent in 2005), while commercial loans declined by 10 percent to 47 percent, and mortgages stagnated at around 18 percent.</w:t>
      </w:r>
    </w:p>
    <w:p w:rsidR="00145B70" w:rsidRPr="003571FD" w:rsidRDefault="00145B70" w:rsidP="005411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145B70" w:rsidRPr="003571FD">
        <w:tc>
          <w:tcPr>
            <w:tcW w:w="9576" w:type="dxa"/>
            <w:gridSpan w:val="2"/>
          </w:tcPr>
          <w:p w:rsidR="00145B70" w:rsidRPr="003571FD" w:rsidRDefault="00145B70" w:rsidP="005411D5">
            <w:pPr>
              <w:pStyle w:val="Caption"/>
              <w:keepNext/>
              <w:rPr>
                <w:rFonts w:ascii="Times New Roman" w:hAnsi="Times New Roman" w:cs="Times New Roman"/>
                <w:sz w:val="24"/>
                <w:szCs w:val="24"/>
              </w:rPr>
            </w:pPr>
            <w:bookmarkStart w:id="65" w:name="_Toc312317285"/>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19</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Credit by type of loan and sector.</w:t>
            </w:r>
            <w:bookmarkEnd w:id="65"/>
          </w:p>
        </w:tc>
      </w:tr>
      <w:tr w:rsidR="00145B70" w:rsidRPr="003571FD">
        <w:tc>
          <w:tcPr>
            <w:tcW w:w="4788" w:type="dxa"/>
          </w:tcPr>
          <w:p w:rsidR="00145B70" w:rsidRPr="003571FD" w:rsidRDefault="00B96987" w:rsidP="00E334A5">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19907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2895600" cy="1990725"/>
                          </a:xfrm>
                          <a:prstGeom prst="rect">
                            <a:avLst/>
                          </a:prstGeom>
                          <a:noFill/>
                          <a:ln w="9525">
                            <a:noFill/>
                            <a:miter lim="800000"/>
                            <a:headEnd/>
                            <a:tailEnd/>
                          </a:ln>
                        </pic:spPr>
                      </pic:pic>
                    </a:graphicData>
                  </a:graphic>
                </wp:inline>
              </w:drawing>
            </w:r>
          </w:p>
        </w:tc>
        <w:tc>
          <w:tcPr>
            <w:tcW w:w="4788" w:type="dxa"/>
          </w:tcPr>
          <w:p w:rsidR="00145B70" w:rsidRPr="003571FD" w:rsidRDefault="00B96987" w:rsidP="00E334A5">
            <w:pPr>
              <w:rPr>
                <w:rFonts w:ascii="Times New Roman" w:hAnsi="Times New Roman" w:cs="Times New Roman"/>
                <w:sz w:val="24"/>
                <w:szCs w:val="24"/>
              </w:rPr>
            </w:pPr>
            <w:r w:rsidRPr="003571FD">
              <w:rPr>
                <w:rFonts w:ascii="Times New Roman" w:hAnsi="Times New Roman" w:cs="Times New Roman"/>
                <w:noProof/>
                <w:sz w:val="24"/>
                <w:szCs w:val="24"/>
              </w:rPr>
              <w:drawing>
                <wp:inline distT="0" distB="0" distL="0" distR="0">
                  <wp:extent cx="2895600" cy="2038350"/>
                  <wp:effectExtent l="1905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2895600" cy="2038350"/>
                          </a:xfrm>
                          <a:prstGeom prst="rect">
                            <a:avLst/>
                          </a:prstGeom>
                          <a:noFill/>
                          <a:ln w="9525">
                            <a:noFill/>
                            <a:miter lim="800000"/>
                            <a:headEnd/>
                            <a:tailEnd/>
                          </a:ln>
                        </pic:spPr>
                      </pic:pic>
                    </a:graphicData>
                  </a:graphic>
                </wp:inline>
              </w:drawing>
            </w:r>
          </w:p>
        </w:tc>
      </w:tr>
      <w:tr w:rsidR="00145B70" w:rsidRPr="003571FD">
        <w:tc>
          <w:tcPr>
            <w:tcW w:w="9576" w:type="dxa"/>
            <w:gridSpan w:val="2"/>
          </w:tcPr>
          <w:p w:rsidR="00145B70" w:rsidRPr="003571FD" w:rsidRDefault="00145B70" w:rsidP="00E334A5">
            <w:pPr>
              <w:rPr>
                <w:rFonts w:ascii="Times New Roman" w:hAnsi="Times New Roman" w:cs="Times New Roman"/>
                <w:i/>
                <w:noProof/>
                <w:sz w:val="24"/>
                <w:szCs w:val="24"/>
              </w:rPr>
            </w:pPr>
            <w:r w:rsidRPr="003571FD">
              <w:rPr>
                <w:rFonts w:ascii="Times New Roman" w:hAnsi="Times New Roman" w:cs="Times New Roman"/>
                <w:i/>
                <w:noProof/>
                <w:sz w:val="18"/>
                <w:szCs w:val="24"/>
              </w:rPr>
              <w:t xml:space="preserve">Source: </w:t>
            </w:r>
            <w:r w:rsidR="00B96987" w:rsidRPr="003571FD">
              <w:rPr>
                <w:rFonts w:ascii="Times New Roman" w:hAnsi="Times New Roman" w:cs="Times New Roman"/>
                <w:i/>
                <w:sz w:val="18"/>
              </w:rPr>
              <w:t>World Bank’s own calculations, based on data from ASFI and the Central Bank.</w:t>
            </w:r>
          </w:p>
        </w:tc>
      </w:tr>
    </w:tbl>
    <w:tbl>
      <w:tblPr>
        <w:tblStyle w:val="TableGrid"/>
        <w:tblpPr w:leftFromText="180" w:rightFromText="180" w:vertAnchor="text" w:horzAnchor="margin" w:tblpXSpec="center" w:tblpY="2175"/>
        <w:tblW w:w="0" w:type="auto"/>
        <w:tblLayout w:type="fixed"/>
        <w:tblLook w:val="04A0" w:firstRow="1" w:lastRow="0" w:firstColumn="1" w:lastColumn="0" w:noHBand="0" w:noVBand="1"/>
      </w:tblPr>
      <w:tblGrid>
        <w:gridCol w:w="5787"/>
        <w:gridCol w:w="792"/>
        <w:gridCol w:w="792"/>
        <w:gridCol w:w="792"/>
        <w:gridCol w:w="792"/>
      </w:tblGrid>
      <w:tr w:rsidR="005A47B7" w:rsidRPr="003571FD" w:rsidTr="002E49EC">
        <w:trPr>
          <w:trHeight w:val="323"/>
        </w:trPr>
        <w:tc>
          <w:tcPr>
            <w:tcW w:w="8955" w:type="dxa"/>
            <w:gridSpan w:val="5"/>
            <w:tcBorders>
              <w:top w:val="nil"/>
              <w:left w:val="nil"/>
              <w:right w:val="nil"/>
            </w:tcBorders>
          </w:tcPr>
          <w:p w:rsidR="005A47B7" w:rsidRPr="003571FD" w:rsidRDefault="005A47B7" w:rsidP="005A47B7">
            <w:pPr>
              <w:pStyle w:val="Caption"/>
              <w:keepNext/>
              <w:rPr>
                <w:rFonts w:ascii="Times New Roman" w:hAnsi="Times New Roman" w:cs="Times New Roman"/>
                <w:color w:val="auto"/>
              </w:rPr>
            </w:pPr>
            <w:bookmarkStart w:id="66" w:name="_Toc312317357"/>
            <w:r w:rsidRPr="003571FD">
              <w:rPr>
                <w:rFonts w:ascii="Times New Roman" w:hAnsi="Times New Roman" w:cs="Times New Roman"/>
                <w:color w:val="auto"/>
              </w:rPr>
              <w:lastRenderedPageBreak/>
              <w:t xml:space="preserve">Table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Table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10</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Evolution of non-performing loans (NPLs) by sector</w:t>
            </w:r>
            <w:bookmarkEnd w:id="66"/>
          </w:p>
        </w:tc>
      </w:tr>
      <w:tr w:rsidR="005A47B7" w:rsidRPr="003571FD" w:rsidTr="002E49EC">
        <w:tc>
          <w:tcPr>
            <w:tcW w:w="5787" w:type="dxa"/>
            <w:vMerge w:val="restart"/>
          </w:tcPr>
          <w:p w:rsidR="005A47B7" w:rsidRPr="003571FD" w:rsidRDefault="005A47B7" w:rsidP="005A47B7">
            <w:pPr>
              <w:rPr>
                <w:rFonts w:ascii="Times New Roman" w:hAnsi="Times New Roman" w:cs="Times New Roman"/>
                <w:sz w:val="20"/>
                <w:szCs w:val="20"/>
              </w:rPr>
            </w:pPr>
          </w:p>
        </w:tc>
        <w:tc>
          <w:tcPr>
            <w:tcW w:w="3168" w:type="dxa"/>
            <w:gridSpan w:val="4"/>
          </w:tcPr>
          <w:p w:rsidR="005A47B7" w:rsidRPr="003571FD" w:rsidRDefault="005A47B7" w:rsidP="005A47B7">
            <w:pPr>
              <w:jc w:val="center"/>
              <w:rPr>
                <w:rFonts w:ascii="Times New Roman" w:hAnsi="Times New Roman" w:cs="Times New Roman"/>
                <w:b/>
                <w:sz w:val="20"/>
                <w:szCs w:val="20"/>
              </w:rPr>
            </w:pPr>
            <w:r w:rsidRPr="003571FD">
              <w:rPr>
                <w:rFonts w:ascii="Times New Roman" w:hAnsi="Times New Roman" w:cs="Times New Roman"/>
                <w:b/>
                <w:sz w:val="20"/>
                <w:szCs w:val="20"/>
              </w:rPr>
              <w:t>Non-performing loans (%)</w:t>
            </w:r>
          </w:p>
        </w:tc>
      </w:tr>
      <w:tr w:rsidR="005A47B7" w:rsidRPr="003571FD" w:rsidTr="002E49EC">
        <w:tc>
          <w:tcPr>
            <w:tcW w:w="5787" w:type="dxa"/>
            <w:vMerge/>
            <w:tcBorders>
              <w:bottom w:val="single" w:sz="4" w:space="0" w:color="000000" w:themeColor="text1"/>
            </w:tcBorders>
          </w:tcPr>
          <w:p w:rsidR="005A47B7" w:rsidRPr="003571FD" w:rsidRDefault="005A47B7" w:rsidP="005A47B7">
            <w:pPr>
              <w:rPr>
                <w:rFonts w:ascii="Times New Roman" w:hAnsi="Times New Roman" w:cs="Times New Roman"/>
                <w:sz w:val="20"/>
                <w:szCs w:val="20"/>
              </w:rPr>
            </w:pPr>
          </w:p>
        </w:tc>
        <w:tc>
          <w:tcPr>
            <w:tcW w:w="792" w:type="dxa"/>
            <w:tcBorders>
              <w:bottom w:val="single" w:sz="4" w:space="0" w:color="000000" w:themeColor="text1"/>
            </w:tcBorders>
            <w:vAlign w:val="center"/>
          </w:tcPr>
          <w:p w:rsidR="005A47B7" w:rsidRPr="003571FD" w:rsidRDefault="005A47B7" w:rsidP="005A47B7">
            <w:pPr>
              <w:jc w:val="center"/>
              <w:rPr>
                <w:rFonts w:ascii="Times New Roman" w:hAnsi="Times New Roman" w:cs="Times New Roman"/>
                <w:b/>
                <w:sz w:val="20"/>
                <w:szCs w:val="20"/>
              </w:rPr>
            </w:pPr>
            <w:r w:rsidRPr="003571FD">
              <w:rPr>
                <w:rFonts w:ascii="Times New Roman" w:hAnsi="Times New Roman" w:cs="Times New Roman"/>
                <w:b/>
                <w:sz w:val="20"/>
                <w:szCs w:val="20"/>
              </w:rPr>
              <w:t>2005</w:t>
            </w:r>
          </w:p>
        </w:tc>
        <w:tc>
          <w:tcPr>
            <w:tcW w:w="792" w:type="dxa"/>
            <w:tcBorders>
              <w:bottom w:val="single" w:sz="4" w:space="0" w:color="000000" w:themeColor="text1"/>
            </w:tcBorders>
            <w:vAlign w:val="center"/>
          </w:tcPr>
          <w:p w:rsidR="005A47B7" w:rsidRPr="003571FD" w:rsidRDefault="005A47B7" w:rsidP="005A47B7">
            <w:pPr>
              <w:jc w:val="center"/>
              <w:rPr>
                <w:rFonts w:ascii="Times New Roman" w:hAnsi="Times New Roman" w:cs="Times New Roman"/>
                <w:b/>
                <w:sz w:val="20"/>
                <w:szCs w:val="20"/>
              </w:rPr>
            </w:pPr>
            <w:r w:rsidRPr="003571FD">
              <w:rPr>
                <w:rFonts w:ascii="Times New Roman" w:hAnsi="Times New Roman" w:cs="Times New Roman"/>
                <w:b/>
                <w:sz w:val="20"/>
                <w:szCs w:val="20"/>
              </w:rPr>
              <w:t>2007</w:t>
            </w:r>
          </w:p>
        </w:tc>
        <w:tc>
          <w:tcPr>
            <w:tcW w:w="792" w:type="dxa"/>
            <w:tcBorders>
              <w:bottom w:val="single" w:sz="4" w:space="0" w:color="000000" w:themeColor="text1"/>
            </w:tcBorders>
            <w:vAlign w:val="center"/>
          </w:tcPr>
          <w:p w:rsidR="005A47B7" w:rsidRPr="003571FD" w:rsidRDefault="005A47B7" w:rsidP="005A47B7">
            <w:pPr>
              <w:jc w:val="center"/>
              <w:rPr>
                <w:rFonts w:ascii="Times New Roman" w:hAnsi="Times New Roman" w:cs="Times New Roman"/>
                <w:b/>
                <w:sz w:val="20"/>
                <w:szCs w:val="20"/>
              </w:rPr>
            </w:pPr>
            <w:r w:rsidRPr="003571FD">
              <w:rPr>
                <w:rFonts w:ascii="Times New Roman" w:hAnsi="Times New Roman" w:cs="Times New Roman"/>
                <w:b/>
                <w:sz w:val="20"/>
                <w:szCs w:val="20"/>
              </w:rPr>
              <w:t>2009</w:t>
            </w:r>
          </w:p>
        </w:tc>
        <w:tc>
          <w:tcPr>
            <w:tcW w:w="792" w:type="dxa"/>
            <w:tcBorders>
              <w:bottom w:val="single" w:sz="4" w:space="0" w:color="000000" w:themeColor="text1"/>
            </w:tcBorders>
            <w:vAlign w:val="center"/>
          </w:tcPr>
          <w:p w:rsidR="005A47B7" w:rsidRPr="003571FD" w:rsidRDefault="005A47B7" w:rsidP="005A47B7">
            <w:pPr>
              <w:jc w:val="center"/>
              <w:rPr>
                <w:rFonts w:ascii="Times New Roman" w:hAnsi="Times New Roman" w:cs="Times New Roman"/>
                <w:b/>
                <w:sz w:val="20"/>
                <w:szCs w:val="20"/>
              </w:rPr>
            </w:pPr>
            <w:r w:rsidRPr="003571FD">
              <w:rPr>
                <w:rFonts w:ascii="Times New Roman" w:hAnsi="Times New Roman" w:cs="Times New Roman"/>
                <w:b/>
                <w:sz w:val="20"/>
                <w:szCs w:val="20"/>
              </w:rPr>
              <w:t>Sep. 2010</w:t>
            </w:r>
          </w:p>
        </w:tc>
      </w:tr>
      <w:tr w:rsidR="005A47B7" w:rsidRPr="003571FD" w:rsidTr="002E49EC">
        <w:tc>
          <w:tcPr>
            <w:tcW w:w="5787" w:type="dxa"/>
            <w:shd w:val="clear" w:color="auto" w:fill="BFBFBF" w:themeFill="background1" w:themeFillShade="BF"/>
          </w:tcPr>
          <w:p w:rsidR="005A47B7" w:rsidRPr="003571FD" w:rsidRDefault="005A47B7" w:rsidP="005A47B7">
            <w:pPr>
              <w:contextualSpacing/>
              <w:rPr>
                <w:rFonts w:ascii="Times New Roman" w:hAnsi="Times New Roman" w:cs="Times New Roman"/>
                <w:b/>
                <w:bCs/>
                <w:i/>
                <w:iCs/>
                <w:sz w:val="20"/>
                <w:szCs w:val="16"/>
              </w:rPr>
            </w:pPr>
            <w:r w:rsidRPr="003571FD">
              <w:rPr>
                <w:rFonts w:ascii="Times New Roman" w:hAnsi="Times New Roman" w:cs="Times New Roman"/>
                <w:b/>
                <w:bCs/>
                <w:i/>
                <w:iCs/>
                <w:sz w:val="20"/>
                <w:szCs w:val="16"/>
              </w:rPr>
              <w:t>Production</w:t>
            </w:r>
          </w:p>
        </w:tc>
        <w:tc>
          <w:tcPr>
            <w:tcW w:w="792" w:type="dxa"/>
            <w:shd w:val="clear" w:color="auto" w:fill="BFBFBF" w:themeFill="background1" w:themeFillShade="BF"/>
          </w:tcPr>
          <w:p w:rsidR="005A47B7" w:rsidRPr="003571FD" w:rsidRDefault="005A47B7" w:rsidP="005A47B7">
            <w:pPr>
              <w:contextualSpacing/>
              <w:jc w:val="center"/>
              <w:rPr>
                <w:rFonts w:ascii="Times New Roman" w:hAnsi="Times New Roman" w:cs="Times New Roman"/>
                <w:b/>
                <w:bCs/>
                <w:i/>
                <w:iCs/>
                <w:sz w:val="20"/>
                <w:szCs w:val="16"/>
              </w:rPr>
            </w:pPr>
            <w:r w:rsidRPr="003571FD">
              <w:rPr>
                <w:rFonts w:ascii="Times New Roman" w:hAnsi="Times New Roman" w:cs="Times New Roman"/>
                <w:b/>
                <w:bCs/>
                <w:i/>
                <w:iCs/>
                <w:sz w:val="20"/>
                <w:szCs w:val="16"/>
              </w:rPr>
              <w:t>14.7</w:t>
            </w:r>
          </w:p>
        </w:tc>
        <w:tc>
          <w:tcPr>
            <w:tcW w:w="792" w:type="dxa"/>
            <w:shd w:val="clear" w:color="auto" w:fill="BFBFBF" w:themeFill="background1" w:themeFillShade="BF"/>
          </w:tcPr>
          <w:p w:rsidR="005A47B7" w:rsidRPr="003571FD" w:rsidRDefault="005A47B7" w:rsidP="005A47B7">
            <w:pPr>
              <w:contextualSpacing/>
              <w:jc w:val="center"/>
              <w:rPr>
                <w:rFonts w:ascii="Times New Roman" w:hAnsi="Times New Roman" w:cs="Times New Roman"/>
                <w:b/>
                <w:bCs/>
                <w:i/>
                <w:iCs/>
                <w:sz w:val="20"/>
                <w:szCs w:val="16"/>
              </w:rPr>
            </w:pPr>
            <w:r w:rsidRPr="003571FD">
              <w:rPr>
                <w:rFonts w:ascii="Times New Roman" w:hAnsi="Times New Roman" w:cs="Times New Roman"/>
                <w:b/>
                <w:bCs/>
                <w:i/>
                <w:iCs/>
                <w:sz w:val="20"/>
                <w:szCs w:val="16"/>
              </w:rPr>
              <w:t>7.8</w:t>
            </w:r>
          </w:p>
        </w:tc>
        <w:tc>
          <w:tcPr>
            <w:tcW w:w="792" w:type="dxa"/>
            <w:shd w:val="clear" w:color="auto" w:fill="BFBFBF" w:themeFill="background1" w:themeFillShade="BF"/>
          </w:tcPr>
          <w:p w:rsidR="005A47B7" w:rsidRPr="003571FD" w:rsidRDefault="005A47B7" w:rsidP="005A47B7">
            <w:pPr>
              <w:contextualSpacing/>
              <w:jc w:val="center"/>
              <w:rPr>
                <w:rFonts w:ascii="Times New Roman" w:hAnsi="Times New Roman" w:cs="Times New Roman"/>
                <w:b/>
                <w:bCs/>
                <w:i/>
                <w:iCs/>
                <w:sz w:val="20"/>
                <w:szCs w:val="16"/>
              </w:rPr>
            </w:pPr>
            <w:r w:rsidRPr="003571FD">
              <w:rPr>
                <w:rFonts w:ascii="Times New Roman" w:hAnsi="Times New Roman" w:cs="Times New Roman"/>
                <w:b/>
                <w:bCs/>
                <w:i/>
                <w:iCs/>
                <w:sz w:val="20"/>
                <w:szCs w:val="16"/>
              </w:rPr>
              <w:t>5.0</w:t>
            </w:r>
          </w:p>
        </w:tc>
        <w:tc>
          <w:tcPr>
            <w:tcW w:w="792" w:type="dxa"/>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3.3</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Agriculture and livestock</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20.5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13.8</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9.3</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3.8</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Hunting, forestry and fishing</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16.9</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3.2</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2.5</w:t>
            </w:r>
          </w:p>
        </w:tc>
        <w:tc>
          <w:tcPr>
            <w:tcW w:w="792" w:type="dxa"/>
          </w:tcPr>
          <w:p w:rsidR="005A47B7" w:rsidRPr="003571FD" w:rsidRDefault="005A47B7" w:rsidP="005A47B7">
            <w:pPr>
              <w:jc w:val="center"/>
              <w:rPr>
                <w:rFonts w:ascii="Times New Roman" w:hAnsi="Times New Roman" w:cs="Times New Roman"/>
                <w:sz w:val="20"/>
                <w:szCs w:val="20"/>
              </w:rPr>
            </w:pP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Crude oil and natural gas extraction</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2.7</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1.3</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0.8</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Mining</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3.0</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1.6</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2.1</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1.2</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Manufacturing</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13.0</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7.0</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4.5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3.1</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Production and distribution of power, gas and water</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0.1</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0.0</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0.0</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0.0</w:t>
            </w:r>
          </w:p>
        </w:tc>
      </w:tr>
      <w:tr w:rsidR="005A47B7" w:rsidRPr="003571FD" w:rsidTr="002E49EC">
        <w:tc>
          <w:tcPr>
            <w:tcW w:w="5787" w:type="dxa"/>
            <w:tcBorders>
              <w:bottom w:val="single" w:sz="4" w:space="0" w:color="000000" w:themeColor="text1"/>
            </w:tcBorders>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Construction</w:t>
            </w:r>
          </w:p>
        </w:tc>
        <w:tc>
          <w:tcPr>
            <w:tcW w:w="792" w:type="dxa"/>
            <w:tcBorders>
              <w:bottom w:val="single" w:sz="4" w:space="0" w:color="000000" w:themeColor="text1"/>
            </w:tcBorders>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17.5</w:t>
            </w:r>
          </w:p>
        </w:tc>
        <w:tc>
          <w:tcPr>
            <w:tcW w:w="792" w:type="dxa"/>
            <w:tcBorders>
              <w:bottom w:val="single" w:sz="4" w:space="0" w:color="000000" w:themeColor="text1"/>
            </w:tcBorders>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7.8</w:t>
            </w:r>
          </w:p>
        </w:tc>
        <w:tc>
          <w:tcPr>
            <w:tcW w:w="792" w:type="dxa"/>
            <w:tcBorders>
              <w:bottom w:val="single" w:sz="4" w:space="0" w:color="000000" w:themeColor="text1"/>
            </w:tcBorders>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5.0</w:t>
            </w:r>
          </w:p>
        </w:tc>
        <w:tc>
          <w:tcPr>
            <w:tcW w:w="792" w:type="dxa"/>
            <w:tcBorders>
              <w:bottom w:val="single" w:sz="4" w:space="0" w:color="000000" w:themeColor="text1"/>
            </w:tcBorders>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3.9</w:t>
            </w:r>
          </w:p>
        </w:tc>
      </w:tr>
      <w:tr w:rsidR="005A47B7" w:rsidRPr="003571FD" w:rsidTr="002E49EC">
        <w:tc>
          <w:tcPr>
            <w:tcW w:w="5787" w:type="dxa"/>
            <w:shd w:val="clear" w:color="auto" w:fill="BFBFBF" w:themeFill="background1" w:themeFillShade="BF"/>
          </w:tcPr>
          <w:p w:rsidR="005A47B7" w:rsidRPr="003571FD" w:rsidRDefault="005A47B7" w:rsidP="005A47B7">
            <w:pPr>
              <w:rPr>
                <w:rFonts w:ascii="Times New Roman" w:hAnsi="Times New Roman" w:cs="Times New Roman"/>
                <w:b/>
                <w:i/>
                <w:sz w:val="20"/>
                <w:szCs w:val="20"/>
              </w:rPr>
            </w:pPr>
            <w:r w:rsidRPr="003571FD">
              <w:rPr>
                <w:rFonts w:ascii="Times New Roman" w:hAnsi="Times New Roman" w:cs="Times New Roman"/>
                <w:b/>
                <w:i/>
                <w:sz w:val="20"/>
                <w:szCs w:val="20"/>
              </w:rPr>
              <w:t>Commerce and Services</w:t>
            </w:r>
          </w:p>
        </w:tc>
        <w:tc>
          <w:tcPr>
            <w:tcW w:w="792" w:type="dxa"/>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8.6</w:t>
            </w:r>
          </w:p>
        </w:tc>
        <w:tc>
          <w:tcPr>
            <w:tcW w:w="792" w:type="dxa"/>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4.1</w:t>
            </w:r>
          </w:p>
        </w:tc>
        <w:tc>
          <w:tcPr>
            <w:tcW w:w="792" w:type="dxa"/>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2.6</w:t>
            </w:r>
          </w:p>
        </w:tc>
        <w:tc>
          <w:tcPr>
            <w:tcW w:w="792" w:type="dxa"/>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2.1</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 xml:space="preserve">Wholesale and retail </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11.1</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4.5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2.1</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Hotels and restaurants</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10.1</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6.7</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5.9</w:t>
            </w:r>
          </w:p>
        </w:tc>
        <w:tc>
          <w:tcPr>
            <w:tcW w:w="792" w:type="dxa"/>
          </w:tcPr>
          <w:p w:rsidR="005A47B7" w:rsidRPr="003571FD" w:rsidRDefault="005A47B7" w:rsidP="005A47B7">
            <w:pPr>
              <w:jc w:val="center"/>
              <w:rPr>
                <w:rFonts w:ascii="Times New Roman" w:hAnsi="Times New Roman" w:cs="Times New Roman"/>
                <w:sz w:val="20"/>
                <w:szCs w:val="20"/>
              </w:rPr>
            </w:pP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Transports, storage and communications</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6.5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3.1</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2.3</w:t>
            </w:r>
          </w:p>
        </w:tc>
        <w:tc>
          <w:tcPr>
            <w:tcW w:w="792" w:type="dxa"/>
          </w:tcPr>
          <w:p w:rsidR="005A47B7" w:rsidRPr="003571FD" w:rsidRDefault="005A47B7" w:rsidP="005A47B7">
            <w:pPr>
              <w:jc w:val="center"/>
              <w:rPr>
                <w:rFonts w:ascii="Times New Roman" w:hAnsi="Times New Roman" w:cs="Times New Roman"/>
                <w:sz w:val="20"/>
                <w:szCs w:val="20"/>
              </w:rPr>
            </w:pP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Financial Services</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13.5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11.2</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5.2</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3.3</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Real estate, rental and other corporate services</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7.5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3.6</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2.3</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2.1</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Public administration, defense and mandatory social security</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0.2</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0.1</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0.4</w:t>
            </w:r>
          </w:p>
        </w:tc>
        <w:tc>
          <w:tcPr>
            <w:tcW w:w="792" w:type="dxa"/>
          </w:tcPr>
          <w:p w:rsidR="005A47B7" w:rsidRPr="003571FD" w:rsidRDefault="005A47B7" w:rsidP="005A47B7">
            <w:pPr>
              <w:jc w:val="center"/>
              <w:rPr>
                <w:rFonts w:ascii="Times New Roman" w:hAnsi="Times New Roman" w:cs="Times New Roman"/>
                <w:sz w:val="20"/>
                <w:szCs w:val="20"/>
              </w:rPr>
            </w:pP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Education</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3.5</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4.6</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2.4</w:t>
            </w:r>
          </w:p>
        </w:tc>
        <w:tc>
          <w:tcPr>
            <w:tcW w:w="792" w:type="dxa"/>
          </w:tcPr>
          <w:p w:rsidR="005A47B7" w:rsidRPr="003571FD" w:rsidRDefault="005A47B7" w:rsidP="005A47B7">
            <w:pPr>
              <w:jc w:val="center"/>
              <w:rPr>
                <w:rFonts w:ascii="Times New Roman" w:hAnsi="Times New Roman" w:cs="Times New Roman"/>
                <w:sz w:val="20"/>
                <w:szCs w:val="20"/>
              </w:rPr>
            </w:pP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Social, community and consumer services</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7.2</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3.1</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3.4</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2.4</w:t>
            </w: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Domestic services by private households</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1.6</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6.6</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0.0</w:t>
            </w:r>
          </w:p>
        </w:tc>
        <w:tc>
          <w:tcPr>
            <w:tcW w:w="792" w:type="dxa"/>
          </w:tcPr>
          <w:p w:rsidR="005A47B7" w:rsidRPr="003571FD" w:rsidRDefault="005A47B7" w:rsidP="005A47B7">
            <w:pPr>
              <w:jc w:val="center"/>
              <w:rPr>
                <w:rFonts w:ascii="Times New Roman" w:hAnsi="Times New Roman" w:cs="Times New Roman"/>
                <w:sz w:val="20"/>
                <w:szCs w:val="20"/>
              </w:rPr>
            </w:pPr>
          </w:p>
        </w:tc>
      </w:tr>
      <w:tr w:rsidR="005A47B7" w:rsidRPr="003571FD" w:rsidTr="002E49EC">
        <w:tc>
          <w:tcPr>
            <w:tcW w:w="5787" w:type="dxa"/>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Services of organizations and external organs</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0.1</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0.3</w:t>
            </w:r>
          </w:p>
        </w:tc>
        <w:tc>
          <w:tcPr>
            <w:tcW w:w="792" w:type="dxa"/>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7.3</w:t>
            </w:r>
          </w:p>
        </w:tc>
        <w:tc>
          <w:tcPr>
            <w:tcW w:w="792" w:type="dxa"/>
          </w:tcPr>
          <w:p w:rsidR="005A47B7" w:rsidRPr="003571FD" w:rsidRDefault="005A47B7" w:rsidP="005A47B7">
            <w:pPr>
              <w:jc w:val="center"/>
              <w:rPr>
                <w:rFonts w:ascii="Times New Roman" w:hAnsi="Times New Roman" w:cs="Times New Roman"/>
                <w:sz w:val="20"/>
                <w:szCs w:val="20"/>
              </w:rPr>
            </w:pPr>
          </w:p>
        </w:tc>
      </w:tr>
      <w:tr w:rsidR="005A47B7" w:rsidRPr="003571FD" w:rsidTr="002E49EC">
        <w:tc>
          <w:tcPr>
            <w:tcW w:w="5787" w:type="dxa"/>
            <w:tcBorders>
              <w:bottom w:val="single" w:sz="4" w:space="0" w:color="000000" w:themeColor="text1"/>
            </w:tcBorders>
          </w:tcPr>
          <w:p w:rsidR="005A47B7" w:rsidRPr="003571FD" w:rsidRDefault="005A47B7" w:rsidP="005A47B7">
            <w:pPr>
              <w:rPr>
                <w:rFonts w:ascii="Times New Roman" w:hAnsi="Times New Roman" w:cs="Times New Roman"/>
                <w:sz w:val="20"/>
                <w:szCs w:val="20"/>
              </w:rPr>
            </w:pPr>
            <w:r w:rsidRPr="003571FD">
              <w:rPr>
                <w:rFonts w:ascii="Times New Roman" w:hAnsi="Times New Roman" w:cs="Times New Roman"/>
                <w:sz w:val="20"/>
                <w:szCs w:val="20"/>
              </w:rPr>
              <w:t>Unusual activities</w:t>
            </w:r>
          </w:p>
        </w:tc>
        <w:tc>
          <w:tcPr>
            <w:tcW w:w="792" w:type="dxa"/>
            <w:tcBorders>
              <w:bottom w:val="single" w:sz="4" w:space="0" w:color="000000" w:themeColor="text1"/>
            </w:tcBorders>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8.5</w:t>
            </w:r>
          </w:p>
        </w:tc>
        <w:tc>
          <w:tcPr>
            <w:tcW w:w="792" w:type="dxa"/>
            <w:tcBorders>
              <w:bottom w:val="single" w:sz="4" w:space="0" w:color="000000" w:themeColor="text1"/>
            </w:tcBorders>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1.2</w:t>
            </w:r>
          </w:p>
        </w:tc>
        <w:tc>
          <w:tcPr>
            <w:tcW w:w="792" w:type="dxa"/>
            <w:tcBorders>
              <w:bottom w:val="single" w:sz="4" w:space="0" w:color="000000" w:themeColor="text1"/>
            </w:tcBorders>
          </w:tcPr>
          <w:p w:rsidR="005A47B7" w:rsidRPr="003571FD" w:rsidRDefault="005A47B7" w:rsidP="005A47B7">
            <w:pPr>
              <w:jc w:val="center"/>
              <w:rPr>
                <w:rFonts w:ascii="Times New Roman" w:hAnsi="Times New Roman" w:cs="Times New Roman"/>
                <w:sz w:val="20"/>
                <w:szCs w:val="20"/>
              </w:rPr>
            </w:pPr>
            <w:r w:rsidRPr="003571FD">
              <w:rPr>
                <w:rFonts w:ascii="Times New Roman" w:hAnsi="Times New Roman" w:cs="Times New Roman"/>
                <w:sz w:val="20"/>
                <w:szCs w:val="20"/>
              </w:rPr>
              <w:t>1.3</w:t>
            </w:r>
          </w:p>
        </w:tc>
        <w:tc>
          <w:tcPr>
            <w:tcW w:w="792" w:type="dxa"/>
            <w:tcBorders>
              <w:bottom w:val="single" w:sz="4" w:space="0" w:color="000000" w:themeColor="text1"/>
            </w:tcBorders>
          </w:tcPr>
          <w:p w:rsidR="005A47B7" w:rsidRPr="003571FD" w:rsidRDefault="005A47B7" w:rsidP="005A47B7">
            <w:pPr>
              <w:jc w:val="center"/>
              <w:rPr>
                <w:rFonts w:ascii="Times New Roman" w:hAnsi="Times New Roman" w:cs="Times New Roman"/>
                <w:sz w:val="20"/>
                <w:szCs w:val="20"/>
              </w:rPr>
            </w:pPr>
          </w:p>
        </w:tc>
      </w:tr>
      <w:tr w:rsidR="005A47B7" w:rsidRPr="003571FD" w:rsidTr="002E49EC">
        <w:trPr>
          <w:trHeight w:val="242"/>
        </w:trPr>
        <w:tc>
          <w:tcPr>
            <w:tcW w:w="5787" w:type="dxa"/>
            <w:tcBorders>
              <w:bottom w:val="single" w:sz="4" w:space="0" w:color="000000" w:themeColor="text1"/>
            </w:tcBorders>
            <w:shd w:val="clear" w:color="auto" w:fill="BFBFBF" w:themeFill="background1" w:themeFillShade="BF"/>
          </w:tcPr>
          <w:p w:rsidR="005A47B7" w:rsidRPr="003571FD" w:rsidRDefault="005A47B7" w:rsidP="005A47B7">
            <w:pPr>
              <w:rPr>
                <w:rFonts w:ascii="Times New Roman" w:hAnsi="Times New Roman" w:cs="Times New Roman"/>
                <w:b/>
                <w:i/>
                <w:sz w:val="20"/>
                <w:szCs w:val="20"/>
              </w:rPr>
            </w:pPr>
            <w:r w:rsidRPr="003571FD">
              <w:rPr>
                <w:rFonts w:ascii="Times New Roman" w:hAnsi="Times New Roman" w:cs="Times New Roman"/>
                <w:b/>
                <w:i/>
                <w:sz w:val="20"/>
                <w:szCs w:val="20"/>
              </w:rPr>
              <w:t>TOTAL PORTFOLIO</w:t>
            </w:r>
          </w:p>
        </w:tc>
        <w:tc>
          <w:tcPr>
            <w:tcW w:w="792" w:type="dxa"/>
            <w:tcBorders>
              <w:bottom w:val="single" w:sz="4" w:space="0" w:color="000000" w:themeColor="text1"/>
            </w:tcBorders>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11.3</w:t>
            </w:r>
          </w:p>
        </w:tc>
        <w:tc>
          <w:tcPr>
            <w:tcW w:w="792" w:type="dxa"/>
            <w:tcBorders>
              <w:bottom w:val="single" w:sz="4" w:space="0" w:color="000000" w:themeColor="text1"/>
            </w:tcBorders>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5.6</w:t>
            </w:r>
          </w:p>
        </w:tc>
        <w:tc>
          <w:tcPr>
            <w:tcW w:w="792" w:type="dxa"/>
            <w:tcBorders>
              <w:bottom w:val="single" w:sz="4" w:space="0" w:color="000000" w:themeColor="text1"/>
            </w:tcBorders>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3.5</w:t>
            </w:r>
          </w:p>
        </w:tc>
        <w:tc>
          <w:tcPr>
            <w:tcW w:w="792" w:type="dxa"/>
            <w:tcBorders>
              <w:bottom w:val="single" w:sz="4" w:space="0" w:color="000000" w:themeColor="text1"/>
            </w:tcBorders>
            <w:shd w:val="clear" w:color="auto" w:fill="BFBFBF" w:themeFill="background1" w:themeFillShade="BF"/>
          </w:tcPr>
          <w:p w:rsidR="005A47B7" w:rsidRPr="003571FD" w:rsidRDefault="005A47B7" w:rsidP="005A47B7">
            <w:pPr>
              <w:jc w:val="center"/>
              <w:rPr>
                <w:rFonts w:ascii="Times New Roman" w:hAnsi="Times New Roman" w:cs="Times New Roman"/>
                <w:b/>
                <w:i/>
                <w:sz w:val="20"/>
                <w:szCs w:val="20"/>
              </w:rPr>
            </w:pPr>
            <w:r w:rsidRPr="003571FD">
              <w:rPr>
                <w:rFonts w:ascii="Times New Roman" w:hAnsi="Times New Roman" w:cs="Times New Roman"/>
                <w:b/>
                <w:i/>
                <w:sz w:val="20"/>
                <w:szCs w:val="20"/>
              </w:rPr>
              <w:t>2.5</w:t>
            </w:r>
          </w:p>
        </w:tc>
      </w:tr>
      <w:tr w:rsidR="005A47B7" w:rsidRPr="003571FD" w:rsidTr="002E49EC">
        <w:trPr>
          <w:trHeight w:val="368"/>
        </w:trPr>
        <w:tc>
          <w:tcPr>
            <w:tcW w:w="8955" w:type="dxa"/>
            <w:gridSpan w:val="5"/>
            <w:tcBorders>
              <w:left w:val="nil"/>
              <w:bottom w:val="nil"/>
              <w:right w:val="nil"/>
            </w:tcBorders>
            <w:shd w:val="clear" w:color="auto" w:fill="auto"/>
          </w:tcPr>
          <w:p w:rsidR="005A47B7" w:rsidRDefault="005A47B7" w:rsidP="005A47B7">
            <w:pPr>
              <w:spacing w:before="240"/>
              <w:rPr>
                <w:rFonts w:ascii="Times New Roman" w:hAnsi="Times New Roman" w:cs="Times New Roman"/>
                <w:i/>
                <w:sz w:val="18"/>
                <w:szCs w:val="20"/>
              </w:rPr>
            </w:pPr>
            <w:r w:rsidRPr="003571FD">
              <w:rPr>
                <w:rFonts w:ascii="Times New Roman" w:hAnsi="Times New Roman" w:cs="Times New Roman"/>
                <w:i/>
                <w:sz w:val="18"/>
                <w:szCs w:val="20"/>
              </w:rPr>
              <w:t>Source: ASFI.</w:t>
            </w:r>
          </w:p>
          <w:p w:rsidR="00173312" w:rsidRPr="003571FD" w:rsidRDefault="00173312" w:rsidP="005A47B7">
            <w:pPr>
              <w:spacing w:before="240"/>
              <w:rPr>
                <w:rFonts w:ascii="Times New Roman" w:hAnsi="Times New Roman" w:cs="Times New Roman"/>
                <w:i/>
                <w:sz w:val="20"/>
                <w:szCs w:val="20"/>
              </w:rPr>
            </w:pPr>
          </w:p>
        </w:tc>
      </w:tr>
    </w:tbl>
    <w:p w:rsidR="005A47B7" w:rsidRPr="003571FD" w:rsidRDefault="005A47B7" w:rsidP="00CA07A0">
      <w:pPr>
        <w:pStyle w:val="ListParagraph"/>
        <w:numPr>
          <w:ilvl w:val="0"/>
          <w:numId w:val="8"/>
        </w:numPr>
        <w:spacing w:after="240"/>
        <w:jc w:val="both"/>
        <w:rPr>
          <w:rFonts w:ascii="Times New Roman" w:hAnsi="Times New Roman"/>
          <w:sz w:val="24"/>
        </w:rPr>
      </w:pPr>
      <w:r w:rsidRPr="003571FD">
        <w:rPr>
          <w:rFonts w:ascii="Times New Roman" w:hAnsi="Times New Roman"/>
          <w:b/>
          <w:sz w:val="24"/>
        </w:rPr>
        <w:t xml:space="preserve">Aside of the factors constraining the growth of the productive sectors, the historically low quality of the portfolios of loans granted for productive businesses may constitute an important factor for the slow growth of such portfolios. </w:t>
      </w:r>
      <w:r w:rsidRPr="003571FD">
        <w:rPr>
          <w:rFonts w:ascii="Times New Roman" w:hAnsi="Times New Roman"/>
          <w:sz w:val="24"/>
        </w:rPr>
        <w:t xml:space="preserve">As Table 10 shows, loans granted for agriculture, manufacturing and construction maintained significantly higher levels of NPLs from 2005 to 2009, thus generating higher provisioning costs and a higher risk perception to lending institutions than other portfolios. </w:t>
      </w:r>
    </w:p>
    <w:p w:rsidR="001439F6" w:rsidRPr="003571FD" w:rsidRDefault="001439F6" w:rsidP="00173312">
      <w:pPr>
        <w:pStyle w:val="Heading2"/>
      </w:pPr>
      <w:bookmarkStart w:id="67" w:name="_Toc312319507"/>
      <w:r w:rsidRPr="003571FD">
        <w:t>Barriers to credit growth</w:t>
      </w:r>
      <w:bookmarkEnd w:id="67"/>
    </w:p>
    <w:p w:rsidR="001439F6" w:rsidRDefault="001439F6" w:rsidP="00173312">
      <w:pPr>
        <w:pStyle w:val="Heading3"/>
      </w:pPr>
      <w:bookmarkStart w:id="68" w:name="_Toc312319508"/>
      <w:r w:rsidRPr="003571FD">
        <w:t>Core characteristics of the enterprise sector in Bolivia and factors affecting its growth potential</w:t>
      </w:r>
      <w:bookmarkEnd w:id="68"/>
    </w:p>
    <w:p w:rsidR="00173312" w:rsidRPr="00173312" w:rsidRDefault="00173312" w:rsidP="00173312">
      <w:pPr>
        <w:spacing w:after="0"/>
      </w:pPr>
    </w:p>
    <w:p w:rsidR="001439F6" w:rsidRPr="003571FD" w:rsidRDefault="001439F6" w:rsidP="00173312">
      <w:pPr>
        <w:pStyle w:val="ListParagraph"/>
        <w:numPr>
          <w:ilvl w:val="0"/>
          <w:numId w:val="8"/>
        </w:numPr>
        <w:spacing w:after="0"/>
        <w:jc w:val="both"/>
        <w:rPr>
          <w:rFonts w:ascii="Times New Roman" w:hAnsi="Times New Roman" w:cs="Times New Roman"/>
          <w:sz w:val="24"/>
          <w:szCs w:val="24"/>
        </w:rPr>
      </w:pPr>
      <w:r w:rsidRPr="003571FD">
        <w:rPr>
          <w:rFonts w:ascii="Times New Roman" w:hAnsi="Times New Roman" w:cs="Times New Roman"/>
          <w:b/>
          <w:sz w:val="24"/>
          <w:szCs w:val="24"/>
        </w:rPr>
        <w:t xml:space="preserve">The following paragraphs assess to what extent important preconditions for growth are met </w:t>
      </w:r>
      <w:r w:rsidR="00C10035" w:rsidRPr="003571FD">
        <w:rPr>
          <w:rFonts w:ascii="Times New Roman" w:hAnsi="Times New Roman" w:cs="Times New Roman"/>
          <w:b/>
          <w:sz w:val="24"/>
          <w:szCs w:val="24"/>
        </w:rPr>
        <w:t xml:space="preserve">in </w:t>
      </w:r>
      <w:r w:rsidR="00C10035">
        <w:rPr>
          <w:rFonts w:ascii="Times New Roman" w:hAnsi="Times New Roman" w:cs="Times New Roman"/>
          <w:b/>
          <w:sz w:val="24"/>
          <w:szCs w:val="24"/>
        </w:rPr>
        <w:t>Bolivia’s</w:t>
      </w:r>
      <w:r w:rsidR="00C10035" w:rsidRPr="003571FD">
        <w:rPr>
          <w:rFonts w:ascii="Times New Roman" w:hAnsi="Times New Roman" w:cs="Times New Roman"/>
          <w:b/>
          <w:sz w:val="24"/>
          <w:szCs w:val="24"/>
        </w:rPr>
        <w:t xml:space="preserve"> enterprise sector </w:t>
      </w:r>
      <w:r w:rsidRPr="003571FD">
        <w:rPr>
          <w:rFonts w:ascii="Times New Roman" w:hAnsi="Times New Roman" w:cs="Times New Roman"/>
          <w:b/>
          <w:sz w:val="24"/>
          <w:szCs w:val="24"/>
        </w:rPr>
        <w:t xml:space="preserve">or </w:t>
      </w:r>
      <w:r w:rsidR="00270CEB">
        <w:rPr>
          <w:rFonts w:ascii="Times New Roman" w:hAnsi="Times New Roman" w:cs="Times New Roman"/>
          <w:b/>
          <w:sz w:val="24"/>
          <w:szCs w:val="24"/>
        </w:rPr>
        <w:t>whether</w:t>
      </w:r>
      <w:r w:rsidR="00270CEB" w:rsidRPr="003571FD">
        <w:rPr>
          <w:rFonts w:ascii="Times New Roman" w:hAnsi="Times New Roman" w:cs="Times New Roman"/>
          <w:b/>
          <w:sz w:val="24"/>
          <w:szCs w:val="24"/>
        </w:rPr>
        <w:t xml:space="preserve"> </w:t>
      </w:r>
      <w:r w:rsidRPr="003571FD">
        <w:rPr>
          <w:rFonts w:ascii="Times New Roman" w:hAnsi="Times New Roman" w:cs="Times New Roman"/>
          <w:b/>
          <w:sz w:val="24"/>
          <w:szCs w:val="24"/>
        </w:rPr>
        <w:t xml:space="preserve">barriers to access to finance </w:t>
      </w:r>
      <w:r w:rsidR="00270CEB">
        <w:rPr>
          <w:rFonts w:ascii="Times New Roman" w:hAnsi="Times New Roman" w:cs="Times New Roman"/>
          <w:b/>
          <w:sz w:val="24"/>
          <w:szCs w:val="24"/>
        </w:rPr>
        <w:t xml:space="preserve">exist </w:t>
      </w:r>
      <w:r w:rsidRPr="003571FD">
        <w:rPr>
          <w:rFonts w:ascii="Times New Roman" w:hAnsi="Times New Roman" w:cs="Times New Roman"/>
          <w:b/>
          <w:sz w:val="24"/>
          <w:szCs w:val="24"/>
        </w:rPr>
        <w:t>from the demand side.</w:t>
      </w:r>
      <w:r w:rsidRPr="003571FD">
        <w:rPr>
          <w:rFonts w:ascii="Times New Roman" w:hAnsi="Times New Roman" w:cs="Times New Roman"/>
          <w:sz w:val="24"/>
          <w:szCs w:val="24"/>
        </w:rPr>
        <w:t xml:space="preserve"> </w:t>
      </w:r>
      <w:r w:rsidR="00270CEB">
        <w:rPr>
          <w:rFonts w:ascii="Times New Roman" w:hAnsi="Times New Roman" w:cs="Times New Roman"/>
          <w:sz w:val="24"/>
          <w:szCs w:val="24"/>
        </w:rPr>
        <w:t>Experience worldwide suggests that t</w:t>
      </w:r>
      <w:r w:rsidRPr="003571FD">
        <w:rPr>
          <w:rFonts w:ascii="Times New Roman" w:hAnsi="Times New Roman" w:cs="Times New Roman"/>
          <w:sz w:val="24"/>
          <w:szCs w:val="24"/>
        </w:rPr>
        <w:t xml:space="preserve">he overall investment and business climate in a country impacts the ease and cost of doing business, with deficiencies leading to micro and small firms staying in the informal sector and or having lower growth prospects. The existence of strategic alliances also plays a role, with a stronger integration allowing for economies of scale in production, marketing and quality control, and higher profitability and more “opportunities” of </w:t>
      </w:r>
      <w:r w:rsidRPr="003571FD">
        <w:rPr>
          <w:rFonts w:ascii="Times New Roman" w:hAnsi="Times New Roman" w:cs="Times New Roman"/>
          <w:sz w:val="24"/>
          <w:szCs w:val="24"/>
        </w:rPr>
        <w:lastRenderedPageBreak/>
        <w:t xml:space="preserve">growth. Well-organized value chains can also facilitate access to financing, through for example financing along the value chain and tailoring of factoring and leasing products to requirements of the value chain. </w:t>
      </w:r>
    </w:p>
    <w:p w:rsidR="001439F6" w:rsidRPr="003571FD" w:rsidRDefault="001439F6" w:rsidP="001F0D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sz w:val="24"/>
          <w:szCs w:val="24"/>
        </w:rPr>
      </w:pPr>
    </w:p>
    <w:tbl>
      <w:tblPr>
        <w:tblpPr w:leftFromText="180" w:rightFromText="180" w:vertAnchor="text" w:horzAnchor="margin" w:tblpX="108" w:tblpY="3533"/>
        <w:tblOverlap w:val="never"/>
        <w:tblW w:w="5940" w:type="dxa"/>
        <w:tblLook w:val="04A0" w:firstRow="1" w:lastRow="0" w:firstColumn="1" w:lastColumn="0" w:noHBand="0" w:noVBand="1"/>
      </w:tblPr>
      <w:tblGrid>
        <w:gridCol w:w="2178"/>
        <w:gridCol w:w="863"/>
        <w:gridCol w:w="1061"/>
        <w:gridCol w:w="900"/>
        <w:gridCol w:w="938"/>
      </w:tblGrid>
      <w:tr w:rsidR="005A47B7" w:rsidRPr="003571FD" w:rsidTr="005A47B7">
        <w:trPr>
          <w:trHeight w:val="300"/>
        </w:trPr>
        <w:tc>
          <w:tcPr>
            <w:tcW w:w="5940" w:type="dxa"/>
            <w:gridSpan w:val="5"/>
            <w:tcBorders>
              <w:top w:val="nil"/>
              <w:left w:val="nil"/>
              <w:bottom w:val="nil"/>
              <w:right w:val="nil"/>
            </w:tcBorders>
            <w:shd w:val="clear" w:color="auto" w:fill="auto"/>
            <w:noWrap/>
            <w:vAlign w:val="bottom"/>
          </w:tcPr>
          <w:p w:rsidR="005A47B7" w:rsidRPr="00795642" w:rsidRDefault="005A47B7" w:rsidP="001F0D31">
            <w:pPr>
              <w:spacing w:after="0" w:line="240" w:lineRule="auto"/>
              <w:rPr>
                <w:rFonts w:ascii="Times New Roman" w:eastAsia="Times New Roman" w:hAnsi="Times New Roman" w:cs="Times New Roman"/>
                <w:b/>
                <w:color w:val="000000"/>
                <w:sz w:val="20"/>
                <w:szCs w:val="20"/>
              </w:rPr>
            </w:pPr>
            <w:bookmarkStart w:id="69" w:name="_Toc312317358"/>
            <w:r w:rsidRPr="00795642">
              <w:rPr>
                <w:rFonts w:ascii="Times New Roman" w:hAnsi="Times New Roman" w:cs="Times New Roman"/>
                <w:b/>
                <w:sz w:val="18"/>
                <w:szCs w:val="20"/>
              </w:rPr>
              <w:t xml:space="preserve">Table </w:t>
            </w:r>
            <w:r w:rsidR="005744EE" w:rsidRPr="00795642">
              <w:rPr>
                <w:rFonts w:ascii="Times New Roman" w:hAnsi="Times New Roman" w:cs="Times New Roman"/>
                <w:b/>
                <w:sz w:val="18"/>
                <w:szCs w:val="20"/>
              </w:rPr>
              <w:fldChar w:fldCharType="begin"/>
            </w:r>
            <w:r w:rsidRPr="00795642">
              <w:rPr>
                <w:rFonts w:ascii="Times New Roman" w:hAnsi="Times New Roman" w:cs="Times New Roman"/>
                <w:b/>
                <w:sz w:val="18"/>
                <w:szCs w:val="20"/>
              </w:rPr>
              <w:instrText xml:space="preserve"> SEQ Table \* ARABIC </w:instrText>
            </w:r>
            <w:r w:rsidR="005744EE" w:rsidRPr="00795642">
              <w:rPr>
                <w:rFonts w:ascii="Times New Roman" w:hAnsi="Times New Roman" w:cs="Times New Roman"/>
                <w:b/>
                <w:sz w:val="18"/>
                <w:szCs w:val="20"/>
              </w:rPr>
              <w:fldChar w:fldCharType="separate"/>
            </w:r>
            <w:r w:rsidR="00064A1B" w:rsidRPr="00795642">
              <w:rPr>
                <w:rFonts w:ascii="Times New Roman" w:hAnsi="Times New Roman" w:cs="Times New Roman"/>
                <w:b/>
                <w:noProof/>
                <w:sz w:val="18"/>
                <w:szCs w:val="20"/>
              </w:rPr>
              <w:t>11</w:t>
            </w:r>
            <w:r w:rsidR="005744EE" w:rsidRPr="00795642">
              <w:rPr>
                <w:rFonts w:ascii="Times New Roman" w:hAnsi="Times New Roman" w:cs="Times New Roman"/>
                <w:b/>
                <w:sz w:val="18"/>
                <w:szCs w:val="20"/>
              </w:rPr>
              <w:fldChar w:fldCharType="end"/>
            </w:r>
            <w:r w:rsidRPr="00795642">
              <w:rPr>
                <w:rFonts w:ascii="Times New Roman" w:hAnsi="Times New Roman" w:cs="Times New Roman"/>
                <w:b/>
                <w:sz w:val="18"/>
                <w:szCs w:val="20"/>
              </w:rPr>
              <w:t>: Formal enterprises by type</w:t>
            </w:r>
            <w:bookmarkEnd w:id="69"/>
          </w:p>
        </w:tc>
      </w:tr>
      <w:tr w:rsidR="005A47B7" w:rsidRPr="003571FD" w:rsidTr="005A47B7">
        <w:trPr>
          <w:trHeight w:val="495"/>
        </w:trPr>
        <w:tc>
          <w:tcPr>
            <w:tcW w:w="2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Share</w:t>
            </w:r>
          </w:p>
        </w:tc>
        <w:tc>
          <w:tcPr>
            <w:tcW w:w="863" w:type="dxa"/>
            <w:tcBorders>
              <w:top w:val="single" w:sz="4" w:space="0" w:color="auto"/>
              <w:left w:val="nil"/>
              <w:bottom w:val="single" w:sz="4" w:space="0" w:color="auto"/>
              <w:right w:val="single" w:sz="4" w:space="0" w:color="auto"/>
            </w:tcBorders>
            <w:shd w:val="clear" w:color="auto" w:fill="auto"/>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By number</w:t>
            </w:r>
          </w:p>
        </w:tc>
        <w:tc>
          <w:tcPr>
            <w:tcW w:w="1061" w:type="dxa"/>
            <w:tcBorders>
              <w:top w:val="single" w:sz="4" w:space="0" w:color="auto"/>
              <w:left w:val="nil"/>
              <w:bottom w:val="single" w:sz="4" w:space="0" w:color="auto"/>
              <w:right w:val="single" w:sz="4" w:space="0" w:color="auto"/>
            </w:tcBorders>
            <w:shd w:val="clear" w:color="auto" w:fill="auto"/>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Micro businesses</w:t>
            </w:r>
          </w:p>
        </w:tc>
        <w:tc>
          <w:tcPr>
            <w:tcW w:w="900" w:type="dxa"/>
            <w:tcBorders>
              <w:top w:val="single" w:sz="4" w:space="0" w:color="auto"/>
              <w:left w:val="nil"/>
              <w:bottom w:val="single" w:sz="4" w:space="0" w:color="auto"/>
              <w:right w:val="single" w:sz="4" w:space="0" w:color="auto"/>
            </w:tcBorders>
            <w:shd w:val="clear" w:color="auto" w:fill="auto"/>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Limited liability</w:t>
            </w:r>
          </w:p>
        </w:tc>
        <w:tc>
          <w:tcPr>
            <w:tcW w:w="938" w:type="dxa"/>
            <w:tcBorders>
              <w:top w:val="single" w:sz="4" w:space="0" w:color="auto"/>
              <w:left w:val="nil"/>
              <w:bottom w:val="single" w:sz="4" w:space="0" w:color="auto"/>
              <w:right w:val="single" w:sz="4" w:space="0" w:color="auto"/>
            </w:tcBorders>
            <w:shd w:val="clear" w:color="auto" w:fill="auto"/>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Rest</w:t>
            </w:r>
          </w:p>
        </w:tc>
      </w:tr>
      <w:tr w:rsidR="005A47B7" w:rsidRPr="003571FD" w:rsidTr="005A47B7">
        <w:trPr>
          <w:trHeight w:val="300"/>
        </w:trPr>
        <w:tc>
          <w:tcPr>
            <w:tcW w:w="2178" w:type="dxa"/>
            <w:tcBorders>
              <w:top w:val="nil"/>
              <w:left w:val="single" w:sz="4" w:space="0" w:color="auto"/>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All registered enterprises</w:t>
            </w:r>
          </w:p>
        </w:tc>
        <w:tc>
          <w:tcPr>
            <w:tcW w:w="863"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44,517</w:t>
            </w:r>
          </w:p>
        </w:tc>
        <w:tc>
          <w:tcPr>
            <w:tcW w:w="1061"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27%</w:t>
            </w:r>
          </w:p>
        </w:tc>
        <w:tc>
          <w:tcPr>
            <w:tcW w:w="938"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3%</w:t>
            </w:r>
          </w:p>
        </w:tc>
      </w:tr>
      <w:tr w:rsidR="005A47B7" w:rsidRPr="003571FD" w:rsidTr="005A47B7">
        <w:trPr>
          <w:trHeight w:val="300"/>
        </w:trPr>
        <w:tc>
          <w:tcPr>
            <w:tcW w:w="2178" w:type="dxa"/>
            <w:tcBorders>
              <w:top w:val="nil"/>
              <w:left w:val="single" w:sz="4" w:space="0" w:color="auto"/>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Productive sector</w:t>
            </w:r>
          </w:p>
        </w:tc>
        <w:tc>
          <w:tcPr>
            <w:tcW w:w="863"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5570</w:t>
            </w:r>
          </w:p>
        </w:tc>
        <w:tc>
          <w:tcPr>
            <w:tcW w:w="1061"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59%</w:t>
            </w:r>
          </w:p>
        </w:tc>
        <w:tc>
          <w:tcPr>
            <w:tcW w:w="900"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36%</w:t>
            </w:r>
          </w:p>
        </w:tc>
        <w:tc>
          <w:tcPr>
            <w:tcW w:w="938"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5%</w:t>
            </w:r>
          </w:p>
        </w:tc>
      </w:tr>
      <w:tr w:rsidR="005A47B7" w:rsidRPr="003571FD" w:rsidTr="005A47B7">
        <w:trPr>
          <w:trHeight w:val="300"/>
        </w:trPr>
        <w:tc>
          <w:tcPr>
            <w:tcW w:w="2178" w:type="dxa"/>
            <w:tcBorders>
              <w:top w:val="nil"/>
              <w:left w:val="single" w:sz="4" w:space="0" w:color="auto"/>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 xml:space="preserve"> - Agriculture/livestock</w:t>
            </w:r>
          </w:p>
        </w:tc>
        <w:tc>
          <w:tcPr>
            <w:tcW w:w="863"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633</w:t>
            </w:r>
          </w:p>
        </w:tc>
        <w:tc>
          <w:tcPr>
            <w:tcW w:w="1061"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38%</w:t>
            </w:r>
          </w:p>
        </w:tc>
        <w:tc>
          <w:tcPr>
            <w:tcW w:w="900"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52%</w:t>
            </w:r>
          </w:p>
        </w:tc>
        <w:tc>
          <w:tcPr>
            <w:tcW w:w="938"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11%</w:t>
            </w:r>
          </w:p>
        </w:tc>
      </w:tr>
      <w:tr w:rsidR="005A47B7" w:rsidRPr="003571FD" w:rsidTr="005A47B7">
        <w:trPr>
          <w:trHeight w:val="300"/>
        </w:trPr>
        <w:tc>
          <w:tcPr>
            <w:tcW w:w="2178" w:type="dxa"/>
            <w:tcBorders>
              <w:top w:val="nil"/>
              <w:left w:val="single" w:sz="4" w:space="0" w:color="auto"/>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 xml:space="preserve"> - Extractive </w:t>
            </w:r>
          </w:p>
        </w:tc>
        <w:tc>
          <w:tcPr>
            <w:tcW w:w="863"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683</w:t>
            </w:r>
          </w:p>
        </w:tc>
        <w:tc>
          <w:tcPr>
            <w:tcW w:w="1061"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36%</w:t>
            </w:r>
          </w:p>
        </w:tc>
        <w:tc>
          <w:tcPr>
            <w:tcW w:w="900"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39%</w:t>
            </w:r>
          </w:p>
        </w:tc>
        <w:tc>
          <w:tcPr>
            <w:tcW w:w="938"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24%</w:t>
            </w:r>
          </w:p>
        </w:tc>
      </w:tr>
      <w:tr w:rsidR="005A47B7" w:rsidRPr="003571FD" w:rsidTr="005A47B7">
        <w:trPr>
          <w:trHeight w:val="300"/>
        </w:trPr>
        <w:tc>
          <w:tcPr>
            <w:tcW w:w="2178" w:type="dxa"/>
            <w:tcBorders>
              <w:top w:val="nil"/>
              <w:left w:val="single" w:sz="4" w:space="0" w:color="auto"/>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 xml:space="preserve"> - Manufacturing </w:t>
            </w:r>
          </w:p>
        </w:tc>
        <w:tc>
          <w:tcPr>
            <w:tcW w:w="863"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4,489</w:t>
            </w:r>
          </w:p>
        </w:tc>
        <w:tc>
          <w:tcPr>
            <w:tcW w:w="1061"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62%</w:t>
            </w:r>
          </w:p>
        </w:tc>
        <w:tc>
          <w:tcPr>
            <w:tcW w:w="900"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32%</w:t>
            </w:r>
          </w:p>
        </w:tc>
        <w:tc>
          <w:tcPr>
            <w:tcW w:w="938" w:type="dxa"/>
            <w:tcBorders>
              <w:top w:val="nil"/>
              <w:left w:val="nil"/>
              <w:bottom w:val="single" w:sz="4" w:space="0" w:color="auto"/>
              <w:right w:val="single" w:sz="4" w:space="0" w:color="auto"/>
            </w:tcBorders>
            <w:shd w:val="clear" w:color="auto" w:fill="auto"/>
            <w:noWrap/>
            <w:vAlign w:val="bottom"/>
          </w:tcPr>
          <w:p w:rsidR="005A47B7" w:rsidRPr="003571FD" w:rsidRDefault="005A47B7" w:rsidP="005A47B7">
            <w:pPr>
              <w:spacing w:after="0" w:line="240" w:lineRule="auto"/>
              <w:jc w:val="center"/>
              <w:rPr>
                <w:rFonts w:ascii="Times New Roman" w:eastAsia="Times New Roman" w:hAnsi="Times New Roman" w:cs="Times New Roman"/>
                <w:color w:val="000000"/>
                <w:sz w:val="20"/>
                <w:szCs w:val="20"/>
              </w:rPr>
            </w:pPr>
            <w:r w:rsidRPr="003571FD">
              <w:rPr>
                <w:rFonts w:ascii="Times New Roman" w:eastAsia="Times New Roman" w:hAnsi="Times New Roman" w:cs="Times New Roman"/>
                <w:color w:val="000000"/>
                <w:sz w:val="20"/>
                <w:szCs w:val="20"/>
              </w:rPr>
              <w:t>6%</w:t>
            </w:r>
          </w:p>
        </w:tc>
      </w:tr>
      <w:tr w:rsidR="005A47B7" w:rsidRPr="003571FD" w:rsidTr="005A47B7">
        <w:trPr>
          <w:trHeight w:val="300"/>
        </w:trPr>
        <w:tc>
          <w:tcPr>
            <w:tcW w:w="2178" w:type="dxa"/>
            <w:tcBorders>
              <w:top w:val="nil"/>
              <w:left w:val="nil"/>
              <w:bottom w:val="nil"/>
              <w:right w:val="nil"/>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i/>
                <w:iCs/>
                <w:color w:val="000000"/>
                <w:sz w:val="20"/>
                <w:szCs w:val="20"/>
              </w:rPr>
            </w:pPr>
            <w:r w:rsidRPr="003571FD">
              <w:rPr>
                <w:rFonts w:ascii="Times New Roman" w:eastAsia="Times New Roman" w:hAnsi="Times New Roman" w:cs="Times New Roman"/>
                <w:i/>
                <w:iCs/>
                <w:color w:val="000000"/>
                <w:sz w:val="18"/>
                <w:szCs w:val="20"/>
              </w:rPr>
              <w:t>Source: Fundempresa</w:t>
            </w:r>
          </w:p>
        </w:tc>
        <w:tc>
          <w:tcPr>
            <w:tcW w:w="863" w:type="dxa"/>
            <w:tcBorders>
              <w:top w:val="nil"/>
              <w:left w:val="nil"/>
              <w:bottom w:val="nil"/>
              <w:right w:val="nil"/>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p>
        </w:tc>
        <w:tc>
          <w:tcPr>
            <w:tcW w:w="1061" w:type="dxa"/>
            <w:tcBorders>
              <w:top w:val="nil"/>
              <w:left w:val="nil"/>
              <w:bottom w:val="nil"/>
              <w:right w:val="nil"/>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p>
        </w:tc>
        <w:tc>
          <w:tcPr>
            <w:tcW w:w="900" w:type="dxa"/>
            <w:tcBorders>
              <w:top w:val="nil"/>
              <w:left w:val="nil"/>
              <w:bottom w:val="nil"/>
              <w:right w:val="nil"/>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p>
        </w:tc>
        <w:tc>
          <w:tcPr>
            <w:tcW w:w="938" w:type="dxa"/>
            <w:tcBorders>
              <w:top w:val="nil"/>
              <w:left w:val="nil"/>
              <w:bottom w:val="nil"/>
              <w:right w:val="nil"/>
            </w:tcBorders>
            <w:shd w:val="clear" w:color="auto" w:fill="auto"/>
            <w:noWrap/>
            <w:vAlign w:val="bottom"/>
          </w:tcPr>
          <w:p w:rsidR="005A47B7" w:rsidRPr="003571FD" w:rsidRDefault="005A47B7" w:rsidP="005A47B7">
            <w:pPr>
              <w:spacing w:after="0" w:line="240" w:lineRule="auto"/>
              <w:rPr>
                <w:rFonts w:ascii="Times New Roman" w:eastAsia="Times New Roman" w:hAnsi="Times New Roman" w:cs="Times New Roman"/>
                <w:color w:val="000000"/>
                <w:sz w:val="20"/>
                <w:szCs w:val="20"/>
              </w:rPr>
            </w:pPr>
          </w:p>
        </w:tc>
      </w:tr>
    </w:tbl>
    <w:p w:rsidR="001439F6" w:rsidRPr="003571FD" w:rsidRDefault="001439F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There are a number of factors that affect the investment climate in Bolivia and impact the profitability and growth of the enterprise sector in Bolivia. </w:t>
      </w:r>
      <w:r w:rsidRPr="003571FD">
        <w:rPr>
          <w:rFonts w:ascii="Times New Roman" w:hAnsi="Times New Roman" w:cs="Times New Roman"/>
          <w:sz w:val="24"/>
        </w:rPr>
        <w:t>In rural areas, only 56 percent of the population has access to electricity, compared to 98 percent in urban areas</w:t>
      </w:r>
      <w:r w:rsidRPr="003571FD">
        <w:rPr>
          <w:rStyle w:val="FootnoteReference"/>
          <w:rFonts w:ascii="Times New Roman" w:hAnsi="Times New Roman" w:cs="Times New Roman"/>
          <w:sz w:val="24"/>
        </w:rPr>
        <w:footnoteReference w:id="97"/>
      </w:r>
      <w:r w:rsidRPr="003571FD">
        <w:rPr>
          <w:rFonts w:ascii="Times New Roman" w:hAnsi="Times New Roman" w:cs="Times New Roman"/>
          <w:sz w:val="24"/>
        </w:rPr>
        <w:t>. Furthermore, the small agricultural farms frequently also find it difficult to bring their produce to the local market, as the road infrastructure is not sufficient to cover the many dispersed locations. Furthermore, the low ICT coverage limits the capacity of enterprises to communicate with buyers that are further away. Finally, there are a number of bureaucratic hurdles for doing business, which make formalization costly and time consuming. The international comparison for Doing Business Indicators for example reveals vast deficiencies in the administrative processes for opening a business and paying taxes, and also significant shortcomings in registering a property, enforcing contracts, and trading across borders. These administrative barriers</w:t>
      </w:r>
      <w:r w:rsidR="00102D82" w:rsidRPr="003571FD">
        <w:rPr>
          <w:rFonts w:ascii="Times New Roman" w:hAnsi="Times New Roman" w:cs="Times New Roman"/>
          <w:sz w:val="24"/>
        </w:rPr>
        <w:t>, as mentioned in the Doing Business report</w:t>
      </w:r>
      <w:r w:rsidRPr="003571FD">
        <w:rPr>
          <w:rFonts w:ascii="Times New Roman" w:hAnsi="Times New Roman" w:cs="Times New Roman"/>
          <w:sz w:val="24"/>
        </w:rPr>
        <w:t xml:space="preserve">, in combination with perceived corruption and rigid labor laws for formal enterprises, contribute to the high level of informality in the country, and thus to the large share of dispersed and unprofitable microenterprises in Bolivia. </w:t>
      </w:r>
    </w:p>
    <w:p w:rsidR="001F0D31" w:rsidRPr="003571FD" w:rsidRDefault="001F0D31" w:rsidP="001F0D31">
      <w:pPr>
        <w:pStyle w:val="ListParagraph"/>
        <w:spacing w:after="240"/>
        <w:ind w:left="0"/>
        <w:jc w:val="both"/>
        <w:rPr>
          <w:rFonts w:ascii="Times New Roman" w:hAnsi="Times New Roman" w:cs="Times New Roman"/>
          <w:sz w:val="24"/>
        </w:rPr>
      </w:pPr>
    </w:p>
    <w:p w:rsidR="001439F6" w:rsidRPr="003571FD" w:rsidRDefault="001439F6"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 mentioned constraints in the investment climate contribute to the fact that only a limited number of formal enterprises operate in Bolivia, the majority of which are small</w:t>
      </w:r>
      <w:r w:rsidRPr="003571FD">
        <w:rPr>
          <w:rStyle w:val="FootnoteReference"/>
          <w:rFonts w:ascii="Times New Roman" w:hAnsi="Times New Roman" w:cs="Times New Roman"/>
          <w:b/>
          <w:sz w:val="24"/>
          <w:szCs w:val="24"/>
        </w:rPr>
        <w:footnoteReference w:id="98"/>
      </w:r>
      <w:r w:rsidRPr="003571FD">
        <w:rPr>
          <w:rFonts w:ascii="Times New Roman" w:hAnsi="Times New Roman" w:cs="Times New Roman"/>
          <w:b/>
          <w:sz w:val="24"/>
          <w:szCs w:val="24"/>
        </w:rPr>
        <w:t xml:space="preserve">. </w:t>
      </w:r>
      <w:r w:rsidRPr="003571FD">
        <w:rPr>
          <w:rFonts w:ascii="Times New Roman" w:hAnsi="Times New Roman" w:cs="Times New Roman"/>
          <w:sz w:val="24"/>
          <w:szCs w:val="24"/>
        </w:rPr>
        <w:t xml:space="preserve">As of January 2011, 44,517 formal enterprises were registered in the commercial registry </w:t>
      </w:r>
      <w:r w:rsidRPr="003571FD">
        <w:rPr>
          <w:rFonts w:ascii="Times New Roman" w:hAnsi="Times New Roman" w:cs="Times New Roman"/>
          <w:i/>
          <w:sz w:val="24"/>
          <w:szCs w:val="24"/>
        </w:rPr>
        <w:t>Fundempresa</w:t>
      </w:r>
      <w:r w:rsidRPr="003571FD">
        <w:rPr>
          <w:rFonts w:ascii="Times New Roman" w:hAnsi="Times New Roman" w:cs="Times New Roman"/>
          <w:sz w:val="24"/>
          <w:szCs w:val="24"/>
        </w:rPr>
        <w:t>, of which 70 percent were micro businesses with in many instances less than 5 employees, 27 percent were limited liability companies, and another 3 percent corporations</w:t>
      </w:r>
      <w:r w:rsidR="00E57E09" w:rsidRPr="003571FD">
        <w:rPr>
          <w:rFonts w:ascii="Times New Roman" w:hAnsi="Times New Roman" w:cs="Times New Roman"/>
          <w:sz w:val="24"/>
          <w:szCs w:val="24"/>
        </w:rPr>
        <w:t xml:space="preserve"> (see Table 11)</w:t>
      </w:r>
      <w:r w:rsidRPr="003571FD">
        <w:rPr>
          <w:rFonts w:ascii="Times New Roman" w:hAnsi="Times New Roman" w:cs="Times New Roman"/>
          <w:sz w:val="24"/>
          <w:szCs w:val="24"/>
        </w:rPr>
        <w:t>. Enterprises in the productive sector</w:t>
      </w:r>
      <w:r w:rsidRPr="003571FD">
        <w:rPr>
          <w:rStyle w:val="FootnoteReference"/>
          <w:rFonts w:ascii="Times New Roman" w:hAnsi="Times New Roman" w:cs="Times New Roman"/>
          <w:sz w:val="24"/>
          <w:szCs w:val="24"/>
        </w:rPr>
        <w:footnoteReference w:id="99"/>
      </w:r>
      <w:r w:rsidRPr="003571FD">
        <w:rPr>
          <w:rFonts w:ascii="Times New Roman" w:hAnsi="Times New Roman" w:cs="Times New Roman"/>
          <w:sz w:val="24"/>
          <w:szCs w:val="24"/>
        </w:rPr>
        <w:t xml:space="preserve"> only account for 13 percent of registered enterprises. In the agricultural sector, the few registered enterprises are mostly associations and cooperatives that represent a number of small-scale farmers, while the extractive industry sector is comprised of larger companies (likely due to higher initial investment and operation costs). In addition to the companies listed in </w:t>
      </w:r>
      <w:r w:rsidRPr="003571FD">
        <w:rPr>
          <w:rFonts w:ascii="Times New Roman" w:hAnsi="Times New Roman" w:cs="Times New Roman"/>
          <w:i/>
          <w:sz w:val="24"/>
          <w:szCs w:val="24"/>
        </w:rPr>
        <w:t>Fundempresa</w:t>
      </w:r>
      <w:r w:rsidRPr="003571FD">
        <w:rPr>
          <w:rFonts w:ascii="Times New Roman" w:hAnsi="Times New Roman" w:cs="Times New Roman"/>
          <w:sz w:val="24"/>
          <w:szCs w:val="24"/>
        </w:rPr>
        <w:t xml:space="preserve">, an </w:t>
      </w:r>
      <w:r w:rsidRPr="003571FD">
        <w:rPr>
          <w:rFonts w:ascii="Times New Roman" w:hAnsi="Times New Roman" w:cs="Times New Roman"/>
          <w:sz w:val="24"/>
          <w:szCs w:val="24"/>
        </w:rPr>
        <w:lastRenderedPageBreak/>
        <w:t>undisclosed number of companies have a national tax identification number and / or a municipal license, but no consistent database exists that compiles the tax and municipal data.</w:t>
      </w:r>
      <w:r w:rsidR="00B07DFB" w:rsidRPr="003571FD">
        <w:rPr>
          <w:rFonts w:ascii="Times New Roman" w:hAnsi="Times New Roman" w:cs="Times New Roman"/>
          <w:sz w:val="24"/>
          <w:szCs w:val="24"/>
        </w:rPr>
        <w:t xml:space="preserve"> </w:t>
      </w:r>
      <w:r w:rsidRPr="003571FD">
        <w:rPr>
          <w:rFonts w:ascii="Times New Roman" w:hAnsi="Times New Roman" w:cs="Times New Roman"/>
          <w:sz w:val="24"/>
          <w:szCs w:val="24"/>
        </w:rPr>
        <w:t>There is some suggestion that the incentive to register is only high for enterprises that cater to foreign clients and thus need to register in order to fulfill custom requirements, while the other enterprises frequently do not see the benefit that registering, paying taxes and adhering to the rather stringent labor law could bring</w:t>
      </w:r>
      <w:r w:rsidR="00102D82" w:rsidRPr="003571FD">
        <w:rPr>
          <w:rFonts w:ascii="Times New Roman" w:hAnsi="Times New Roman" w:cs="Times New Roman"/>
          <w:sz w:val="24"/>
          <w:szCs w:val="24"/>
        </w:rPr>
        <w:t xml:space="preserve"> </w:t>
      </w:r>
      <w:r w:rsidR="00474B51">
        <w:rPr>
          <w:rFonts w:ascii="Times New Roman" w:hAnsi="Times New Roman" w:cs="Times New Roman"/>
          <w:sz w:val="24"/>
          <w:szCs w:val="24"/>
        </w:rPr>
        <w:t xml:space="preserve">compared to the costs involved </w:t>
      </w:r>
      <w:r w:rsidR="00102D82" w:rsidRPr="003571FD">
        <w:rPr>
          <w:rFonts w:ascii="Times New Roman" w:hAnsi="Times New Roman" w:cs="Times New Roman"/>
          <w:sz w:val="24"/>
          <w:szCs w:val="24"/>
        </w:rPr>
        <w:t xml:space="preserve">(see World Bank </w:t>
      </w:r>
      <w:r w:rsidR="00D350F0">
        <w:rPr>
          <w:rFonts w:ascii="Times New Roman" w:hAnsi="Times New Roman" w:cs="Times New Roman"/>
          <w:sz w:val="24"/>
          <w:szCs w:val="24"/>
        </w:rPr>
        <w:t>(</w:t>
      </w:r>
      <w:r w:rsidR="00102D82" w:rsidRPr="003571FD">
        <w:rPr>
          <w:rFonts w:ascii="Times New Roman" w:hAnsi="Times New Roman" w:cs="Times New Roman"/>
          <w:sz w:val="24"/>
          <w:szCs w:val="24"/>
        </w:rPr>
        <w:t>2007</w:t>
      </w:r>
      <w:r w:rsidR="00D350F0">
        <w:rPr>
          <w:rFonts w:ascii="Times New Roman" w:hAnsi="Times New Roman" w:cs="Times New Roman"/>
          <w:sz w:val="24"/>
          <w:szCs w:val="24"/>
        </w:rPr>
        <w:t>)</w:t>
      </w:r>
      <w:r w:rsidR="00102D82" w:rsidRPr="003571FD">
        <w:rPr>
          <w:rFonts w:ascii="Times New Roman" w:hAnsi="Times New Roman" w:cs="Times New Roman"/>
          <w:sz w:val="24"/>
          <w:szCs w:val="24"/>
        </w:rPr>
        <w:t xml:space="preserve"> for more in-depth information).</w:t>
      </w:r>
    </w:p>
    <w:p w:rsidR="006005C9" w:rsidRPr="003571FD" w:rsidRDefault="006005C9" w:rsidP="006005C9">
      <w:pPr>
        <w:pStyle w:val="ListParagraph"/>
        <w:spacing w:after="240"/>
        <w:ind w:left="0"/>
        <w:jc w:val="both"/>
        <w:rPr>
          <w:rFonts w:ascii="Times New Roman" w:hAnsi="Times New Roman" w:cs="Times New Roman"/>
          <w:sz w:val="24"/>
          <w:szCs w:val="24"/>
        </w:rPr>
      </w:pPr>
    </w:p>
    <w:p w:rsidR="001439F6" w:rsidRPr="003571FD" w:rsidRDefault="001439F6"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In addition to the formal enterprise sector, Bolivia has a vast informal sector and a one of the highest ratios of micro-entrepreneurs in the region</w:t>
      </w:r>
      <w:r w:rsidRPr="003571FD">
        <w:rPr>
          <w:rFonts w:ascii="Times New Roman" w:hAnsi="Times New Roman" w:cs="Times New Roman"/>
          <w:sz w:val="24"/>
          <w:szCs w:val="24"/>
        </w:rPr>
        <w:t>. Around the turn of the century, it was estimated that the microenterprise sector accounted for significantly more than 90 percent of all enterprises in Bolivia, compared to around 78 for Costa Rica and Guatemala, 80 percent for Chile and Panama, and 95 percent for Mexico, Peru and El Salvador</w:t>
      </w:r>
      <w:r w:rsidRPr="003571FD">
        <w:rPr>
          <w:rStyle w:val="FootnoteReference"/>
          <w:rFonts w:ascii="Times New Roman" w:hAnsi="Times New Roman" w:cs="Times New Roman"/>
          <w:sz w:val="24"/>
          <w:szCs w:val="24"/>
        </w:rPr>
        <w:footnoteReference w:id="100"/>
      </w:r>
      <w:r w:rsidRPr="003571FD">
        <w:rPr>
          <w:rFonts w:ascii="Times New Roman" w:hAnsi="Times New Roman" w:cs="Times New Roman"/>
          <w:sz w:val="24"/>
          <w:szCs w:val="24"/>
        </w:rPr>
        <w:t>. While reforms in the last few years have helped increase the number of formal small and medium sized enterprises in Bolivia</w:t>
      </w:r>
      <w:r w:rsidRPr="003571FD">
        <w:rPr>
          <w:rStyle w:val="FootnoteReference"/>
          <w:rFonts w:ascii="Times New Roman" w:hAnsi="Times New Roman" w:cs="Times New Roman"/>
          <w:sz w:val="24"/>
          <w:szCs w:val="24"/>
        </w:rPr>
        <w:footnoteReference w:id="101"/>
      </w:r>
      <w:r w:rsidRPr="003571FD">
        <w:rPr>
          <w:rFonts w:ascii="Times New Roman" w:hAnsi="Times New Roman" w:cs="Times New Roman"/>
          <w:sz w:val="24"/>
          <w:szCs w:val="24"/>
        </w:rPr>
        <w:t>, there is no consistent data available to determine the actual share and size of microenterprises in the economy</w:t>
      </w:r>
      <w:r w:rsidRPr="003571FD">
        <w:rPr>
          <w:rStyle w:val="FootnoteReference"/>
          <w:rFonts w:ascii="Times New Roman" w:hAnsi="Times New Roman" w:cs="Times New Roman"/>
          <w:sz w:val="24"/>
          <w:szCs w:val="24"/>
        </w:rPr>
        <w:footnoteReference w:id="102"/>
      </w:r>
      <w:r w:rsidRPr="003571FD">
        <w:rPr>
          <w:rFonts w:ascii="Times New Roman" w:hAnsi="Times New Roman" w:cs="Times New Roman"/>
          <w:sz w:val="24"/>
          <w:szCs w:val="24"/>
        </w:rPr>
        <w:t>. Informality is high. Estimates put the informal economy at around 70 percent of Bolivia’s GDP</w:t>
      </w:r>
      <w:r w:rsidRPr="003571FD">
        <w:rPr>
          <w:rStyle w:val="FootnoteReference"/>
          <w:rFonts w:ascii="Times New Roman" w:hAnsi="Times New Roman" w:cs="Times New Roman"/>
          <w:sz w:val="24"/>
          <w:szCs w:val="24"/>
        </w:rPr>
        <w:footnoteReference w:id="103"/>
      </w:r>
      <w:r w:rsidRPr="003571FD">
        <w:rPr>
          <w:rFonts w:ascii="Times New Roman" w:hAnsi="Times New Roman" w:cs="Times New Roman"/>
          <w:sz w:val="24"/>
          <w:szCs w:val="24"/>
        </w:rPr>
        <w:t xml:space="preserve"> - the highest in the region - and informal employment at 70-80 percent of the economically active population</w:t>
      </w:r>
      <w:r w:rsidRPr="003571FD">
        <w:rPr>
          <w:rStyle w:val="FootnoteReference"/>
          <w:rFonts w:ascii="Times New Roman" w:hAnsi="Times New Roman" w:cs="Times New Roman"/>
          <w:sz w:val="24"/>
          <w:szCs w:val="24"/>
        </w:rPr>
        <w:footnoteReference w:id="104"/>
      </w:r>
      <w:r w:rsidRPr="003571FD">
        <w:rPr>
          <w:rFonts w:ascii="Times New Roman" w:hAnsi="Times New Roman" w:cs="Times New Roman"/>
          <w:sz w:val="24"/>
          <w:szCs w:val="24"/>
        </w:rPr>
        <w:t>. There are broad differences by sector, with for example the agricultural survey (INE 2008) showing that around 96 percent of the enterprises in the agricultural sector are small farms run by individuals or families</w:t>
      </w:r>
      <w:r w:rsidRPr="003571FD">
        <w:rPr>
          <w:rStyle w:val="FootnoteReference"/>
          <w:rFonts w:ascii="Times New Roman" w:hAnsi="Times New Roman" w:cs="Times New Roman"/>
          <w:sz w:val="24"/>
          <w:szCs w:val="24"/>
        </w:rPr>
        <w:footnoteReference w:id="105"/>
      </w:r>
      <w:r w:rsidR="006005C9" w:rsidRPr="003571FD">
        <w:rPr>
          <w:rFonts w:ascii="Times New Roman" w:hAnsi="Times New Roman" w:cs="Times New Roman"/>
          <w:sz w:val="24"/>
          <w:szCs w:val="24"/>
        </w:rPr>
        <w:t>.</w:t>
      </w:r>
    </w:p>
    <w:p w:rsidR="006005C9" w:rsidRPr="003571FD" w:rsidRDefault="006005C9" w:rsidP="006005C9">
      <w:pPr>
        <w:pStyle w:val="ListParagraph"/>
        <w:spacing w:after="240"/>
        <w:ind w:left="0"/>
        <w:jc w:val="both"/>
        <w:rPr>
          <w:rFonts w:ascii="Times New Roman" w:hAnsi="Times New Roman" w:cs="Times New Roman"/>
          <w:sz w:val="24"/>
          <w:szCs w:val="24"/>
        </w:rPr>
      </w:pPr>
    </w:p>
    <w:p w:rsidR="001439F6" w:rsidRPr="003571FD" w:rsidRDefault="001439F6" w:rsidP="001F0D31">
      <w:pPr>
        <w:pStyle w:val="ListParagraph"/>
        <w:numPr>
          <w:ilvl w:val="0"/>
          <w:numId w:val="8"/>
        </w:numPr>
        <w:spacing w:after="0"/>
        <w:jc w:val="both"/>
        <w:rPr>
          <w:rFonts w:ascii="Times New Roman" w:hAnsi="Times New Roman" w:cs="Times New Roman"/>
          <w:sz w:val="24"/>
          <w:szCs w:val="24"/>
        </w:rPr>
      </w:pPr>
      <w:r w:rsidRPr="003571FD">
        <w:rPr>
          <w:rFonts w:ascii="Times New Roman" w:hAnsi="Times New Roman" w:cs="Times New Roman"/>
          <w:b/>
          <w:sz w:val="24"/>
          <w:szCs w:val="24"/>
        </w:rPr>
        <w:t>A World Bank survey in 2007 shed some more light on the level of informality in selected commercial and productive sectors.</w:t>
      </w:r>
      <w:r w:rsidRPr="003571FD">
        <w:rPr>
          <w:rFonts w:ascii="Times New Roman" w:hAnsi="Times New Roman" w:cs="Times New Roman"/>
          <w:sz w:val="24"/>
          <w:szCs w:val="24"/>
        </w:rPr>
        <w:t xml:space="preserve"> As can be seen in </w:t>
      </w:r>
      <w:r w:rsidR="00B13171" w:rsidRPr="003571FD">
        <w:rPr>
          <w:rFonts w:ascii="Times New Roman" w:hAnsi="Times New Roman" w:cs="Times New Roman"/>
          <w:sz w:val="24"/>
          <w:szCs w:val="24"/>
        </w:rPr>
        <w:t>Table 1</w:t>
      </w:r>
      <w:r w:rsidR="00E57E09" w:rsidRPr="003571FD">
        <w:rPr>
          <w:rFonts w:ascii="Times New Roman" w:hAnsi="Times New Roman" w:cs="Times New Roman"/>
          <w:sz w:val="24"/>
          <w:szCs w:val="24"/>
        </w:rPr>
        <w:t>2</w:t>
      </w:r>
      <w:r w:rsidRPr="003571FD">
        <w:rPr>
          <w:rFonts w:ascii="Times New Roman" w:hAnsi="Times New Roman" w:cs="Times New Roman"/>
          <w:sz w:val="24"/>
          <w:szCs w:val="24"/>
        </w:rPr>
        <w:t xml:space="preserve">, </w:t>
      </w:r>
      <w:r w:rsidR="009C4026" w:rsidRPr="003571FD">
        <w:rPr>
          <w:rFonts w:ascii="Times New Roman" w:hAnsi="Times New Roman" w:cs="Times New Roman"/>
          <w:sz w:val="24"/>
          <w:szCs w:val="24"/>
        </w:rPr>
        <w:t>over half of the sample group had a municipal license</w:t>
      </w:r>
      <w:r w:rsidR="009C4026">
        <w:rPr>
          <w:rFonts w:ascii="Times New Roman" w:hAnsi="Times New Roman" w:cs="Times New Roman"/>
          <w:sz w:val="24"/>
          <w:szCs w:val="24"/>
        </w:rPr>
        <w:t>, but</w:t>
      </w:r>
      <w:r w:rsidR="009C4026" w:rsidRPr="003571FD">
        <w:rPr>
          <w:rFonts w:ascii="Times New Roman" w:hAnsi="Times New Roman" w:cs="Times New Roman"/>
          <w:sz w:val="24"/>
          <w:szCs w:val="24"/>
        </w:rPr>
        <w:t xml:space="preserve"> </w:t>
      </w:r>
      <w:r w:rsidRPr="003571FD">
        <w:rPr>
          <w:rFonts w:ascii="Times New Roman" w:hAnsi="Times New Roman" w:cs="Times New Roman"/>
          <w:sz w:val="24"/>
          <w:szCs w:val="24"/>
        </w:rPr>
        <w:t xml:space="preserve">only 5 percent of the 629 enterprises interviewed during 2007 were registered at </w:t>
      </w:r>
      <w:r w:rsidRPr="003571FD">
        <w:rPr>
          <w:rFonts w:ascii="Times New Roman" w:hAnsi="Times New Roman" w:cs="Times New Roman"/>
          <w:i/>
          <w:sz w:val="24"/>
          <w:szCs w:val="24"/>
        </w:rPr>
        <w:t>Fundempresa</w:t>
      </w:r>
      <w:r w:rsidRPr="003571FD">
        <w:rPr>
          <w:rFonts w:ascii="Times New Roman" w:hAnsi="Times New Roman" w:cs="Times New Roman"/>
          <w:sz w:val="24"/>
          <w:szCs w:val="24"/>
        </w:rPr>
        <w:t>. The share of available licenses fluctuates widely between the 6 sectors analyzed, indicating some differences in perception of and actual benefits derived from registering. The latest available data and interviews with stakeholders confirm that the enterprise sector continues to be dispersed and of limited scale.</w:t>
      </w:r>
    </w:p>
    <w:p w:rsidR="005411D5" w:rsidRPr="003571FD" w:rsidRDefault="005411D5" w:rsidP="005411D5">
      <w:pPr>
        <w:pStyle w:val="ListParagraph"/>
        <w:rPr>
          <w:rFonts w:ascii="Times New Roman" w:hAnsi="Times New Roman" w:cs="Times New Roman"/>
          <w:sz w:val="24"/>
          <w:szCs w:val="24"/>
        </w:rPr>
      </w:pPr>
    </w:p>
    <w:p w:rsidR="005411D5" w:rsidRPr="003571FD" w:rsidRDefault="005411D5" w:rsidP="005411D5">
      <w:pPr>
        <w:pStyle w:val="ListParagraph"/>
        <w:spacing w:after="0"/>
        <w:ind w:left="0"/>
        <w:jc w:val="both"/>
        <w:rPr>
          <w:rFonts w:ascii="Times New Roman" w:hAnsi="Times New Roman" w:cs="Times New Roman"/>
          <w:sz w:val="24"/>
          <w:szCs w:val="24"/>
        </w:rPr>
      </w:pPr>
    </w:p>
    <w:p w:rsidR="001439F6" w:rsidRPr="003571FD" w:rsidRDefault="001439F6" w:rsidP="001F0D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sz w:val="24"/>
          <w:szCs w:val="24"/>
        </w:rPr>
      </w:pPr>
    </w:p>
    <w:p w:rsidR="001439F6" w:rsidRPr="003571FD" w:rsidRDefault="001439F6" w:rsidP="001F0D31">
      <w:pPr>
        <w:pStyle w:val="Caption"/>
        <w:keepNext/>
        <w:spacing w:after="0"/>
        <w:rPr>
          <w:rFonts w:ascii="Times New Roman" w:hAnsi="Times New Roman" w:cs="Times New Roman"/>
          <w:color w:val="auto"/>
        </w:rPr>
      </w:pPr>
      <w:bookmarkStart w:id="70" w:name="_Toc312317359"/>
      <w:r w:rsidRPr="003571FD">
        <w:rPr>
          <w:rFonts w:ascii="Times New Roman" w:hAnsi="Times New Roman" w:cs="Times New Roman"/>
          <w:color w:val="auto"/>
        </w:rPr>
        <w:lastRenderedPageBreak/>
        <w:t xml:space="preserve">Table </w:t>
      </w:r>
      <w:r w:rsidR="005744EE" w:rsidRPr="003571FD">
        <w:rPr>
          <w:rFonts w:ascii="Times New Roman" w:hAnsi="Times New Roman" w:cs="Times New Roman"/>
          <w:color w:val="auto"/>
          <w:szCs w:val="20"/>
        </w:rPr>
        <w:fldChar w:fldCharType="begin"/>
      </w:r>
      <w:r w:rsidR="00116B6B" w:rsidRPr="003571FD">
        <w:rPr>
          <w:rFonts w:ascii="Times New Roman" w:hAnsi="Times New Roman" w:cs="Times New Roman"/>
          <w:color w:val="auto"/>
          <w:szCs w:val="20"/>
        </w:rPr>
        <w:instrText xml:space="preserve"> SEQ Table \* ARABIC </w:instrText>
      </w:r>
      <w:r w:rsidR="005744EE" w:rsidRPr="003571FD">
        <w:rPr>
          <w:rFonts w:ascii="Times New Roman" w:hAnsi="Times New Roman" w:cs="Times New Roman"/>
          <w:color w:val="auto"/>
          <w:szCs w:val="20"/>
        </w:rPr>
        <w:fldChar w:fldCharType="separate"/>
      </w:r>
      <w:r w:rsidR="00064A1B">
        <w:rPr>
          <w:rFonts w:ascii="Times New Roman" w:hAnsi="Times New Roman" w:cs="Times New Roman"/>
          <w:noProof/>
          <w:color w:val="auto"/>
          <w:szCs w:val="20"/>
        </w:rPr>
        <w:t>12</w:t>
      </w:r>
      <w:r w:rsidR="005744EE" w:rsidRPr="003571FD">
        <w:rPr>
          <w:rFonts w:ascii="Times New Roman" w:hAnsi="Times New Roman" w:cs="Times New Roman"/>
          <w:color w:val="auto"/>
          <w:szCs w:val="20"/>
        </w:rPr>
        <w:fldChar w:fldCharType="end"/>
      </w:r>
      <w:r w:rsidRPr="003571FD">
        <w:rPr>
          <w:rFonts w:ascii="Times New Roman" w:hAnsi="Times New Roman" w:cs="Times New Roman"/>
          <w:color w:val="auto"/>
        </w:rPr>
        <w:t>: Core results of a survey on levels of information in enterprises in six sectors of the economy (in percent)</w:t>
      </w:r>
      <w:bookmarkEnd w:id="70"/>
    </w:p>
    <w:tbl>
      <w:tblPr>
        <w:tblStyle w:val="TableGrid"/>
        <w:tblW w:w="9247"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7"/>
        <w:gridCol w:w="635"/>
        <w:gridCol w:w="685"/>
        <w:gridCol w:w="660"/>
        <w:gridCol w:w="660"/>
        <w:gridCol w:w="660"/>
        <w:gridCol w:w="660"/>
        <w:gridCol w:w="660"/>
      </w:tblGrid>
      <w:tr w:rsidR="001439F6" w:rsidRPr="003571FD">
        <w:trPr>
          <w:cantSplit/>
          <w:trHeight w:val="169"/>
          <w:jc w:val="center"/>
        </w:trPr>
        <w:tc>
          <w:tcPr>
            <w:tcW w:w="4627" w:type="dxa"/>
            <w:vMerge w:val="restart"/>
            <w:shd w:val="clear" w:color="auto" w:fill="auto"/>
          </w:tcPr>
          <w:p w:rsidR="001439F6" w:rsidRPr="003571FD" w:rsidRDefault="001439F6" w:rsidP="005E4032">
            <w:pPr>
              <w:rPr>
                <w:rFonts w:ascii="Times New Roman" w:hAnsi="Times New Roman" w:cs="Times New Roman"/>
                <w:b/>
                <w:bCs/>
                <w:color w:val="000000"/>
                <w:sz w:val="20"/>
                <w:szCs w:val="20"/>
              </w:rPr>
            </w:pPr>
          </w:p>
        </w:tc>
        <w:tc>
          <w:tcPr>
            <w:tcW w:w="635" w:type="dxa"/>
            <w:vMerge w:val="restart"/>
            <w:shd w:val="clear" w:color="auto" w:fill="auto"/>
            <w:textDirection w:val="btLr"/>
            <w:vAlign w:val="center"/>
          </w:tcPr>
          <w:p w:rsidR="001439F6" w:rsidRPr="003571FD" w:rsidRDefault="001439F6" w:rsidP="005E4032">
            <w:pPr>
              <w:ind w:left="113" w:right="113"/>
              <w:jc w:val="center"/>
              <w:rPr>
                <w:rFonts w:ascii="Times New Roman" w:hAnsi="Times New Roman" w:cs="Times New Roman"/>
                <w:b/>
                <w:bCs/>
                <w:color w:val="000000"/>
                <w:sz w:val="20"/>
                <w:szCs w:val="20"/>
              </w:rPr>
            </w:pPr>
            <w:r w:rsidRPr="003571FD">
              <w:rPr>
                <w:rFonts w:ascii="Times New Roman" w:hAnsi="Times New Roman" w:cs="Times New Roman"/>
                <w:b/>
                <w:bCs/>
                <w:color w:val="000000"/>
                <w:sz w:val="20"/>
                <w:szCs w:val="20"/>
              </w:rPr>
              <w:t>Total enterprises</w:t>
            </w:r>
          </w:p>
        </w:tc>
        <w:tc>
          <w:tcPr>
            <w:tcW w:w="3985" w:type="dxa"/>
            <w:gridSpan w:val="6"/>
            <w:shd w:val="clear" w:color="auto" w:fill="auto"/>
            <w:vAlign w:val="center"/>
          </w:tcPr>
          <w:p w:rsidR="001439F6" w:rsidRPr="003571FD" w:rsidRDefault="001439F6" w:rsidP="005E4032">
            <w:pPr>
              <w:jc w:val="center"/>
              <w:rPr>
                <w:rFonts w:ascii="Times New Roman" w:hAnsi="Times New Roman" w:cs="Times New Roman"/>
                <w:b/>
                <w:bCs/>
                <w:color w:val="000000"/>
                <w:sz w:val="20"/>
                <w:szCs w:val="20"/>
              </w:rPr>
            </w:pPr>
            <w:r w:rsidRPr="003571FD">
              <w:rPr>
                <w:rFonts w:ascii="Times New Roman" w:hAnsi="Times New Roman" w:cs="Times New Roman"/>
                <w:b/>
                <w:bCs/>
                <w:color w:val="000000"/>
                <w:sz w:val="20"/>
                <w:szCs w:val="20"/>
              </w:rPr>
              <w:t>By sector</w:t>
            </w:r>
          </w:p>
        </w:tc>
      </w:tr>
      <w:tr w:rsidR="001439F6" w:rsidRPr="003571FD" w:rsidTr="00743DA6">
        <w:trPr>
          <w:cantSplit/>
          <w:trHeight w:val="1187"/>
          <w:jc w:val="center"/>
        </w:trPr>
        <w:tc>
          <w:tcPr>
            <w:tcW w:w="4627" w:type="dxa"/>
            <w:vMerge/>
            <w:shd w:val="clear" w:color="auto" w:fill="auto"/>
          </w:tcPr>
          <w:p w:rsidR="001439F6" w:rsidRPr="003571FD" w:rsidRDefault="001439F6" w:rsidP="005E4032">
            <w:pPr>
              <w:rPr>
                <w:rFonts w:ascii="Times New Roman" w:hAnsi="Times New Roman" w:cs="Times New Roman"/>
                <w:b/>
                <w:bCs/>
                <w:color w:val="000000"/>
                <w:sz w:val="20"/>
                <w:szCs w:val="20"/>
              </w:rPr>
            </w:pPr>
          </w:p>
        </w:tc>
        <w:tc>
          <w:tcPr>
            <w:tcW w:w="635" w:type="dxa"/>
            <w:vMerge/>
            <w:shd w:val="clear" w:color="auto" w:fill="auto"/>
            <w:vAlign w:val="center"/>
          </w:tcPr>
          <w:p w:rsidR="001439F6" w:rsidRPr="003571FD" w:rsidRDefault="001439F6" w:rsidP="005E4032">
            <w:pPr>
              <w:jc w:val="center"/>
              <w:rPr>
                <w:rFonts w:ascii="Times New Roman" w:hAnsi="Times New Roman" w:cs="Times New Roman"/>
                <w:b/>
                <w:bCs/>
                <w:color w:val="000000"/>
                <w:sz w:val="20"/>
                <w:szCs w:val="20"/>
              </w:rPr>
            </w:pPr>
          </w:p>
        </w:tc>
        <w:tc>
          <w:tcPr>
            <w:tcW w:w="685" w:type="dxa"/>
            <w:shd w:val="clear" w:color="auto" w:fill="auto"/>
            <w:textDirection w:val="btLr"/>
            <w:vAlign w:val="center"/>
          </w:tcPr>
          <w:p w:rsidR="001439F6" w:rsidRPr="003571FD" w:rsidRDefault="001439F6" w:rsidP="005E4032">
            <w:pPr>
              <w:ind w:left="113" w:right="113"/>
              <w:jc w:val="center"/>
              <w:rPr>
                <w:rFonts w:ascii="Times New Roman" w:hAnsi="Times New Roman" w:cs="Times New Roman"/>
                <w:b/>
                <w:bCs/>
                <w:color w:val="000000"/>
                <w:sz w:val="20"/>
                <w:szCs w:val="20"/>
              </w:rPr>
            </w:pPr>
            <w:r w:rsidRPr="003571FD">
              <w:rPr>
                <w:rFonts w:ascii="Times New Roman" w:hAnsi="Times New Roman" w:cs="Times New Roman"/>
                <w:b/>
                <w:bCs/>
                <w:color w:val="000000"/>
                <w:sz w:val="20"/>
                <w:szCs w:val="20"/>
              </w:rPr>
              <w:t>Clothing</w:t>
            </w:r>
          </w:p>
        </w:tc>
        <w:tc>
          <w:tcPr>
            <w:tcW w:w="660" w:type="dxa"/>
            <w:shd w:val="clear" w:color="auto" w:fill="auto"/>
            <w:textDirection w:val="btLr"/>
            <w:vAlign w:val="center"/>
          </w:tcPr>
          <w:p w:rsidR="001439F6" w:rsidRPr="003571FD" w:rsidRDefault="001439F6" w:rsidP="005E4032">
            <w:pPr>
              <w:ind w:left="113" w:right="113"/>
              <w:jc w:val="center"/>
              <w:rPr>
                <w:rFonts w:ascii="Times New Roman" w:hAnsi="Times New Roman" w:cs="Times New Roman"/>
                <w:b/>
                <w:bCs/>
                <w:color w:val="000000"/>
                <w:sz w:val="20"/>
                <w:szCs w:val="20"/>
              </w:rPr>
            </w:pPr>
            <w:r w:rsidRPr="003571FD">
              <w:rPr>
                <w:rFonts w:ascii="Times New Roman" w:hAnsi="Times New Roman" w:cs="Times New Roman"/>
                <w:b/>
                <w:bCs/>
                <w:color w:val="000000"/>
                <w:sz w:val="20"/>
                <w:szCs w:val="20"/>
              </w:rPr>
              <w:t>Transport</w:t>
            </w:r>
          </w:p>
        </w:tc>
        <w:tc>
          <w:tcPr>
            <w:tcW w:w="660" w:type="dxa"/>
            <w:shd w:val="clear" w:color="auto" w:fill="auto"/>
            <w:textDirection w:val="btLr"/>
            <w:vAlign w:val="center"/>
          </w:tcPr>
          <w:p w:rsidR="001439F6" w:rsidRPr="003571FD" w:rsidRDefault="001439F6" w:rsidP="005E4032">
            <w:pPr>
              <w:ind w:left="113" w:right="113"/>
              <w:jc w:val="center"/>
              <w:rPr>
                <w:rFonts w:ascii="Times New Roman" w:hAnsi="Times New Roman" w:cs="Times New Roman"/>
                <w:b/>
                <w:bCs/>
                <w:color w:val="000000"/>
                <w:sz w:val="20"/>
                <w:szCs w:val="20"/>
              </w:rPr>
            </w:pPr>
            <w:r w:rsidRPr="003571FD">
              <w:rPr>
                <w:rFonts w:ascii="Times New Roman" w:hAnsi="Times New Roman" w:cs="Times New Roman"/>
                <w:b/>
                <w:bCs/>
                <w:color w:val="000000"/>
                <w:sz w:val="20"/>
                <w:szCs w:val="20"/>
              </w:rPr>
              <w:t>Packaged goods</w:t>
            </w:r>
          </w:p>
        </w:tc>
        <w:tc>
          <w:tcPr>
            <w:tcW w:w="660" w:type="dxa"/>
            <w:shd w:val="clear" w:color="auto" w:fill="auto"/>
            <w:textDirection w:val="btLr"/>
            <w:vAlign w:val="center"/>
          </w:tcPr>
          <w:p w:rsidR="001439F6" w:rsidRPr="003571FD" w:rsidRDefault="001439F6" w:rsidP="005E4032">
            <w:pPr>
              <w:ind w:left="113" w:right="113"/>
              <w:jc w:val="center"/>
              <w:rPr>
                <w:rFonts w:ascii="Times New Roman" w:hAnsi="Times New Roman" w:cs="Times New Roman"/>
                <w:b/>
                <w:bCs/>
                <w:color w:val="000000"/>
                <w:sz w:val="20"/>
                <w:szCs w:val="20"/>
              </w:rPr>
            </w:pPr>
            <w:r w:rsidRPr="003571FD">
              <w:rPr>
                <w:rFonts w:ascii="Times New Roman" w:hAnsi="Times New Roman" w:cs="Times New Roman"/>
                <w:b/>
                <w:bCs/>
                <w:color w:val="000000"/>
                <w:sz w:val="20"/>
                <w:szCs w:val="20"/>
              </w:rPr>
              <w:t>Food Service</w:t>
            </w:r>
          </w:p>
        </w:tc>
        <w:tc>
          <w:tcPr>
            <w:tcW w:w="660" w:type="dxa"/>
            <w:shd w:val="clear" w:color="auto" w:fill="auto"/>
            <w:textDirection w:val="btLr"/>
            <w:vAlign w:val="center"/>
          </w:tcPr>
          <w:p w:rsidR="001439F6" w:rsidRPr="003571FD" w:rsidRDefault="001439F6" w:rsidP="005E4032">
            <w:pPr>
              <w:ind w:left="113" w:right="113"/>
              <w:jc w:val="center"/>
              <w:rPr>
                <w:rFonts w:ascii="Times New Roman" w:hAnsi="Times New Roman" w:cs="Times New Roman"/>
                <w:b/>
                <w:bCs/>
                <w:color w:val="000000"/>
                <w:sz w:val="20"/>
                <w:szCs w:val="20"/>
              </w:rPr>
            </w:pPr>
            <w:r w:rsidRPr="003571FD">
              <w:rPr>
                <w:rFonts w:ascii="Times New Roman" w:hAnsi="Times New Roman" w:cs="Times New Roman"/>
                <w:b/>
                <w:bCs/>
                <w:color w:val="000000"/>
                <w:sz w:val="20"/>
                <w:szCs w:val="20"/>
              </w:rPr>
              <w:t>Forestry</w:t>
            </w:r>
          </w:p>
        </w:tc>
        <w:tc>
          <w:tcPr>
            <w:tcW w:w="660" w:type="dxa"/>
            <w:shd w:val="clear" w:color="auto" w:fill="auto"/>
            <w:textDirection w:val="btLr"/>
            <w:vAlign w:val="center"/>
          </w:tcPr>
          <w:p w:rsidR="001439F6" w:rsidRPr="003571FD" w:rsidRDefault="001439F6" w:rsidP="005E4032">
            <w:pPr>
              <w:ind w:left="113" w:right="113"/>
              <w:jc w:val="center"/>
              <w:rPr>
                <w:rFonts w:ascii="Times New Roman" w:hAnsi="Times New Roman" w:cs="Times New Roman"/>
                <w:b/>
                <w:bCs/>
                <w:sz w:val="20"/>
                <w:szCs w:val="20"/>
              </w:rPr>
            </w:pPr>
            <w:r w:rsidRPr="003571FD">
              <w:rPr>
                <w:rFonts w:ascii="Times New Roman" w:hAnsi="Times New Roman" w:cs="Times New Roman"/>
                <w:b/>
                <w:bCs/>
                <w:sz w:val="20"/>
                <w:szCs w:val="20"/>
              </w:rPr>
              <w:t>Woolen</w:t>
            </w:r>
          </w:p>
        </w:tc>
      </w:tr>
      <w:tr w:rsidR="001439F6" w:rsidRPr="003571FD">
        <w:trPr>
          <w:trHeight w:val="246"/>
          <w:jc w:val="center"/>
        </w:trPr>
        <w:tc>
          <w:tcPr>
            <w:tcW w:w="4627" w:type="dxa"/>
          </w:tcPr>
          <w:p w:rsidR="001439F6" w:rsidRPr="003571FD" w:rsidRDefault="001439F6" w:rsidP="00743DA6">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 xml:space="preserve">Registered in </w:t>
            </w:r>
            <w:r w:rsidRPr="003571FD">
              <w:rPr>
                <w:rFonts w:ascii="Times New Roman" w:hAnsi="Times New Roman" w:cs="Times New Roman"/>
                <w:bCs/>
                <w:i/>
                <w:color w:val="000000"/>
                <w:sz w:val="18"/>
                <w:szCs w:val="18"/>
              </w:rPr>
              <w:t>F</w:t>
            </w:r>
            <w:r w:rsidR="00743DA6" w:rsidRPr="003571FD">
              <w:rPr>
                <w:rFonts w:ascii="Times New Roman" w:hAnsi="Times New Roman" w:cs="Times New Roman"/>
                <w:bCs/>
                <w:i/>
                <w:color w:val="000000"/>
                <w:sz w:val="18"/>
                <w:szCs w:val="18"/>
              </w:rPr>
              <w:t>undempresa</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5</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Have a tax identification number (NIT)</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27</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26</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29</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36</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38</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28</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8</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Have a municipal license</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53</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46</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63</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75</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12</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Keep formal accounting</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10</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9</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12</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9</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12</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13</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5</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Keep some level of accounting</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66</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73</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68</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73</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68</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48</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Always ask for purchase receipts</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28</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54</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20</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29</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8</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Always provide sales receipts</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5</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5</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50% of times provide sales receipts</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13</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13</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16</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14</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Formal location is outside housing</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32</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39</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32</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19</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25</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Part of a labor union or professional association</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27</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14</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63</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8</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25</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33</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i/>
                <w:color w:val="000000"/>
                <w:sz w:val="18"/>
                <w:szCs w:val="18"/>
              </w:rPr>
            </w:pPr>
            <w:r w:rsidRPr="003571FD">
              <w:rPr>
                <w:rFonts w:ascii="Times New Roman" w:hAnsi="Times New Roman" w:cs="Times New Roman"/>
                <w:bCs/>
                <w:i/>
                <w:color w:val="000000"/>
                <w:sz w:val="18"/>
                <w:szCs w:val="18"/>
              </w:rPr>
              <w:t>Enterprises with paid employees</w:t>
            </w:r>
          </w:p>
        </w:tc>
        <w:tc>
          <w:tcPr>
            <w:tcW w:w="635" w:type="dxa"/>
          </w:tcPr>
          <w:p w:rsidR="001439F6" w:rsidRPr="003571FD" w:rsidRDefault="001439F6" w:rsidP="005E4032">
            <w:pPr>
              <w:jc w:val="center"/>
              <w:rPr>
                <w:rFonts w:ascii="Times New Roman" w:hAnsi="Times New Roman" w:cs="Times New Roman"/>
                <w:bCs/>
                <w:color w:val="000000"/>
                <w:sz w:val="18"/>
                <w:szCs w:val="18"/>
              </w:rPr>
            </w:pPr>
          </w:p>
        </w:tc>
        <w:tc>
          <w:tcPr>
            <w:tcW w:w="685" w:type="dxa"/>
          </w:tcPr>
          <w:p w:rsidR="001439F6" w:rsidRPr="003571FD" w:rsidRDefault="001439F6" w:rsidP="005E4032">
            <w:pPr>
              <w:jc w:val="center"/>
              <w:rPr>
                <w:rFonts w:ascii="Times New Roman" w:hAnsi="Times New Roman" w:cs="Times New Roman"/>
                <w:bCs/>
                <w:color w:val="000000"/>
                <w:sz w:val="18"/>
                <w:szCs w:val="18"/>
              </w:rPr>
            </w:pPr>
          </w:p>
        </w:tc>
        <w:tc>
          <w:tcPr>
            <w:tcW w:w="660" w:type="dxa"/>
          </w:tcPr>
          <w:p w:rsidR="001439F6" w:rsidRPr="003571FD" w:rsidRDefault="001439F6" w:rsidP="005E4032">
            <w:pPr>
              <w:jc w:val="center"/>
              <w:rPr>
                <w:rFonts w:ascii="Times New Roman" w:hAnsi="Times New Roman" w:cs="Times New Roman"/>
                <w:bCs/>
                <w:color w:val="000000"/>
                <w:sz w:val="18"/>
                <w:szCs w:val="18"/>
              </w:rPr>
            </w:pPr>
          </w:p>
        </w:tc>
        <w:tc>
          <w:tcPr>
            <w:tcW w:w="660" w:type="dxa"/>
          </w:tcPr>
          <w:p w:rsidR="001439F6" w:rsidRPr="003571FD" w:rsidRDefault="001439F6" w:rsidP="005E4032">
            <w:pPr>
              <w:jc w:val="center"/>
              <w:rPr>
                <w:rFonts w:ascii="Times New Roman" w:hAnsi="Times New Roman" w:cs="Times New Roman"/>
                <w:bCs/>
                <w:color w:val="000000"/>
                <w:sz w:val="18"/>
                <w:szCs w:val="18"/>
              </w:rPr>
            </w:pPr>
          </w:p>
        </w:tc>
        <w:tc>
          <w:tcPr>
            <w:tcW w:w="660" w:type="dxa"/>
          </w:tcPr>
          <w:p w:rsidR="001439F6" w:rsidRPr="003571FD" w:rsidRDefault="001439F6" w:rsidP="005E4032">
            <w:pPr>
              <w:jc w:val="center"/>
              <w:rPr>
                <w:rFonts w:ascii="Times New Roman" w:hAnsi="Times New Roman" w:cs="Times New Roman"/>
                <w:bCs/>
                <w:color w:val="000000"/>
                <w:sz w:val="18"/>
                <w:szCs w:val="18"/>
              </w:rPr>
            </w:pPr>
          </w:p>
        </w:tc>
        <w:tc>
          <w:tcPr>
            <w:tcW w:w="660" w:type="dxa"/>
          </w:tcPr>
          <w:p w:rsidR="001439F6" w:rsidRPr="003571FD" w:rsidRDefault="001439F6" w:rsidP="005E4032">
            <w:pPr>
              <w:jc w:val="center"/>
              <w:rPr>
                <w:rFonts w:ascii="Times New Roman" w:hAnsi="Times New Roman" w:cs="Times New Roman"/>
                <w:bCs/>
                <w:color w:val="000000"/>
                <w:sz w:val="18"/>
                <w:szCs w:val="18"/>
              </w:rPr>
            </w:pPr>
          </w:p>
        </w:tc>
        <w:tc>
          <w:tcPr>
            <w:tcW w:w="660" w:type="dxa"/>
          </w:tcPr>
          <w:p w:rsidR="001439F6" w:rsidRPr="003571FD" w:rsidRDefault="001439F6" w:rsidP="005E4032">
            <w:pPr>
              <w:jc w:val="center"/>
              <w:rPr>
                <w:rFonts w:ascii="Times New Roman" w:hAnsi="Times New Roman" w:cs="Times New Roman"/>
                <w:bCs/>
                <w:color w:val="000000"/>
                <w:sz w:val="18"/>
                <w:szCs w:val="18"/>
              </w:rPr>
            </w:pP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Employees are affiliated to the National Health system (CNS)</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10</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10</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16</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8</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13</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Employees are under the Bolivian Pension Fund (AFP)</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5</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8</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7</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w:t>
            </w: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Employees are registered in the Labor Ministry (MT)</w:t>
            </w:r>
          </w:p>
        </w:tc>
        <w:tc>
          <w:tcPr>
            <w:tcW w:w="63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8</w:t>
            </w:r>
          </w:p>
        </w:tc>
        <w:tc>
          <w:tcPr>
            <w:tcW w:w="685"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10</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11</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8</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6</w:t>
            </w:r>
          </w:p>
        </w:tc>
        <w:tc>
          <w:tcPr>
            <w:tcW w:w="660" w:type="dxa"/>
          </w:tcPr>
          <w:p w:rsidR="001439F6" w:rsidRPr="003571FD" w:rsidRDefault="001439F6" w:rsidP="005E4032">
            <w:pPr>
              <w:jc w:val="center"/>
              <w:rPr>
                <w:rFonts w:ascii="Times New Roman" w:hAnsi="Times New Roman" w:cs="Times New Roman"/>
                <w:bCs/>
                <w:color w:val="000000"/>
                <w:sz w:val="18"/>
                <w:szCs w:val="18"/>
              </w:rPr>
            </w:pPr>
            <w:r w:rsidRPr="003571FD">
              <w:rPr>
                <w:rFonts w:ascii="Times New Roman" w:hAnsi="Times New Roman" w:cs="Times New Roman"/>
                <w:bCs/>
                <w:color w:val="000000"/>
                <w:sz w:val="18"/>
                <w:szCs w:val="18"/>
              </w:rPr>
              <w:t>4</w:t>
            </w:r>
          </w:p>
        </w:tc>
      </w:tr>
      <w:tr w:rsidR="001439F6" w:rsidRPr="003571FD">
        <w:trPr>
          <w:trHeight w:val="246"/>
          <w:jc w:val="center"/>
        </w:trPr>
        <w:tc>
          <w:tcPr>
            <w:tcW w:w="9247" w:type="dxa"/>
            <w:gridSpan w:val="8"/>
          </w:tcPr>
          <w:p w:rsidR="001439F6" w:rsidRPr="003571FD" w:rsidRDefault="001439F6" w:rsidP="005E4032">
            <w:pPr>
              <w:jc w:val="center"/>
              <w:rPr>
                <w:rFonts w:ascii="Times New Roman" w:hAnsi="Times New Roman" w:cs="Times New Roman"/>
                <w:bCs/>
                <w:color w:val="000000"/>
                <w:sz w:val="18"/>
                <w:szCs w:val="18"/>
              </w:rPr>
            </w:pPr>
          </w:p>
        </w:tc>
      </w:tr>
      <w:tr w:rsidR="001439F6" w:rsidRPr="003571FD">
        <w:trPr>
          <w:trHeight w:val="246"/>
          <w:jc w:val="center"/>
        </w:trPr>
        <w:tc>
          <w:tcPr>
            <w:tcW w:w="4627" w:type="dxa"/>
          </w:tcPr>
          <w:p w:rsidR="001439F6" w:rsidRPr="003571FD" w:rsidRDefault="001439F6" w:rsidP="005E4032">
            <w:pP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Size of the sample</w:t>
            </w:r>
          </w:p>
        </w:tc>
        <w:tc>
          <w:tcPr>
            <w:tcW w:w="635" w:type="dxa"/>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629</w:t>
            </w:r>
          </w:p>
        </w:tc>
        <w:tc>
          <w:tcPr>
            <w:tcW w:w="685" w:type="dxa"/>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101</w:t>
            </w:r>
          </w:p>
        </w:tc>
        <w:tc>
          <w:tcPr>
            <w:tcW w:w="660" w:type="dxa"/>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112</w:t>
            </w:r>
          </w:p>
        </w:tc>
        <w:tc>
          <w:tcPr>
            <w:tcW w:w="660" w:type="dxa"/>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103</w:t>
            </w:r>
          </w:p>
        </w:tc>
        <w:tc>
          <w:tcPr>
            <w:tcW w:w="660" w:type="dxa"/>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107</w:t>
            </w:r>
          </w:p>
        </w:tc>
        <w:tc>
          <w:tcPr>
            <w:tcW w:w="660" w:type="dxa"/>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100</w:t>
            </w:r>
          </w:p>
        </w:tc>
        <w:tc>
          <w:tcPr>
            <w:tcW w:w="660" w:type="dxa"/>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106</w:t>
            </w:r>
          </w:p>
        </w:tc>
      </w:tr>
      <w:tr w:rsidR="001439F6" w:rsidRPr="003571FD">
        <w:trPr>
          <w:trHeight w:val="246"/>
          <w:jc w:val="center"/>
        </w:trPr>
        <w:tc>
          <w:tcPr>
            <w:tcW w:w="4627" w:type="dxa"/>
            <w:tcBorders>
              <w:bottom w:val="single" w:sz="4" w:space="0" w:color="auto"/>
            </w:tcBorders>
          </w:tcPr>
          <w:p w:rsidR="001439F6" w:rsidRPr="003571FD" w:rsidRDefault="001439F6" w:rsidP="005E4032">
            <w:pP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Size of the sample with paid employees</w:t>
            </w:r>
          </w:p>
        </w:tc>
        <w:tc>
          <w:tcPr>
            <w:tcW w:w="635" w:type="dxa"/>
            <w:tcBorders>
              <w:bottom w:val="single" w:sz="4" w:space="0" w:color="auto"/>
            </w:tcBorders>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379</w:t>
            </w:r>
          </w:p>
        </w:tc>
        <w:tc>
          <w:tcPr>
            <w:tcW w:w="685" w:type="dxa"/>
            <w:tcBorders>
              <w:bottom w:val="single" w:sz="4" w:space="0" w:color="auto"/>
            </w:tcBorders>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70</w:t>
            </w:r>
          </w:p>
        </w:tc>
        <w:tc>
          <w:tcPr>
            <w:tcW w:w="660" w:type="dxa"/>
            <w:tcBorders>
              <w:bottom w:val="single" w:sz="4" w:space="0" w:color="auto"/>
            </w:tcBorders>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72</w:t>
            </w:r>
          </w:p>
        </w:tc>
        <w:tc>
          <w:tcPr>
            <w:tcW w:w="660" w:type="dxa"/>
            <w:tcBorders>
              <w:bottom w:val="single" w:sz="4" w:space="0" w:color="auto"/>
            </w:tcBorders>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38</w:t>
            </w:r>
          </w:p>
        </w:tc>
        <w:tc>
          <w:tcPr>
            <w:tcW w:w="660" w:type="dxa"/>
            <w:tcBorders>
              <w:bottom w:val="single" w:sz="4" w:space="0" w:color="auto"/>
            </w:tcBorders>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72</w:t>
            </w:r>
          </w:p>
        </w:tc>
        <w:tc>
          <w:tcPr>
            <w:tcW w:w="660" w:type="dxa"/>
            <w:tcBorders>
              <w:bottom w:val="single" w:sz="4" w:space="0" w:color="auto"/>
            </w:tcBorders>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82</w:t>
            </w:r>
          </w:p>
        </w:tc>
        <w:tc>
          <w:tcPr>
            <w:tcW w:w="660" w:type="dxa"/>
            <w:tcBorders>
              <w:bottom w:val="single" w:sz="4" w:space="0" w:color="auto"/>
            </w:tcBorders>
          </w:tcPr>
          <w:p w:rsidR="001439F6" w:rsidRPr="003571FD" w:rsidRDefault="001439F6" w:rsidP="005E4032">
            <w:pPr>
              <w:jc w:val="center"/>
              <w:rPr>
                <w:rFonts w:ascii="Times New Roman" w:hAnsi="Times New Roman" w:cs="Times New Roman"/>
                <w:b/>
                <w:bCs/>
                <w:color w:val="000000"/>
                <w:sz w:val="18"/>
                <w:szCs w:val="18"/>
              </w:rPr>
            </w:pPr>
            <w:r w:rsidRPr="003571FD">
              <w:rPr>
                <w:rFonts w:ascii="Times New Roman" w:hAnsi="Times New Roman" w:cs="Times New Roman"/>
                <w:b/>
                <w:bCs/>
                <w:color w:val="000000"/>
                <w:sz w:val="18"/>
                <w:szCs w:val="18"/>
              </w:rPr>
              <w:t>45</w:t>
            </w:r>
          </w:p>
        </w:tc>
      </w:tr>
      <w:tr w:rsidR="001439F6" w:rsidRPr="003571FD">
        <w:trPr>
          <w:trHeight w:val="246"/>
          <w:jc w:val="center"/>
        </w:trPr>
        <w:tc>
          <w:tcPr>
            <w:tcW w:w="9247" w:type="dxa"/>
            <w:gridSpan w:val="8"/>
            <w:tcBorders>
              <w:left w:val="nil"/>
              <w:bottom w:val="nil"/>
              <w:right w:val="nil"/>
            </w:tcBorders>
          </w:tcPr>
          <w:p w:rsidR="001439F6" w:rsidRPr="003571FD" w:rsidRDefault="001439F6" w:rsidP="001439F6">
            <w:pPr>
              <w:spacing w:before="240"/>
              <w:rPr>
                <w:rFonts w:ascii="Times New Roman" w:hAnsi="Times New Roman" w:cs="Times New Roman"/>
                <w:b/>
                <w:bCs/>
                <w:color w:val="000000"/>
                <w:sz w:val="18"/>
                <w:szCs w:val="18"/>
              </w:rPr>
            </w:pPr>
            <w:r w:rsidRPr="003571FD">
              <w:rPr>
                <w:rFonts w:ascii="Times New Roman" w:hAnsi="Times New Roman" w:cs="Times New Roman"/>
                <w:i/>
                <w:sz w:val="18"/>
                <w:szCs w:val="18"/>
              </w:rPr>
              <w:t>Source: World Bank (2007).</w:t>
            </w:r>
          </w:p>
        </w:tc>
      </w:tr>
    </w:tbl>
    <w:p w:rsidR="001439F6" w:rsidRPr="003571FD" w:rsidRDefault="001439F6" w:rsidP="001439F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s="Times New Roman"/>
          <w:b/>
          <w:sz w:val="24"/>
        </w:rPr>
      </w:pPr>
    </w:p>
    <w:p w:rsidR="007C2030" w:rsidRPr="003571FD" w:rsidRDefault="001439F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The productive sector in many instances lacks integration within the different value chains, contributing to low levels of standardization and quality of products. </w:t>
      </w:r>
      <w:r w:rsidRPr="003571FD">
        <w:rPr>
          <w:rFonts w:ascii="Times New Roman" w:hAnsi="Times New Roman" w:cs="Times New Roman"/>
          <w:sz w:val="24"/>
        </w:rPr>
        <w:t xml:space="preserve">While some progress towards integration was made in selected value chains such as coffee, cocoa, wood and textile, the overall level of horizontal and vertical integration within the value chains continues to be low. Many companies, including small and medium sized enterprises, do not have established and reliable contractual relationships with clients and/or </w:t>
      </w:r>
      <w:r w:rsidR="002E49EC" w:rsidRPr="003571FD">
        <w:rPr>
          <w:rFonts w:ascii="Times New Roman" w:hAnsi="Times New Roman" w:cs="Times New Roman"/>
          <w:sz w:val="24"/>
        </w:rPr>
        <w:t>suppliers</w:t>
      </w:r>
      <w:r w:rsidRPr="003571FD">
        <w:rPr>
          <w:rFonts w:ascii="Times New Roman" w:hAnsi="Times New Roman" w:cs="Times New Roman"/>
          <w:sz w:val="24"/>
        </w:rPr>
        <w:t xml:space="preserve"> but cater to a number of short-term contracts, which fluctuate both in size and value and are not predictable over time. As the domestic market continues to be small, enterprises frequently have to rely on external demand to grow and reach scale, but in many instances cannot deliver the needed quantities of higher quality products required to reach the scale needed for international markets. The lack of organization contributes to insufficient standardization of products, which limits economies in scale in production for various buyers. Small producers frequently also have limited access to larger markets. There are a number of support structures available in the country to facilitate marketing and strategic alliances (see Text</w:t>
      </w:r>
      <w:r w:rsidR="00E57E09" w:rsidRPr="003571FD">
        <w:rPr>
          <w:rFonts w:ascii="Times New Roman" w:hAnsi="Times New Roman" w:cs="Times New Roman"/>
          <w:sz w:val="24"/>
        </w:rPr>
        <w:t xml:space="preserve"> B</w:t>
      </w:r>
      <w:r w:rsidRPr="003571FD">
        <w:rPr>
          <w:rFonts w:ascii="Times New Roman" w:hAnsi="Times New Roman" w:cs="Times New Roman"/>
          <w:sz w:val="24"/>
        </w:rPr>
        <w:t xml:space="preserve">ox </w:t>
      </w:r>
      <w:r w:rsidR="005A47B7" w:rsidRPr="003571FD">
        <w:rPr>
          <w:rFonts w:ascii="Times New Roman" w:hAnsi="Times New Roman" w:cs="Times New Roman"/>
          <w:sz w:val="24"/>
        </w:rPr>
        <w:t>4</w:t>
      </w:r>
      <w:r w:rsidRPr="003571FD">
        <w:rPr>
          <w:rFonts w:ascii="Times New Roman" w:hAnsi="Times New Roman" w:cs="Times New Roman"/>
          <w:sz w:val="24"/>
        </w:rPr>
        <w:t>), provide guidance on modern production technologies and establish relationships within clusters (i.e. to suppliers of modern machinery and equipment, financial system etc), but the support is in general dispersed over a number of public</w:t>
      </w:r>
      <w:r w:rsidR="009C4026">
        <w:rPr>
          <w:rFonts w:ascii="Times New Roman" w:hAnsi="Times New Roman" w:cs="Times New Roman"/>
          <w:sz w:val="24"/>
        </w:rPr>
        <w:t xml:space="preserve"> and private sector stakeholders as well as</w:t>
      </w:r>
      <w:r w:rsidRPr="003571FD">
        <w:rPr>
          <w:rFonts w:ascii="Times New Roman" w:hAnsi="Times New Roman" w:cs="Times New Roman"/>
          <w:sz w:val="24"/>
        </w:rPr>
        <w:t xml:space="preserve"> and non-profit associations and is not sufficiently coordinated and targeted. </w:t>
      </w:r>
    </w:p>
    <w:tbl>
      <w:tblPr>
        <w:tblStyle w:val="TableGrid"/>
        <w:tblW w:w="0" w:type="auto"/>
        <w:jc w:val="center"/>
        <w:shd w:val="clear" w:color="auto" w:fill="F2F2F2" w:themeFill="background1" w:themeFillShade="F2"/>
        <w:tblLook w:val="04A0" w:firstRow="1" w:lastRow="0" w:firstColumn="1" w:lastColumn="0" w:noHBand="0" w:noVBand="1"/>
      </w:tblPr>
      <w:tblGrid>
        <w:gridCol w:w="9366"/>
      </w:tblGrid>
      <w:tr w:rsidR="007A617C" w:rsidRPr="003571FD" w:rsidTr="007C2030">
        <w:trPr>
          <w:trHeight w:val="8720"/>
          <w:jc w:val="center"/>
        </w:trPr>
        <w:tc>
          <w:tcPr>
            <w:tcW w:w="9366" w:type="dxa"/>
            <w:shd w:val="clear" w:color="auto" w:fill="F2F2F2" w:themeFill="background1" w:themeFillShade="F2"/>
          </w:tcPr>
          <w:p w:rsidR="007A617C" w:rsidRPr="003571FD" w:rsidRDefault="007A617C" w:rsidP="007A617C">
            <w:pPr>
              <w:pStyle w:val="Caption"/>
              <w:rPr>
                <w:rFonts w:ascii="Times New Roman" w:hAnsi="Times New Roman" w:cs="Times New Roman"/>
                <w:color w:val="auto"/>
              </w:rPr>
            </w:pPr>
          </w:p>
          <w:p w:rsidR="007A617C" w:rsidRPr="003571FD" w:rsidRDefault="007A617C" w:rsidP="007A617C">
            <w:pPr>
              <w:pStyle w:val="Caption"/>
              <w:rPr>
                <w:rFonts w:ascii="Times New Roman" w:hAnsi="Times New Roman" w:cs="Times New Roman"/>
                <w:color w:val="auto"/>
              </w:rPr>
            </w:pPr>
            <w:bookmarkStart w:id="71" w:name="_Toc312317344"/>
            <w:r w:rsidRPr="003571FD">
              <w:rPr>
                <w:rFonts w:ascii="Times New Roman" w:hAnsi="Times New Roman" w:cs="Times New Roman"/>
                <w:color w:val="auto"/>
              </w:rPr>
              <w:t xml:space="preserve">Text Box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Text_Box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4</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Access to financial services within value chains</w:t>
            </w:r>
            <w:bookmarkEnd w:id="71"/>
          </w:p>
          <w:p w:rsidR="007A617C" w:rsidRPr="003571FD" w:rsidRDefault="007A617C" w:rsidP="007A617C"/>
          <w:p w:rsidR="007A617C" w:rsidRPr="003571FD" w:rsidRDefault="007A617C" w:rsidP="007A617C">
            <w:pPr>
              <w:jc w:val="both"/>
              <w:rPr>
                <w:rFonts w:ascii="Times New Roman" w:hAnsi="Times New Roman" w:cs="Times New Roman"/>
                <w:sz w:val="18"/>
              </w:rPr>
            </w:pPr>
            <w:r w:rsidRPr="003571FD">
              <w:rPr>
                <w:rFonts w:ascii="Times New Roman" w:hAnsi="Times New Roman" w:cs="Times New Roman"/>
                <w:sz w:val="18"/>
              </w:rPr>
              <w:t xml:space="preserve">Both supply and demand side information indicate that enterprises that are part of a well defined and organized value chain benefit from enhanced access to financial services. An example is the coffee value chain. A study conducted by </w:t>
            </w:r>
            <w:proofErr w:type="spellStart"/>
            <w:r w:rsidRPr="003571FD">
              <w:rPr>
                <w:rFonts w:ascii="Times New Roman" w:hAnsi="Times New Roman" w:cs="Times New Roman"/>
                <w:sz w:val="18"/>
              </w:rPr>
              <w:t>Chemonics</w:t>
            </w:r>
            <w:proofErr w:type="spellEnd"/>
            <w:r w:rsidRPr="003571FD">
              <w:rPr>
                <w:rFonts w:ascii="Times New Roman" w:hAnsi="Times New Roman" w:cs="Times New Roman"/>
                <w:sz w:val="18"/>
              </w:rPr>
              <w:t xml:space="preserve"> International in 1999/2000 highlighted a number of weaknesses in the Bolivian Value Chain for Coffee:</w:t>
            </w:r>
          </w:p>
          <w:p w:rsidR="007A617C" w:rsidRPr="003571FD" w:rsidRDefault="007A617C" w:rsidP="007A617C">
            <w:pPr>
              <w:jc w:val="both"/>
              <w:rPr>
                <w:rFonts w:ascii="Times New Roman" w:hAnsi="Times New Roman" w:cs="Times New Roman"/>
                <w:sz w:val="18"/>
              </w:rPr>
            </w:pPr>
          </w:p>
          <w:p w:rsidR="007A617C" w:rsidRPr="003571FD" w:rsidRDefault="007A617C" w:rsidP="007C2030">
            <w:pPr>
              <w:pStyle w:val="ListParagraph"/>
              <w:numPr>
                <w:ilvl w:val="0"/>
                <w:numId w:val="11"/>
              </w:numPr>
              <w:jc w:val="both"/>
              <w:rPr>
                <w:rFonts w:ascii="Times New Roman" w:hAnsi="Times New Roman" w:cs="Times New Roman"/>
                <w:sz w:val="18"/>
              </w:rPr>
            </w:pPr>
            <w:r w:rsidRPr="003571FD">
              <w:rPr>
                <w:rFonts w:ascii="Times New Roman" w:hAnsi="Times New Roman" w:cs="Times New Roman"/>
                <w:sz w:val="18"/>
              </w:rPr>
              <w:t>Small farm size, with deficient crop management and post-harvest processing (in part due to missing on-site processing facilities),</w:t>
            </w:r>
          </w:p>
          <w:p w:rsidR="007A617C" w:rsidRPr="003571FD" w:rsidRDefault="007A617C" w:rsidP="007C2030">
            <w:pPr>
              <w:pStyle w:val="ListParagraph"/>
              <w:numPr>
                <w:ilvl w:val="0"/>
                <w:numId w:val="11"/>
              </w:numPr>
              <w:jc w:val="both"/>
              <w:rPr>
                <w:rFonts w:ascii="Times New Roman" w:hAnsi="Times New Roman" w:cs="Times New Roman"/>
                <w:sz w:val="18"/>
              </w:rPr>
            </w:pPr>
            <w:r w:rsidRPr="003571FD">
              <w:rPr>
                <w:rFonts w:ascii="Times New Roman" w:hAnsi="Times New Roman" w:cs="Times New Roman"/>
                <w:sz w:val="18"/>
              </w:rPr>
              <w:t>Lack of entrepreneurship, including in the area of marketing, processing and quality management,</w:t>
            </w:r>
          </w:p>
          <w:p w:rsidR="007A617C" w:rsidRPr="003571FD" w:rsidRDefault="007A617C" w:rsidP="007C2030">
            <w:pPr>
              <w:pStyle w:val="ListParagraph"/>
              <w:numPr>
                <w:ilvl w:val="0"/>
                <w:numId w:val="11"/>
              </w:numPr>
              <w:jc w:val="both"/>
              <w:rPr>
                <w:rFonts w:ascii="Times New Roman" w:hAnsi="Times New Roman" w:cs="Times New Roman"/>
                <w:sz w:val="18"/>
              </w:rPr>
            </w:pPr>
            <w:r w:rsidRPr="003571FD">
              <w:rPr>
                <w:rFonts w:ascii="Times New Roman" w:hAnsi="Times New Roman" w:cs="Times New Roman"/>
                <w:sz w:val="18"/>
              </w:rPr>
              <w:t>Outdated machinery and production technology, in part due to lack of knowledge on more innovative approaches,</w:t>
            </w:r>
          </w:p>
          <w:p w:rsidR="007A617C" w:rsidRPr="003571FD" w:rsidRDefault="007A617C" w:rsidP="007C2030">
            <w:pPr>
              <w:pStyle w:val="ListParagraph"/>
              <w:numPr>
                <w:ilvl w:val="0"/>
                <w:numId w:val="11"/>
              </w:numPr>
              <w:jc w:val="both"/>
              <w:rPr>
                <w:rFonts w:ascii="Times New Roman" w:hAnsi="Times New Roman" w:cs="Times New Roman"/>
                <w:sz w:val="18"/>
              </w:rPr>
            </w:pPr>
            <w:r w:rsidRPr="003571FD">
              <w:rPr>
                <w:rFonts w:ascii="Times New Roman" w:hAnsi="Times New Roman" w:cs="Times New Roman"/>
                <w:sz w:val="18"/>
              </w:rPr>
              <w:t>Fragmentation of organizational structure, with the lack of collaboration leading to a lack of developed standards, limited pooling of resources and also deficiencies in marketing / negotiation to gain market power.</w:t>
            </w:r>
          </w:p>
          <w:p w:rsidR="007A617C" w:rsidRPr="003571FD" w:rsidRDefault="007A617C" w:rsidP="007A617C">
            <w:pPr>
              <w:pStyle w:val="ListParagraph"/>
              <w:jc w:val="both"/>
              <w:rPr>
                <w:rFonts w:ascii="Times New Roman" w:hAnsi="Times New Roman" w:cs="Times New Roman"/>
                <w:sz w:val="18"/>
              </w:rPr>
            </w:pPr>
          </w:p>
          <w:p w:rsidR="007A617C" w:rsidRPr="003571FD" w:rsidRDefault="007A617C" w:rsidP="007A617C">
            <w:pPr>
              <w:jc w:val="both"/>
              <w:rPr>
                <w:rFonts w:ascii="Times New Roman" w:hAnsi="Times New Roman" w:cs="Times New Roman"/>
                <w:sz w:val="18"/>
              </w:rPr>
            </w:pPr>
            <w:r w:rsidRPr="003571FD">
              <w:rPr>
                <w:rFonts w:ascii="Times New Roman" w:hAnsi="Times New Roman" w:cs="Times New Roman"/>
                <w:sz w:val="18"/>
              </w:rPr>
              <w:t>Based on this assessment, the consultants concluded that enhanced access to financial services would be valuable to update the machinery and processing facilities of the coffee producers, but that the limited business management skills of small producers would not be sufficient to “manage the credit well”. Since then, a number of support structures have been set up to support the development of the coffee value chain, which helped improve the overall access to financial services by the coffee producers:</w:t>
            </w:r>
          </w:p>
          <w:p w:rsidR="007A617C" w:rsidRPr="003571FD" w:rsidRDefault="007A617C" w:rsidP="007A617C">
            <w:pPr>
              <w:jc w:val="both"/>
              <w:rPr>
                <w:rFonts w:ascii="Times New Roman" w:hAnsi="Times New Roman" w:cs="Times New Roman"/>
                <w:sz w:val="18"/>
              </w:rPr>
            </w:pPr>
          </w:p>
          <w:p w:rsidR="007A617C" w:rsidRPr="003571FD" w:rsidRDefault="007A617C" w:rsidP="00CA07A0">
            <w:pPr>
              <w:pStyle w:val="ListParagraph"/>
              <w:numPr>
                <w:ilvl w:val="0"/>
                <w:numId w:val="11"/>
              </w:numPr>
              <w:jc w:val="both"/>
              <w:rPr>
                <w:rFonts w:ascii="Times New Roman" w:hAnsi="Times New Roman" w:cs="Times New Roman"/>
                <w:sz w:val="18"/>
              </w:rPr>
            </w:pPr>
            <w:r w:rsidRPr="003571FD">
              <w:rPr>
                <w:rFonts w:ascii="Times New Roman" w:hAnsi="Times New Roman" w:cs="Times New Roman"/>
                <w:sz w:val="18"/>
              </w:rPr>
              <w:t xml:space="preserve">The National Federation of Coffee Exporting Producers, created in 1991, sells coffee in the organic and fair trade markets on behalf of its members, supports the development of cooperative structures on the local level, and provides targeted technical assistance and marketing services to small-scale producers of organic coffee. It has supported the certification of its members, and with its 20 technical staff undertakes quality control. To support access to credit for its members, it founded </w:t>
            </w:r>
            <w:proofErr w:type="spellStart"/>
            <w:r w:rsidRPr="003571FD">
              <w:rPr>
                <w:rFonts w:ascii="Times New Roman" w:hAnsi="Times New Roman" w:cs="Times New Roman"/>
                <w:sz w:val="18"/>
              </w:rPr>
              <w:t>Fincafe</w:t>
            </w:r>
            <w:proofErr w:type="spellEnd"/>
            <w:r w:rsidRPr="003571FD">
              <w:rPr>
                <w:rFonts w:ascii="Times New Roman" w:hAnsi="Times New Roman" w:cs="Times New Roman"/>
                <w:sz w:val="18"/>
              </w:rPr>
              <w:t xml:space="preserve">, which in 2002 was listed as an NGO. </w:t>
            </w:r>
            <w:proofErr w:type="spellStart"/>
            <w:r w:rsidRPr="003571FD">
              <w:rPr>
                <w:rFonts w:ascii="Times New Roman" w:hAnsi="Times New Roman" w:cs="Times New Roman"/>
                <w:sz w:val="18"/>
              </w:rPr>
              <w:t>Fincafe</w:t>
            </w:r>
            <w:proofErr w:type="spellEnd"/>
            <w:r w:rsidRPr="003571FD">
              <w:rPr>
                <w:rFonts w:ascii="Times New Roman" w:hAnsi="Times New Roman" w:cs="Times New Roman"/>
                <w:sz w:val="18"/>
              </w:rPr>
              <w:t xml:space="preserve"> receives funding from its member associations, and also from donors and other financial institutions. It works through local credit officers in the affiliated associations and cooperatives, who establish a personal knowledge of the client. Their loan portfolio is in general not collateralized, and is based on the estimated volume of production.</w:t>
            </w:r>
          </w:p>
          <w:p w:rsidR="007A617C" w:rsidRPr="003571FD" w:rsidRDefault="007A617C" w:rsidP="00CA07A0">
            <w:pPr>
              <w:pStyle w:val="ListParagraph"/>
              <w:numPr>
                <w:ilvl w:val="0"/>
                <w:numId w:val="12"/>
              </w:numPr>
              <w:jc w:val="both"/>
              <w:rPr>
                <w:rFonts w:ascii="Times New Roman" w:hAnsi="Times New Roman" w:cs="Times New Roman"/>
                <w:sz w:val="18"/>
              </w:rPr>
            </w:pPr>
            <w:r w:rsidRPr="003571FD">
              <w:rPr>
                <w:rFonts w:ascii="Times New Roman" w:hAnsi="Times New Roman" w:cs="Times New Roman"/>
                <w:sz w:val="18"/>
              </w:rPr>
              <w:t xml:space="preserve">Direct support to the development of small scale coffee producers was also provided as part of a Market Access and Poverty Alleviation project by USAID in collaboration with the authorities (2000-2005). It helped establish organic coffee production of high quality, supported direct linkages between producers and traders, and supported the development of processing facilities. </w:t>
            </w:r>
            <w:proofErr w:type="gramStart"/>
            <w:r w:rsidRPr="003571FD">
              <w:rPr>
                <w:rFonts w:ascii="Times New Roman" w:hAnsi="Times New Roman" w:cs="Times New Roman"/>
                <w:sz w:val="18"/>
              </w:rPr>
              <w:t xml:space="preserve">An impact evaluation done for the project confirms that the project helped producers </w:t>
            </w:r>
            <w:r w:rsidR="007939A3" w:rsidRPr="003571FD">
              <w:rPr>
                <w:rFonts w:ascii="Times New Roman" w:hAnsi="Times New Roman" w:cs="Times New Roman"/>
                <w:sz w:val="18"/>
              </w:rPr>
              <w:t xml:space="preserve">significantly </w:t>
            </w:r>
            <w:r w:rsidRPr="003571FD">
              <w:rPr>
                <w:rFonts w:ascii="Times New Roman" w:hAnsi="Times New Roman" w:cs="Times New Roman"/>
                <w:sz w:val="18"/>
              </w:rPr>
              <w:t>increase</w:t>
            </w:r>
            <w:proofErr w:type="gramEnd"/>
            <w:r w:rsidRPr="003571FD">
              <w:rPr>
                <w:rFonts w:ascii="Times New Roman" w:hAnsi="Times New Roman" w:cs="Times New Roman"/>
                <w:sz w:val="18"/>
              </w:rPr>
              <w:t xml:space="preserve"> their income through coffee </w:t>
            </w:r>
            <w:r w:rsidR="002E49EC" w:rsidRPr="003571FD">
              <w:rPr>
                <w:rFonts w:ascii="Times New Roman" w:hAnsi="Times New Roman" w:cs="Times New Roman"/>
                <w:sz w:val="18"/>
              </w:rPr>
              <w:t>harvesting</w:t>
            </w:r>
            <w:r w:rsidRPr="003571FD">
              <w:rPr>
                <w:rFonts w:ascii="Times New Roman" w:hAnsi="Times New Roman" w:cs="Times New Roman"/>
                <w:sz w:val="18"/>
              </w:rPr>
              <w:t xml:space="preserve"> and due to the direct linkages with traders of high quality coffee to eliminate the payment delay for the harvest. </w:t>
            </w:r>
          </w:p>
          <w:p w:rsidR="007A617C" w:rsidRPr="003571FD" w:rsidRDefault="007A617C" w:rsidP="007A617C">
            <w:pPr>
              <w:jc w:val="both"/>
              <w:rPr>
                <w:rFonts w:ascii="Times New Roman" w:hAnsi="Times New Roman" w:cs="Times New Roman"/>
                <w:sz w:val="18"/>
              </w:rPr>
            </w:pPr>
          </w:p>
          <w:p w:rsidR="007A617C" w:rsidRPr="003571FD" w:rsidRDefault="007A617C" w:rsidP="007A617C">
            <w:pPr>
              <w:jc w:val="both"/>
              <w:rPr>
                <w:rFonts w:ascii="Times New Roman" w:hAnsi="Times New Roman" w:cs="Times New Roman"/>
                <w:sz w:val="18"/>
              </w:rPr>
            </w:pPr>
            <w:r w:rsidRPr="003571FD">
              <w:rPr>
                <w:rFonts w:ascii="Times New Roman" w:hAnsi="Times New Roman" w:cs="Times New Roman"/>
                <w:sz w:val="18"/>
              </w:rPr>
              <w:t>According to interviews with various financial and non-financial NGOs, the coffee value chain today is one of the more advanced and organized value chains in Bolivia. This has created interest from a variety of financial entities in providing financing to this market, and ONGs, microfinance institutions as well as commercial banks reported to now extent funding to the sector. Yet, visited associations and microfinance institutions confirmed that technical assistance needs continue to be elevated, and credit should be accompanied by technical assistance to raise quality and enhance production techniques in the respective economic sectors.</w:t>
            </w:r>
          </w:p>
          <w:p w:rsidR="007A617C" w:rsidRPr="003571FD" w:rsidRDefault="007A617C" w:rsidP="007A617C">
            <w:pPr>
              <w:jc w:val="both"/>
              <w:rPr>
                <w:rFonts w:ascii="Times New Roman" w:hAnsi="Times New Roman" w:cs="Times New Roman"/>
                <w:sz w:val="18"/>
              </w:rPr>
            </w:pPr>
          </w:p>
        </w:tc>
      </w:tr>
    </w:tbl>
    <w:p w:rsidR="007A617C" w:rsidRPr="003571FD" w:rsidRDefault="007A617C" w:rsidP="007A617C">
      <w:pPr>
        <w:pStyle w:val="ListParagraph"/>
        <w:spacing w:after="240"/>
        <w:ind w:left="0"/>
        <w:jc w:val="both"/>
        <w:rPr>
          <w:rFonts w:ascii="Times New Roman" w:hAnsi="Times New Roman" w:cs="Times New Roman"/>
          <w:b/>
          <w:sz w:val="24"/>
        </w:rPr>
      </w:pPr>
    </w:p>
    <w:p w:rsidR="001439F6" w:rsidRPr="003571FD" w:rsidRDefault="00801E58"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w:t>
      </w:r>
      <w:r w:rsidR="001439F6" w:rsidRPr="003571FD">
        <w:rPr>
          <w:rFonts w:ascii="Times New Roman" w:hAnsi="Times New Roman" w:cs="Times New Roman"/>
          <w:b/>
          <w:sz w:val="24"/>
          <w:szCs w:val="24"/>
        </w:rPr>
        <w:t xml:space="preserve">he factors mentioned above constrain the growth potential of MSMEs in the country, which in turn has negative effects on the demand for loans. </w:t>
      </w:r>
      <w:r w:rsidR="001439F6" w:rsidRPr="003571FD">
        <w:rPr>
          <w:rFonts w:ascii="Times New Roman" w:hAnsi="Times New Roman" w:cs="Times New Roman"/>
          <w:sz w:val="24"/>
          <w:szCs w:val="24"/>
        </w:rPr>
        <w:t>Two studies</w:t>
      </w:r>
      <w:r w:rsidR="001439F6" w:rsidRPr="003571FD">
        <w:rPr>
          <w:rFonts w:ascii="Times New Roman" w:hAnsi="Times New Roman" w:cs="Times New Roman"/>
          <w:vertAlign w:val="superscript"/>
        </w:rPr>
        <w:footnoteReference w:id="106"/>
      </w:r>
      <w:r w:rsidR="001439F6" w:rsidRPr="003571FD">
        <w:rPr>
          <w:rFonts w:ascii="Times New Roman" w:hAnsi="Times New Roman" w:cs="Times New Roman"/>
          <w:sz w:val="24"/>
          <w:szCs w:val="24"/>
        </w:rPr>
        <w:t xml:space="preserve"> and interviews carried out in the context of this work confirmed that producers usually have a high technical skill level with regard to understanding their products, but in many instances lack a vision, as well as business planning and marketing skills to be successful. Furthermore, being small, they frequently do not have sufficient resources and knowledge to search for information on the most efficient production techniques, or to understand how to use innovative solutions to raise their outputs and production and to improve the quality of their product as required for international markets. Combined with lower levels of access to financial services and low market </w:t>
      </w:r>
      <w:r w:rsidR="001439F6" w:rsidRPr="003571FD">
        <w:rPr>
          <w:rFonts w:ascii="Times New Roman" w:hAnsi="Times New Roman" w:cs="Times New Roman"/>
          <w:sz w:val="24"/>
          <w:szCs w:val="24"/>
        </w:rPr>
        <w:lastRenderedPageBreak/>
        <w:t>power in the absence of well organized value chains, this resulted in lower levels of investments in modern production technologies and in turn a manifestation of lower levels of productivity.</w:t>
      </w:r>
    </w:p>
    <w:p w:rsidR="00C42014" w:rsidRPr="003571FD" w:rsidRDefault="00C42014" w:rsidP="00173312">
      <w:pPr>
        <w:pStyle w:val="Heading3"/>
      </w:pPr>
      <w:bookmarkStart w:id="72" w:name="_Toc312319509"/>
      <w:r w:rsidRPr="003571FD">
        <w:t>Eligibility and affordability barriers</w:t>
      </w:r>
      <w:bookmarkEnd w:id="72"/>
    </w:p>
    <w:p w:rsidR="00E22B37" w:rsidRPr="008A3E6C" w:rsidRDefault="00C42014" w:rsidP="008A3E6C">
      <w:pPr>
        <w:pStyle w:val="Heading4"/>
        <w:rPr>
          <w:i w:val="0"/>
        </w:rPr>
      </w:pPr>
      <w:r w:rsidRPr="008A3E6C">
        <w:rPr>
          <w:i w:val="0"/>
        </w:rPr>
        <w:t>Barriers to eligibility of borrowers</w:t>
      </w:r>
    </w:p>
    <w:p w:rsidR="00E22B37" w:rsidRPr="003571FD" w:rsidRDefault="00E22B37" w:rsidP="00E22B37"/>
    <w:p w:rsidR="00C42014" w:rsidRPr="003571FD" w:rsidRDefault="00C42014" w:rsidP="00C42014">
      <w:pPr>
        <w:jc w:val="both"/>
        <w:rPr>
          <w:rFonts w:ascii="Times New Roman" w:hAnsi="Times New Roman" w:cs="Times New Roman"/>
          <w:sz w:val="24"/>
          <w:szCs w:val="24"/>
        </w:rPr>
      </w:pPr>
      <w:r w:rsidRPr="003571FD">
        <w:rPr>
          <w:rFonts w:ascii="Times New Roman" w:hAnsi="Times New Roman" w:cs="Times New Roman"/>
          <w:sz w:val="24"/>
          <w:szCs w:val="24"/>
        </w:rPr>
        <w:t>Important regulatory and institutional deficiencies exist in financial infrastructure of the credit market, which reduces the eligibility of enterprises and the population with lower income levels from funding through the formal financial sector:</w:t>
      </w:r>
    </w:p>
    <w:tbl>
      <w:tblPr>
        <w:tblStyle w:val="TableGrid"/>
        <w:tblpPr w:leftFromText="180" w:rightFromText="180" w:vertAnchor="text" w:horzAnchor="margin" w:tblpXSpec="right" w:tblpY="5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tblGrid>
      <w:tr w:rsidR="007C2030" w:rsidRPr="003571FD" w:rsidTr="008A3E6C">
        <w:trPr>
          <w:trHeight w:val="284"/>
        </w:trPr>
        <w:tc>
          <w:tcPr>
            <w:tcW w:w="5526" w:type="dxa"/>
          </w:tcPr>
          <w:p w:rsidR="008A3E6C" w:rsidRDefault="008A3E6C" w:rsidP="007C2030">
            <w:pPr>
              <w:pStyle w:val="Caption"/>
              <w:rPr>
                <w:rFonts w:ascii="Times New Roman" w:hAnsi="Times New Roman" w:cs="Times New Roman"/>
                <w:color w:val="auto"/>
              </w:rPr>
            </w:pPr>
          </w:p>
          <w:p w:rsidR="007C2030" w:rsidRPr="003571FD" w:rsidRDefault="007C2030" w:rsidP="007C2030">
            <w:pPr>
              <w:pStyle w:val="Caption"/>
              <w:rPr>
                <w:rFonts w:ascii="Times New Roman" w:hAnsi="Times New Roman" w:cs="Times New Roman"/>
                <w:color w:val="auto"/>
              </w:rPr>
            </w:pPr>
            <w:bookmarkStart w:id="73" w:name="_Toc312317286"/>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20</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Firms required to pledge collateral in a percentage of firms that applied for credit</w:t>
            </w:r>
            <w:bookmarkEnd w:id="73"/>
          </w:p>
          <w:p w:rsidR="007C2030" w:rsidRPr="003571FD" w:rsidRDefault="007C2030" w:rsidP="007C2030">
            <w:pPr>
              <w:pStyle w:val="Caption"/>
              <w:rPr>
                <w:rFonts w:ascii="Times New Roman" w:hAnsi="Times New Roman" w:cs="Times New Roman"/>
                <w:color w:val="auto"/>
                <w:sz w:val="24"/>
              </w:rPr>
            </w:pPr>
          </w:p>
        </w:tc>
      </w:tr>
      <w:tr w:rsidR="007C2030" w:rsidRPr="003571FD" w:rsidTr="008A3E6C">
        <w:trPr>
          <w:trHeight w:val="1407"/>
        </w:trPr>
        <w:tc>
          <w:tcPr>
            <w:tcW w:w="5526" w:type="dxa"/>
          </w:tcPr>
          <w:p w:rsidR="007C2030" w:rsidRPr="003571FD" w:rsidRDefault="007C2030" w:rsidP="007C2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sz w:val="24"/>
                <w:szCs w:val="24"/>
              </w:rPr>
            </w:pPr>
            <w:r w:rsidRPr="003571FD">
              <w:rPr>
                <w:rFonts w:ascii="Times New Roman" w:hAnsi="Times New Roman" w:cs="Times New Roman"/>
                <w:b/>
                <w:noProof/>
                <w:sz w:val="24"/>
                <w:szCs w:val="24"/>
              </w:rPr>
              <w:drawing>
                <wp:inline distT="0" distB="0" distL="0" distR="0">
                  <wp:extent cx="3331845" cy="2003425"/>
                  <wp:effectExtent l="19050" t="0" r="190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3331845" cy="2003425"/>
                          </a:xfrm>
                          <a:prstGeom prst="rect">
                            <a:avLst/>
                          </a:prstGeom>
                          <a:noFill/>
                          <a:ln w="9525">
                            <a:noFill/>
                            <a:miter lim="800000"/>
                            <a:headEnd/>
                            <a:tailEnd/>
                          </a:ln>
                        </pic:spPr>
                      </pic:pic>
                    </a:graphicData>
                  </a:graphic>
                </wp:inline>
              </w:drawing>
            </w:r>
          </w:p>
        </w:tc>
      </w:tr>
      <w:tr w:rsidR="007C2030" w:rsidRPr="003571FD" w:rsidTr="008A3E6C">
        <w:trPr>
          <w:trHeight w:val="386"/>
        </w:trPr>
        <w:tc>
          <w:tcPr>
            <w:tcW w:w="5526" w:type="dxa"/>
          </w:tcPr>
          <w:p w:rsidR="007C2030" w:rsidRPr="003571FD" w:rsidRDefault="007C2030" w:rsidP="007C2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szCs w:val="24"/>
              </w:rPr>
            </w:pPr>
            <w:r w:rsidRPr="003571FD">
              <w:rPr>
                <w:rFonts w:ascii="Times New Roman" w:hAnsi="Times New Roman" w:cs="Times New Roman"/>
                <w:i/>
                <w:sz w:val="18"/>
                <w:szCs w:val="24"/>
              </w:rPr>
              <w:t>Source: World Bank – Enterprise Survey.</w:t>
            </w:r>
          </w:p>
        </w:tc>
      </w:tr>
    </w:tbl>
    <w:p w:rsidR="00C42014" w:rsidRPr="003571FD" w:rsidRDefault="00C42014" w:rsidP="00CA07A0">
      <w:pPr>
        <w:pStyle w:val="ListParagraph"/>
        <w:numPr>
          <w:ilvl w:val="0"/>
          <w:numId w:val="6"/>
        </w:numPr>
        <w:jc w:val="both"/>
        <w:rPr>
          <w:rFonts w:ascii="Times New Roman" w:hAnsi="Times New Roman" w:cs="Times New Roman"/>
          <w:i/>
          <w:sz w:val="24"/>
          <w:szCs w:val="24"/>
        </w:rPr>
      </w:pPr>
      <w:r w:rsidRPr="003571FD">
        <w:rPr>
          <w:rFonts w:ascii="Times New Roman" w:hAnsi="Times New Roman" w:cs="Times New Roman"/>
          <w:i/>
          <w:sz w:val="24"/>
          <w:szCs w:val="24"/>
        </w:rPr>
        <w:t>Collateral requirements:</w:t>
      </w:r>
    </w:p>
    <w:p w:rsidR="00801E58" w:rsidRPr="003571FD" w:rsidRDefault="00801E58" w:rsidP="00801E58">
      <w:pPr>
        <w:pStyle w:val="ListParagraph"/>
        <w:jc w:val="both"/>
        <w:rPr>
          <w:rFonts w:ascii="Times New Roman" w:hAnsi="Times New Roman" w:cs="Times New Roman"/>
          <w:i/>
          <w:sz w:val="24"/>
          <w:szCs w:val="24"/>
        </w:rPr>
      </w:pPr>
    </w:p>
    <w:p w:rsidR="00C42014" w:rsidRPr="003571FD" w:rsidRDefault="00C42014"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Financial systems in both developed and developing countries rely to a larger extent on secured transactions for guaranteeing their lending portfolios.</w:t>
      </w:r>
      <w:r w:rsidRPr="003571FD">
        <w:rPr>
          <w:rFonts w:ascii="Times New Roman" w:hAnsi="Times New Roman" w:cs="Times New Roman"/>
          <w:sz w:val="24"/>
          <w:szCs w:val="24"/>
        </w:rPr>
        <w:t xml:space="preserve"> As can be seen in Chart </w:t>
      </w:r>
      <w:r w:rsidR="00743DA6" w:rsidRPr="003571FD">
        <w:rPr>
          <w:rFonts w:ascii="Times New Roman" w:hAnsi="Times New Roman" w:cs="Times New Roman"/>
          <w:sz w:val="24"/>
          <w:szCs w:val="24"/>
        </w:rPr>
        <w:t>20,</w:t>
      </w:r>
      <w:r w:rsidRPr="003571FD">
        <w:rPr>
          <w:rFonts w:ascii="Times New Roman" w:hAnsi="Times New Roman" w:cs="Times New Roman"/>
          <w:sz w:val="24"/>
          <w:szCs w:val="24"/>
        </w:rPr>
        <w:t xml:space="preserve"> around 70-80 percent of the loan portfolios worldwide is usually secured by some type of collateral, with movable collateral for example accounted for 60 percent of all collateral in the United States in 2004</w:t>
      </w:r>
      <w:r w:rsidRPr="003571FD">
        <w:rPr>
          <w:rStyle w:val="FootnoteReference"/>
          <w:rFonts w:ascii="Times New Roman" w:hAnsi="Times New Roman" w:cs="Times New Roman"/>
          <w:sz w:val="24"/>
          <w:szCs w:val="24"/>
        </w:rPr>
        <w:footnoteReference w:id="107"/>
      </w:r>
      <w:r w:rsidRPr="003571FD">
        <w:rPr>
          <w:rFonts w:ascii="Times New Roman" w:hAnsi="Times New Roman" w:cs="Times New Roman"/>
          <w:sz w:val="24"/>
          <w:szCs w:val="24"/>
        </w:rPr>
        <w:t>. Micro, small and medium sized enterprises frequently lack immovable property to give as collateral</w:t>
      </w:r>
      <w:r w:rsidRPr="003571FD">
        <w:rPr>
          <w:rStyle w:val="FootnoteReference"/>
          <w:rFonts w:ascii="Times New Roman" w:hAnsi="Times New Roman" w:cs="Times New Roman"/>
          <w:sz w:val="24"/>
          <w:szCs w:val="24"/>
        </w:rPr>
        <w:footnoteReference w:id="108"/>
      </w:r>
      <w:r w:rsidRPr="003571FD">
        <w:rPr>
          <w:rFonts w:ascii="Times New Roman" w:hAnsi="Times New Roman" w:cs="Times New Roman"/>
          <w:sz w:val="24"/>
          <w:szCs w:val="24"/>
        </w:rPr>
        <w:t>, but can provide accounts receivable, inventories, equipment or intellectual property rights to secure the transaction. If restrictions exist as to what constitutes collateral, this limits in particular micro and small companies’ access to financing, making them (</w:t>
      </w:r>
      <w:proofErr w:type="spellStart"/>
      <w:r w:rsidRPr="003571FD">
        <w:rPr>
          <w:rFonts w:ascii="Times New Roman" w:hAnsi="Times New Roman" w:cs="Times New Roman"/>
          <w:sz w:val="24"/>
          <w:szCs w:val="24"/>
        </w:rPr>
        <w:t>i</w:t>
      </w:r>
      <w:proofErr w:type="spellEnd"/>
      <w:r w:rsidRPr="003571FD">
        <w:rPr>
          <w:rFonts w:ascii="Times New Roman" w:hAnsi="Times New Roman" w:cs="Times New Roman"/>
          <w:sz w:val="24"/>
          <w:szCs w:val="24"/>
        </w:rPr>
        <w:t>) ineligible for funding overall, or (ii) unable to afford loans due to higher interest rates, lower loan sizes and shorter loan maturities</w:t>
      </w:r>
      <w:r w:rsidRPr="003571FD">
        <w:rPr>
          <w:rStyle w:val="FootnoteReference"/>
          <w:rFonts w:ascii="Times New Roman" w:hAnsi="Times New Roman" w:cs="Times New Roman"/>
          <w:sz w:val="24"/>
          <w:szCs w:val="24"/>
        </w:rPr>
        <w:footnoteReference w:id="109"/>
      </w:r>
      <w:r w:rsidRPr="003571FD">
        <w:rPr>
          <w:rFonts w:ascii="Times New Roman" w:hAnsi="Times New Roman" w:cs="Times New Roman"/>
          <w:sz w:val="24"/>
          <w:szCs w:val="24"/>
        </w:rPr>
        <w:t xml:space="preserve">. Restrictions on permissible collateral thus can reduce investment, in particular of MSMEs, and as a consequence lower economic growth in a country. </w:t>
      </w:r>
    </w:p>
    <w:p w:rsidR="007A617C" w:rsidRPr="003571FD" w:rsidRDefault="007A617C" w:rsidP="007A617C">
      <w:pPr>
        <w:pStyle w:val="ListParagraph"/>
        <w:spacing w:after="240"/>
        <w:ind w:left="0"/>
        <w:jc w:val="both"/>
        <w:rPr>
          <w:rFonts w:ascii="Times New Roman" w:hAnsi="Times New Roman" w:cs="Times New Roman"/>
          <w:sz w:val="24"/>
          <w:szCs w:val="24"/>
        </w:rPr>
      </w:pPr>
    </w:p>
    <w:p w:rsidR="00801E58" w:rsidRPr="003571FD" w:rsidRDefault="00C42014"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In Bolivia, guarantee requirements for loans are high, and depend mostly on the availability of real estate</w:t>
      </w:r>
      <w:r w:rsidR="00743DA6" w:rsidRPr="003571FD">
        <w:rPr>
          <w:rFonts w:ascii="Times New Roman" w:hAnsi="Times New Roman" w:cs="Times New Roman"/>
          <w:b/>
          <w:sz w:val="24"/>
          <w:szCs w:val="24"/>
        </w:rPr>
        <w:t xml:space="preserve">. </w:t>
      </w:r>
      <w:r w:rsidRPr="003571FD">
        <w:rPr>
          <w:rFonts w:ascii="Times New Roman" w:hAnsi="Times New Roman" w:cs="Times New Roman"/>
          <w:sz w:val="24"/>
          <w:szCs w:val="24"/>
        </w:rPr>
        <w:t xml:space="preserve">The legal framework in Bolivia in general only allows real estate and vehicles as collateral, but ASFI </w:t>
      </w:r>
      <w:r w:rsidR="009C4026">
        <w:rPr>
          <w:rFonts w:ascii="Times New Roman" w:hAnsi="Times New Roman" w:cs="Times New Roman"/>
          <w:sz w:val="24"/>
          <w:szCs w:val="24"/>
        </w:rPr>
        <w:t xml:space="preserve">has recently further increased the types of acceptable </w:t>
      </w:r>
      <w:r w:rsidR="003646BB">
        <w:rPr>
          <w:rFonts w:ascii="Times New Roman" w:hAnsi="Times New Roman" w:cs="Times New Roman"/>
          <w:sz w:val="24"/>
          <w:szCs w:val="24"/>
        </w:rPr>
        <w:t xml:space="preserve">collateral </w:t>
      </w:r>
      <w:r w:rsidR="003646BB" w:rsidRPr="003571FD">
        <w:rPr>
          <w:rFonts w:ascii="Times New Roman" w:hAnsi="Times New Roman" w:cs="Times New Roman"/>
          <w:sz w:val="24"/>
          <w:szCs w:val="24"/>
        </w:rPr>
        <w:lastRenderedPageBreak/>
        <w:t>for</w:t>
      </w:r>
      <w:r w:rsidRPr="003571FD">
        <w:rPr>
          <w:rFonts w:ascii="Times New Roman" w:hAnsi="Times New Roman" w:cs="Times New Roman"/>
          <w:sz w:val="24"/>
          <w:szCs w:val="24"/>
        </w:rPr>
        <w:t xml:space="preserve"> regulatory purposes up to a certain loan size</w:t>
      </w:r>
      <w:r w:rsidRPr="003571FD">
        <w:rPr>
          <w:rStyle w:val="FootnoteReference"/>
          <w:rFonts w:ascii="Times New Roman" w:hAnsi="Times New Roman" w:cs="Times New Roman"/>
          <w:sz w:val="24"/>
          <w:szCs w:val="24"/>
        </w:rPr>
        <w:footnoteReference w:id="110"/>
      </w:r>
      <w:r w:rsidRPr="003571FD">
        <w:rPr>
          <w:rFonts w:ascii="Times New Roman" w:hAnsi="Times New Roman" w:cs="Times New Roman"/>
          <w:sz w:val="24"/>
          <w:szCs w:val="24"/>
        </w:rPr>
        <w:t>. Financial entities rely to a large extent on available collateral for their loans, with only a fraction of the loan portfolio being unsecured (see Table 1</w:t>
      </w:r>
      <w:r w:rsidR="00E57E09" w:rsidRPr="003571FD">
        <w:rPr>
          <w:rFonts w:ascii="Times New Roman" w:hAnsi="Times New Roman" w:cs="Times New Roman"/>
          <w:sz w:val="24"/>
          <w:szCs w:val="24"/>
        </w:rPr>
        <w:t>3</w:t>
      </w:r>
      <w:r w:rsidRPr="003571FD">
        <w:rPr>
          <w:rFonts w:ascii="Times New Roman" w:hAnsi="Times New Roman" w:cs="Times New Roman"/>
          <w:sz w:val="24"/>
          <w:szCs w:val="24"/>
        </w:rPr>
        <w:t>). Half of the loan portfolio is guaranteed with real estate. The collateral value is usually a multiple of the credit, with some interviews suggesting a required collateral to loan ratio of up to 300 percent, and Doing Business showing an average value of collateral needed of 188 percent of the loan value, compared to 134 and 144 percent for the region and wo</w:t>
      </w:r>
      <w:r w:rsidR="00743DA6" w:rsidRPr="003571FD">
        <w:rPr>
          <w:rFonts w:ascii="Times New Roman" w:hAnsi="Times New Roman" w:cs="Times New Roman"/>
          <w:sz w:val="24"/>
          <w:szCs w:val="24"/>
        </w:rPr>
        <w:t>rldwide respectively. Micro</w:t>
      </w:r>
      <w:r w:rsidRPr="003571FD">
        <w:rPr>
          <w:rFonts w:ascii="Times New Roman" w:hAnsi="Times New Roman" w:cs="Times New Roman"/>
          <w:sz w:val="24"/>
          <w:szCs w:val="24"/>
        </w:rPr>
        <w:t xml:space="preserve">finance banks, cooperatives and finance companies also use personal guarantees, but even in those institutions mortgages are the predominant form of collateral. </w:t>
      </w:r>
    </w:p>
    <w:tbl>
      <w:tblPr>
        <w:tblW w:w="4849" w:type="pct"/>
        <w:tblInd w:w="108" w:type="dxa"/>
        <w:tblLayout w:type="fixed"/>
        <w:tblLook w:val="0000" w:firstRow="0" w:lastRow="0" w:firstColumn="0" w:lastColumn="0" w:noHBand="0" w:noVBand="0"/>
      </w:tblPr>
      <w:tblGrid>
        <w:gridCol w:w="3979"/>
        <w:gridCol w:w="1103"/>
        <w:gridCol w:w="1107"/>
        <w:gridCol w:w="1105"/>
        <w:gridCol w:w="1107"/>
        <w:gridCol w:w="886"/>
      </w:tblGrid>
      <w:tr w:rsidR="00C42014" w:rsidRPr="003571FD" w:rsidTr="008A3E6C">
        <w:trPr>
          <w:trHeight w:val="340"/>
        </w:trPr>
        <w:tc>
          <w:tcPr>
            <w:tcW w:w="5000" w:type="pct"/>
            <w:gridSpan w:val="6"/>
            <w:tcBorders>
              <w:bottom w:val="single" w:sz="4" w:space="0" w:color="auto"/>
            </w:tcBorders>
            <w:shd w:val="clear" w:color="auto" w:fill="auto"/>
            <w:vAlign w:val="bottom"/>
          </w:tcPr>
          <w:p w:rsidR="00C42014" w:rsidRPr="003571FD" w:rsidRDefault="00C42014" w:rsidP="00E57E09">
            <w:pPr>
              <w:pStyle w:val="Caption"/>
              <w:keepNext/>
              <w:rPr>
                <w:rFonts w:ascii="Times New Roman" w:hAnsi="Times New Roman" w:cs="Times New Roman"/>
                <w:color w:val="auto"/>
              </w:rPr>
            </w:pPr>
            <w:bookmarkStart w:id="74" w:name="_Toc312317360"/>
            <w:r w:rsidRPr="003571FD">
              <w:rPr>
                <w:rFonts w:ascii="Times New Roman" w:hAnsi="Times New Roman" w:cs="Times New Roman"/>
                <w:color w:val="auto"/>
              </w:rPr>
              <w:t xml:space="preserve">Table </w:t>
            </w:r>
            <w:r w:rsidR="005744EE" w:rsidRPr="003571FD">
              <w:rPr>
                <w:rFonts w:ascii="Times New Roman" w:hAnsi="Times New Roman" w:cs="Times New Roman"/>
                <w:color w:val="auto"/>
                <w:szCs w:val="20"/>
              </w:rPr>
              <w:fldChar w:fldCharType="begin"/>
            </w:r>
            <w:r w:rsidR="00116B6B" w:rsidRPr="003571FD">
              <w:rPr>
                <w:rFonts w:ascii="Times New Roman" w:hAnsi="Times New Roman" w:cs="Times New Roman"/>
                <w:color w:val="auto"/>
                <w:szCs w:val="20"/>
              </w:rPr>
              <w:instrText xml:space="preserve"> SEQ Table \* ARABIC </w:instrText>
            </w:r>
            <w:r w:rsidR="005744EE" w:rsidRPr="003571FD">
              <w:rPr>
                <w:rFonts w:ascii="Times New Roman" w:hAnsi="Times New Roman" w:cs="Times New Roman"/>
                <w:color w:val="auto"/>
                <w:szCs w:val="20"/>
              </w:rPr>
              <w:fldChar w:fldCharType="separate"/>
            </w:r>
            <w:r w:rsidR="00064A1B">
              <w:rPr>
                <w:rFonts w:ascii="Times New Roman" w:hAnsi="Times New Roman" w:cs="Times New Roman"/>
                <w:noProof/>
                <w:color w:val="auto"/>
                <w:szCs w:val="20"/>
              </w:rPr>
              <w:t>13</w:t>
            </w:r>
            <w:r w:rsidR="005744EE" w:rsidRPr="003571FD">
              <w:rPr>
                <w:rFonts w:ascii="Times New Roman" w:hAnsi="Times New Roman" w:cs="Times New Roman"/>
                <w:color w:val="auto"/>
                <w:szCs w:val="20"/>
              </w:rPr>
              <w:fldChar w:fldCharType="end"/>
            </w:r>
            <w:r w:rsidRPr="003571FD">
              <w:rPr>
                <w:rFonts w:ascii="Times New Roman" w:hAnsi="Times New Roman" w:cs="Times New Roman"/>
                <w:color w:val="auto"/>
              </w:rPr>
              <w:t xml:space="preserve">: </w:t>
            </w:r>
            <w:r w:rsidRPr="003571FD">
              <w:rPr>
                <w:rFonts w:ascii="Times New Roman" w:hAnsi="Times New Roman" w:cs="Times New Roman"/>
                <w:bCs w:val="0"/>
                <w:color w:val="auto"/>
                <w:szCs w:val="24"/>
              </w:rPr>
              <w:t>Share of collateral in loan portfolio (November 2010)</w:t>
            </w:r>
            <w:bookmarkEnd w:id="74"/>
          </w:p>
        </w:tc>
      </w:tr>
      <w:tr w:rsidR="00C42014" w:rsidRPr="003571FD" w:rsidTr="008A3E6C">
        <w:trPr>
          <w:trHeight w:val="680"/>
        </w:trPr>
        <w:tc>
          <w:tcPr>
            <w:tcW w:w="2142" w:type="pct"/>
            <w:tcBorders>
              <w:top w:val="single" w:sz="4" w:space="0" w:color="auto"/>
              <w:left w:val="single" w:sz="4" w:space="0" w:color="auto"/>
              <w:bottom w:val="single" w:sz="4" w:space="0" w:color="auto"/>
              <w:right w:val="single" w:sz="4" w:space="0" w:color="auto"/>
            </w:tcBorders>
            <w:shd w:val="clear" w:color="auto" w:fill="C0C0C0"/>
            <w:vAlign w:val="bottom"/>
          </w:tcPr>
          <w:p w:rsidR="00C42014" w:rsidRPr="003571FD" w:rsidRDefault="00C42014" w:rsidP="005E4032">
            <w:pPr>
              <w:spacing w:after="0" w:line="240" w:lineRule="auto"/>
              <w:rPr>
                <w:rFonts w:ascii="Times New Roman" w:hAnsi="Times New Roman" w:cs="Times New Roman"/>
                <w:sz w:val="20"/>
                <w:szCs w:val="20"/>
              </w:rPr>
            </w:pPr>
            <w:r w:rsidRPr="003571FD">
              <w:rPr>
                <w:rFonts w:ascii="Times New Roman" w:hAnsi="Times New Roman" w:cs="Times New Roman"/>
                <w:sz w:val="20"/>
                <w:szCs w:val="20"/>
              </w:rPr>
              <w:t> </w:t>
            </w:r>
          </w:p>
        </w:tc>
        <w:tc>
          <w:tcPr>
            <w:tcW w:w="594" w:type="pct"/>
            <w:tcBorders>
              <w:top w:val="single" w:sz="4" w:space="0" w:color="auto"/>
              <w:left w:val="single" w:sz="4" w:space="0" w:color="auto"/>
              <w:bottom w:val="single" w:sz="4" w:space="0" w:color="auto"/>
              <w:right w:val="single" w:sz="4" w:space="0" w:color="auto"/>
            </w:tcBorders>
            <w:shd w:val="clear" w:color="auto" w:fill="C0C0C0"/>
            <w:vAlign w:val="bottom"/>
          </w:tcPr>
          <w:p w:rsidR="00C42014" w:rsidRPr="003571FD" w:rsidRDefault="00C42014" w:rsidP="005E4032">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Banks</w:t>
            </w:r>
          </w:p>
        </w:tc>
        <w:tc>
          <w:tcPr>
            <w:tcW w:w="596" w:type="pct"/>
            <w:tcBorders>
              <w:top w:val="single" w:sz="4" w:space="0" w:color="auto"/>
              <w:left w:val="single" w:sz="4" w:space="0" w:color="auto"/>
              <w:bottom w:val="single" w:sz="4" w:space="0" w:color="auto"/>
              <w:right w:val="single" w:sz="4" w:space="0" w:color="auto"/>
            </w:tcBorders>
            <w:shd w:val="clear" w:color="auto" w:fill="C0C0C0"/>
            <w:vAlign w:val="bottom"/>
          </w:tcPr>
          <w:p w:rsidR="00C42014" w:rsidRPr="003571FD" w:rsidRDefault="00C42014" w:rsidP="005E4032">
            <w:pPr>
              <w:spacing w:after="0" w:line="240" w:lineRule="auto"/>
              <w:jc w:val="center"/>
              <w:rPr>
                <w:rFonts w:ascii="Times New Roman" w:hAnsi="Times New Roman" w:cs="Times New Roman"/>
                <w:sz w:val="20"/>
                <w:szCs w:val="20"/>
              </w:rPr>
            </w:pPr>
            <w:proofErr w:type="spellStart"/>
            <w:r w:rsidRPr="003571FD">
              <w:rPr>
                <w:rFonts w:ascii="Times New Roman" w:hAnsi="Times New Roman" w:cs="Times New Roman"/>
                <w:sz w:val="20"/>
                <w:szCs w:val="20"/>
              </w:rPr>
              <w:t>Coopera-tives</w:t>
            </w:r>
            <w:proofErr w:type="spellEnd"/>
          </w:p>
        </w:tc>
        <w:tc>
          <w:tcPr>
            <w:tcW w:w="595" w:type="pct"/>
            <w:tcBorders>
              <w:top w:val="single" w:sz="4" w:space="0" w:color="auto"/>
              <w:left w:val="single" w:sz="4" w:space="0" w:color="auto"/>
              <w:bottom w:val="single" w:sz="4" w:space="0" w:color="auto"/>
              <w:right w:val="single" w:sz="4" w:space="0" w:color="auto"/>
            </w:tcBorders>
            <w:shd w:val="clear" w:color="auto" w:fill="C0C0C0"/>
            <w:vAlign w:val="bottom"/>
          </w:tcPr>
          <w:p w:rsidR="00C42014" w:rsidRPr="003571FD" w:rsidRDefault="00C42014" w:rsidP="005E4032">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 xml:space="preserve">Finance </w:t>
            </w:r>
            <w:proofErr w:type="spellStart"/>
            <w:r w:rsidRPr="003571FD">
              <w:rPr>
                <w:rFonts w:ascii="Times New Roman" w:hAnsi="Times New Roman" w:cs="Times New Roman"/>
                <w:sz w:val="20"/>
                <w:szCs w:val="20"/>
              </w:rPr>
              <w:t>Compa-nies</w:t>
            </w:r>
            <w:proofErr w:type="spellEnd"/>
          </w:p>
        </w:tc>
        <w:tc>
          <w:tcPr>
            <w:tcW w:w="596" w:type="pct"/>
            <w:tcBorders>
              <w:top w:val="single" w:sz="4" w:space="0" w:color="auto"/>
              <w:left w:val="single" w:sz="4" w:space="0" w:color="auto"/>
              <w:bottom w:val="single" w:sz="4" w:space="0" w:color="auto"/>
              <w:right w:val="single" w:sz="4" w:space="0" w:color="auto"/>
            </w:tcBorders>
            <w:shd w:val="clear" w:color="auto" w:fill="C0C0C0"/>
            <w:vAlign w:val="bottom"/>
          </w:tcPr>
          <w:p w:rsidR="00C42014" w:rsidRPr="003571FD" w:rsidRDefault="00C42014" w:rsidP="005E4032">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SLAs</w:t>
            </w:r>
          </w:p>
        </w:tc>
        <w:tc>
          <w:tcPr>
            <w:tcW w:w="475" w:type="pct"/>
            <w:tcBorders>
              <w:top w:val="single" w:sz="4" w:space="0" w:color="auto"/>
              <w:left w:val="single" w:sz="4" w:space="0" w:color="auto"/>
              <w:bottom w:val="single" w:sz="4" w:space="0" w:color="auto"/>
              <w:right w:val="single" w:sz="4" w:space="0" w:color="auto"/>
            </w:tcBorders>
            <w:shd w:val="clear" w:color="auto" w:fill="C0C0C0"/>
            <w:vAlign w:val="bottom"/>
          </w:tcPr>
          <w:p w:rsidR="00C42014" w:rsidRPr="003571FD" w:rsidRDefault="00C42014" w:rsidP="005E4032">
            <w:pPr>
              <w:spacing w:after="0" w:line="240" w:lineRule="auto"/>
              <w:jc w:val="center"/>
              <w:rPr>
                <w:rFonts w:ascii="Times New Roman" w:hAnsi="Times New Roman" w:cs="Times New Roman"/>
                <w:sz w:val="20"/>
                <w:szCs w:val="20"/>
              </w:rPr>
            </w:pPr>
            <w:r w:rsidRPr="003571FD">
              <w:rPr>
                <w:rFonts w:ascii="Times New Roman" w:hAnsi="Times New Roman" w:cs="Times New Roman"/>
                <w:sz w:val="20"/>
                <w:szCs w:val="20"/>
              </w:rPr>
              <w:t>TOTAL</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sz w:val="20"/>
                <w:szCs w:val="20"/>
              </w:rPr>
            </w:pPr>
            <w:r w:rsidRPr="003571FD">
              <w:rPr>
                <w:rFonts w:ascii="Times New Roman" w:hAnsi="Times New Roman" w:cs="Times New Roman"/>
                <w:sz w:val="20"/>
                <w:szCs w:val="20"/>
              </w:rPr>
              <w:t>Mortgage</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47.2%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50.5%</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38.0%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92.7%</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48.5%</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sz w:val="20"/>
                <w:szCs w:val="20"/>
              </w:rPr>
            </w:pPr>
            <w:r w:rsidRPr="003571FD">
              <w:rPr>
                <w:rFonts w:ascii="Times New Roman" w:hAnsi="Times New Roman" w:cs="Times New Roman"/>
                <w:sz w:val="20"/>
                <w:szCs w:val="20"/>
              </w:rPr>
              <w:t>Securities</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0.0%</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0.0%</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0.3%</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sz w:val="20"/>
                <w:szCs w:val="20"/>
              </w:rPr>
            </w:pPr>
            <w:r w:rsidRPr="003571FD">
              <w:rPr>
                <w:rFonts w:ascii="Times New Roman" w:hAnsi="Times New Roman" w:cs="Times New Roman"/>
                <w:sz w:val="20"/>
                <w:szCs w:val="20"/>
              </w:rPr>
              <w:t>Pledge</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24.3%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1.0%</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18.1%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0.0%</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21.5%</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sz w:val="20"/>
                <w:szCs w:val="20"/>
              </w:rPr>
            </w:pPr>
            <w:r w:rsidRPr="003571FD">
              <w:rPr>
                <w:rFonts w:ascii="Times New Roman" w:hAnsi="Times New Roman" w:cs="Times New Roman"/>
                <w:sz w:val="20"/>
                <w:szCs w:val="20"/>
              </w:rPr>
              <w:t>Warrant</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0.0%</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0.0%</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0.6%</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bCs/>
                <w:sz w:val="20"/>
                <w:szCs w:val="20"/>
              </w:rPr>
            </w:pPr>
            <w:r w:rsidRPr="003571FD">
              <w:rPr>
                <w:rFonts w:ascii="Times New Roman" w:hAnsi="Times New Roman" w:cs="Times New Roman"/>
                <w:bCs/>
                <w:sz w:val="20"/>
                <w:szCs w:val="20"/>
              </w:rPr>
              <w:t>Deposits in the financial institution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2.6%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1.8%</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2.6%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0.2%</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2.4%</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bCs/>
                <w:sz w:val="20"/>
                <w:szCs w:val="20"/>
              </w:rPr>
            </w:pPr>
            <w:r w:rsidRPr="003571FD">
              <w:rPr>
                <w:rFonts w:ascii="Times New Roman" w:hAnsi="Times New Roman" w:cs="Times New Roman"/>
                <w:bCs/>
                <w:sz w:val="20"/>
                <w:szCs w:val="20"/>
              </w:rPr>
              <w:t>Guarantees from other financial institution</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4.5%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0.1%</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3.7%</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bCs/>
                <w:sz w:val="20"/>
                <w:szCs w:val="20"/>
              </w:rPr>
            </w:pPr>
            <w:r w:rsidRPr="003571FD">
              <w:rPr>
                <w:rFonts w:ascii="Times New Roman" w:hAnsi="Times New Roman" w:cs="Times New Roman"/>
                <w:bCs/>
                <w:sz w:val="20"/>
                <w:szCs w:val="20"/>
              </w:rPr>
              <w:t>Other guarantees</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3.8%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0.1%</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1.4%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0.7%</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3.2%</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bCs/>
                <w:sz w:val="20"/>
                <w:szCs w:val="20"/>
              </w:rPr>
            </w:pPr>
            <w:r w:rsidRPr="003571FD">
              <w:rPr>
                <w:rFonts w:ascii="Times New Roman" w:hAnsi="Times New Roman" w:cs="Times New Roman"/>
                <w:bCs/>
                <w:sz w:val="20"/>
                <w:szCs w:val="20"/>
              </w:rPr>
              <w:t>Personal guarantees</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10.5%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42.9%</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35.0%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3.2%</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14.2%</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b/>
                <w:bCs/>
                <w:sz w:val="20"/>
                <w:szCs w:val="20"/>
              </w:rPr>
            </w:pPr>
            <w:r w:rsidRPr="003571FD">
              <w:rPr>
                <w:rFonts w:ascii="Times New Roman" w:hAnsi="Times New Roman" w:cs="Times New Roman"/>
                <w:b/>
                <w:bCs/>
                <w:sz w:val="20"/>
                <w:szCs w:val="20"/>
              </w:rPr>
              <w:t>Total portfolio with guarantees</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94.0%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96.3%</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95.3%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97.0%</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94.4%</w:t>
            </w:r>
          </w:p>
        </w:tc>
      </w:tr>
      <w:tr w:rsidR="00C42014" w:rsidRPr="003571FD" w:rsidTr="008A3E6C">
        <w:trPr>
          <w:trHeight w:val="334"/>
        </w:trPr>
        <w:tc>
          <w:tcPr>
            <w:tcW w:w="21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rPr>
                <w:rFonts w:ascii="Times New Roman" w:hAnsi="Times New Roman" w:cs="Times New Roman"/>
                <w:sz w:val="20"/>
                <w:szCs w:val="20"/>
              </w:rPr>
            </w:pPr>
            <w:r w:rsidRPr="003571FD">
              <w:rPr>
                <w:rFonts w:ascii="Times New Roman" w:hAnsi="Times New Roman" w:cs="Times New Roman"/>
                <w:b/>
                <w:bCs/>
                <w:sz w:val="20"/>
                <w:szCs w:val="20"/>
              </w:rPr>
              <w:t xml:space="preserve">Total portfolio without guarantees </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6.0%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3.7%</w:t>
            </w:r>
          </w:p>
        </w:tc>
        <w:tc>
          <w:tcPr>
            <w:tcW w:w="59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4.7%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3.0%</w:t>
            </w:r>
          </w:p>
        </w:tc>
        <w:tc>
          <w:tcPr>
            <w:tcW w:w="475" w:type="pct"/>
            <w:tcBorders>
              <w:top w:val="single" w:sz="4" w:space="0" w:color="auto"/>
              <w:left w:val="single" w:sz="4" w:space="0" w:color="auto"/>
              <w:bottom w:val="single" w:sz="4" w:space="0" w:color="auto"/>
              <w:right w:val="single" w:sz="4" w:space="0" w:color="auto"/>
            </w:tcBorders>
            <w:shd w:val="clear" w:color="auto" w:fill="auto"/>
            <w:noWrap/>
            <w:vAlign w:val="bottom"/>
          </w:tcPr>
          <w:p w:rsidR="00C42014" w:rsidRPr="003571FD" w:rsidRDefault="00C42014" w:rsidP="005E4032">
            <w:pPr>
              <w:spacing w:after="0" w:line="240" w:lineRule="auto"/>
              <w:jc w:val="right"/>
              <w:rPr>
                <w:rFonts w:ascii="Times New Roman" w:hAnsi="Times New Roman" w:cs="Times New Roman"/>
                <w:sz w:val="20"/>
                <w:szCs w:val="20"/>
              </w:rPr>
            </w:pPr>
            <w:r w:rsidRPr="003571FD">
              <w:rPr>
                <w:rFonts w:ascii="Times New Roman" w:hAnsi="Times New Roman" w:cs="Times New Roman"/>
                <w:sz w:val="20"/>
                <w:szCs w:val="20"/>
              </w:rPr>
              <w:t>5.6%</w:t>
            </w:r>
          </w:p>
        </w:tc>
      </w:tr>
      <w:tr w:rsidR="00C42014" w:rsidRPr="003571FD" w:rsidTr="008A3E6C">
        <w:trPr>
          <w:trHeight w:val="334"/>
        </w:trPr>
        <w:tc>
          <w:tcPr>
            <w:tcW w:w="5000" w:type="pct"/>
            <w:gridSpan w:val="6"/>
            <w:tcBorders>
              <w:top w:val="single" w:sz="4" w:space="0" w:color="auto"/>
            </w:tcBorders>
            <w:shd w:val="clear" w:color="auto" w:fill="auto"/>
            <w:noWrap/>
            <w:vAlign w:val="bottom"/>
          </w:tcPr>
          <w:p w:rsidR="00C42014" w:rsidRPr="003571FD" w:rsidRDefault="00C42014" w:rsidP="00C42014">
            <w:pPr>
              <w:spacing w:after="0" w:line="240" w:lineRule="auto"/>
              <w:rPr>
                <w:rFonts w:ascii="Times New Roman" w:hAnsi="Times New Roman" w:cs="Times New Roman"/>
                <w:sz w:val="20"/>
                <w:szCs w:val="20"/>
              </w:rPr>
            </w:pPr>
            <w:r w:rsidRPr="003571FD">
              <w:rPr>
                <w:rFonts w:ascii="Times New Roman" w:hAnsi="Times New Roman" w:cs="Times New Roman"/>
                <w:i/>
                <w:sz w:val="18"/>
                <w:szCs w:val="24"/>
              </w:rPr>
              <w:t>Source: ASFI.</w:t>
            </w:r>
          </w:p>
        </w:tc>
      </w:tr>
    </w:tbl>
    <w:p w:rsidR="00801E58" w:rsidRPr="003571FD" w:rsidRDefault="00801E58" w:rsidP="00C42014">
      <w:pPr>
        <w:jc w:val="both"/>
        <w:rPr>
          <w:rFonts w:ascii="Times New Roman" w:hAnsi="Times New Roman" w:cs="Times New Roman"/>
          <w:b/>
          <w:sz w:val="24"/>
          <w:szCs w:val="24"/>
        </w:rPr>
      </w:pPr>
    </w:p>
    <w:p w:rsidR="00C42014" w:rsidRPr="003571FD" w:rsidRDefault="00C42014"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There are very strong restrictions for firms to pledge real estate properties as collateral, especially in rural areas.</w:t>
      </w:r>
      <w:r w:rsidRPr="003571FD">
        <w:rPr>
          <w:rFonts w:ascii="Times New Roman" w:hAnsi="Times New Roman" w:cs="Times New Roman"/>
          <w:sz w:val="24"/>
          <w:szCs w:val="24"/>
        </w:rPr>
        <w:t xml:space="preserve"> Urban properties oftentimes cannot be pledged as collateral as the information on the titles is not up to date. In rural areas, the use of real estate as collateral is constrained </w:t>
      </w:r>
      <w:r w:rsidR="00E04F44" w:rsidRPr="003571FD">
        <w:rPr>
          <w:rFonts w:ascii="Times New Roman" w:hAnsi="Times New Roman" w:cs="Times New Roman"/>
          <w:sz w:val="24"/>
          <w:szCs w:val="24"/>
        </w:rPr>
        <w:t xml:space="preserve">for small properties </w:t>
      </w:r>
      <w:r w:rsidR="00620426" w:rsidRPr="003571FD">
        <w:rPr>
          <w:rFonts w:ascii="Times New Roman" w:hAnsi="Times New Roman" w:cs="Times New Roman"/>
          <w:sz w:val="24"/>
          <w:szCs w:val="24"/>
        </w:rPr>
        <w:t>due to</w:t>
      </w:r>
      <w:r w:rsidR="00E04F44" w:rsidRPr="003571FD">
        <w:rPr>
          <w:rFonts w:ascii="Times New Roman" w:hAnsi="Times New Roman" w:cs="Times New Roman"/>
          <w:sz w:val="24"/>
          <w:szCs w:val="24"/>
        </w:rPr>
        <w:t xml:space="preserve"> </w:t>
      </w:r>
      <w:r w:rsidR="00620426" w:rsidRPr="003571FD">
        <w:rPr>
          <w:rFonts w:ascii="Times New Roman" w:hAnsi="Times New Roman" w:cs="Times New Roman"/>
          <w:sz w:val="24"/>
          <w:szCs w:val="24"/>
        </w:rPr>
        <w:t>agricultural reform legislation since 1952 which restricts owners of small lands with regard to the sale an</w:t>
      </w:r>
      <w:r w:rsidR="00CA553E" w:rsidRPr="003571FD">
        <w:rPr>
          <w:rFonts w:ascii="Times New Roman" w:hAnsi="Times New Roman" w:cs="Times New Roman"/>
          <w:sz w:val="24"/>
          <w:szCs w:val="24"/>
        </w:rPr>
        <w:t>d</w:t>
      </w:r>
      <w:r w:rsidR="00620426" w:rsidRPr="003571FD">
        <w:rPr>
          <w:rFonts w:ascii="Times New Roman" w:hAnsi="Times New Roman" w:cs="Times New Roman"/>
          <w:sz w:val="24"/>
          <w:szCs w:val="24"/>
        </w:rPr>
        <w:t xml:space="preserve"> mortgaging of their land, and for larger properties </w:t>
      </w:r>
      <w:r w:rsidRPr="003571FD">
        <w:rPr>
          <w:rFonts w:ascii="Times New Roman" w:hAnsi="Times New Roman" w:cs="Times New Roman"/>
          <w:sz w:val="24"/>
          <w:szCs w:val="24"/>
        </w:rPr>
        <w:t xml:space="preserve">through the new Constitution and recent agrarian reform legislation, which subordinate </w:t>
      </w:r>
      <w:r w:rsidR="00620426" w:rsidRPr="003571FD">
        <w:rPr>
          <w:rFonts w:ascii="Times New Roman" w:hAnsi="Times New Roman" w:cs="Times New Roman"/>
          <w:sz w:val="24"/>
          <w:szCs w:val="24"/>
        </w:rPr>
        <w:t xml:space="preserve">larger </w:t>
      </w:r>
      <w:r w:rsidRPr="003571FD">
        <w:rPr>
          <w:rFonts w:ascii="Times New Roman" w:hAnsi="Times New Roman" w:cs="Times New Roman"/>
          <w:sz w:val="24"/>
          <w:szCs w:val="24"/>
        </w:rPr>
        <w:t>propert</w:t>
      </w:r>
      <w:r w:rsidR="00620426" w:rsidRPr="003571FD">
        <w:rPr>
          <w:rFonts w:ascii="Times New Roman" w:hAnsi="Times New Roman" w:cs="Times New Roman"/>
          <w:sz w:val="24"/>
          <w:szCs w:val="24"/>
        </w:rPr>
        <w:t>ies</w:t>
      </w:r>
      <w:r w:rsidRPr="003571FD">
        <w:rPr>
          <w:rFonts w:ascii="Times New Roman" w:hAnsi="Times New Roman" w:cs="Times New Roman"/>
          <w:sz w:val="24"/>
          <w:szCs w:val="24"/>
        </w:rPr>
        <w:t xml:space="preserve"> to the obligation of owners to use properties in line with their social and economic role</w:t>
      </w:r>
      <w:r w:rsidRPr="003571FD">
        <w:rPr>
          <w:rStyle w:val="FootnoteReference"/>
          <w:rFonts w:ascii="Times New Roman" w:hAnsi="Times New Roman" w:cs="Times New Roman"/>
          <w:sz w:val="24"/>
          <w:szCs w:val="24"/>
        </w:rPr>
        <w:footnoteReference w:id="111"/>
      </w:r>
      <w:r w:rsidR="007939A3">
        <w:rPr>
          <w:rFonts w:ascii="Times New Roman" w:hAnsi="Times New Roman" w:cs="Times New Roman"/>
          <w:sz w:val="24"/>
          <w:szCs w:val="24"/>
        </w:rPr>
        <w:t>.</w:t>
      </w:r>
      <w:r w:rsidRPr="003571FD">
        <w:rPr>
          <w:rFonts w:ascii="Times New Roman" w:hAnsi="Times New Roman" w:cs="Times New Roman"/>
          <w:sz w:val="24"/>
          <w:szCs w:val="24"/>
        </w:rPr>
        <w:t xml:space="preserve"> The compliance with this requirement is verified every two years by the </w:t>
      </w:r>
      <w:r w:rsidRPr="003571FD">
        <w:rPr>
          <w:rFonts w:ascii="Times New Roman" w:hAnsi="Times New Roman" w:cs="Times New Roman"/>
          <w:sz w:val="24"/>
          <w:szCs w:val="24"/>
        </w:rPr>
        <w:lastRenderedPageBreak/>
        <w:t xml:space="preserve">government, but it is not clear on which basis the adherence to this role is measured. At the current stage, these restrictions on the property rights on rural land hinder financial institutions from granting larger loans to farms and to rural businesses. Some of the entities interviewed in the course of this work mentioned, that these limitations on the </w:t>
      </w:r>
      <w:r w:rsidR="00B13171" w:rsidRPr="003571FD">
        <w:rPr>
          <w:rFonts w:ascii="Times New Roman" w:hAnsi="Times New Roman" w:cs="Times New Roman"/>
          <w:sz w:val="24"/>
          <w:szCs w:val="24"/>
        </w:rPr>
        <w:t xml:space="preserve">growth of the credit portfolio </w:t>
      </w:r>
      <w:r w:rsidRPr="003571FD">
        <w:rPr>
          <w:rFonts w:ascii="Times New Roman" w:hAnsi="Times New Roman" w:cs="Times New Roman"/>
          <w:sz w:val="24"/>
          <w:szCs w:val="24"/>
        </w:rPr>
        <w:t>prevents them from opening branches in rural areas, because they would not be able to break even.</w:t>
      </w:r>
    </w:p>
    <w:p w:rsidR="00801E58" w:rsidRPr="003571FD" w:rsidRDefault="00801E58" w:rsidP="00801E58">
      <w:pPr>
        <w:pStyle w:val="ListParagraph"/>
        <w:ind w:left="360"/>
        <w:jc w:val="both"/>
        <w:rPr>
          <w:rFonts w:ascii="Times New Roman" w:hAnsi="Times New Roman" w:cs="Times New Roman"/>
          <w:sz w:val="24"/>
          <w:szCs w:val="24"/>
        </w:rPr>
      </w:pPr>
    </w:p>
    <w:p w:rsidR="00E22B37" w:rsidRPr="003571FD" w:rsidRDefault="00E22B37" w:rsidP="00CA07A0">
      <w:pPr>
        <w:pStyle w:val="ListParagraph"/>
        <w:numPr>
          <w:ilvl w:val="0"/>
          <w:numId w:val="6"/>
        </w:numPr>
        <w:jc w:val="both"/>
        <w:rPr>
          <w:rFonts w:ascii="Times New Roman" w:hAnsi="Times New Roman" w:cs="Times New Roman"/>
          <w:i/>
          <w:sz w:val="24"/>
          <w:szCs w:val="24"/>
        </w:rPr>
      </w:pPr>
      <w:r w:rsidRPr="003571FD">
        <w:rPr>
          <w:rFonts w:ascii="Times New Roman" w:hAnsi="Times New Roman" w:cs="Times New Roman"/>
          <w:i/>
          <w:sz w:val="24"/>
          <w:szCs w:val="24"/>
        </w:rPr>
        <w:t>Financial statements</w:t>
      </w:r>
      <w:r w:rsidR="00801E58" w:rsidRPr="003571FD">
        <w:rPr>
          <w:rFonts w:ascii="Times New Roman" w:hAnsi="Times New Roman" w:cs="Times New Roman"/>
          <w:i/>
          <w:sz w:val="24"/>
          <w:szCs w:val="24"/>
        </w:rPr>
        <w:t>:</w:t>
      </w:r>
    </w:p>
    <w:p w:rsidR="00801E58" w:rsidRPr="003571FD" w:rsidRDefault="00801E58" w:rsidP="00801E58">
      <w:pPr>
        <w:pStyle w:val="ListParagraph"/>
        <w:jc w:val="both"/>
        <w:rPr>
          <w:rFonts w:ascii="Times New Roman" w:hAnsi="Times New Roman" w:cs="Times New Roman"/>
          <w:i/>
          <w:sz w:val="24"/>
          <w:szCs w:val="24"/>
        </w:rPr>
      </w:pPr>
    </w:p>
    <w:p w:rsidR="00E22B37" w:rsidRPr="003571FD" w:rsidRDefault="00E22B37" w:rsidP="00CA07A0">
      <w:pPr>
        <w:pStyle w:val="ListParagraph"/>
        <w:numPr>
          <w:ilvl w:val="0"/>
          <w:numId w:val="8"/>
        </w:numPr>
        <w:spacing w:after="240"/>
        <w:jc w:val="both"/>
        <w:rPr>
          <w:rFonts w:ascii="Times New Roman" w:hAnsi="Times New Roman"/>
          <w:sz w:val="24"/>
        </w:rPr>
      </w:pPr>
      <w:r w:rsidRPr="003571FD">
        <w:rPr>
          <w:rFonts w:ascii="Times New Roman" w:hAnsi="Times New Roman"/>
          <w:b/>
          <w:sz w:val="24"/>
        </w:rPr>
        <w:t xml:space="preserve">As in many other countries, financial statements of MSMEs either are not available or are not reliable. </w:t>
      </w:r>
      <w:r w:rsidRPr="003571FD">
        <w:rPr>
          <w:rFonts w:ascii="Times New Roman" w:hAnsi="Times New Roman"/>
          <w:sz w:val="24"/>
        </w:rPr>
        <w:t>It is a common problem in developing countries that micro and small enterprises lack reliable financial statements that can reveal their true financial position and income situation. A similar situation exists in</w:t>
      </w:r>
      <w:r w:rsidRPr="003571FD">
        <w:rPr>
          <w:sz w:val="24"/>
        </w:rPr>
        <w:t xml:space="preserve"> </w:t>
      </w:r>
      <w:r w:rsidR="00525F02" w:rsidRPr="003571FD">
        <w:rPr>
          <w:rFonts w:ascii="Times New Roman" w:hAnsi="Times New Roman"/>
          <w:sz w:val="24"/>
        </w:rPr>
        <w:t xml:space="preserve">Bolivia. The </w:t>
      </w:r>
      <w:r w:rsidR="00CA553E" w:rsidRPr="003571FD">
        <w:rPr>
          <w:rFonts w:ascii="Times New Roman" w:hAnsi="Times New Roman"/>
          <w:sz w:val="24"/>
        </w:rPr>
        <w:t xml:space="preserve">Bank’s </w:t>
      </w:r>
      <w:r w:rsidR="00525F02" w:rsidRPr="003571FD">
        <w:rPr>
          <w:rFonts w:ascii="Times New Roman" w:hAnsi="Times New Roman"/>
          <w:sz w:val="24"/>
        </w:rPr>
        <w:t>Enterprise S</w:t>
      </w:r>
      <w:r w:rsidRPr="003571FD">
        <w:rPr>
          <w:rFonts w:ascii="Times New Roman" w:hAnsi="Times New Roman"/>
          <w:sz w:val="24"/>
        </w:rPr>
        <w:t>urvey</w:t>
      </w:r>
      <w:r w:rsidR="00CA553E" w:rsidRPr="003571FD">
        <w:rPr>
          <w:rFonts w:ascii="Times New Roman" w:hAnsi="Times New Roman"/>
          <w:sz w:val="24"/>
        </w:rPr>
        <w:t>s</w:t>
      </w:r>
      <w:r w:rsidRPr="003571FD">
        <w:rPr>
          <w:rFonts w:ascii="Times New Roman" w:hAnsi="Times New Roman"/>
          <w:sz w:val="24"/>
        </w:rPr>
        <w:t xml:space="preserve"> </w:t>
      </w:r>
      <w:r w:rsidR="00CA553E" w:rsidRPr="003571FD">
        <w:rPr>
          <w:rFonts w:ascii="Times New Roman" w:hAnsi="Times New Roman"/>
          <w:sz w:val="24"/>
        </w:rPr>
        <w:t xml:space="preserve">(2006) </w:t>
      </w:r>
      <w:r w:rsidRPr="003571FD">
        <w:rPr>
          <w:rFonts w:ascii="Times New Roman" w:hAnsi="Times New Roman"/>
          <w:sz w:val="24"/>
        </w:rPr>
        <w:t>show that over 70 percent of the interviewed formal enterprises had audited financial statements available, which is high for both the region (around 50 percent) and worldwide (46 percent). Yet, at the same time, over 50 percent of the interviewed companies agreed that the financial accounts likely understate the true income for tax purposes, thus do not reliably reflect the actual situation and income generation capacity of the company.</w:t>
      </w:r>
      <w:r w:rsidR="00B07DFB" w:rsidRPr="003571FD">
        <w:rPr>
          <w:rFonts w:ascii="Times New Roman" w:hAnsi="Times New Roman"/>
          <w:sz w:val="24"/>
        </w:rPr>
        <w:t xml:space="preserve"> </w:t>
      </w:r>
    </w:p>
    <w:p w:rsidR="00801E58" w:rsidRPr="003571FD" w:rsidRDefault="00801E58" w:rsidP="00801E58">
      <w:pPr>
        <w:pStyle w:val="ListParagraph"/>
        <w:ind w:left="360"/>
        <w:jc w:val="both"/>
        <w:rPr>
          <w:rFonts w:ascii="Times New Roman" w:hAnsi="Times New Roman"/>
          <w:sz w:val="24"/>
        </w:rPr>
      </w:pPr>
    </w:p>
    <w:p w:rsidR="00801E58" w:rsidRPr="003571FD" w:rsidRDefault="00E22B37" w:rsidP="00CA07A0">
      <w:pPr>
        <w:pStyle w:val="ListParagraph"/>
        <w:numPr>
          <w:ilvl w:val="0"/>
          <w:numId w:val="8"/>
        </w:numPr>
        <w:spacing w:after="240"/>
        <w:jc w:val="both"/>
        <w:rPr>
          <w:rFonts w:ascii="Times New Roman" w:hAnsi="Times New Roman" w:cs="Times"/>
          <w:sz w:val="24"/>
          <w:szCs w:val="24"/>
        </w:rPr>
      </w:pPr>
      <w:r w:rsidRPr="003571FD">
        <w:rPr>
          <w:rFonts w:ascii="Times New Roman" w:hAnsi="Times New Roman"/>
          <w:b/>
          <w:sz w:val="24"/>
        </w:rPr>
        <w:t>On the other hand, a large number of micro and small enterprises do not even have basic accounting practice</w:t>
      </w:r>
      <w:r w:rsidR="00BF34E0">
        <w:rPr>
          <w:rFonts w:ascii="Times New Roman" w:hAnsi="Times New Roman"/>
          <w:b/>
          <w:sz w:val="24"/>
        </w:rPr>
        <w:t>s</w:t>
      </w:r>
      <w:r w:rsidRPr="003571FD">
        <w:rPr>
          <w:rFonts w:ascii="Times New Roman" w:hAnsi="Times New Roman"/>
          <w:b/>
          <w:sz w:val="24"/>
        </w:rPr>
        <w:t xml:space="preserve"> in place.</w:t>
      </w:r>
      <w:r w:rsidRPr="003571FD">
        <w:rPr>
          <w:rFonts w:ascii="Times New Roman" w:hAnsi="Times New Roman"/>
          <w:sz w:val="24"/>
        </w:rPr>
        <w:t xml:space="preserve"> Many MSMEs do not have to report their financial situation for tax purposes and are thus in many instances not familiar with tracking their income and expenses at all</w:t>
      </w:r>
      <w:r w:rsidRPr="003571FD">
        <w:rPr>
          <w:rStyle w:val="FootnoteReference"/>
          <w:rFonts w:ascii="Times New Roman" w:hAnsi="Times New Roman"/>
          <w:sz w:val="24"/>
        </w:rPr>
        <w:footnoteReference w:id="112"/>
      </w:r>
      <w:r w:rsidR="00BF34E0">
        <w:rPr>
          <w:rFonts w:ascii="Times New Roman" w:hAnsi="Times New Roman"/>
          <w:sz w:val="24"/>
        </w:rPr>
        <w:t>.</w:t>
      </w:r>
      <w:r w:rsidRPr="003571FD">
        <w:rPr>
          <w:rFonts w:ascii="Times New Roman" w:hAnsi="Times New Roman"/>
          <w:sz w:val="24"/>
        </w:rPr>
        <w:t xml:space="preserve"> </w:t>
      </w:r>
      <w:r w:rsidRPr="003571FD">
        <w:rPr>
          <w:rFonts w:ascii="Times New Roman" w:hAnsi="Times New Roman" w:cs="Times"/>
          <w:sz w:val="24"/>
        </w:rPr>
        <w:t xml:space="preserve">As can be seen in </w:t>
      </w:r>
      <w:r w:rsidR="00B13171" w:rsidRPr="003571FD">
        <w:rPr>
          <w:rFonts w:ascii="Times New Roman" w:hAnsi="Times New Roman" w:cs="Times"/>
          <w:sz w:val="24"/>
        </w:rPr>
        <w:t>Table 1</w:t>
      </w:r>
      <w:r w:rsidR="00E57E09" w:rsidRPr="003571FD">
        <w:rPr>
          <w:rFonts w:ascii="Times New Roman" w:hAnsi="Times New Roman" w:cs="Times"/>
          <w:sz w:val="24"/>
        </w:rPr>
        <w:t>2</w:t>
      </w:r>
      <w:r w:rsidRPr="003571FD">
        <w:rPr>
          <w:rFonts w:ascii="Times New Roman" w:hAnsi="Times New Roman" w:cs="Times"/>
          <w:sz w:val="24"/>
        </w:rPr>
        <w:t xml:space="preserve"> on page </w:t>
      </w:r>
      <w:r w:rsidR="002A5BF9" w:rsidRPr="003571FD">
        <w:rPr>
          <w:rFonts w:ascii="Times New Roman" w:hAnsi="Times New Roman" w:cs="Times"/>
          <w:sz w:val="24"/>
        </w:rPr>
        <w:t>65,</w:t>
      </w:r>
      <w:r w:rsidRPr="003571FD">
        <w:rPr>
          <w:rFonts w:ascii="Times New Roman" w:hAnsi="Times New Roman" w:cs="Times"/>
          <w:sz w:val="24"/>
        </w:rPr>
        <w:t xml:space="preserve"> only a small fraction of the enterprises actually keep book regularly, while the majority uses rudimentary and incomplete accounting techniques to track or partially monitor their expenses and income. Furthermore, many enterprises do not provide the clients with a receipt, and as a result will likely not be able to provide a reliable overview over their sales during a given time period. Finally, as indicated during discussions with producer associations, visited enterprises and financial institutions, many enterprises rely on verbal contracts, which can neither be enforced nor used as proof of pending income. The lack of financial information reflects </w:t>
      </w:r>
      <w:r w:rsidR="00D56D24">
        <w:rPr>
          <w:rFonts w:ascii="Times New Roman" w:hAnsi="Times New Roman" w:cs="Times"/>
          <w:sz w:val="24"/>
        </w:rPr>
        <w:t xml:space="preserve">in part </w:t>
      </w:r>
      <w:r w:rsidRPr="003571FD">
        <w:rPr>
          <w:rFonts w:ascii="Times New Roman" w:hAnsi="Times New Roman" w:cs="Times"/>
          <w:sz w:val="24"/>
        </w:rPr>
        <w:t xml:space="preserve">the level of informality of the enterprises, but also deficient entrepreneurial skills of the owners. Without reliable written information, an assessment of the financial situation and repayment capacity has to be reconstructed by the loan officer during the visit, implying more labor and time intensive micro-finance techniques, and thus adds cost. It likely will also negatively impact the </w:t>
      </w:r>
      <w:r w:rsidRPr="003571FD">
        <w:rPr>
          <w:rFonts w:ascii="Times New Roman" w:hAnsi="Times New Roman" w:cs="Times"/>
          <w:sz w:val="24"/>
          <w:szCs w:val="24"/>
        </w:rPr>
        <w:t>size and term structure of the offered loan.</w:t>
      </w:r>
      <w:r w:rsidRPr="003571FD">
        <w:rPr>
          <w:rFonts w:ascii="Times New Roman" w:hAnsi="Times New Roman" w:cs="Times"/>
          <w:b/>
          <w:sz w:val="24"/>
          <w:szCs w:val="24"/>
        </w:rPr>
        <w:t xml:space="preserve"> </w:t>
      </w:r>
    </w:p>
    <w:p w:rsidR="008A3E6C" w:rsidRDefault="008A3E6C" w:rsidP="005411D5">
      <w:pPr>
        <w:pStyle w:val="ListParagraph"/>
        <w:spacing w:after="240"/>
        <w:ind w:left="0"/>
        <w:jc w:val="both"/>
        <w:rPr>
          <w:rFonts w:ascii="Times New Roman" w:hAnsi="Times New Roman"/>
          <w:b/>
          <w:sz w:val="24"/>
        </w:rPr>
      </w:pPr>
    </w:p>
    <w:p w:rsidR="008A3E6C" w:rsidRDefault="008A3E6C" w:rsidP="005411D5">
      <w:pPr>
        <w:pStyle w:val="ListParagraph"/>
        <w:spacing w:after="240"/>
        <w:ind w:left="0"/>
        <w:jc w:val="both"/>
        <w:rPr>
          <w:rFonts w:ascii="Times New Roman" w:hAnsi="Times New Roman"/>
          <w:b/>
          <w:sz w:val="24"/>
        </w:rPr>
      </w:pPr>
    </w:p>
    <w:p w:rsidR="008A3E6C" w:rsidRDefault="008A3E6C" w:rsidP="005411D5">
      <w:pPr>
        <w:pStyle w:val="ListParagraph"/>
        <w:spacing w:after="240"/>
        <w:ind w:left="0"/>
        <w:jc w:val="both"/>
        <w:rPr>
          <w:rFonts w:ascii="Times New Roman" w:hAnsi="Times New Roman"/>
          <w:b/>
          <w:sz w:val="24"/>
        </w:rPr>
      </w:pPr>
    </w:p>
    <w:p w:rsidR="008A3E6C" w:rsidRDefault="008A3E6C" w:rsidP="005411D5">
      <w:pPr>
        <w:pStyle w:val="ListParagraph"/>
        <w:spacing w:after="240"/>
        <w:ind w:left="0"/>
        <w:jc w:val="both"/>
        <w:rPr>
          <w:rFonts w:ascii="Times New Roman" w:hAnsi="Times New Roman"/>
          <w:b/>
          <w:sz w:val="24"/>
        </w:rPr>
      </w:pPr>
    </w:p>
    <w:p w:rsidR="00E22B37" w:rsidRPr="003571FD" w:rsidRDefault="00E22B37" w:rsidP="00CA07A0">
      <w:pPr>
        <w:pStyle w:val="ListParagraph"/>
        <w:numPr>
          <w:ilvl w:val="0"/>
          <w:numId w:val="6"/>
        </w:numPr>
        <w:jc w:val="both"/>
        <w:rPr>
          <w:rFonts w:ascii="Times New Roman" w:hAnsi="Times New Roman" w:cs="Times New Roman"/>
          <w:i/>
          <w:sz w:val="24"/>
          <w:szCs w:val="24"/>
        </w:rPr>
      </w:pPr>
      <w:r w:rsidRPr="003571FD">
        <w:rPr>
          <w:rFonts w:ascii="Times New Roman" w:hAnsi="Times New Roman" w:cs="Times New Roman"/>
          <w:i/>
          <w:sz w:val="24"/>
          <w:szCs w:val="24"/>
        </w:rPr>
        <w:lastRenderedPageBreak/>
        <w:t>Credit bureau infrastructure</w:t>
      </w:r>
      <w:r w:rsidR="00801E58" w:rsidRPr="003571FD">
        <w:rPr>
          <w:rFonts w:ascii="Times New Roman" w:hAnsi="Times New Roman" w:cs="Times New Roman"/>
          <w:i/>
          <w:sz w:val="24"/>
          <w:szCs w:val="24"/>
        </w:rPr>
        <w:t>:</w:t>
      </w:r>
    </w:p>
    <w:p w:rsidR="00801E58" w:rsidRPr="003571FD" w:rsidRDefault="00801E58" w:rsidP="00801E58">
      <w:pPr>
        <w:pStyle w:val="ListParagraph"/>
        <w:jc w:val="both"/>
        <w:rPr>
          <w:rFonts w:ascii="Times New Roman" w:hAnsi="Times New Roman" w:cs="Times New Roman"/>
          <w:i/>
          <w:sz w:val="24"/>
          <w:szCs w:val="24"/>
        </w:rPr>
      </w:pPr>
    </w:p>
    <w:p w:rsidR="00E22B37" w:rsidRPr="003571FD" w:rsidRDefault="00E22B37" w:rsidP="00CA07A0">
      <w:pPr>
        <w:pStyle w:val="ListParagraph"/>
        <w:numPr>
          <w:ilvl w:val="0"/>
          <w:numId w:val="8"/>
        </w:numPr>
        <w:spacing w:after="240"/>
        <w:jc w:val="both"/>
        <w:rPr>
          <w:rFonts w:ascii="Times New Roman" w:hAnsi="Times New Roman"/>
          <w:sz w:val="24"/>
          <w:szCs w:val="24"/>
        </w:rPr>
      </w:pPr>
      <w:r w:rsidRPr="003571FD">
        <w:rPr>
          <w:rFonts w:ascii="Times New Roman" w:hAnsi="Times New Roman"/>
          <w:b/>
          <w:sz w:val="24"/>
          <w:szCs w:val="24"/>
        </w:rPr>
        <w:t>Credit bureaus can play a crucial part to overcome informational asymmetries, and as such particularly facilitate reaching out to new customers.</w:t>
      </w:r>
      <w:r w:rsidRPr="003571FD">
        <w:rPr>
          <w:rFonts w:ascii="Times New Roman" w:hAnsi="Times New Roman"/>
          <w:sz w:val="24"/>
          <w:szCs w:val="24"/>
        </w:rPr>
        <w:t xml:space="preserve"> Providing a broad range of information on a potential or already existing client can facilitate the client’s eligibility for credit by (</w:t>
      </w:r>
      <w:proofErr w:type="spellStart"/>
      <w:r w:rsidRPr="003571FD">
        <w:rPr>
          <w:rFonts w:ascii="Times New Roman" w:hAnsi="Times New Roman"/>
          <w:sz w:val="24"/>
          <w:szCs w:val="24"/>
        </w:rPr>
        <w:t>i</w:t>
      </w:r>
      <w:proofErr w:type="spellEnd"/>
      <w:r w:rsidRPr="003571FD">
        <w:rPr>
          <w:rFonts w:ascii="Times New Roman" w:hAnsi="Times New Roman"/>
          <w:sz w:val="24"/>
          <w:szCs w:val="24"/>
        </w:rPr>
        <w:t xml:space="preserve">) lowering the costs for financial institutions to inquire about the client, or to assess the </w:t>
      </w:r>
      <w:r w:rsidR="00CA553E" w:rsidRPr="003571FD">
        <w:rPr>
          <w:rFonts w:ascii="Times New Roman" w:hAnsi="Times New Roman"/>
          <w:sz w:val="24"/>
          <w:szCs w:val="24"/>
        </w:rPr>
        <w:t>borrower’s</w:t>
      </w:r>
      <w:r w:rsidRPr="003571FD">
        <w:rPr>
          <w:rFonts w:ascii="Times New Roman" w:hAnsi="Times New Roman"/>
          <w:sz w:val="24"/>
          <w:szCs w:val="24"/>
        </w:rPr>
        <w:t xml:space="preserve"> historical repayment capacity, and (ii) reducing the need and amount of required collateral for clients who are seeking credit. The information provided in credit bureaus is also useful for developing additional services, such as for example scoring models and market analysis, which can also facilitate a client’s eligibility for credit. </w:t>
      </w:r>
    </w:p>
    <w:p w:rsidR="00801E58" w:rsidRPr="003571FD" w:rsidRDefault="00801E58" w:rsidP="00801E58">
      <w:pPr>
        <w:pStyle w:val="ListParagraph"/>
        <w:ind w:left="360"/>
        <w:jc w:val="both"/>
        <w:rPr>
          <w:rFonts w:ascii="Times New Roman" w:hAnsi="Times New Roman"/>
          <w:sz w:val="24"/>
          <w:szCs w:val="24"/>
        </w:rPr>
      </w:pPr>
    </w:p>
    <w:p w:rsidR="00E22B37" w:rsidRPr="003571FD" w:rsidRDefault="00E22B37" w:rsidP="00CA07A0">
      <w:pPr>
        <w:pStyle w:val="ListParagraph"/>
        <w:numPr>
          <w:ilvl w:val="0"/>
          <w:numId w:val="8"/>
        </w:numPr>
        <w:spacing w:after="240"/>
        <w:jc w:val="both"/>
        <w:rPr>
          <w:rFonts w:ascii="Times New Roman" w:hAnsi="Times New Roman"/>
          <w:sz w:val="24"/>
          <w:szCs w:val="24"/>
        </w:rPr>
      </w:pPr>
      <w:r w:rsidRPr="003571FD">
        <w:rPr>
          <w:rFonts w:ascii="Times New Roman" w:hAnsi="Times New Roman"/>
          <w:b/>
          <w:sz w:val="24"/>
          <w:szCs w:val="24"/>
        </w:rPr>
        <w:t>Despite progress made in the last few years and receiving high marks in international benchmarks for its coverage, the credit bureau infrastructure in Bolivia is still fragmented, and only provides information on a segment of already banked client’s credit and repayment history</w:t>
      </w:r>
      <w:r w:rsidRPr="003571FD">
        <w:rPr>
          <w:rStyle w:val="FootnoteReference"/>
          <w:rFonts w:ascii="Times New Roman" w:hAnsi="Times New Roman"/>
          <w:b/>
          <w:sz w:val="24"/>
          <w:szCs w:val="24"/>
        </w:rPr>
        <w:footnoteReference w:id="113"/>
      </w:r>
      <w:r w:rsidRPr="003571FD">
        <w:rPr>
          <w:rFonts w:ascii="Times New Roman" w:hAnsi="Times New Roman"/>
          <w:sz w:val="24"/>
          <w:szCs w:val="24"/>
        </w:rPr>
        <w:t xml:space="preserve">. As can be seen in Chart </w:t>
      </w:r>
      <w:r w:rsidR="002A5BF9" w:rsidRPr="003571FD">
        <w:rPr>
          <w:rFonts w:ascii="Times New Roman" w:hAnsi="Times New Roman"/>
          <w:sz w:val="24"/>
          <w:szCs w:val="24"/>
        </w:rPr>
        <w:t>21</w:t>
      </w:r>
      <w:r w:rsidRPr="003571FD">
        <w:rPr>
          <w:rFonts w:ascii="Times New Roman" w:hAnsi="Times New Roman"/>
          <w:sz w:val="24"/>
          <w:szCs w:val="24"/>
        </w:rPr>
        <w:t>, there are currently 3 credit information entities operational in Bolivia, which collect both positive and negative credit related information. The “</w:t>
      </w:r>
      <w:r w:rsidRPr="003571FD">
        <w:rPr>
          <w:rFonts w:ascii="Times New Roman" w:hAnsi="Times New Roman"/>
          <w:i/>
          <w:sz w:val="24"/>
          <w:szCs w:val="24"/>
        </w:rPr>
        <w:t xml:space="preserve">Central de </w:t>
      </w:r>
      <w:proofErr w:type="spellStart"/>
      <w:r w:rsidRPr="003571FD">
        <w:rPr>
          <w:rFonts w:ascii="Times New Roman" w:hAnsi="Times New Roman"/>
          <w:i/>
          <w:sz w:val="24"/>
          <w:szCs w:val="24"/>
        </w:rPr>
        <w:t>Informacion</w:t>
      </w:r>
      <w:proofErr w:type="spellEnd"/>
      <w:r w:rsidRPr="003571FD">
        <w:rPr>
          <w:rFonts w:ascii="Times New Roman" w:hAnsi="Times New Roman"/>
          <w:i/>
          <w:sz w:val="24"/>
          <w:szCs w:val="24"/>
        </w:rPr>
        <w:t xml:space="preserve"> de </w:t>
      </w:r>
      <w:proofErr w:type="spellStart"/>
      <w:r w:rsidRPr="003571FD">
        <w:rPr>
          <w:rFonts w:ascii="Times New Roman" w:hAnsi="Times New Roman"/>
          <w:i/>
          <w:sz w:val="24"/>
          <w:szCs w:val="24"/>
        </w:rPr>
        <w:t>Riesgo</w:t>
      </w:r>
      <w:proofErr w:type="spellEnd"/>
      <w:r w:rsidRPr="003571FD">
        <w:rPr>
          <w:rFonts w:ascii="Times New Roman" w:hAnsi="Times New Roman"/>
          <w:i/>
          <w:sz w:val="24"/>
          <w:szCs w:val="24"/>
        </w:rPr>
        <w:t xml:space="preserve"> </w:t>
      </w:r>
      <w:proofErr w:type="spellStart"/>
      <w:r w:rsidRPr="003571FD">
        <w:rPr>
          <w:rFonts w:ascii="Times New Roman" w:hAnsi="Times New Roman"/>
          <w:i/>
          <w:sz w:val="24"/>
          <w:szCs w:val="24"/>
        </w:rPr>
        <w:t>Crediticio</w:t>
      </w:r>
      <w:proofErr w:type="spellEnd"/>
      <w:r w:rsidRPr="003571FD">
        <w:rPr>
          <w:rFonts w:ascii="Times New Roman" w:hAnsi="Times New Roman"/>
          <w:sz w:val="24"/>
          <w:szCs w:val="24"/>
        </w:rPr>
        <w:t>”, which is operated by ASFI, collects data for supervisory purposes to determine the level of debt in the regulated financial system</w:t>
      </w:r>
      <w:r w:rsidRPr="003571FD">
        <w:rPr>
          <w:rStyle w:val="FootnoteReference"/>
          <w:rFonts w:ascii="Times New Roman" w:hAnsi="Times New Roman"/>
          <w:sz w:val="24"/>
          <w:szCs w:val="24"/>
        </w:rPr>
        <w:footnoteReference w:id="114"/>
      </w:r>
      <w:r w:rsidRPr="003571FD">
        <w:rPr>
          <w:rFonts w:ascii="Times New Roman" w:hAnsi="Times New Roman"/>
          <w:sz w:val="24"/>
          <w:szCs w:val="24"/>
        </w:rPr>
        <w:t>. There also exist two private credit bureaus</w:t>
      </w:r>
      <w:r w:rsidRPr="003571FD">
        <w:rPr>
          <w:rStyle w:val="FootnoteReference"/>
          <w:rFonts w:ascii="Times New Roman" w:hAnsi="Times New Roman"/>
          <w:sz w:val="24"/>
          <w:szCs w:val="24"/>
        </w:rPr>
        <w:footnoteReference w:id="115"/>
      </w:r>
      <w:r w:rsidRPr="003571FD">
        <w:rPr>
          <w:rFonts w:ascii="Times New Roman" w:hAnsi="Times New Roman"/>
          <w:sz w:val="24"/>
          <w:szCs w:val="24"/>
        </w:rPr>
        <w:t xml:space="preserve">, which receive information on micro- and consumer credit from ASFI, while information on larger enterprise credits and mortgages is not transmitted and thus stays outside the private credit bureau sphere. One of the private credit bureaus also receives data from closed cooperatives and </w:t>
      </w:r>
      <w:r w:rsidR="00E8511E" w:rsidRPr="003571FD">
        <w:rPr>
          <w:rFonts w:ascii="Times New Roman" w:hAnsi="Times New Roman"/>
          <w:sz w:val="24"/>
          <w:szCs w:val="24"/>
        </w:rPr>
        <w:t>IFDs</w:t>
      </w:r>
      <w:r w:rsidRPr="003571FD">
        <w:rPr>
          <w:rFonts w:ascii="Times New Roman" w:hAnsi="Times New Roman"/>
          <w:sz w:val="24"/>
          <w:szCs w:val="24"/>
        </w:rPr>
        <w:t>, and the other from smaller commercial enterprises. The collected data is thus still fragmented, and financial institutions have to invest additional resources to compile a client</w:t>
      </w:r>
      <w:r w:rsidR="00B13171" w:rsidRPr="003571FD">
        <w:rPr>
          <w:rFonts w:ascii="Times New Roman" w:hAnsi="Times New Roman"/>
          <w:sz w:val="24"/>
          <w:szCs w:val="24"/>
        </w:rPr>
        <w:t>’</w:t>
      </w:r>
      <w:r w:rsidRPr="003571FD">
        <w:rPr>
          <w:rFonts w:ascii="Times New Roman" w:hAnsi="Times New Roman"/>
          <w:sz w:val="24"/>
          <w:szCs w:val="24"/>
        </w:rPr>
        <w:t>s historic data.</w:t>
      </w:r>
      <w:r w:rsidR="00B07DFB" w:rsidRPr="003571FD">
        <w:rPr>
          <w:rFonts w:ascii="Times New Roman" w:hAnsi="Times New Roman"/>
          <w:sz w:val="24"/>
          <w:szCs w:val="24"/>
        </w:rPr>
        <w:t xml:space="preserve"> </w:t>
      </w:r>
      <w:r w:rsidRPr="003571FD">
        <w:rPr>
          <w:rFonts w:ascii="Times New Roman" w:hAnsi="Times New Roman"/>
          <w:sz w:val="24"/>
          <w:szCs w:val="24"/>
        </w:rPr>
        <w:t xml:space="preserve">Furthermore, the credit bureaus do not collect additional positive information from i.e. utilities, social security agencies or telecommunications companies, but only capture already banked customers. Having data on unbanked clients could considerably facilitate the identification of new potential clients and thus the outreach of the financial sector. </w:t>
      </w:r>
    </w:p>
    <w:p w:rsidR="008B67D0" w:rsidRPr="00795642" w:rsidRDefault="00E22B37" w:rsidP="008B67D0">
      <w:pPr>
        <w:keepNext/>
        <w:rPr>
          <w:rFonts w:ascii="Times New Roman" w:hAnsi="Times New Roman" w:cs="Times New Roman"/>
          <w:b/>
          <w:sz w:val="18"/>
        </w:rPr>
      </w:pPr>
      <w:bookmarkStart w:id="75" w:name="_Toc312317287"/>
      <w:r w:rsidRPr="00795642">
        <w:rPr>
          <w:rFonts w:ascii="Times New Roman" w:hAnsi="Times New Roman" w:cs="Times New Roman"/>
          <w:b/>
          <w:sz w:val="18"/>
        </w:rPr>
        <w:lastRenderedPageBreak/>
        <w:t xml:space="preserve">Chart </w:t>
      </w:r>
      <w:r w:rsidR="005744EE" w:rsidRPr="00795642">
        <w:rPr>
          <w:rFonts w:ascii="Times New Roman" w:hAnsi="Times New Roman" w:cs="Times New Roman"/>
          <w:b/>
          <w:sz w:val="18"/>
        </w:rPr>
        <w:fldChar w:fldCharType="begin"/>
      </w:r>
      <w:r w:rsidRPr="00795642">
        <w:rPr>
          <w:rFonts w:ascii="Times New Roman" w:hAnsi="Times New Roman" w:cs="Times New Roman"/>
          <w:b/>
          <w:sz w:val="18"/>
        </w:rPr>
        <w:instrText xml:space="preserve"> SEQ Chart \* ARABIC </w:instrText>
      </w:r>
      <w:r w:rsidR="005744EE" w:rsidRPr="00795642">
        <w:rPr>
          <w:rFonts w:ascii="Times New Roman" w:hAnsi="Times New Roman" w:cs="Times New Roman"/>
          <w:b/>
          <w:sz w:val="18"/>
        </w:rPr>
        <w:fldChar w:fldCharType="separate"/>
      </w:r>
      <w:r w:rsidR="00064A1B" w:rsidRPr="00795642">
        <w:rPr>
          <w:rFonts w:ascii="Times New Roman" w:hAnsi="Times New Roman" w:cs="Times New Roman"/>
          <w:b/>
          <w:noProof/>
          <w:sz w:val="18"/>
        </w:rPr>
        <w:t>21</w:t>
      </w:r>
      <w:r w:rsidR="005744EE" w:rsidRPr="00795642">
        <w:rPr>
          <w:rFonts w:ascii="Times New Roman" w:hAnsi="Times New Roman" w:cs="Times New Roman"/>
          <w:b/>
          <w:sz w:val="18"/>
        </w:rPr>
        <w:fldChar w:fldCharType="end"/>
      </w:r>
      <w:r w:rsidRPr="00795642">
        <w:rPr>
          <w:rFonts w:ascii="Times New Roman" w:hAnsi="Times New Roman" w:cs="Times New Roman"/>
          <w:b/>
          <w:sz w:val="18"/>
        </w:rPr>
        <w:t>: An overview over the credit bureau infrastructure in Bolivia</w:t>
      </w:r>
      <w:bookmarkEnd w:id="75"/>
      <w:r w:rsidR="008B67D0" w:rsidRPr="00795642">
        <w:rPr>
          <w:rFonts w:ascii="Times New Roman" w:hAnsi="Times New Roman" w:cs="Times New Roman"/>
          <w:b/>
          <w:sz w:val="18"/>
        </w:rPr>
        <w:t xml:space="preserve"> </w:t>
      </w:r>
    </w:p>
    <w:p w:rsidR="00E22B37" w:rsidRPr="003571FD" w:rsidRDefault="00E22B37" w:rsidP="008B67D0">
      <w:pPr>
        <w:keepNext/>
        <w:rPr>
          <w:rFonts w:ascii="Times New Roman" w:eastAsiaTheme="majorEastAsia" w:hAnsi="Times New Roman" w:cs="Times New Roman"/>
          <w:bCs/>
          <w:i/>
          <w:sz w:val="18"/>
          <w:szCs w:val="28"/>
        </w:rPr>
      </w:pPr>
      <w:r w:rsidRPr="003571FD">
        <w:rPr>
          <w:rFonts w:ascii="Times New Roman" w:eastAsiaTheme="majorEastAsia" w:hAnsi="Times New Roman" w:cs="Times New Roman"/>
          <w:bCs/>
          <w:i/>
          <w:noProof/>
          <w:sz w:val="18"/>
          <w:szCs w:val="28"/>
        </w:rPr>
        <w:drawing>
          <wp:inline distT="0" distB="0" distL="0" distR="0">
            <wp:extent cx="6052930" cy="3781338"/>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6060124" cy="3785832"/>
                    </a:xfrm>
                    <a:prstGeom prst="rect">
                      <a:avLst/>
                    </a:prstGeom>
                    <a:noFill/>
                    <a:ln w="9525">
                      <a:noFill/>
                      <a:miter lim="800000"/>
                      <a:headEnd/>
                      <a:tailEnd/>
                    </a:ln>
                  </pic:spPr>
                </pic:pic>
              </a:graphicData>
            </a:graphic>
          </wp:inline>
        </w:drawing>
      </w:r>
      <w:r w:rsidRPr="003571FD">
        <w:rPr>
          <w:rFonts w:ascii="Times New Roman" w:eastAsiaTheme="majorEastAsia" w:hAnsi="Times New Roman" w:cs="Times New Roman"/>
          <w:bCs/>
          <w:i/>
          <w:sz w:val="18"/>
          <w:szCs w:val="28"/>
        </w:rPr>
        <w:t>Source: World Bank</w:t>
      </w:r>
    </w:p>
    <w:p w:rsidR="00E22B37" w:rsidRPr="003571FD" w:rsidRDefault="00E22B37" w:rsidP="00CA07A0">
      <w:pPr>
        <w:pStyle w:val="ListParagraph"/>
        <w:numPr>
          <w:ilvl w:val="0"/>
          <w:numId w:val="8"/>
        </w:numPr>
        <w:spacing w:after="240"/>
        <w:jc w:val="both"/>
        <w:rPr>
          <w:rFonts w:ascii="Times New Roman" w:hAnsi="Times New Roman"/>
          <w:sz w:val="24"/>
        </w:rPr>
      </w:pPr>
      <w:r w:rsidRPr="003571FD">
        <w:rPr>
          <w:rFonts w:ascii="Times New Roman" w:hAnsi="Times New Roman"/>
          <w:b/>
          <w:sz w:val="24"/>
        </w:rPr>
        <w:t>Furthermore, the quality and accessibility of the credit information collected by the Credit bureaus is not clearly regulated and supervised.</w:t>
      </w:r>
      <w:r w:rsidRPr="003571FD">
        <w:rPr>
          <w:rFonts w:ascii="Times New Roman" w:hAnsi="Times New Roman"/>
          <w:sz w:val="24"/>
        </w:rPr>
        <w:t xml:space="preserve"> There are legal uncertainties regarding the privacy of the collected information, leaving room for interpretation which data could be made publicly available, shared with selected third parties, or should be treated as strictly confidential. The legal framework also does not specify the right of the individual to regularly assess the correctness of the registered information, and to request remedial action or removal of incorrect information. The absence of this clearly defined right to regularly assess one’s credit history can be particularly damaging considering the 10 years in which information on a client stays available in the credit bureau. </w:t>
      </w:r>
    </w:p>
    <w:p w:rsidR="00801E58" w:rsidRPr="003571FD" w:rsidRDefault="00801E58" w:rsidP="00801E58">
      <w:pPr>
        <w:pStyle w:val="ListParagraph"/>
        <w:ind w:left="360"/>
        <w:jc w:val="both"/>
        <w:rPr>
          <w:rFonts w:ascii="Times New Roman" w:hAnsi="Times New Roman"/>
          <w:sz w:val="24"/>
        </w:rPr>
      </w:pPr>
    </w:p>
    <w:p w:rsidR="00E22B37" w:rsidRPr="003571FD" w:rsidRDefault="00E22B37" w:rsidP="00CA07A0">
      <w:pPr>
        <w:pStyle w:val="ListParagraph"/>
        <w:numPr>
          <w:ilvl w:val="0"/>
          <w:numId w:val="8"/>
        </w:numPr>
        <w:spacing w:after="240"/>
        <w:jc w:val="both"/>
        <w:rPr>
          <w:rFonts w:ascii="Times New Roman" w:hAnsi="Times New Roman"/>
          <w:sz w:val="24"/>
        </w:rPr>
      </w:pPr>
      <w:r w:rsidRPr="003571FD">
        <w:rPr>
          <w:rFonts w:ascii="Times New Roman" w:hAnsi="Times New Roman"/>
          <w:b/>
          <w:sz w:val="24"/>
        </w:rPr>
        <w:t>Finally, credit bureaus are not authorized to develop auxiliary services to facilitate outreach models, market strategies and customer scoring.</w:t>
      </w:r>
      <w:r w:rsidRPr="003571FD">
        <w:rPr>
          <w:rFonts w:ascii="Times New Roman" w:hAnsi="Times New Roman"/>
          <w:sz w:val="24"/>
        </w:rPr>
        <w:t xml:space="preserve"> In other countries, private credit bureaus provide services such as scoring models for individual customer segments, assess payment patterns and monitor non-payment of borrowers, and develop tools to detect identity theft early on. These additional services can help reduce costs for the financial institutions for identifying and monitoring borrowers, and thus can have both a positive impact on the costs and eligibility of borrowers, in particular those of lower incomes and with limited collateral. These additional services are currently prohibited for </w:t>
      </w:r>
      <w:r w:rsidR="002A5BF9" w:rsidRPr="003571FD">
        <w:rPr>
          <w:rFonts w:ascii="Times New Roman" w:hAnsi="Times New Roman"/>
          <w:sz w:val="24"/>
        </w:rPr>
        <w:t>c</w:t>
      </w:r>
      <w:r w:rsidRPr="003571FD">
        <w:rPr>
          <w:rFonts w:ascii="Times New Roman" w:hAnsi="Times New Roman"/>
          <w:sz w:val="24"/>
        </w:rPr>
        <w:t>redit bureaus under the applicable regulatory framework, but considerations should be given to allow them.</w:t>
      </w:r>
    </w:p>
    <w:p w:rsidR="00801E58" w:rsidRPr="003571FD" w:rsidRDefault="00801E58" w:rsidP="00801E58">
      <w:pPr>
        <w:pStyle w:val="ListParagraph"/>
        <w:rPr>
          <w:rFonts w:ascii="Times New Roman" w:hAnsi="Times New Roman"/>
          <w:sz w:val="24"/>
        </w:rPr>
      </w:pPr>
    </w:p>
    <w:p w:rsidR="00E22B37" w:rsidRPr="003571FD" w:rsidRDefault="00E22B37" w:rsidP="00CA07A0">
      <w:pPr>
        <w:pStyle w:val="ListParagraph"/>
        <w:numPr>
          <w:ilvl w:val="0"/>
          <w:numId w:val="6"/>
        </w:numPr>
        <w:jc w:val="both"/>
        <w:rPr>
          <w:rFonts w:ascii="Times New Roman" w:hAnsi="Times New Roman" w:cs="Times New Roman"/>
          <w:i/>
          <w:sz w:val="24"/>
          <w:szCs w:val="24"/>
        </w:rPr>
      </w:pPr>
      <w:r w:rsidRPr="003571FD">
        <w:rPr>
          <w:rFonts w:ascii="Times New Roman" w:hAnsi="Times New Roman" w:cs="Times New Roman"/>
          <w:i/>
          <w:sz w:val="24"/>
          <w:szCs w:val="24"/>
        </w:rPr>
        <w:t>Regulatory framework and institutional infrastructure for the use of movable assets as collateral and creditor rights</w:t>
      </w:r>
      <w:r w:rsidR="00801E58" w:rsidRPr="003571FD">
        <w:rPr>
          <w:rFonts w:ascii="Times New Roman" w:hAnsi="Times New Roman" w:cs="Times New Roman"/>
          <w:i/>
          <w:sz w:val="24"/>
          <w:szCs w:val="24"/>
        </w:rPr>
        <w:t>:</w:t>
      </w:r>
    </w:p>
    <w:p w:rsidR="00801E58" w:rsidRPr="003571FD" w:rsidRDefault="00801E58" w:rsidP="00801E58">
      <w:pPr>
        <w:pStyle w:val="ListParagraph"/>
        <w:jc w:val="both"/>
        <w:rPr>
          <w:rFonts w:ascii="Times New Roman" w:hAnsi="Times New Roman" w:cs="Times New Roman"/>
          <w:i/>
          <w:sz w:val="24"/>
          <w:szCs w:val="24"/>
        </w:rPr>
      </w:pPr>
    </w:p>
    <w:p w:rsidR="00E22B37" w:rsidRPr="003571FD" w:rsidRDefault="00E22B37" w:rsidP="00CA07A0">
      <w:pPr>
        <w:pStyle w:val="ListParagraph"/>
        <w:numPr>
          <w:ilvl w:val="0"/>
          <w:numId w:val="8"/>
        </w:numPr>
        <w:spacing w:after="240"/>
        <w:jc w:val="both"/>
        <w:rPr>
          <w:rFonts w:ascii="Times New Roman" w:hAnsi="Times New Roman" w:cs="Times New Roman"/>
          <w:b/>
          <w:sz w:val="24"/>
          <w:szCs w:val="24"/>
        </w:rPr>
      </w:pPr>
      <w:r w:rsidRPr="003571FD">
        <w:rPr>
          <w:rFonts w:ascii="Times New Roman" w:hAnsi="Times New Roman" w:cs="Times New Roman"/>
          <w:b/>
          <w:sz w:val="24"/>
          <w:szCs w:val="24"/>
        </w:rPr>
        <w:t>The legal framework and institutional infrastructure for movable collateral and creditor rights continues to be vastly deficient in Bolivia, leading to the above mentioned restrictions on real estate as collateral.</w:t>
      </w:r>
      <w:r w:rsidRPr="003571FD">
        <w:rPr>
          <w:rFonts w:ascii="Times New Roman" w:hAnsi="Times New Roman" w:cs="Times New Roman"/>
          <w:sz w:val="24"/>
          <w:szCs w:val="24"/>
        </w:rPr>
        <w:t xml:space="preserve"> A</w:t>
      </w:r>
      <w:r w:rsidR="002A5BF9" w:rsidRPr="003571FD">
        <w:rPr>
          <w:rFonts w:ascii="Times New Roman" w:hAnsi="Times New Roman" w:cs="Times New Roman"/>
          <w:sz w:val="24"/>
          <w:szCs w:val="24"/>
        </w:rPr>
        <w:t>ccording to the Doing Business I</w:t>
      </w:r>
      <w:r w:rsidRPr="003571FD">
        <w:rPr>
          <w:rFonts w:ascii="Times New Roman" w:hAnsi="Times New Roman" w:cs="Times New Roman"/>
          <w:sz w:val="24"/>
          <w:szCs w:val="24"/>
        </w:rPr>
        <w:t xml:space="preserve">ndicators for 2010, Bolivia only fulfills 1 out of 10 internationally accepted legal and institutional requirements for a solid collateral and creditor rights infrastructure - a result that worldwide only Syria, Djibouti and Timor </w:t>
      </w:r>
      <w:r w:rsidR="003646BB" w:rsidRPr="003571FD">
        <w:rPr>
          <w:rFonts w:ascii="Times New Roman" w:hAnsi="Times New Roman" w:cs="Times New Roman"/>
          <w:sz w:val="24"/>
          <w:szCs w:val="24"/>
        </w:rPr>
        <w:t>Lester</w:t>
      </w:r>
      <w:r w:rsidRPr="003571FD">
        <w:rPr>
          <w:rFonts w:ascii="Times New Roman" w:hAnsi="Times New Roman" w:cs="Times New Roman"/>
          <w:sz w:val="24"/>
          <w:szCs w:val="24"/>
        </w:rPr>
        <w:t xml:space="preserve"> share. Amongst the shortcomings in the framework are:</w:t>
      </w:r>
    </w:p>
    <w:p w:rsidR="00801E58" w:rsidRPr="003571FD" w:rsidRDefault="00801E58" w:rsidP="00801E58">
      <w:pPr>
        <w:pStyle w:val="ListParagraph"/>
        <w:ind w:left="360"/>
        <w:jc w:val="both"/>
        <w:rPr>
          <w:rFonts w:ascii="Times New Roman" w:hAnsi="Times New Roman" w:cs="Times New Roman"/>
          <w:b/>
          <w:sz w:val="24"/>
          <w:szCs w:val="24"/>
        </w:rPr>
      </w:pPr>
    </w:p>
    <w:p w:rsidR="00E22B37" w:rsidRPr="003571FD" w:rsidRDefault="00E22B37"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Limitations in the type of movable assets that are acceptable</w:t>
      </w:r>
      <w:r w:rsidR="00962686" w:rsidRPr="003571FD">
        <w:rPr>
          <w:rFonts w:ascii="Times New Roman" w:hAnsi="Times New Roman" w:cs="Times New Roman"/>
          <w:sz w:val="24"/>
          <w:szCs w:val="24"/>
        </w:rPr>
        <w:t>;</w:t>
      </w:r>
    </w:p>
    <w:p w:rsidR="00E22B37" w:rsidRPr="003571FD" w:rsidRDefault="00E22B37"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Absence of clear provisions for the borrower’s continued possession of the pledged collateral (i.e. for productive purposes)</w:t>
      </w:r>
      <w:r w:rsidR="00962686" w:rsidRPr="003571FD">
        <w:rPr>
          <w:rFonts w:ascii="Times New Roman" w:hAnsi="Times New Roman" w:cs="Times New Roman"/>
          <w:sz w:val="24"/>
          <w:szCs w:val="24"/>
        </w:rPr>
        <w:t>;</w:t>
      </w:r>
    </w:p>
    <w:p w:rsidR="00E22B37" w:rsidRPr="003571FD" w:rsidRDefault="00E22B37"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Lack of a unified collateral registry</w:t>
      </w:r>
      <w:r w:rsidR="00962686" w:rsidRPr="003571FD">
        <w:rPr>
          <w:rFonts w:ascii="Times New Roman" w:hAnsi="Times New Roman" w:cs="Times New Roman"/>
          <w:sz w:val="24"/>
          <w:szCs w:val="24"/>
        </w:rPr>
        <w:t>;</w:t>
      </w:r>
    </w:p>
    <w:p w:rsidR="00E22B37" w:rsidRPr="003571FD" w:rsidRDefault="00E22B37"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Lack of priority of creditors to the collateral in and outside of bankruptcies</w:t>
      </w:r>
      <w:r w:rsidR="00962686" w:rsidRPr="003571FD">
        <w:rPr>
          <w:rFonts w:ascii="Times New Roman" w:hAnsi="Times New Roman" w:cs="Times New Roman"/>
          <w:sz w:val="24"/>
          <w:szCs w:val="24"/>
        </w:rPr>
        <w:t>;</w:t>
      </w:r>
    </w:p>
    <w:p w:rsidR="00E22B37" w:rsidRPr="003571FD" w:rsidRDefault="0034762B"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Vast d</w:t>
      </w:r>
      <w:r w:rsidR="00E22B37" w:rsidRPr="003571FD">
        <w:rPr>
          <w:rFonts w:ascii="Times New Roman" w:hAnsi="Times New Roman" w:cs="Times New Roman"/>
          <w:sz w:val="24"/>
          <w:szCs w:val="24"/>
        </w:rPr>
        <w:t>eficiencies in enforcement</w:t>
      </w:r>
      <w:r w:rsidRPr="003571FD">
        <w:rPr>
          <w:rFonts w:ascii="Times New Roman" w:hAnsi="Times New Roman" w:cs="Times New Roman"/>
          <w:sz w:val="24"/>
          <w:szCs w:val="24"/>
        </w:rPr>
        <w:t xml:space="preserve"> of creditor rights, including </w:t>
      </w:r>
      <w:r w:rsidR="009D2A43" w:rsidRPr="003571FD">
        <w:rPr>
          <w:rFonts w:ascii="Times New Roman" w:hAnsi="Times New Roman" w:cs="Times New Roman"/>
          <w:sz w:val="24"/>
          <w:szCs w:val="24"/>
        </w:rPr>
        <w:t>out of court enforcement</w:t>
      </w:r>
      <w:r w:rsidR="00E22B37" w:rsidRPr="003571FD">
        <w:rPr>
          <w:rFonts w:ascii="Times New Roman" w:hAnsi="Times New Roman" w:cs="Times New Roman"/>
          <w:sz w:val="24"/>
          <w:szCs w:val="24"/>
        </w:rPr>
        <w:t xml:space="preserve">. </w:t>
      </w:r>
    </w:p>
    <w:p w:rsidR="00801E58" w:rsidRPr="003571FD" w:rsidRDefault="00801E58" w:rsidP="00801E58">
      <w:pPr>
        <w:pStyle w:val="ListParagraph"/>
        <w:ind w:left="504"/>
        <w:jc w:val="both"/>
        <w:rPr>
          <w:rFonts w:ascii="Times New Roman" w:hAnsi="Times New Roman" w:cs="Times New Roman"/>
          <w:sz w:val="24"/>
          <w:szCs w:val="24"/>
        </w:rPr>
      </w:pPr>
    </w:p>
    <w:p w:rsidR="00E22B37" w:rsidRPr="003571FD" w:rsidRDefault="00E22B37"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 xml:space="preserve">Bureaucratic hurdles contribute to inefficiencies in arbitration, bankruptcy procedures, and judicial processes for contract enforcement. </w:t>
      </w:r>
      <w:r w:rsidRPr="003571FD">
        <w:rPr>
          <w:rFonts w:ascii="Times New Roman" w:hAnsi="Times New Roman" w:cs="Times New Roman"/>
          <w:sz w:val="24"/>
          <w:szCs w:val="24"/>
        </w:rPr>
        <w:t xml:space="preserve">While the costs to enforce a contract are with 33 percent of the claim not prohibitive like in other countries (i.e. Brazil or Indonesia), the administrative procedures for enforcing a contract are numerous and the process takes over 1.5 years according to the Doing Business </w:t>
      </w:r>
      <w:r w:rsidR="002A5BF9" w:rsidRPr="003571FD">
        <w:rPr>
          <w:rFonts w:ascii="Times New Roman" w:hAnsi="Times New Roman" w:cs="Times New Roman"/>
          <w:sz w:val="24"/>
          <w:szCs w:val="24"/>
        </w:rPr>
        <w:t>I</w:t>
      </w:r>
      <w:r w:rsidRPr="003571FD">
        <w:rPr>
          <w:rFonts w:ascii="Times New Roman" w:hAnsi="Times New Roman" w:cs="Times New Roman"/>
          <w:sz w:val="24"/>
          <w:szCs w:val="24"/>
        </w:rPr>
        <w:t xml:space="preserve">ndicators. Out of court procedures exist, but can easily be blocked and therefore are not pursued. </w:t>
      </w:r>
    </w:p>
    <w:p w:rsidR="006005C9" w:rsidRPr="003571FD" w:rsidRDefault="006005C9" w:rsidP="006005C9">
      <w:pPr>
        <w:pStyle w:val="ListParagraph"/>
        <w:spacing w:after="240"/>
        <w:ind w:left="0"/>
        <w:jc w:val="both"/>
        <w:rPr>
          <w:rFonts w:ascii="Times New Roman" w:hAnsi="Times New Roman" w:cs="Times New Roman"/>
          <w:sz w:val="24"/>
          <w:szCs w:val="24"/>
        </w:rPr>
      </w:pPr>
    </w:p>
    <w:p w:rsidR="00E22B37" w:rsidRPr="003571FD" w:rsidRDefault="00E22B37"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b/>
          <w:sz w:val="24"/>
          <w:szCs w:val="24"/>
        </w:rPr>
        <w:t>Several efforts to enhance the legal and regulatory environment for movable collateral and creditor rights in Bolivia have been undertaken in the last few years, but with no results.</w:t>
      </w:r>
      <w:r w:rsidRPr="003571FD">
        <w:rPr>
          <w:rFonts w:ascii="Times New Roman" w:hAnsi="Times New Roman" w:cs="Times New Roman"/>
          <w:sz w:val="24"/>
          <w:szCs w:val="24"/>
        </w:rPr>
        <w:t xml:space="preserve"> Like in other countries, passing legislation on movable collateral is made difficult by fragmented legislation (i.e. provisions in the Commercial Code, Legal Codes etc.) and incompatibilities with constitutional provisions. Nevertheless, the revamping of Bolivia’s legal and regulatory framework, which became necessary due to the new Constitution, opens a window of opportunity to harmonize and reform the legal framework for movable collateral. Efforts should be made to put in place a separate </w:t>
      </w:r>
      <w:r w:rsidR="0034762B" w:rsidRPr="003571FD">
        <w:rPr>
          <w:rFonts w:ascii="Times New Roman" w:hAnsi="Times New Roman" w:cs="Times New Roman"/>
          <w:sz w:val="24"/>
          <w:szCs w:val="24"/>
        </w:rPr>
        <w:t xml:space="preserve">framework </w:t>
      </w:r>
      <w:r w:rsidRPr="003571FD">
        <w:rPr>
          <w:rFonts w:ascii="Times New Roman" w:hAnsi="Times New Roman" w:cs="Times New Roman"/>
          <w:sz w:val="24"/>
          <w:szCs w:val="24"/>
        </w:rPr>
        <w:t>law on movable collateral, which aims at allowing a broader range of movable collateral to be used, creating a unified database, and clearly determines the rights and obligations of the grantor of the collateral, the treatment of collateral in bankruptcy procedures and the possibility of using clearly defined out-of court procedures to claim the collateral in case of default.</w:t>
      </w:r>
      <w:r w:rsidR="00CC3162" w:rsidRPr="003571FD">
        <w:rPr>
          <w:rFonts w:ascii="Times New Roman" w:hAnsi="Times New Roman" w:cs="Times New Roman"/>
          <w:sz w:val="24"/>
          <w:szCs w:val="24"/>
        </w:rPr>
        <w:t xml:space="preserve"> </w:t>
      </w:r>
      <w:r w:rsidR="0034762B" w:rsidRPr="003571FD">
        <w:rPr>
          <w:rFonts w:ascii="Times New Roman" w:hAnsi="Times New Roman" w:cs="Times New Roman"/>
          <w:sz w:val="24"/>
          <w:szCs w:val="24"/>
        </w:rPr>
        <w:t>Addressing movable collateral without eliminating some of the shortcomings in creditor rights, in particular out of court enforcement, is unlikely to have a substantial impact on lowering the dependence on real estate for collateral.</w:t>
      </w:r>
    </w:p>
    <w:p w:rsidR="001439F6" w:rsidRPr="003571FD" w:rsidRDefault="001439F6" w:rsidP="00995758">
      <w:pPr>
        <w:rPr>
          <w:rFonts w:ascii="Times New Roman" w:hAnsi="Times New Roman" w:cs="Times New Roman"/>
          <w:sz w:val="24"/>
          <w:szCs w:val="24"/>
        </w:rPr>
      </w:pPr>
    </w:p>
    <w:tbl>
      <w:tblPr>
        <w:tblStyle w:val="TableGrid"/>
        <w:tblW w:w="0" w:type="auto"/>
        <w:shd w:val="clear" w:color="auto" w:fill="F2F2F2" w:themeFill="background1" w:themeFillShade="F2"/>
        <w:tblLook w:val="04A0" w:firstRow="1" w:lastRow="0" w:firstColumn="1" w:lastColumn="0" w:noHBand="0" w:noVBand="1"/>
      </w:tblPr>
      <w:tblGrid>
        <w:gridCol w:w="9576"/>
      </w:tblGrid>
      <w:tr w:rsidR="007A617C" w:rsidRPr="003571FD" w:rsidTr="007A617C">
        <w:tc>
          <w:tcPr>
            <w:tcW w:w="9576" w:type="dxa"/>
            <w:shd w:val="clear" w:color="auto" w:fill="F2F2F2" w:themeFill="background1" w:themeFillShade="F2"/>
          </w:tcPr>
          <w:p w:rsidR="007A617C" w:rsidRPr="003571FD" w:rsidRDefault="007A617C" w:rsidP="007A617C">
            <w:pPr>
              <w:rPr>
                <w:rFonts w:ascii="Times New Roman" w:hAnsi="Times New Roman" w:cs="Times New Roman"/>
                <w:b/>
                <w:sz w:val="18"/>
                <w:szCs w:val="18"/>
              </w:rPr>
            </w:pPr>
          </w:p>
          <w:p w:rsidR="007A617C" w:rsidRPr="00C13E1B" w:rsidRDefault="007A617C" w:rsidP="007A617C">
            <w:pPr>
              <w:rPr>
                <w:rFonts w:ascii="Times New Roman" w:hAnsi="Times New Roman" w:cs="Times New Roman"/>
                <w:b/>
                <w:sz w:val="18"/>
                <w:szCs w:val="18"/>
              </w:rPr>
            </w:pPr>
            <w:bookmarkStart w:id="76" w:name="_Toc312317345"/>
            <w:r w:rsidRPr="00C13E1B">
              <w:rPr>
                <w:rFonts w:ascii="Times New Roman" w:hAnsi="Times New Roman" w:cs="Times New Roman"/>
                <w:b/>
                <w:sz w:val="18"/>
                <w:szCs w:val="18"/>
              </w:rPr>
              <w:t xml:space="preserve">Text Box </w:t>
            </w:r>
            <w:r w:rsidR="005744EE" w:rsidRPr="00C13E1B">
              <w:rPr>
                <w:rFonts w:ascii="Times New Roman" w:hAnsi="Times New Roman" w:cs="Times New Roman"/>
                <w:b/>
                <w:sz w:val="18"/>
                <w:szCs w:val="18"/>
              </w:rPr>
              <w:fldChar w:fldCharType="begin"/>
            </w:r>
            <w:r w:rsidRPr="00C13E1B">
              <w:rPr>
                <w:rFonts w:ascii="Times New Roman" w:hAnsi="Times New Roman" w:cs="Times New Roman"/>
                <w:b/>
                <w:sz w:val="18"/>
                <w:szCs w:val="18"/>
              </w:rPr>
              <w:instrText xml:space="preserve"> SEQ Text_Box \* ARABIC </w:instrText>
            </w:r>
            <w:r w:rsidR="005744EE" w:rsidRPr="00C13E1B">
              <w:rPr>
                <w:rFonts w:ascii="Times New Roman" w:hAnsi="Times New Roman" w:cs="Times New Roman"/>
                <w:b/>
                <w:sz w:val="18"/>
                <w:szCs w:val="18"/>
              </w:rPr>
              <w:fldChar w:fldCharType="separate"/>
            </w:r>
            <w:r w:rsidR="00064A1B" w:rsidRPr="00C13E1B">
              <w:rPr>
                <w:rFonts w:ascii="Times New Roman" w:hAnsi="Times New Roman" w:cs="Times New Roman"/>
                <w:b/>
                <w:noProof/>
                <w:sz w:val="18"/>
                <w:szCs w:val="18"/>
              </w:rPr>
              <w:t>5</w:t>
            </w:r>
            <w:r w:rsidR="005744EE" w:rsidRPr="00C13E1B">
              <w:rPr>
                <w:rFonts w:ascii="Times New Roman" w:hAnsi="Times New Roman" w:cs="Times New Roman"/>
                <w:b/>
                <w:sz w:val="18"/>
                <w:szCs w:val="18"/>
              </w:rPr>
              <w:fldChar w:fldCharType="end"/>
            </w:r>
            <w:r w:rsidRPr="00C13E1B">
              <w:rPr>
                <w:rFonts w:ascii="Times New Roman" w:hAnsi="Times New Roman" w:cs="Times New Roman"/>
                <w:b/>
                <w:sz w:val="18"/>
                <w:szCs w:val="18"/>
              </w:rPr>
              <w:t>: Example of reforms to use of movable assets as collateral</w:t>
            </w:r>
            <w:bookmarkEnd w:id="76"/>
          </w:p>
          <w:p w:rsidR="007A617C" w:rsidRPr="003571FD" w:rsidRDefault="007A617C" w:rsidP="007A617C">
            <w:pPr>
              <w:rPr>
                <w:rFonts w:ascii="Times New Roman" w:hAnsi="Times New Roman" w:cs="Times New Roman"/>
                <w:b/>
                <w:sz w:val="18"/>
                <w:szCs w:val="18"/>
              </w:rPr>
            </w:pPr>
          </w:p>
          <w:p w:rsidR="007A617C" w:rsidRPr="003571FD" w:rsidRDefault="007A617C" w:rsidP="007A617C">
            <w:pPr>
              <w:pStyle w:val="Caption"/>
              <w:jc w:val="both"/>
              <w:rPr>
                <w:rFonts w:ascii="Times New Roman" w:hAnsi="Times New Roman" w:cs="Times New Roman"/>
                <w:b w:val="0"/>
                <w:color w:val="auto"/>
              </w:rPr>
            </w:pPr>
            <w:r w:rsidRPr="003571FD">
              <w:rPr>
                <w:rFonts w:ascii="Times New Roman" w:hAnsi="Times New Roman" w:cs="Times New Roman"/>
                <w:b w:val="0"/>
                <w:color w:val="auto"/>
              </w:rPr>
              <w:t>Since 2000, the governments of Romania and Slovakia</w:t>
            </w:r>
            <w:r w:rsidR="00CC3162" w:rsidRPr="003571FD">
              <w:rPr>
                <w:rFonts w:ascii="Times New Roman" w:hAnsi="Times New Roman" w:cs="Times New Roman"/>
                <w:b w:val="0"/>
                <w:color w:val="auto"/>
              </w:rPr>
              <w:t xml:space="preserve"> </w:t>
            </w:r>
            <w:r w:rsidRPr="003571FD">
              <w:rPr>
                <w:rFonts w:ascii="Times New Roman" w:hAnsi="Times New Roman" w:cs="Times New Roman"/>
                <w:b w:val="0"/>
                <w:color w:val="auto"/>
              </w:rPr>
              <w:t>introduced reforms of the movable collateral regime at the beginning of this century. The reforms made movable assets eligible as collateral, reduced documentation requirements for registration, gave priority to the creditor over the collateral, and facilitated out of court enforcements in case of default. Furthermore, unified registries for movable collateral were created. As a result, annual registration of property increased from around 65,000 in 2000 to over 530,000 in 2006 in Romania, and from 7,000 in 2003 to over 30,000 in 2007 in Slovakia (SOURCE: WB (2010), Secured transaction regimes and collateral registries, Washington DC, January 2010. )</w:t>
            </w:r>
          </w:p>
          <w:p w:rsidR="007A617C" w:rsidRPr="003571FD" w:rsidRDefault="007A617C" w:rsidP="007A617C">
            <w:pPr>
              <w:pStyle w:val="Caption"/>
              <w:jc w:val="both"/>
              <w:rPr>
                <w:rFonts w:ascii="Times New Roman" w:hAnsi="Times New Roman" w:cs="Times New Roman"/>
                <w:b w:val="0"/>
                <w:color w:val="auto"/>
              </w:rPr>
            </w:pPr>
          </w:p>
          <w:p w:rsidR="007A617C" w:rsidRPr="003571FD" w:rsidRDefault="007A617C" w:rsidP="007A617C">
            <w:pPr>
              <w:pStyle w:val="Caption"/>
              <w:jc w:val="both"/>
              <w:rPr>
                <w:rFonts w:ascii="Times New Roman" w:hAnsi="Times New Roman" w:cs="Times New Roman"/>
                <w:b w:val="0"/>
                <w:color w:val="auto"/>
              </w:rPr>
            </w:pPr>
            <w:r w:rsidRPr="003571FD">
              <w:rPr>
                <w:rFonts w:ascii="Times New Roman" w:hAnsi="Times New Roman" w:cs="Times New Roman"/>
                <w:b w:val="0"/>
                <w:color w:val="auto"/>
              </w:rPr>
              <w:t>More recently, Honduras has introduced a new law on movable collateral. It follows international best practice as established by the model law suggested by the Organization of American States. It is foreseen that the registry will be self-sustainable, its services relatively cheap and being a fully automatic on-line database, accessible even from remote areas of the country.</w:t>
            </w:r>
            <w:r w:rsidR="00B07DFB" w:rsidRPr="003571FD">
              <w:rPr>
                <w:rFonts w:ascii="Times New Roman" w:hAnsi="Times New Roman" w:cs="Times New Roman"/>
                <w:b w:val="0"/>
                <w:color w:val="auto"/>
              </w:rPr>
              <w:t xml:space="preserve"> </w:t>
            </w:r>
            <w:r w:rsidRPr="003571FD">
              <w:rPr>
                <w:rFonts w:ascii="Times New Roman" w:hAnsi="Times New Roman" w:cs="Times New Roman"/>
                <w:b w:val="0"/>
                <w:color w:val="auto"/>
              </w:rPr>
              <w:t>After being launched in December of 2010, 400 registries were already reported as of February 2011.</w:t>
            </w:r>
          </w:p>
          <w:p w:rsidR="007A617C" w:rsidRPr="003571FD" w:rsidRDefault="007A617C" w:rsidP="00801E58">
            <w:pPr>
              <w:rPr>
                <w:rFonts w:ascii="Times New Roman" w:hAnsi="Times New Roman" w:cs="Times New Roman"/>
              </w:rPr>
            </w:pPr>
          </w:p>
        </w:tc>
      </w:tr>
    </w:tbl>
    <w:p w:rsidR="00E22B37" w:rsidRPr="003823C2" w:rsidRDefault="00E22B37" w:rsidP="00173312">
      <w:pPr>
        <w:pStyle w:val="Heading4"/>
        <w:rPr>
          <w:i w:val="0"/>
        </w:rPr>
      </w:pPr>
      <w:r w:rsidRPr="003823C2">
        <w:rPr>
          <w:i w:val="0"/>
        </w:rPr>
        <w:t xml:space="preserve">Barriers to affordability of loans </w:t>
      </w:r>
    </w:p>
    <w:p w:rsidR="00E22B37" w:rsidRPr="003571FD" w:rsidRDefault="00E22B37" w:rsidP="00E22B37"/>
    <w:p w:rsidR="00E22B37" w:rsidRPr="003571FD" w:rsidRDefault="00E22B37" w:rsidP="00CA07A0">
      <w:pPr>
        <w:pStyle w:val="ListParagraph"/>
        <w:numPr>
          <w:ilvl w:val="0"/>
          <w:numId w:val="8"/>
        </w:numPr>
        <w:spacing w:after="240"/>
        <w:jc w:val="both"/>
        <w:rPr>
          <w:rFonts w:ascii="Times New Roman" w:hAnsi="Times New Roman" w:cs="Times New Roman"/>
          <w:sz w:val="24"/>
          <w:szCs w:val="24"/>
        </w:rPr>
      </w:pPr>
      <w:r w:rsidRPr="003571FD">
        <w:rPr>
          <w:rFonts w:ascii="Times New Roman" w:hAnsi="Times New Roman" w:cs="Times New Roman"/>
          <w:sz w:val="24"/>
          <w:szCs w:val="24"/>
        </w:rPr>
        <w:t xml:space="preserve">The strong dependence on collateral can be reduced through alternative funding products such as leasing and factoring, as well as schemes that help </w:t>
      </w:r>
      <w:proofErr w:type="gramStart"/>
      <w:r w:rsidR="005D1540" w:rsidRPr="003571FD">
        <w:rPr>
          <w:rFonts w:ascii="Times New Roman" w:hAnsi="Times New Roman" w:cs="Times New Roman"/>
          <w:sz w:val="24"/>
          <w:szCs w:val="24"/>
        </w:rPr>
        <w:t>manag</w:t>
      </w:r>
      <w:r w:rsidR="005D1540">
        <w:rPr>
          <w:rFonts w:ascii="Times New Roman" w:hAnsi="Times New Roman" w:cs="Times New Roman"/>
          <w:sz w:val="24"/>
          <w:szCs w:val="24"/>
        </w:rPr>
        <w:t>e</w:t>
      </w:r>
      <w:proofErr w:type="gramEnd"/>
      <w:r w:rsidR="005D1540" w:rsidRPr="003571FD">
        <w:rPr>
          <w:rFonts w:ascii="Times New Roman" w:hAnsi="Times New Roman" w:cs="Times New Roman"/>
          <w:sz w:val="24"/>
          <w:szCs w:val="24"/>
        </w:rPr>
        <w:t xml:space="preserve"> </w:t>
      </w:r>
      <w:r w:rsidRPr="003571FD">
        <w:rPr>
          <w:rFonts w:ascii="Times New Roman" w:hAnsi="Times New Roman" w:cs="Times New Roman"/>
          <w:sz w:val="24"/>
          <w:szCs w:val="24"/>
        </w:rPr>
        <w:t>the risk of loans such as partial credit guarantees or micro-insurance</w:t>
      </w:r>
      <w:r w:rsidR="005D1540">
        <w:rPr>
          <w:rStyle w:val="FootnoteReference"/>
          <w:rFonts w:ascii="Times New Roman" w:hAnsi="Times New Roman" w:cs="Times New Roman"/>
          <w:sz w:val="24"/>
          <w:szCs w:val="24"/>
        </w:rPr>
        <w:footnoteReference w:id="116"/>
      </w:r>
      <w:r w:rsidRPr="003571FD">
        <w:rPr>
          <w:rFonts w:ascii="Times New Roman" w:hAnsi="Times New Roman" w:cs="Times New Roman"/>
          <w:sz w:val="24"/>
          <w:szCs w:val="24"/>
        </w:rPr>
        <w:t xml:space="preserve"> services. These products can lower the costs of loans, and thus make external funding more affordable. The assessment shows that leasing and factoring are not sufficiently available in the system, largely due to deficiencies in the </w:t>
      </w:r>
      <w:r w:rsidR="00D56D24">
        <w:rPr>
          <w:rFonts w:ascii="Times New Roman" w:hAnsi="Times New Roman" w:cs="Times New Roman"/>
          <w:sz w:val="24"/>
          <w:szCs w:val="24"/>
        </w:rPr>
        <w:t xml:space="preserve">legal and </w:t>
      </w:r>
      <w:r w:rsidRPr="003571FD">
        <w:rPr>
          <w:rFonts w:ascii="Times New Roman" w:hAnsi="Times New Roman" w:cs="Times New Roman"/>
          <w:sz w:val="24"/>
          <w:szCs w:val="24"/>
        </w:rPr>
        <w:t>regulatory framework, while products to reduce the riskiness of lending are only being developed and are not yet widely used. There is no indication that other loan conditionalities such as interest rates or available maturities make borrowing unaffordable.</w:t>
      </w:r>
    </w:p>
    <w:p w:rsidR="00634D54" w:rsidRPr="003571FD" w:rsidRDefault="00634D54" w:rsidP="00634D54">
      <w:pPr>
        <w:pStyle w:val="ListParagraph"/>
        <w:spacing w:after="240"/>
        <w:ind w:left="0"/>
        <w:jc w:val="both"/>
        <w:rPr>
          <w:rFonts w:ascii="Times New Roman" w:hAnsi="Times New Roman" w:cs="Times New Roman"/>
          <w:sz w:val="24"/>
          <w:szCs w:val="24"/>
        </w:rPr>
      </w:pPr>
    </w:p>
    <w:p w:rsidR="00E22B37" w:rsidRPr="003571FD" w:rsidRDefault="00E22B37" w:rsidP="00CA07A0">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i/>
          <w:sz w:val="24"/>
        </w:rPr>
      </w:pPr>
      <w:r w:rsidRPr="003571FD">
        <w:rPr>
          <w:rFonts w:ascii="Times New Roman" w:hAnsi="Times New Roman" w:cs="Times New Roman"/>
          <w:i/>
          <w:sz w:val="24"/>
        </w:rPr>
        <w:t xml:space="preserve"> Available products</w:t>
      </w:r>
      <w:r w:rsidR="00801E58" w:rsidRPr="003571FD">
        <w:rPr>
          <w:rFonts w:ascii="Times New Roman" w:hAnsi="Times New Roman" w:cs="Times New Roman"/>
          <w:i/>
          <w:sz w:val="24"/>
        </w:rPr>
        <w:t>:</w:t>
      </w:r>
    </w:p>
    <w:p w:rsidR="00E22B37" w:rsidRPr="003571FD" w:rsidRDefault="00E22B37" w:rsidP="00E22B3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Times New Roman" w:hAnsi="Times New Roman" w:cs="Times New Roman"/>
          <w:i/>
          <w:sz w:val="24"/>
        </w:rPr>
      </w:pPr>
    </w:p>
    <w:p w:rsidR="00B13171" w:rsidRPr="003571FD" w:rsidRDefault="00E22B37"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The leasing market in Bolivia is underdeveloped.</w:t>
      </w:r>
      <w:r w:rsidRPr="003571FD">
        <w:rPr>
          <w:rFonts w:ascii="Times New Roman" w:hAnsi="Times New Roman" w:cs="Times New Roman"/>
          <w:sz w:val="24"/>
        </w:rPr>
        <w:t xml:space="preserve"> Leasing is often perceived as a viable funding alternative for SMEs, as it requires only limited down-payments and no additional collateral. There are currently only two regulated financial institutions offering leasing in Bolivia, with a combined portfolio of USD 24 million. The two companies cater to different markets. BISA Leasing has a market share of over 80 percent, and caters to around 230 medium to large sized clients with an average outstand</w:t>
      </w:r>
      <w:r w:rsidR="002A5BF9" w:rsidRPr="003571FD">
        <w:rPr>
          <w:rFonts w:ascii="Times New Roman" w:hAnsi="Times New Roman" w:cs="Times New Roman"/>
          <w:sz w:val="24"/>
        </w:rPr>
        <w:t>ing leasing amount of around USD 85,</w:t>
      </w:r>
      <w:r w:rsidRPr="003571FD">
        <w:rPr>
          <w:rFonts w:ascii="Times New Roman" w:hAnsi="Times New Roman" w:cs="Times New Roman"/>
          <w:sz w:val="24"/>
        </w:rPr>
        <w:t xml:space="preserve">000. Its business has largely stagnated in the last few years. In 2007, Fortaleza Leasing was founded with support from the IADB, and has reached by now over 200 small and medium sized clients, with </w:t>
      </w:r>
      <w:r w:rsidR="002A5BF9" w:rsidRPr="003571FD">
        <w:rPr>
          <w:rFonts w:ascii="Times New Roman" w:hAnsi="Times New Roman" w:cs="Times New Roman"/>
          <w:sz w:val="24"/>
        </w:rPr>
        <w:t>an average leasing amount of USD 17,</w:t>
      </w:r>
      <w:r w:rsidRPr="003571FD">
        <w:rPr>
          <w:rFonts w:ascii="Times New Roman" w:hAnsi="Times New Roman" w:cs="Times New Roman"/>
          <w:sz w:val="24"/>
        </w:rPr>
        <w:t xml:space="preserve">000. In January, another Bank (BNB) opened a leasing company. Finally, non-regulated entities such as car dealers, computer manufacturers and unregulated NGOs such as </w:t>
      </w:r>
      <w:proofErr w:type="spellStart"/>
      <w:r w:rsidR="002A5BF9" w:rsidRPr="003571FD">
        <w:rPr>
          <w:rFonts w:ascii="Times New Roman" w:hAnsi="Times New Roman" w:cs="Times New Roman"/>
          <w:i/>
          <w:sz w:val="24"/>
        </w:rPr>
        <w:t>Asociación</w:t>
      </w:r>
      <w:proofErr w:type="spellEnd"/>
      <w:r w:rsidR="002A5BF9" w:rsidRPr="003571FD">
        <w:rPr>
          <w:rFonts w:ascii="Times New Roman" w:hAnsi="Times New Roman" w:cs="Times New Roman"/>
          <w:i/>
          <w:sz w:val="24"/>
        </w:rPr>
        <w:t xml:space="preserve"> </w:t>
      </w:r>
      <w:proofErr w:type="spellStart"/>
      <w:r w:rsidR="002A5BF9" w:rsidRPr="003571FD">
        <w:rPr>
          <w:rFonts w:ascii="Times New Roman" w:hAnsi="Times New Roman" w:cs="Times New Roman"/>
          <w:i/>
          <w:sz w:val="24"/>
        </w:rPr>
        <w:t>Nacional</w:t>
      </w:r>
      <w:proofErr w:type="spellEnd"/>
      <w:r w:rsidR="002A5BF9" w:rsidRPr="003571FD">
        <w:rPr>
          <w:rFonts w:ascii="Times New Roman" w:hAnsi="Times New Roman" w:cs="Times New Roman"/>
          <w:i/>
          <w:sz w:val="24"/>
        </w:rPr>
        <w:t xml:space="preserve"> </w:t>
      </w:r>
      <w:proofErr w:type="spellStart"/>
      <w:r w:rsidR="002A5BF9" w:rsidRPr="003571FD">
        <w:rPr>
          <w:rFonts w:ascii="Times New Roman" w:hAnsi="Times New Roman" w:cs="Times New Roman"/>
          <w:i/>
          <w:sz w:val="24"/>
        </w:rPr>
        <w:t>Ecuménica</w:t>
      </w:r>
      <w:proofErr w:type="spellEnd"/>
      <w:r w:rsidR="002A5BF9" w:rsidRPr="003571FD">
        <w:rPr>
          <w:rFonts w:ascii="Times New Roman" w:hAnsi="Times New Roman" w:cs="Times New Roman"/>
          <w:i/>
          <w:sz w:val="24"/>
        </w:rPr>
        <w:t xml:space="preserve"> de Desarrollo </w:t>
      </w:r>
      <w:r w:rsidR="002A5BF9" w:rsidRPr="003571FD">
        <w:rPr>
          <w:rFonts w:ascii="Times New Roman" w:hAnsi="Times New Roman" w:cs="Times New Roman"/>
          <w:sz w:val="24"/>
        </w:rPr>
        <w:t>(</w:t>
      </w:r>
      <w:r w:rsidRPr="003571FD">
        <w:rPr>
          <w:rFonts w:ascii="Times New Roman" w:hAnsi="Times New Roman" w:cs="Times New Roman"/>
          <w:sz w:val="24"/>
        </w:rPr>
        <w:t>ANED</w:t>
      </w:r>
      <w:r w:rsidR="002A5BF9" w:rsidRPr="003571FD">
        <w:rPr>
          <w:rFonts w:ascii="Times New Roman" w:hAnsi="Times New Roman" w:cs="Times New Roman"/>
          <w:sz w:val="24"/>
        </w:rPr>
        <w:t>)</w:t>
      </w:r>
      <w:r w:rsidRPr="003571FD">
        <w:rPr>
          <w:rFonts w:ascii="Times New Roman" w:hAnsi="Times New Roman" w:cs="Times New Roman"/>
          <w:sz w:val="24"/>
        </w:rPr>
        <w:t xml:space="preserve"> offer leasing services, but no data on their scale is available.</w:t>
      </w:r>
      <w:r w:rsidR="00B07DFB" w:rsidRPr="003571FD">
        <w:rPr>
          <w:rFonts w:ascii="Times New Roman" w:hAnsi="Times New Roman" w:cs="Times New Roman"/>
          <w:sz w:val="24"/>
        </w:rPr>
        <w:t xml:space="preserve"> </w:t>
      </w:r>
    </w:p>
    <w:p w:rsidR="00E22B37" w:rsidRPr="003571FD" w:rsidRDefault="00E22B37" w:rsidP="00B13171">
      <w:pPr>
        <w:pStyle w:val="ListParagraph"/>
        <w:ind w:left="360"/>
        <w:jc w:val="both"/>
        <w:rPr>
          <w:rFonts w:ascii="Times New Roman" w:hAnsi="Times New Roman" w:cs="Times New Roman"/>
          <w:sz w:val="24"/>
        </w:rPr>
      </w:pPr>
    </w:p>
    <w:p w:rsidR="00E22B37" w:rsidRPr="003571FD" w:rsidRDefault="00E22B37"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lastRenderedPageBreak/>
        <w:t xml:space="preserve">Based on information provided during the mission, the market for leasing is constrained by a number of factors on the supply and demand side. </w:t>
      </w:r>
      <w:r w:rsidRPr="003571FD">
        <w:rPr>
          <w:rFonts w:ascii="Times New Roman" w:hAnsi="Times New Roman" w:cs="Times New Roman"/>
          <w:sz w:val="24"/>
        </w:rPr>
        <w:t xml:space="preserve">Potential clients seem to lack knowledge and understanding of leasing as an alternative to credit. Experience in other countries suggests that communication campaigns are needed to familiarize the population with leasing as an alternative funding instrument. On the supply side, the regulatory framework mandates that leasing companies have to operate as separate entities. In the past, leasing companies have experienced difficulties </w:t>
      </w:r>
      <w:r w:rsidR="00F11CB0">
        <w:rPr>
          <w:rFonts w:ascii="Times New Roman" w:hAnsi="Times New Roman" w:cs="Times New Roman"/>
          <w:sz w:val="24"/>
        </w:rPr>
        <w:t>in</w:t>
      </w:r>
      <w:r w:rsidR="00F11CB0" w:rsidRPr="003571FD">
        <w:rPr>
          <w:rFonts w:ascii="Times New Roman" w:hAnsi="Times New Roman" w:cs="Times New Roman"/>
          <w:sz w:val="24"/>
        </w:rPr>
        <w:t xml:space="preserve"> </w:t>
      </w:r>
      <w:r w:rsidRPr="003571FD">
        <w:rPr>
          <w:rFonts w:ascii="Times New Roman" w:hAnsi="Times New Roman" w:cs="Times New Roman"/>
          <w:sz w:val="24"/>
        </w:rPr>
        <w:t>mobiliz</w:t>
      </w:r>
      <w:r w:rsidR="00F11CB0">
        <w:rPr>
          <w:rFonts w:ascii="Times New Roman" w:hAnsi="Times New Roman" w:cs="Times New Roman"/>
          <w:sz w:val="24"/>
        </w:rPr>
        <w:t>ing</w:t>
      </w:r>
      <w:r w:rsidRPr="003571FD">
        <w:rPr>
          <w:rFonts w:ascii="Times New Roman" w:hAnsi="Times New Roman" w:cs="Times New Roman"/>
          <w:sz w:val="24"/>
        </w:rPr>
        <w:t xml:space="preserve"> funds, </w:t>
      </w:r>
      <w:r w:rsidR="005D1540">
        <w:rPr>
          <w:rFonts w:ascii="Times New Roman" w:hAnsi="Times New Roman" w:cs="Times New Roman"/>
          <w:sz w:val="24"/>
        </w:rPr>
        <w:t xml:space="preserve">and </w:t>
      </w:r>
      <w:r w:rsidR="00F11CB0">
        <w:rPr>
          <w:rFonts w:ascii="Times New Roman" w:hAnsi="Times New Roman" w:cs="Times New Roman"/>
          <w:sz w:val="24"/>
        </w:rPr>
        <w:t>also reported higher funding costs</w:t>
      </w:r>
      <w:r w:rsidRPr="003571FD">
        <w:rPr>
          <w:rFonts w:ascii="Times New Roman" w:hAnsi="Times New Roman" w:cs="Times New Roman"/>
          <w:sz w:val="24"/>
        </w:rPr>
        <w:t>, as they depend on medium- to longer term funds from other financial entities and on the issuance of bonds on the capital market. At the moment, however, with the ample liquidity in the system, these funding constraints</w:t>
      </w:r>
      <w:r w:rsidR="00F11CB0">
        <w:rPr>
          <w:rFonts w:ascii="Times New Roman" w:hAnsi="Times New Roman" w:cs="Times New Roman"/>
          <w:sz w:val="24"/>
        </w:rPr>
        <w:t xml:space="preserve"> have been negligible</w:t>
      </w:r>
      <w:r w:rsidRPr="003571FD">
        <w:rPr>
          <w:rFonts w:ascii="Times New Roman" w:hAnsi="Times New Roman" w:cs="Times New Roman"/>
          <w:sz w:val="24"/>
        </w:rPr>
        <w:t xml:space="preserve">, and leasing expanded in the last half year by 7 percent. </w:t>
      </w:r>
    </w:p>
    <w:p w:rsidR="00ED2AE9" w:rsidRPr="003571FD" w:rsidRDefault="00ED2AE9" w:rsidP="00ED2AE9">
      <w:pPr>
        <w:pStyle w:val="ListParagraph"/>
        <w:rPr>
          <w:rFonts w:ascii="Times New Roman" w:hAnsi="Times New Roman" w:cs="Times New Roman"/>
          <w:sz w:val="24"/>
        </w:rPr>
      </w:pPr>
    </w:p>
    <w:tbl>
      <w:tblPr>
        <w:tblStyle w:val="TableGrid"/>
        <w:tblW w:w="0" w:type="auto"/>
        <w:shd w:val="clear" w:color="auto" w:fill="F2F2F2" w:themeFill="background1" w:themeFillShade="F2"/>
        <w:tblLook w:val="04A0" w:firstRow="1" w:lastRow="0" w:firstColumn="1" w:lastColumn="0" w:noHBand="0" w:noVBand="1"/>
      </w:tblPr>
      <w:tblGrid>
        <w:gridCol w:w="9576"/>
      </w:tblGrid>
      <w:tr w:rsidR="00ED2AE9" w:rsidRPr="003571FD" w:rsidTr="00ED2AE9">
        <w:tc>
          <w:tcPr>
            <w:tcW w:w="9576" w:type="dxa"/>
            <w:shd w:val="clear" w:color="auto" w:fill="F2F2F2" w:themeFill="background1" w:themeFillShade="F2"/>
          </w:tcPr>
          <w:p w:rsidR="00ED2AE9" w:rsidRPr="003571FD" w:rsidRDefault="00ED2AE9" w:rsidP="00ED2AE9">
            <w:pPr>
              <w:rPr>
                <w:rFonts w:ascii="Times New Roman" w:hAnsi="Times New Roman" w:cs="Times New Roman"/>
                <w:b/>
                <w:sz w:val="18"/>
                <w:szCs w:val="18"/>
              </w:rPr>
            </w:pPr>
          </w:p>
          <w:p w:rsidR="00ED2AE9" w:rsidRPr="00C13E1B" w:rsidRDefault="00ED2AE9" w:rsidP="00ED2AE9">
            <w:pPr>
              <w:rPr>
                <w:rFonts w:ascii="Times New Roman" w:hAnsi="Times New Roman" w:cs="Times New Roman"/>
                <w:b/>
                <w:sz w:val="18"/>
                <w:szCs w:val="18"/>
              </w:rPr>
            </w:pPr>
            <w:bookmarkStart w:id="77" w:name="_Toc312317346"/>
            <w:r w:rsidRPr="00C13E1B">
              <w:rPr>
                <w:rFonts w:ascii="Times New Roman" w:hAnsi="Times New Roman" w:cs="Times New Roman"/>
                <w:b/>
                <w:sz w:val="18"/>
                <w:szCs w:val="18"/>
              </w:rPr>
              <w:t xml:space="preserve">Text Box </w:t>
            </w:r>
            <w:r w:rsidR="005744EE" w:rsidRPr="00C13E1B">
              <w:rPr>
                <w:rFonts w:ascii="Times New Roman" w:hAnsi="Times New Roman" w:cs="Times New Roman"/>
                <w:b/>
                <w:sz w:val="18"/>
                <w:szCs w:val="18"/>
              </w:rPr>
              <w:fldChar w:fldCharType="begin"/>
            </w:r>
            <w:r w:rsidR="00EF369E" w:rsidRPr="00C13E1B">
              <w:rPr>
                <w:rFonts w:ascii="Times New Roman" w:hAnsi="Times New Roman" w:cs="Times New Roman"/>
                <w:b/>
                <w:sz w:val="18"/>
                <w:szCs w:val="18"/>
              </w:rPr>
              <w:instrText xml:space="preserve"> SEQ Text_Box \* ARABIC </w:instrText>
            </w:r>
            <w:r w:rsidR="005744EE" w:rsidRPr="00C13E1B">
              <w:rPr>
                <w:rFonts w:ascii="Times New Roman" w:hAnsi="Times New Roman" w:cs="Times New Roman"/>
                <w:b/>
                <w:sz w:val="18"/>
                <w:szCs w:val="18"/>
              </w:rPr>
              <w:fldChar w:fldCharType="separate"/>
            </w:r>
            <w:r w:rsidR="00064A1B" w:rsidRPr="00C13E1B">
              <w:rPr>
                <w:rFonts w:ascii="Times New Roman" w:hAnsi="Times New Roman" w:cs="Times New Roman"/>
                <w:b/>
                <w:noProof/>
                <w:sz w:val="18"/>
                <w:szCs w:val="18"/>
              </w:rPr>
              <w:t>6</w:t>
            </w:r>
            <w:r w:rsidR="005744EE" w:rsidRPr="00C13E1B">
              <w:rPr>
                <w:rFonts w:ascii="Times New Roman" w:hAnsi="Times New Roman" w:cs="Times New Roman"/>
                <w:b/>
                <w:sz w:val="18"/>
                <w:szCs w:val="18"/>
              </w:rPr>
              <w:fldChar w:fldCharType="end"/>
            </w:r>
            <w:r w:rsidRPr="00C13E1B">
              <w:rPr>
                <w:rFonts w:ascii="Times New Roman" w:hAnsi="Times New Roman" w:cs="Times New Roman"/>
                <w:b/>
                <w:sz w:val="18"/>
                <w:szCs w:val="18"/>
              </w:rPr>
              <w:t>: Leasing reforms in Ghana</w:t>
            </w:r>
            <w:bookmarkEnd w:id="77"/>
          </w:p>
          <w:p w:rsidR="00ED2AE9" w:rsidRPr="003571FD" w:rsidRDefault="00ED2AE9" w:rsidP="00ED2AE9">
            <w:pPr>
              <w:jc w:val="both"/>
              <w:rPr>
                <w:rFonts w:ascii="Times New Roman" w:hAnsi="Times New Roman" w:cs="Times New Roman"/>
                <w:sz w:val="18"/>
                <w:szCs w:val="18"/>
              </w:rPr>
            </w:pPr>
          </w:p>
          <w:p w:rsidR="00ED2AE9" w:rsidRPr="003571FD" w:rsidRDefault="00ED2AE9" w:rsidP="00ED2AE9">
            <w:pPr>
              <w:jc w:val="both"/>
              <w:rPr>
                <w:rFonts w:ascii="Times New Roman" w:hAnsi="Times New Roman" w:cs="Times New Roman"/>
                <w:sz w:val="18"/>
                <w:szCs w:val="18"/>
              </w:rPr>
            </w:pPr>
            <w:r w:rsidRPr="003571FD">
              <w:rPr>
                <w:rFonts w:ascii="Times New Roman" w:hAnsi="Times New Roman" w:cs="Times New Roman"/>
                <w:sz w:val="18"/>
                <w:szCs w:val="18"/>
              </w:rPr>
              <w:t xml:space="preserve">In 2004, the new banking law allowed banks to directly engage in leasing activities as part of their regular operations, without the need to get a special license and operate as a separate financial entity. As a result, the number of financial institutions offering leasing services jumped to 9 in 2007 (up from 2 in 2004), with a combined portfolio of </w:t>
            </w:r>
            <w:r w:rsidR="009D2A43" w:rsidRPr="003571FD">
              <w:rPr>
                <w:rFonts w:ascii="Times New Roman" w:hAnsi="Times New Roman" w:cs="Times New Roman"/>
                <w:sz w:val="18"/>
                <w:szCs w:val="18"/>
              </w:rPr>
              <w:t xml:space="preserve">USD </w:t>
            </w:r>
            <w:r w:rsidRPr="003571FD">
              <w:rPr>
                <w:rFonts w:ascii="Times New Roman" w:hAnsi="Times New Roman" w:cs="Times New Roman"/>
                <w:sz w:val="18"/>
                <w:szCs w:val="18"/>
              </w:rPr>
              <w:t xml:space="preserve">71 </w:t>
            </w:r>
            <w:proofErr w:type="spellStart"/>
            <w:r w:rsidRPr="003571FD">
              <w:rPr>
                <w:rFonts w:ascii="Times New Roman" w:hAnsi="Times New Roman" w:cs="Times New Roman"/>
                <w:sz w:val="18"/>
                <w:szCs w:val="18"/>
              </w:rPr>
              <w:t>mio</w:t>
            </w:r>
            <w:proofErr w:type="spellEnd"/>
            <w:r w:rsidRPr="003571FD">
              <w:rPr>
                <w:rFonts w:ascii="Times New Roman" w:hAnsi="Times New Roman" w:cs="Times New Roman"/>
                <w:sz w:val="18"/>
                <w:szCs w:val="18"/>
              </w:rPr>
              <w:t xml:space="preserve"> in 2007 (compared to 1.65 in 2004).</w:t>
            </w:r>
            <w:r w:rsidR="00B07DFB" w:rsidRPr="003571FD">
              <w:rPr>
                <w:rFonts w:ascii="Times New Roman" w:hAnsi="Times New Roman" w:cs="Times New Roman"/>
                <w:sz w:val="18"/>
                <w:szCs w:val="18"/>
              </w:rPr>
              <w:t xml:space="preserve"> </w:t>
            </w:r>
            <w:r w:rsidRPr="003571FD">
              <w:rPr>
                <w:rFonts w:ascii="Times New Roman" w:hAnsi="Times New Roman" w:cs="Times New Roman"/>
                <w:sz w:val="18"/>
                <w:szCs w:val="18"/>
              </w:rPr>
              <w:t>Their market share increased from 20 % of the leasing market to 65 % in 2007, replacing traditional non-bank lessors as the main provider of leasing.</w:t>
            </w:r>
          </w:p>
          <w:p w:rsidR="00ED2AE9" w:rsidRPr="003571FD" w:rsidRDefault="00ED2AE9" w:rsidP="00ED2AE9">
            <w:pPr>
              <w:jc w:val="both"/>
              <w:rPr>
                <w:rFonts w:ascii="Times New Roman" w:hAnsi="Times New Roman" w:cs="Times New Roman"/>
                <w:i/>
                <w:sz w:val="18"/>
                <w:szCs w:val="18"/>
              </w:rPr>
            </w:pPr>
          </w:p>
          <w:p w:rsidR="00ED2AE9" w:rsidRPr="003571FD" w:rsidRDefault="00ED2AE9" w:rsidP="00ED2AE9">
            <w:pPr>
              <w:jc w:val="both"/>
              <w:rPr>
                <w:rFonts w:ascii="Times New Roman" w:hAnsi="Times New Roman" w:cs="Times New Roman"/>
                <w:i/>
                <w:sz w:val="18"/>
                <w:szCs w:val="18"/>
              </w:rPr>
            </w:pPr>
            <w:r w:rsidRPr="003571FD">
              <w:rPr>
                <w:rFonts w:ascii="Times New Roman" w:hAnsi="Times New Roman" w:cs="Times New Roman"/>
                <w:i/>
                <w:sz w:val="18"/>
                <w:szCs w:val="18"/>
              </w:rPr>
              <w:t xml:space="preserve">Source: IFC “Leasing in Ghana – A </w:t>
            </w:r>
            <w:r w:rsidR="00525F02" w:rsidRPr="003571FD">
              <w:rPr>
                <w:rFonts w:ascii="Times New Roman" w:hAnsi="Times New Roman" w:cs="Times New Roman"/>
                <w:i/>
                <w:sz w:val="18"/>
                <w:szCs w:val="18"/>
              </w:rPr>
              <w:t>s</w:t>
            </w:r>
            <w:r w:rsidRPr="003571FD">
              <w:rPr>
                <w:rFonts w:ascii="Times New Roman" w:hAnsi="Times New Roman" w:cs="Times New Roman"/>
                <w:i/>
                <w:sz w:val="18"/>
                <w:szCs w:val="18"/>
              </w:rPr>
              <w:t>urvey of the leasing market”, June 2008.</w:t>
            </w:r>
          </w:p>
          <w:p w:rsidR="00ED2AE9" w:rsidRPr="003571FD" w:rsidRDefault="00ED2AE9" w:rsidP="00ED2AE9">
            <w:pPr>
              <w:jc w:val="both"/>
              <w:rPr>
                <w:rFonts w:ascii="Times New Roman" w:hAnsi="Times New Roman" w:cs="Times New Roman"/>
                <w:i/>
                <w:sz w:val="18"/>
                <w:szCs w:val="18"/>
              </w:rPr>
            </w:pPr>
          </w:p>
        </w:tc>
      </w:tr>
    </w:tbl>
    <w:p w:rsidR="00335B15" w:rsidRPr="003571FD" w:rsidRDefault="00335B15" w:rsidP="00335B15">
      <w:pPr>
        <w:jc w:val="both"/>
        <w:rPr>
          <w:rFonts w:ascii="Times New Roman" w:eastAsiaTheme="majorEastAsia" w:hAnsi="Times New Roman" w:cs="Times New Roman"/>
          <w:bCs/>
          <w:i/>
          <w:sz w:val="18"/>
          <w:szCs w:val="28"/>
        </w:rPr>
      </w:pPr>
    </w:p>
    <w:p w:rsidR="00E22B37" w:rsidRPr="003571FD" w:rsidRDefault="00E22B37"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The leasing framework in Bolivia should be updated. </w:t>
      </w:r>
      <w:r w:rsidRPr="003571FD">
        <w:rPr>
          <w:rFonts w:ascii="Times New Roman" w:hAnsi="Times New Roman" w:cs="Times New Roman"/>
          <w:sz w:val="24"/>
        </w:rPr>
        <w:t>The available legal framework is fragmented, and it is difficult to get a good overview over the regulations pertaining to leasing. In reaction to widespread misuse of the leasing instrument by banks at the end of the 90s</w:t>
      </w:r>
      <w:r w:rsidRPr="003571FD">
        <w:rPr>
          <w:rStyle w:val="FootnoteReference"/>
          <w:rFonts w:ascii="Times New Roman" w:hAnsi="Times New Roman" w:cs="Times New Roman"/>
          <w:sz w:val="24"/>
        </w:rPr>
        <w:footnoteReference w:id="117"/>
      </w:r>
      <w:r w:rsidRPr="003571FD">
        <w:rPr>
          <w:rFonts w:ascii="Times New Roman" w:hAnsi="Times New Roman" w:cs="Times New Roman"/>
          <w:sz w:val="24"/>
        </w:rPr>
        <w:t xml:space="preserve">, the regulatory authorities amended the banking law through </w:t>
      </w:r>
      <w:r w:rsidR="009B328D" w:rsidRPr="003571FD">
        <w:rPr>
          <w:rFonts w:ascii="Times New Roman" w:hAnsi="Times New Roman" w:cs="Times New Roman"/>
          <w:sz w:val="24"/>
        </w:rPr>
        <w:t>D</w:t>
      </w:r>
      <w:r w:rsidRPr="003571FD">
        <w:rPr>
          <w:rFonts w:ascii="Times New Roman" w:hAnsi="Times New Roman" w:cs="Times New Roman"/>
          <w:sz w:val="24"/>
        </w:rPr>
        <w:t>ecree 2297 in 2001, which prohibited financial institutions from providing financial leasing services, unless done through a separate financial entity. The need to create a dedicated and stand-alone financial entity poses a hurdle to entering the market, as it binds a significant amount of capital upfront. A dedicated institution furthermore does not allow to leverage existing institutional capacities (thus increasing costs), while it reduces the options to offer customers a wide range of services (thus reducing the quality of service to customers). In addition to this, any new entity that is interested in exploring the leasing market has to fulfill a number of upfront requirements that are costly and time-consuming such as an in-depth economic and financial feasibility study, which lowers incentives for piloting leasing products.</w:t>
      </w:r>
      <w:r w:rsidR="00FE5E4B" w:rsidRPr="003571FD">
        <w:rPr>
          <w:rFonts w:ascii="Times New Roman" w:hAnsi="Times New Roman" w:cs="Times New Roman"/>
          <w:sz w:val="24"/>
        </w:rPr>
        <w:t xml:space="preserve"> Efforts to revamp the legal framework have already been undertaken, but so far unfortunately with no results. </w:t>
      </w:r>
    </w:p>
    <w:p w:rsidR="00801E58" w:rsidRPr="003571FD" w:rsidRDefault="00801E58" w:rsidP="00801E58">
      <w:pPr>
        <w:pStyle w:val="ListParagraph"/>
        <w:ind w:left="360"/>
        <w:jc w:val="both"/>
        <w:rPr>
          <w:rFonts w:ascii="Times New Roman" w:hAnsi="Times New Roman" w:cs="Times New Roman"/>
          <w:sz w:val="24"/>
        </w:rPr>
      </w:pPr>
    </w:p>
    <w:p w:rsidR="00801E58" w:rsidRPr="003571FD" w:rsidRDefault="00E22B37"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Similar deficiencies were reported with regard to factoring</w:t>
      </w:r>
      <w:r w:rsidRPr="003571FD">
        <w:rPr>
          <w:rFonts w:ascii="Times New Roman" w:hAnsi="Times New Roman" w:cs="Times New Roman"/>
          <w:sz w:val="24"/>
        </w:rPr>
        <w:t xml:space="preserve">. While the regulatory framework for the financial system already allows factoring to be used, the commercial code </w:t>
      </w:r>
      <w:r w:rsidRPr="003571FD">
        <w:rPr>
          <w:rFonts w:ascii="Times New Roman" w:hAnsi="Times New Roman" w:cs="Times New Roman"/>
          <w:sz w:val="24"/>
        </w:rPr>
        <w:lastRenderedPageBreak/>
        <w:t>does not yet define what constitutes a “</w:t>
      </w:r>
      <w:proofErr w:type="spellStart"/>
      <w:r w:rsidRPr="003571FD">
        <w:rPr>
          <w:rFonts w:ascii="Times New Roman" w:hAnsi="Times New Roman" w:cs="Times New Roman"/>
          <w:i/>
          <w:sz w:val="24"/>
        </w:rPr>
        <w:t>factura</w:t>
      </w:r>
      <w:proofErr w:type="spellEnd"/>
      <w:r w:rsidRPr="003571FD">
        <w:rPr>
          <w:rFonts w:ascii="Times New Roman" w:hAnsi="Times New Roman" w:cs="Times New Roman"/>
          <w:i/>
          <w:sz w:val="24"/>
        </w:rPr>
        <w:t xml:space="preserve"> </w:t>
      </w:r>
      <w:proofErr w:type="spellStart"/>
      <w:r w:rsidRPr="003571FD">
        <w:rPr>
          <w:rFonts w:ascii="Times New Roman" w:hAnsi="Times New Roman" w:cs="Times New Roman"/>
          <w:i/>
          <w:sz w:val="24"/>
        </w:rPr>
        <w:t>cambiaria</w:t>
      </w:r>
      <w:proofErr w:type="spellEnd"/>
      <w:r w:rsidRPr="003571FD">
        <w:rPr>
          <w:rFonts w:ascii="Times New Roman" w:hAnsi="Times New Roman" w:cs="Times New Roman"/>
          <w:sz w:val="24"/>
        </w:rPr>
        <w:t>”. This and the very limited use of invoices in the market de facto eliminate the use of factoring in the country.</w:t>
      </w:r>
    </w:p>
    <w:p w:rsidR="00801E58" w:rsidRPr="003571FD" w:rsidRDefault="00801E58" w:rsidP="00801E58">
      <w:pPr>
        <w:pStyle w:val="ListParagraph"/>
        <w:ind w:left="360"/>
        <w:jc w:val="both"/>
        <w:rPr>
          <w:rFonts w:ascii="Times New Roman" w:hAnsi="Times New Roman" w:cs="Times New Roman"/>
          <w:sz w:val="24"/>
        </w:rPr>
      </w:pPr>
    </w:p>
    <w:p w:rsidR="003C15FB" w:rsidRPr="003571FD" w:rsidRDefault="00147F9F"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Partial credit guarantees are another alternative to overcome some of the collateral requirements, </w:t>
      </w:r>
      <w:r w:rsidR="00564044" w:rsidRPr="003571FD">
        <w:rPr>
          <w:rFonts w:ascii="Times New Roman" w:hAnsi="Times New Roman" w:cs="Times New Roman"/>
          <w:b/>
          <w:sz w:val="24"/>
        </w:rPr>
        <w:t>and could be</w:t>
      </w:r>
      <w:r w:rsidRPr="003571FD">
        <w:rPr>
          <w:rFonts w:ascii="Times New Roman" w:hAnsi="Times New Roman" w:cs="Times New Roman"/>
          <w:b/>
          <w:sz w:val="24"/>
        </w:rPr>
        <w:t xml:space="preserve"> particularly valuable for </w:t>
      </w:r>
      <w:r w:rsidR="00564044" w:rsidRPr="003571FD">
        <w:rPr>
          <w:rFonts w:ascii="Times New Roman" w:hAnsi="Times New Roman" w:cs="Times New Roman"/>
          <w:b/>
          <w:sz w:val="24"/>
        </w:rPr>
        <w:t xml:space="preserve">fostering lending to </w:t>
      </w:r>
      <w:r w:rsidRPr="003571FD">
        <w:rPr>
          <w:rFonts w:ascii="Times New Roman" w:hAnsi="Times New Roman" w:cs="Times New Roman"/>
          <w:b/>
          <w:sz w:val="24"/>
        </w:rPr>
        <w:t>MSMEs</w:t>
      </w:r>
      <w:r w:rsidR="003C15FB" w:rsidRPr="003571FD">
        <w:rPr>
          <w:rStyle w:val="FootnoteReference"/>
          <w:rFonts w:ascii="Times New Roman" w:hAnsi="Times New Roman" w:cs="Times New Roman"/>
          <w:b/>
          <w:sz w:val="24"/>
        </w:rPr>
        <w:footnoteReference w:id="118"/>
      </w:r>
      <w:r w:rsidR="00F11CB0">
        <w:rPr>
          <w:rFonts w:ascii="Times New Roman" w:hAnsi="Times New Roman" w:cs="Times New Roman"/>
          <w:b/>
          <w:sz w:val="24"/>
        </w:rPr>
        <w:t>.</w:t>
      </w:r>
      <w:r w:rsidR="003C15FB" w:rsidRPr="003571FD">
        <w:rPr>
          <w:rFonts w:ascii="Times New Roman" w:hAnsi="Times New Roman" w:cs="Times New Roman"/>
          <w:sz w:val="24"/>
        </w:rPr>
        <w:t xml:space="preserve"> </w:t>
      </w:r>
      <w:r w:rsidR="004E65B7" w:rsidRPr="003571FD">
        <w:rPr>
          <w:rFonts w:ascii="Times New Roman" w:hAnsi="Times New Roman" w:cs="Times New Roman"/>
          <w:sz w:val="24"/>
        </w:rPr>
        <w:t xml:space="preserve">By providing a guarantee for the rapid reimbursement of a part of the loan amount in case of default, partial credit guarantees can substantially help lower the amount of collateral required by financial entities for lending, </w:t>
      </w:r>
      <w:r w:rsidR="005919A9" w:rsidRPr="003571FD">
        <w:rPr>
          <w:rFonts w:ascii="Times New Roman" w:hAnsi="Times New Roman" w:cs="Times New Roman"/>
          <w:sz w:val="24"/>
        </w:rPr>
        <w:t>and through reducing the risk and costs of</w:t>
      </w:r>
      <w:r w:rsidR="004E65B7" w:rsidRPr="003571FD">
        <w:rPr>
          <w:rFonts w:ascii="Times New Roman" w:hAnsi="Times New Roman" w:cs="Times New Roman"/>
          <w:sz w:val="24"/>
        </w:rPr>
        <w:t xml:space="preserve"> enforc</w:t>
      </w:r>
      <w:r w:rsidR="005919A9" w:rsidRPr="003571FD">
        <w:rPr>
          <w:rFonts w:ascii="Times New Roman" w:hAnsi="Times New Roman" w:cs="Times New Roman"/>
          <w:sz w:val="24"/>
        </w:rPr>
        <w:t xml:space="preserve">ing collateral and lowering capital and provisioning requirements for banks can translate into lower interest rates for borrowers. </w:t>
      </w:r>
      <w:r w:rsidR="00AC2F23" w:rsidRPr="003571FD">
        <w:rPr>
          <w:rFonts w:ascii="Times New Roman" w:hAnsi="Times New Roman" w:cs="Times New Roman"/>
          <w:sz w:val="24"/>
        </w:rPr>
        <w:t xml:space="preserve">International experience </w:t>
      </w:r>
      <w:r w:rsidR="00564044" w:rsidRPr="003571FD">
        <w:rPr>
          <w:rFonts w:ascii="Times New Roman" w:hAnsi="Times New Roman" w:cs="Times New Roman"/>
          <w:sz w:val="24"/>
        </w:rPr>
        <w:t xml:space="preserve">such as in Chile (FOGAPE), </w:t>
      </w:r>
      <w:r w:rsidR="008D7134" w:rsidRPr="003571FD">
        <w:rPr>
          <w:rFonts w:ascii="Times New Roman" w:hAnsi="Times New Roman" w:cs="Times New Roman"/>
          <w:sz w:val="24"/>
        </w:rPr>
        <w:t xml:space="preserve">Colombia (FNG) and </w:t>
      </w:r>
      <w:r w:rsidR="00564044" w:rsidRPr="003571FD">
        <w:rPr>
          <w:rFonts w:ascii="Times New Roman" w:hAnsi="Times New Roman" w:cs="Times New Roman"/>
          <w:sz w:val="24"/>
        </w:rPr>
        <w:t>Mexico (NAFIN)</w:t>
      </w:r>
      <w:r w:rsidR="008D7134" w:rsidRPr="003571FD">
        <w:rPr>
          <w:rFonts w:ascii="Times New Roman" w:hAnsi="Times New Roman" w:cs="Times New Roman"/>
          <w:sz w:val="24"/>
        </w:rPr>
        <w:t xml:space="preserve"> </w:t>
      </w:r>
      <w:r w:rsidR="00AC2F23" w:rsidRPr="003571FD">
        <w:rPr>
          <w:rFonts w:ascii="Times New Roman" w:hAnsi="Times New Roman" w:cs="Times New Roman"/>
          <w:sz w:val="24"/>
        </w:rPr>
        <w:t xml:space="preserve">suggests that partial credit guarantees can play an important role for facilitating access to funding, but </w:t>
      </w:r>
      <w:r w:rsidR="00CC3398" w:rsidRPr="003571FD">
        <w:rPr>
          <w:rFonts w:ascii="Times New Roman" w:hAnsi="Times New Roman" w:cs="Times New Roman"/>
          <w:sz w:val="24"/>
        </w:rPr>
        <w:t xml:space="preserve">should ideally come at </w:t>
      </w:r>
      <w:r w:rsidR="008D7134" w:rsidRPr="003571FD">
        <w:rPr>
          <w:rFonts w:ascii="Times New Roman" w:hAnsi="Times New Roman" w:cs="Times New Roman"/>
          <w:sz w:val="24"/>
        </w:rPr>
        <w:t xml:space="preserve">some cost </w:t>
      </w:r>
      <w:r w:rsidR="00CC3398" w:rsidRPr="003571FD">
        <w:rPr>
          <w:rFonts w:ascii="Times New Roman" w:hAnsi="Times New Roman" w:cs="Times New Roman"/>
          <w:sz w:val="24"/>
        </w:rPr>
        <w:t>for the borrower</w:t>
      </w:r>
      <w:r w:rsidR="007A7605" w:rsidRPr="003571FD">
        <w:rPr>
          <w:rFonts w:ascii="Times New Roman" w:hAnsi="Times New Roman" w:cs="Times New Roman"/>
          <w:sz w:val="24"/>
        </w:rPr>
        <w:t xml:space="preserve"> (for example </w:t>
      </w:r>
      <w:r w:rsidR="00324B25" w:rsidRPr="003571FD">
        <w:rPr>
          <w:rFonts w:ascii="Times New Roman" w:hAnsi="Times New Roman" w:cs="Times New Roman"/>
          <w:sz w:val="24"/>
        </w:rPr>
        <w:t xml:space="preserve">payment of </w:t>
      </w:r>
      <w:r w:rsidR="007A7605" w:rsidRPr="003571FD">
        <w:rPr>
          <w:rFonts w:ascii="Times New Roman" w:hAnsi="Times New Roman" w:cs="Times New Roman"/>
          <w:sz w:val="24"/>
        </w:rPr>
        <w:t xml:space="preserve">a </w:t>
      </w:r>
      <w:r w:rsidR="00324B25" w:rsidRPr="003571FD">
        <w:rPr>
          <w:rFonts w:ascii="Times New Roman" w:hAnsi="Times New Roman" w:cs="Times New Roman"/>
          <w:sz w:val="24"/>
        </w:rPr>
        <w:t xml:space="preserve">certain </w:t>
      </w:r>
      <w:r w:rsidR="007A7605" w:rsidRPr="003571FD">
        <w:rPr>
          <w:rFonts w:ascii="Times New Roman" w:hAnsi="Times New Roman" w:cs="Times New Roman"/>
          <w:sz w:val="24"/>
        </w:rPr>
        <w:t>percentage of the loan to be guaranteed)</w:t>
      </w:r>
      <w:r w:rsidR="00CC3398" w:rsidRPr="003571FD">
        <w:rPr>
          <w:rFonts w:ascii="Times New Roman" w:hAnsi="Times New Roman" w:cs="Times New Roman"/>
          <w:sz w:val="24"/>
        </w:rPr>
        <w:t xml:space="preserve">, </w:t>
      </w:r>
      <w:r w:rsidR="008D7134" w:rsidRPr="003571FD">
        <w:rPr>
          <w:rFonts w:ascii="Times New Roman" w:hAnsi="Times New Roman" w:cs="Times New Roman"/>
          <w:sz w:val="24"/>
        </w:rPr>
        <w:t xml:space="preserve">and </w:t>
      </w:r>
      <w:r w:rsidR="00CC3398" w:rsidRPr="003571FD">
        <w:rPr>
          <w:rFonts w:ascii="Times New Roman" w:hAnsi="Times New Roman" w:cs="Times New Roman"/>
          <w:sz w:val="24"/>
        </w:rPr>
        <w:t xml:space="preserve">benefit from well-trained credit officer and performance incentives for financial institutions to lower adverse selection of clients from the supply side. </w:t>
      </w:r>
    </w:p>
    <w:p w:rsidR="0068206F" w:rsidRPr="003571FD" w:rsidRDefault="0068206F">
      <w:pPr>
        <w:pStyle w:val="ListParagraph"/>
        <w:spacing w:after="240"/>
        <w:ind w:left="0"/>
        <w:jc w:val="both"/>
        <w:rPr>
          <w:rFonts w:ascii="Times New Roman" w:hAnsi="Times New Roman" w:cs="Times New Roman"/>
          <w:sz w:val="24"/>
        </w:rPr>
      </w:pPr>
    </w:p>
    <w:p w:rsidR="00801E58" w:rsidRPr="003571FD" w:rsidRDefault="00E22B37"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Several efforts were undertaken in recent years to launch micro-insurance products, in particular agro-insurance.</w:t>
      </w:r>
      <w:r w:rsidRPr="003571FD">
        <w:rPr>
          <w:rFonts w:ascii="Times New Roman" w:hAnsi="Times New Roman" w:cs="Times New Roman"/>
          <w:sz w:val="24"/>
        </w:rPr>
        <w:t xml:space="preserve"> Experience in other countries indicates that these schemes oftentimes depend on government subsidies to be viable on the longer term, especially, if they are intended to cover more marginal (and risky) agricultural areas. In some countries, there are promising experiments with index-based insurance schemes, which cover only some very specific risks, and assess the incidence of triggers through means that reduce moral hazard (e.g. through weather-stations and/or local informants)</w:t>
      </w:r>
      <w:r w:rsidR="00FE5E4B" w:rsidRPr="003571FD">
        <w:rPr>
          <w:rFonts w:ascii="Times New Roman" w:hAnsi="Times New Roman" w:cs="Times New Roman"/>
          <w:sz w:val="24"/>
        </w:rPr>
        <w:t xml:space="preserve">. Successful micro-insurance products </w:t>
      </w:r>
      <w:r w:rsidRPr="003571FD">
        <w:rPr>
          <w:rFonts w:ascii="Times New Roman" w:hAnsi="Times New Roman" w:cs="Times New Roman"/>
          <w:sz w:val="24"/>
        </w:rPr>
        <w:t xml:space="preserve">in many instances </w:t>
      </w:r>
      <w:r w:rsidR="004D1238" w:rsidRPr="003571FD">
        <w:rPr>
          <w:rFonts w:ascii="Times New Roman" w:hAnsi="Times New Roman" w:cs="Times New Roman"/>
          <w:sz w:val="24"/>
        </w:rPr>
        <w:t xml:space="preserve">also </w:t>
      </w:r>
      <w:r w:rsidRPr="003571FD">
        <w:rPr>
          <w:rFonts w:ascii="Times New Roman" w:hAnsi="Times New Roman" w:cs="Times New Roman"/>
          <w:sz w:val="24"/>
        </w:rPr>
        <w:t xml:space="preserve">use the financial system or </w:t>
      </w:r>
      <w:r w:rsidR="004D1238" w:rsidRPr="003571FD">
        <w:rPr>
          <w:rFonts w:ascii="Times New Roman" w:hAnsi="Times New Roman" w:cs="Times New Roman"/>
          <w:sz w:val="24"/>
        </w:rPr>
        <w:t xml:space="preserve">micro-finance </w:t>
      </w:r>
      <w:r w:rsidRPr="003571FD">
        <w:rPr>
          <w:rFonts w:ascii="Times New Roman" w:hAnsi="Times New Roman" w:cs="Times New Roman"/>
          <w:sz w:val="24"/>
        </w:rPr>
        <w:t>NGOs to distribute the product to the client in combination with credit products</w:t>
      </w:r>
      <w:r w:rsidR="00FE5E4B" w:rsidRPr="003571FD">
        <w:rPr>
          <w:rFonts w:ascii="Times New Roman" w:hAnsi="Times New Roman" w:cs="Times New Roman"/>
          <w:sz w:val="24"/>
        </w:rPr>
        <w:t xml:space="preserve">, thus defining a clear (and limited) target group </w:t>
      </w:r>
      <w:r w:rsidR="004D1238" w:rsidRPr="003571FD">
        <w:rPr>
          <w:rFonts w:ascii="Times New Roman" w:hAnsi="Times New Roman" w:cs="Times New Roman"/>
          <w:sz w:val="24"/>
        </w:rPr>
        <w:t xml:space="preserve">(borrowers) </w:t>
      </w:r>
      <w:r w:rsidR="00FE5E4B" w:rsidRPr="003571FD">
        <w:rPr>
          <w:rFonts w:ascii="Times New Roman" w:hAnsi="Times New Roman" w:cs="Times New Roman"/>
          <w:sz w:val="24"/>
        </w:rPr>
        <w:t>and purpose of the insurance (to facilitate access to funding)</w:t>
      </w:r>
      <w:r w:rsidRPr="003571FD">
        <w:rPr>
          <w:rFonts w:ascii="Times New Roman" w:hAnsi="Times New Roman" w:cs="Times New Roman"/>
          <w:sz w:val="24"/>
        </w:rPr>
        <w:t>. A</w:t>
      </w:r>
      <w:r w:rsidR="00B07DFB" w:rsidRPr="003571FD">
        <w:rPr>
          <w:rFonts w:ascii="Times New Roman" w:hAnsi="Times New Roman" w:cs="Times New Roman"/>
          <w:sz w:val="24"/>
        </w:rPr>
        <w:t xml:space="preserve"> </w:t>
      </w:r>
      <w:r w:rsidRPr="003571FD">
        <w:rPr>
          <w:rFonts w:ascii="Times New Roman" w:hAnsi="Times New Roman" w:cs="Times New Roman"/>
          <w:sz w:val="24"/>
        </w:rPr>
        <w:t xml:space="preserve">voluntary micro-insurance scheme is currently being explored in Bolivia with support of PROFIN, involving communities in the roll-out of the program and the verification of claims, including an international reinsurer and a fall back solution on grant resources in the event of larger external shocks. Experience with uptake has so far been reportedly good, but the overall sustainability and applicability on a larger number of communities will have to be tested over time and will critically hinge on the number of risks being insured and the efficiency of the monitoring arrangements. </w:t>
      </w:r>
      <w:r w:rsidR="004D1238" w:rsidRPr="003571FD">
        <w:rPr>
          <w:rFonts w:ascii="Times New Roman" w:hAnsi="Times New Roman" w:cs="Times New Roman"/>
          <w:sz w:val="24"/>
        </w:rPr>
        <w:t>It</w:t>
      </w:r>
      <w:r w:rsidR="00FE5E4B" w:rsidRPr="003571FD">
        <w:rPr>
          <w:rFonts w:ascii="Times New Roman" w:hAnsi="Times New Roman" w:cs="Times New Roman"/>
          <w:sz w:val="24"/>
        </w:rPr>
        <w:t xml:space="preserve"> should also be noted that the new scheme under discussion is rather broad, and thus could lead to considerable contingent liabilities for the government if fully rolled out. </w:t>
      </w:r>
      <w:r w:rsidR="004D1238" w:rsidRPr="003571FD">
        <w:rPr>
          <w:rFonts w:ascii="Times New Roman" w:hAnsi="Times New Roman" w:cs="Times New Roman"/>
          <w:sz w:val="24"/>
        </w:rPr>
        <w:t>Over time, t</w:t>
      </w:r>
      <w:r w:rsidRPr="003571FD">
        <w:rPr>
          <w:rFonts w:ascii="Times New Roman" w:hAnsi="Times New Roman" w:cs="Times New Roman"/>
          <w:sz w:val="24"/>
        </w:rPr>
        <w:t xml:space="preserve">he efficiency of the scheme with regard to the expected outcome on poverty levels </w:t>
      </w:r>
      <w:r w:rsidR="004D1238" w:rsidRPr="003571FD">
        <w:rPr>
          <w:rFonts w:ascii="Times New Roman" w:hAnsi="Times New Roman" w:cs="Times New Roman"/>
          <w:sz w:val="24"/>
        </w:rPr>
        <w:t>should</w:t>
      </w:r>
      <w:r w:rsidRPr="003571FD">
        <w:rPr>
          <w:rFonts w:ascii="Times New Roman" w:hAnsi="Times New Roman" w:cs="Times New Roman"/>
          <w:sz w:val="24"/>
        </w:rPr>
        <w:t xml:space="preserve"> be assessed and </w:t>
      </w:r>
      <w:r w:rsidR="004D1238" w:rsidRPr="003571FD">
        <w:rPr>
          <w:rFonts w:ascii="Times New Roman" w:hAnsi="Times New Roman" w:cs="Times New Roman"/>
          <w:sz w:val="24"/>
        </w:rPr>
        <w:t xml:space="preserve">its cost efficiency reevaluated based on </w:t>
      </w:r>
      <w:r w:rsidRPr="003571FD">
        <w:rPr>
          <w:rFonts w:ascii="Times New Roman" w:hAnsi="Times New Roman" w:cs="Times New Roman"/>
          <w:sz w:val="24"/>
        </w:rPr>
        <w:t xml:space="preserve">other </w:t>
      </w:r>
      <w:r w:rsidR="004D1238" w:rsidRPr="003571FD">
        <w:rPr>
          <w:rFonts w:ascii="Times New Roman" w:hAnsi="Times New Roman" w:cs="Times New Roman"/>
          <w:sz w:val="24"/>
        </w:rPr>
        <w:t xml:space="preserve">available </w:t>
      </w:r>
      <w:r w:rsidRPr="003571FD">
        <w:rPr>
          <w:rFonts w:ascii="Times New Roman" w:hAnsi="Times New Roman" w:cs="Times New Roman"/>
          <w:sz w:val="24"/>
        </w:rPr>
        <w:t>alternatives to mitigate risks.</w:t>
      </w:r>
    </w:p>
    <w:p w:rsidR="00E22B37" w:rsidRPr="003571FD" w:rsidRDefault="00E22B37" w:rsidP="00801E58">
      <w:pPr>
        <w:pStyle w:val="ListParagraph"/>
        <w:ind w:left="360"/>
        <w:jc w:val="both"/>
        <w:rPr>
          <w:rFonts w:ascii="Times New Roman" w:hAnsi="Times New Roman" w:cs="Times New Roman"/>
          <w:sz w:val="24"/>
        </w:rPr>
      </w:pPr>
    </w:p>
    <w:p w:rsidR="007C2030" w:rsidRPr="003571FD" w:rsidRDefault="007C2030" w:rsidP="00801E58">
      <w:pPr>
        <w:pStyle w:val="ListParagraph"/>
        <w:ind w:left="360"/>
        <w:jc w:val="both"/>
        <w:rPr>
          <w:rFonts w:ascii="Times New Roman" w:hAnsi="Times New Roman" w:cs="Times New Roman"/>
          <w:sz w:val="24"/>
        </w:rPr>
      </w:pPr>
    </w:p>
    <w:p w:rsidR="00E22B37" w:rsidRPr="003571FD" w:rsidRDefault="00E22B37" w:rsidP="00CA07A0">
      <w:pPr>
        <w:pStyle w:val="ListParagraph"/>
        <w:numPr>
          <w:ilvl w:val="0"/>
          <w:numId w:val="7"/>
        </w:numPr>
        <w:jc w:val="both"/>
        <w:rPr>
          <w:rFonts w:ascii="Times New Roman" w:hAnsi="Times New Roman" w:cs="Times New Roman"/>
          <w:i/>
          <w:sz w:val="24"/>
        </w:rPr>
      </w:pPr>
      <w:r w:rsidRPr="003571FD">
        <w:rPr>
          <w:rFonts w:ascii="Times New Roman" w:hAnsi="Times New Roman" w:cs="Times New Roman"/>
          <w:i/>
          <w:sz w:val="24"/>
        </w:rPr>
        <w:lastRenderedPageBreak/>
        <w:t>Loan Conditions</w:t>
      </w:r>
      <w:r w:rsidR="00801E58" w:rsidRPr="003571FD">
        <w:rPr>
          <w:rFonts w:ascii="Times New Roman" w:hAnsi="Times New Roman" w:cs="Times New Roman"/>
          <w:i/>
          <w:sz w:val="24"/>
        </w:rPr>
        <w:t>:</w:t>
      </w:r>
    </w:p>
    <w:p w:rsidR="00801E58" w:rsidRPr="003571FD" w:rsidRDefault="00801E58" w:rsidP="00801E58">
      <w:pPr>
        <w:pStyle w:val="ListParagraph"/>
        <w:jc w:val="both"/>
        <w:rPr>
          <w:rFonts w:ascii="Times New Roman" w:hAnsi="Times New Roman" w:cs="Times New Roman"/>
          <w:i/>
          <w:sz w:val="24"/>
        </w:rPr>
      </w:pPr>
    </w:p>
    <w:p w:rsidR="00E22B37" w:rsidRPr="003571FD" w:rsidRDefault="00E22B37" w:rsidP="00CA07A0">
      <w:pPr>
        <w:pStyle w:val="ListParagraph"/>
        <w:numPr>
          <w:ilvl w:val="0"/>
          <w:numId w:val="8"/>
        </w:numPr>
        <w:spacing w:after="240"/>
        <w:jc w:val="both"/>
        <w:rPr>
          <w:rFonts w:ascii="Times New Roman" w:hAnsi="Times New Roman" w:cs="Times New Roman"/>
          <w:b/>
          <w:sz w:val="24"/>
        </w:rPr>
      </w:pPr>
      <w:r w:rsidRPr="003571FD">
        <w:rPr>
          <w:rFonts w:ascii="Times New Roman" w:hAnsi="Times New Roman" w:cs="Times New Roman"/>
          <w:b/>
          <w:sz w:val="24"/>
        </w:rPr>
        <w:t xml:space="preserve">Under current conditions neither the available resource envelope nor the </w:t>
      </w:r>
      <w:r w:rsidR="003646BB" w:rsidRPr="003571FD">
        <w:rPr>
          <w:rFonts w:ascii="Times New Roman" w:hAnsi="Times New Roman" w:cs="Times New Roman"/>
          <w:b/>
          <w:sz w:val="24"/>
        </w:rPr>
        <w:t>levels of interest rates appear</w:t>
      </w:r>
      <w:r w:rsidR="00F11CB0">
        <w:rPr>
          <w:rFonts w:ascii="Times New Roman" w:hAnsi="Times New Roman" w:cs="Times New Roman"/>
          <w:b/>
          <w:sz w:val="24"/>
        </w:rPr>
        <w:t xml:space="preserve"> to be</w:t>
      </w:r>
      <w:r w:rsidR="00F11CB0" w:rsidRPr="003571FD">
        <w:rPr>
          <w:rFonts w:ascii="Times New Roman" w:hAnsi="Times New Roman" w:cs="Times New Roman"/>
          <w:b/>
          <w:sz w:val="24"/>
        </w:rPr>
        <w:t xml:space="preserve"> </w:t>
      </w:r>
      <w:r w:rsidRPr="003571FD">
        <w:rPr>
          <w:rFonts w:ascii="Times New Roman" w:hAnsi="Times New Roman" w:cs="Times New Roman"/>
          <w:b/>
          <w:sz w:val="24"/>
        </w:rPr>
        <w:t xml:space="preserve">significant constraints for the expansion of lending to the productive sectors. </w:t>
      </w:r>
      <w:r w:rsidRPr="003571FD">
        <w:rPr>
          <w:rFonts w:ascii="Times New Roman" w:hAnsi="Times New Roman" w:cs="Times New Roman"/>
          <w:sz w:val="24"/>
        </w:rPr>
        <w:t>The level of liquidity in the formal financial system increased significantly in recent years, in which the growth of deposits outpaced by large the growth of the loan portfolios, creating a strong competitive pressure on the interest rates for loans and also the overall lending standards</w:t>
      </w:r>
      <w:r w:rsidRPr="003571FD">
        <w:rPr>
          <w:vertAlign w:val="superscript"/>
        </w:rPr>
        <w:footnoteReference w:id="119"/>
      </w:r>
      <w:r w:rsidRPr="003571FD">
        <w:rPr>
          <w:rFonts w:ascii="Times New Roman" w:hAnsi="Times New Roman" w:cs="Times New Roman"/>
          <w:sz w:val="24"/>
        </w:rPr>
        <w:t xml:space="preserve">. Some smaller institutions may be hindered to offer longer term funding for investments as a consequence of term mismatch in their funding structure, or due to limits on unguaranteed loans implied by the regulatory framework, but overall there appears to be a strong interest in reaching out to new viable customers in order to reduce the high liquidity. </w:t>
      </w:r>
    </w:p>
    <w:p w:rsidR="00801E58" w:rsidRPr="003571FD" w:rsidRDefault="00801E58" w:rsidP="00801E58">
      <w:pPr>
        <w:pStyle w:val="ListParagraph"/>
        <w:ind w:left="360"/>
        <w:jc w:val="both"/>
        <w:rPr>
          <w:rFonts w:ascii="Times New Roman" w:hAnsi="Times New Roman" w:cs="Times New Roman"/>
          <w:b/>
          <w:sz w:val="24"/>
        </w:rPr>
      </w:pPr>
    </w:p>
    <w:p w:rsidR="00801E58" w:rsidRPr="003571FD" w:rsidRDefault="00E22B37"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A broad range of maturities are available</w:t>
      </w:r>
      <w:r w:rsidRPr="003571FD">
        <w:rPr>
          <w:rFonts w:ascii="Times New Roman" w:hAnsi="Times New Roman" w:cs="Times New Roman"/>
          <w:sz w:val="24"/>
        </w:rPr>
        <w:t>. Almost all interviewed financial intermediaries offer loans with medium to long terms. Maturities for mortgage loans can go up to 20 years, and for commercial loans frequently up to 10 years. Data on loan maturities is only publicly available for the banking sector, where short term loans reportedly comprise 20 to 25 percent of the loan portfolio. This is surprisingly low, in particular giving the high level of short-term deposits in the system</w:t>
      </w:r>
      <w:r w:rsidRPr="003571FD">
        <w:rPr>
          <w:rStyle w:val="FootnoteReference"/>
          <w:rFonts w:ascii="Times New Roman" w:hAnsi="Times New Roman" w:cs="Times New Roman"/>
          <w:sz w:val="24"/>
        </w:rPr>
        <w:footnoteReference w:id="120"/>
      </w:r>
      <w:r w:rsidRPr="003571FD">
        <w:rPr>
          <w:rFonts w:ascii="Times New Roman" w:hAnsi="Times New Roman" w:cs="Times New Roman"/>
          <w:sz w:val="24"/>
        </w:rPr>
        <w:t>. Given the low level of investment financing, demand side interviews also do not point to large deficiencies in the available maturities in the system, but much rather point to the lack of grace periods as a restraint, and the problem associated with monthly installment payments that do not correspond to the income cycle of the borrower, in the case of loans to farmers and to businesses with string seasonality.</w:t>
      </w:r>
      <w:r w:rsidR="00B07DFB" w:rsidRPr="003571FD">
        <w:rPr>
          <w:rFonts w:ascii="Times New Roman" w:hAnsi="Times New Roman" w:cs="Times New Roman"/>
          <w:sz w:val="24"/>
        </w:rPr>
        <w:t xml:space="preserve"> </w:t>
      </w:r>
    </w:p>
    <w:tbl>
      <w:tblPr>
        <w:tblStyle w:val="TableGrid"/>
        <w:tblW w:w="0" w:type="auto"/>
        <w:tblInd w:w="108" w:type="dxa"/>
        <w:shd w:val="clear" w:color="auto" w:fill="F2F2F2" w:themeFill="background1" w:themeFillShade="F2"/>
        <w:tblLook w:val="04A0" w:firstRow="1" w:lastRow="0" w:firstColumn="1" w:lastColumn="0" w:noHBand="0" w:noVBand="1"/>
      </w:tblPr>
      <w:tblGrid>
        <w:gridCol w:w="9375"/>
      </w:tblGrid>
      <w:tr w:rsidR="00ED2AE9" w:rsidRPr="003571FD" w:rsidTr="003823C2">
        <w:trPr>
          <w:trHeight w:val="2895"/>
        </w:trPr>
        <w:tc>
          <w:tcPr>
            <w:tcW w:w="9375" w:type="dxa"/>
            <w:shd w:val="clear" w:color="auto" w:fill="F2F2F2" w:themeFill="background1" w:themeFillShade="F2"/>
          </w:tcPr>
          <w:p w:rsidR="00ED2AE9" w:rsidRPr="003571FD" w:rsidRDefault="00ED2AE9" w:rsidP="00ED2AE9">
            <w:pPr>
              <w:jc w:val="both"/>
              <w:rPr>
                <w:rFonts w:ascii="Times New Roman" w:hAnsi="Times New Roman" w:cs="Times New Roman"/>
                <w:b/>
                <w:sz w:val="18"/>
                <w:szCs w:val="18"/>
              </w:rPr>
            </w:pPr>
          </w:p>
          <w:p w:rsidR="00ED2AE9" w:rsidRPr="00C13E1B" w:rsidRDefault="00ED2AE9" w:rsidP="00ED2AE9">
            <w:pPr>
              <w:jc w:val="both"/>
              <w:rPr>
                <w:rFonts w:ascii="Times New Roman" w:hAnsi="Times New Roman" w:cs="Times New Roman"/>
                <w:b/>
                <w:sz w:val="18"/>
                <w:szCs w:val="18"/>
              </w:rPr>
            </w:pPr>
            <w:bookmarkStart w:id="78" w:name="_Toc312317347"/>
            <w:r w:rsidRPr="00C13E1B">
              <w:rPr>
                <w:rFonts w:ascii="Times New Roman" w:hAnsi="Times New Roman" w:cs="Times New Roman"/>
                <w:b/>
                <w:sz w:val="18"/>
                <w:szCs w:val="18"/>
              </w:rPr>
              <w:t xml:space="preserve">Text Box </w:t>
            </w:r>
            <w:r w:rsidR="005744EE" w:rsidRPr="00C13E1B">
              <w:rPr>
                <w:rFonts w:ascii="Times New Roman" w:hAnsi="Times New Roman" w:cs="Times New Roman"/>
                <w:b/>
                <w:sz w:val="18"/>
                <w:szCs w:val="18"/>
              </w:rPr>
              <w:fldChar w:fldCharType="begin"/>
            </w:r>
            <w:r w:rsidRPr="00C13E1B">
              <w:rPr>
                <w:rFonts w:ascii="Times New Roman" w:hAnsi="Times New Roman" w:cs="Times New Roman"/>
                <w:b/>
                <w:sz w:val="18"/>
                <w:szCs w:val="18"/>
              </w:rPr>
              <w:instrText xml:space="preserve"> SEQ Text_Box \* ARABIC </w:instrText>
            </w:r>
            <w:r w:rsidR="005744EE" w:rsidRPr="00C13E1B">
              <w:rPr>
                <w:rFonts w:ascii="Times New Roman" w:hAnsi="Times New Roman" w:cs="Times New Roman"/>
                <w:b/>
                <w:sz w:val="18"/>
                <w:szCs w:val="18"/>
              </w:rPr>
              <w:fldChar w:fldCharType="separate"/>
            </w:r>
            <w:r w:rsidR="00064A1B" w:rsidRPr="00C13E1B">
              <w:rPr>
                <w:rFonts w:ascii="Times New Roman" w:hAnsi="Times New Roman" w:cs="Times New Roman"/>
                <w:b/>
                <w:noProof/>
                <w:sz w:val="18"/>
                <w:szCs w:val="18"/>
              </w:rPr>
              <w:t>7</w:t>
            </w:r>
            <w:r w:rsidR="005744EE" w:rsidRPr="00C13E1B">
              <w:rPr>
                <w:rFonts w:ascii="Times New Roman" w:hAnsi="Times New Roman" w:cs="Times New Roman"/>
                <w:b/>
                <w:sz w:val="18"/>
                <w:szCs w:val="18"/>
              </w:rPr>
              <w:fldChar w:fldCharType="end"/>
            </w:r>
            <w:r w:rsidRPr="00C13E1B">
              <w:rPr>
                <w:rFonts w:ascii="Times New Roman" w:hAnsi="Times New Roman" w:cs="Times New Roman"/>
                <w:b/>
                <w:sz w:val="18"/>
                <w:szCs w:val="18"/>
              </w:rPr>
              <w:t>: Core support that the government can provide for the development of agricultural insurance</w:t>
            </w:r>
            <w:bookmarkEnd w:id="78"/>
          </w:p>
          <w:p w:rsidR="00ED2AE9" w:rsidRPr="003571FD" w:rsidRDefault="00ED2AE9" w:rsidP="00ED2AE9">
            <w:pPr>
              <w:jc w:val="both"/>
              <w:rPr>
                <w:rFonts w:ascii="Times New Roman" w:hAnsi="Times New Roman" w:cs="Times New Roman"/>
                <w:b/>
                <w:sz w:val="18"/>
                <w:szCs w:val="18"/>
              </w:rPr>
            </w:pPr>
          </w:p>
          <w:p w:rsidR="00ED2AE9" w:rsidRPr="003571FD" w:rsidRDefault="00ED2AE9" w:rsidP="00CA07A0">
            <w:pPr>
              <w:pStyle w:val="ListParagraph"/>
              <w:numPr>
                <w:ilvl w:val="1"/>
                <w:numId w:val="8"/>
              </w:numPr>
              <w:jc w:val="both"/>
              <w:rPr>
                <w:rFonts w:ascii="Times New Roman" w:hAnsi="Times New Roman" w:cs="Times New Roman"/>
                <w:sz w:val="18"/>
                <w:szCs w:val="18"/>
              </w:rPr>
            </w:pPr>
            <w:r w:rsidRPr="003571FD">
              <w:rPr>
                <w:rFonts w:ascii="Times New Roman" w:hAnsi="Times New Roman" w:cs="Times New Roman"/>
                <w:sz w:val="18"/>
                <w:szCs w:val="18"/>
              </w:rPr>
              <w:t xml:space="preserve">Develop an agriculture and weather database with sufficient number of stations throughout the country, </w:t>
            </w:r>
          </w:p>
          <w:p w:rsidR="00ED2AE9" w:rsidRPr="003571FD" w:rsidRDefault="00ED2AE9" w:rsidP="00CA07A0">
            <w:pPr>
              <w:pStyle w:val="ListParagraph"/>
              <w:numPr>
                <w:ilvl w:val="1"/>
                <w:numId w:val="8"/>
              </w:numPr>
              <w:jc w:val="both"/>
              <w:rPr>
                <w:rFonts w:ascii="Times New Roman" w:hAnsi="Times New Roman" w:cs="Times New Roman"/>
                <w:sz w:val="18"/>
                <w:szCs w:val="18"/>
              </w:rPr>
            </w:pPr>
            <w:r w:rsidRPr="003571FD">
              <w:rPr>
                <w:rFonts w:ascii="Times New Roman" w:hAnsi="Times New Roman" w:cs="Times New Roman"/>
                <w:sz w:val="18"/>
                <w:szCs w:val="18"/>
              </w:rPr>
              <w:t>Reduce post-disaster support to facilitate uptake of insurance products by the population</w:t>
            </w:r>
            <w:r w:rsidR="00B700CD" w:rsidRPr="003571FD">
              <w:rPr>
                <w:rFonts w:ascii="Times New Roman" w:hAnsi="Times New Roman" w:cs="Times New Roman"/>
                <w:sz w:val="18"/>
                <w:szCs w:val="18"/>
              </w:rPr>
              <w:t>, once an insurance system is in place</w:t>
            </w:r>
            <w:r w:rsidRPr="003571FD">
              <w:rPr>
                <w:rFonts w:ascii="Times New Roman" w:hAnsi="Times New Roman" w:cs="Times New Roman"/>
                <w:sz w:val="18"/>
                <w:szCs w:val="18"/>
              </w:rPr>
              <w:t>,</w:t>
            </w:r>
          </w:p>
          <w:p w:rsidR="00ED2AE9" w:rsidRPr="003571FD" w:rsidRDefault="00ED2AE9" w:rsidP="00CA07A0">
            <w:pPr>
              <w:pStyle w:val="ListParagraph"/>
              <w:numPr>
                <w:ilvl w:val="1"/>
                <w:numId w:val="8"/>
              </w:numPr>
              <w:jc w:val="both"/>
              <w:rPr>
                <w:rFonts w:ascii="Times New Roman" w:hAnsi="Times New Roman" w:cs="Times New Roman"/>
                <w:sz w:val="18"/>
                <w:szCs w:val="18"/>
              </w:rPr>
            </w:pPr>
            <w:r w:rsidRPr="003571FD">
              <w:rPr>
                <w:rFonts w:ascii="Times New Roman" w:hAnsi="Times New Roman" w:cs="Times New Roman"/>
                <w:sz w:val="18"/>
                <w:szCs w:val="18"/>
              </w:rPr>
              <w:t>Establish a conducive regulatory framework for insurance companies, with easy access to international reinsurance markets,</w:t>
            </w:r>
          </w:p>
          <w:p w:rsidR="00ED2AE9" w:rsidRPr="003571FD" w:rsidRDefault="00ED2AE9" w:rsidP="00CA07A0">
            <w:pPr>
              <w:pStyle w:val="ListParagraph"/>
              <w:numPr>
                <w:ilvl w:val="1"/>
                <w:numId w:val="8"/>
              </w:numPr>
              <w:jc w:val="both"/>
              <w:rPr>
                <w:rFonts w:ascii="Times New Roman" w:hAnsi="Times New Roman" w:cs="Times New Roman"/>
                <w:sz w:val="18"/>
                <w:szCs w:val="18"/>
              </w:rPr>
            </w:pPr>
            <w:r w:rsidRPr="003571FD">
              <w:rPr>
                <w:rFonts w:ascii="Times New Roman" w:hAnsi="Times New Roman" w:cs="Times New Roman"/>
                <w:sz w:val="18"/>
                <w:szCs w:val="18"/>
              </w:rPr>
              <w:t>Launch education campaigns to raise awareness of targeted populations of product and the benefits they bring.</w:t>
            </w:r>
          </w:p>
          <w:p w:rsidR="00ED2AE9" w:rsidRPr="003571FD" w:rsidRDefault="00ED2AE9" w:rsidP="00ED2AE9">
            <w:pPr>
              <w:jc w:val="both"/>
              <w:rPr>
                <w:rFonts w:ascii="Times New Roman" w:hAnsi="Times New Roman" w:cs="Times New Roman"/>
                <w:sz w:val="18"/>
                <w:szCs w:val="18"/>
              </w:rPr>
            </w:pPr>
          </w:p>
          <w:p w:rsidR="00ED2AE9" w:rsidRPr="003571FD" w:rsidRDefault="00ED2AE9" w:rsidP="00ED2AE9">
            <w:pPr>
              <w:jc w:val="both"/>
              <w:rPr>
                <w:rFonts w:ascii="Times New Roman" w:hAnsi="Times New Roman" w:cs="Times New Roman"/>
                <w:i/>
                <w:sz w:val="18"/>
                <w:szCs w:val="18"/>
              </w:rPr>
            </w:pPr>
            <w:r w:rsidRPr="003571FD">
              <w:rPr>
                <w:rFonts w:ascii="Times New Roman" w:hAnsi="Times New Roman" w:cs="Times New Roman"/>
                <w:i/>
                <w:sz w:val="18"/>
                <w:szCs w:val="18"/>
              </w:rPr>
              <w:t>Source: World Bank (2010), “Government support to Agricultural Insurance – Challenges and options for developing countries”, Washington D.C.</w:t>
            </w:r>
          </w:p>
          <w:p w:rsidR="00ED2AE9" w:rsidRPr="003571FD" w:rsidRDefault="00ED2AE9" w:rsidP="00ED2AE9">
            <w:pPr>
              <w:jc w:val="both"/>
              <w:rPr>
                <w:rFonts w:ascii="Times New Roman" w:hAnsi="Times New Roman" w:cs="Times New Roman"/>
                <w:i/>
                <w:sz w:val="18"/>
                <w:szCs w:val="18"/>
              </w:rPr>
            </w:pPr>
          </w:p>
        </w:tc>
      </w:tr>
    </w:tbl>
    <w:p w:rsidR="00801E58" w:rsidRPr="003571FD" w:rsidRDefault="00801E58" w:rsidP="00801E58">
      <w:pPr>
        <w:tabs>
          <w:tab w:val="left" w:pos="2535"/>
        </w:tabs>
      </w:pPr>
    </w:p>
    <w:p w:rsidR="00A229CE" w:rsidRPr="003571FD" w:rsidRDefault="00A229CE" w:rsidP="00801E58">
      <w:pPr>
        <w:tabs>
          <w:tab w:val="left" w:pos="2535"/>
        </w:tabs>
      </w:pPr>
    </w:p>
    <w:p w:rsidR="00A229CE" w:rsidRPr="003571FD" w:rsidRDefault="00A229CE" w:rsidP="00801E58">
      <w:pPr>
        <w:tabs>
          <w:tab w:val="left" w:pos="2535"/>
        </w:tabs>
      </w:pPr>
    </w:p>
    <w:p w:rsidR="00E22B37" w:rsidRPr="003571FD" w:rsidRDefault="00E22B37"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Regulations </w:t>
      </w:r>
      <w:r w:rsidR="00F11CB0">
        <w:rPr>
          <w:rFonts w:ascii="Times New Roman" w:hAnsi="Times New Roman" w:cs="Times New Roman"/>
          <w:b/>
          <w:sz w:val="24"/>
        </w:rPr>
        <w:t xml:space="preserve">are in place </w:t>
      </w:r>
      <w:r w:rsidRPr="003571FD">
        <w:rPr>
          <w:rFonts w:ascii="Times New Roman" w:hAnsi="Times New Roman" w:cs="Times New Roman"/>
          <w:b/>
          <w:sz w:val="24"/>
        </w:rPr>
        <w:t>to protect the consumer</w:t>
      </w:r>
      <w:r w:rsidR="00F11CB0">
        <w:rPr>
          <w:rFonts w:ascii="Times New Roman" w:hAnsi="Times New Roman" w:cs="Times New Roman"/>
          <w:b/>
          <w:sz w:val="24"/>
        </w:rPr>
        <w:t>,</w:t>
      </w:r>
      <w:r w:rsidRPr="003571FD">
        <w:rPr>
          <w:rFonts w:ascii="Times New Roman" w:hAnsi="Times New Roman" w:cs="Times New Roman"/>
          <w:b/>
          <w:sz w:val="24"/>
        </w:rPr>
        <w:t xml:space="preserve"> eliminate commissions on loan processing, and up-front costs of credit</w:t>
      </w:r>
      <w:r w:rsidR="00F11CB0">
        <w:rPr>
          <w:rFonts w:ascii="Times New Roman" w:hAnsi="Times New Roman" w:cs="Times New Roman"/>
          <w:b/>
          <w:sz w:val="24"/>
        </w:rPr>
        <w:t xml:space="preserve">. </w:t>
      </w:r>
      <w:r w:rsidR="00781E2F" w:rsidRPr="00781E2F">
        <w:rPr>
          <w:rFonts w:ascii="Times New Roman" w:hAnsi="Times New Roman" w:cs="Times New Roman"/>
          <w:sz w:val="24"/>
        </w:rPr>
        <w:t xml:space="preserve">These costs are thus not </w:t>
      </w:r>
      <w:r w:rsidR="00F11CB0">
        <w:rPr>
          <w:rFonts w:ascii="Times New Roman" w:hAnsi="Times New Roman" w:cs="Times New Roman"/>
          <w:sz w:val="24"/>
        </w:rPr>
        <w:t>a constraint</w:t>
      </w:r>
      <w:r w:rsidR="00781E2F" w:rsidRPr="00781E2F">
        <w:rPr>
          <w:rFonts w:ascii="Times New Roman" w:hAnsi="Times New Roman" w:cs="Times New Roman"/>
          <w:sz w:val="24"/>
        </w:rPr>
        <w:t xml:space="preserve"> for borrowers</w:t>
      </w:r>
      <w:r w:rsidRPr="00F11CB0">
        <w:rPr>
          <w:rFonts w:ascii="Times New Roman" w:hAnsi="Times New Roman" w:cs="Times New Roman"/>
          <w:sz w:val="24"/>
        </w:rPr>
        <w:t>.</w:t>
      </w:r>
      <w:r w:rsidRPr="003571FD">
        <w:rPr>
          <w:rFonts w:ascii="Times New Roman" w:hAnsi="Times New Roman" w:cs="Times New Roman"/>
          <w:sz w:val="24"/>
        </w:rPr>
        <w:t xml:space="preserve"> However, </w:t>
      </w:r>
      <w:r w:rsidR="00F11CB0">
        <w:rPr>
          <w:rFonts w:ascii="Times New Roman" w:hAnsi="Times New Roman" w:cs="Times New Roman"/>
          <w:sz w:val="24"/>
        </w:rPr>
        <w:t>the regulations have eliminated</w:t>
      </w:r>
      <w:r w:rsidRPr="003571FD">
        <w:rPr>
          <w:rFonts w:ascii="Times New Roman" w:hAnsi="Times New Roman" w:cs="Times New Roman"/>
          <w:sz w:val="24"/>
        </w:rPr>
        <w:t xml:space="preserve"> a potential source of income </w:t>
      </w:r>
      <w:r w:rsidR="00F11CB0">
        <w:rPr>
          <w:rFonts w:ascii="Times New Roman" w:hAnsi="Times New Roman" w:cs="Times New Roman"/>
          <w:sz w:val="24"/>
        </w:rPr>
        <w:t xml:space="preserve">for financial institutions </w:t>
      </w:r>
      <w:r w:rsidRPr="003571FD">
        <w:rPr>
          <w:rFonts w:ascii="Times New Roman" w:hAnsi="Times New Roman" w:cs="Times New Roman"/>
          <w:sz w:val="24"/>
        </w:rPr>
        <w:t>to cover incurred costs for financial intermediation, which will have to be covered through other sources such as the lending margins</w:t>
      </w:r>
      <w:r w:rsidR="00F11CB0">
        <w:rPr>
          <w:rFonts w:ascii="Times New Roman" w:hAnsi="Times New Roman" w:cs="Times New Roman"/>
          <w:sz w:val="24"/>
        </w:rPr>
        <w:t xml:space="preserve"> or can </w:t>
      </w:r>
      <w:r w:rsidR="00D56D24">
        <w:rPr>
          <w:rFonts w:ascii="Times New Roman" w:hAnsi="Times New Roman" w:cs="Times New Roman"/>
          <w:sz w:val="24"/>
        </w:rPr>
        <w:t>reduce the</w:t>
      </w:r>
      <w:r w:rsidR="00F11CB0">
        <w:rPr>
          <w:rFonts w:ascii="Times New Roman" w:hAnsi="Times New Roman" w:cs="Times New Roman"/>
          <w:sz w:val="24"/>
        </w:rPr>
        <w:t xml:space="preserve"> supply of credit to </w:t>
      </w:r>
      <w:r w:rsidR="00BD2447">
        <w:rPr>
          <w:rFonts w:ascii="Times New Roman" w:hAnsi="Times New Roman" w:cs="Times New Roman"/>
          <w:sz w:val="24"/>
        </w:rPr>
        <w:t>small, informal</w:t>
      </w:r>
      <w:r w:rsidR="00F11CB0">
        <w:rPr>
          <w:rFonts w:ascii="Times New Roman" w:hAnsi="Times New Roman" w:cs="Times New Roman"/>
          <w:sz w:val="24"/>
        </w:rPr>
        <w:t xml:space="preserve"> borrowers</w:t>
      </w:r>
      <w:r w:rsidR="00BD2447">
        <w:rPr>
          <w:rFonts w:ascii="Times New Roman" w:hAnsi="Times New Roman" w:cs="Times New Roman"/>
          <w:sz w:val="24"/>
        </w:rPr>
        <w:t>.</w:t>
      </w:r>
      <w:r w:rsidRPr="003571FD">
        <w:rPr>
          <w:rFonts w:ascii="Times New Roman" w:hAnsi="Times New Roman" w:cs="Times New Roman"/>
          <w:sz w:val="24"/>
        </w:rPr>
        <w:t xml:space="preserve"> </w:t>
      </w:r>
    </w:p>
    <w:p w:rsidR="00801E58" w:rsidRPr="003571FD" w:rsidRDefault="00801E58" w:rsidP="00801E58">
      <w:pPr>
        <w:pStyle w:val="ListParagraph"/>
        <w:ind w:left="360"/>
        <w:jc w:val="both"/>
        <w:rPr>
          <w:rFonts w:ascii="Times New Roman" w:hAnsi="Times New Roman" w:cs="Times New Roman"/>
          <w:sz w:val="24"/>
        </w:rPr>
      </w:pPr>
    </w:p>
    <w:tbl>
      <w:tblPr>
        <w:tblStyle w:val="TableGrid"/>
        <w:tblpPr w:leftFromText="180" w:rightFromText="180" w:vertAnchor="text" w:horzAnchor="margin" w:tblpXSpec="right" w:tblpY="135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tblGrid>
      <w:tr w:rsidR="003823C2" w:rsidRPr="003571FD" w:rsidTr="003823C2">
        <w:trPr>
          <w:trHeight w:val="260"/>
        </w:trPr>
        <w:tc>
          <w:tcPr>
            <w:tcW w:w="5766" w:type="dxa"/>
          </w:tcPr>
          <w:p w:rsidR="003823C2" w:rsidRPr="003571FD" w:rsidRDefault="003823C2" w:rsidP="003823C2">
            <w:pPr>
              <w:pStyle w:val="Caption"/>
              <w:rPr>
                <w:rFonts w:ascii="Times New Roman" w:hAnsi="Times New Roman" w:cs="Times New Roman"/>
                <w:color w:val="auto"/>
              </w:rPr>
            </w:pPr>
            <w:bookmarkStart w:id="79" w:name="_Toc312317288"/>
            <w:r w:rsidRPr="003571FD">
              <w:rPr>
                <w:rFonts w:ascii="Times New Roman" w:hAnsi="Times New Roman" w:cs="Times New Roman"/>
                <w:color w:val="auto"/>
              </w:rPr>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22</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Effective spreads in local currency</w:t>
            </w:r>
            <w:bookmarkEnd w:id="79"/>
          </w:p>
        </w:tc>
      </w:tr>
      <w:tr w:rsidR="003823C2" w:rsidRPr="003571FD" w:rsidTr="003823C2">
        <w:trPr>
          <w:trHeight w:val="1287"/>
        </w:trPr>
        <w:tc>
          <w:tcPr>
            <w:tcW w:w="5766" w:type="dxa"/>
          </w:tcPr>
          <w:p w:rsidR="003823C2" w:rsidRPr="003571FD" w:rsidRDefault="003823C2" w:rsidP="003823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sz w:val="24"/>
                <w:szCs w:val="24"/>
              </w:rPr>
            </w:pPr>
            <w:r w:rsidRPr="003571FD">
              <w:rPr>
                <w:rFonts w:ascii="Times New Roman" w:hAnsi="Times New Roman" w:cs="Times New Roman"/>
                <w:b/>
                <w:noProof/>
                <w:sz w:val="24"/>
                <w:szCs w:val="24"/>
              </w:rPr>
              <w:drawing>
                <wp:inline distT="0" distB="0" distL="0" distR="0">
                  <wp:extent cx="3505200" cy="2495550"/>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3505200" cy="2495550"/>
                          </a:xfrm>
                          <a:prstGeom prst="rect">
                            <a:avLst/>
                          </a:prstGeom>
                          <a:noFill/>
                          <a:ln w="9525">
                            <a:noFill/>
                            <a:miter lim="800000"/>
                            <a:headEnd/>
                            <a:tailEnd/>
                          </a:ln>
                        </pic:spPr>
                      </pic:pic>
                    </a:graphicData>
                  </a:graphic>
                </wp:inline>
              </w:drawing>
            </w:r>
          </w:p>
        </w:tc>
      </w:tr>
      <w:tr w:rsidR="003823C2" w:rsidRPr="003571FD" w:rsidTr="003823C2">
        <w:trPr>
          <w:trHeight w:val="353"/>
        </w:trPr>
        <w:tc>
          <w:tcPr>
            <w:tcW w:w="5766" w:type="dxa"/>
          </w:tcPr>
          <w:p w:rsidR="003823C2" w:rsidRPr="003571FD" w:rsidRDefault="003823C2" w:rsidP="003823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sz w:val="24"/>
                <w:szCs w:val="24"/>
              </w:rPr>
            </w:pPr>
            <w:r w:rsidRPr="003571FD">
              <w:rPr>
                <w:rFonts w:ascii="Times New Roman" w:hAnsi="Times New Roman" w:cs="Times New Roman"/>
                <w:i/>
                <w:sz w:val="18"/>
              </w:rPr>
              <w:t>Source: World Bank’s own calculations based on data from ASFI.</w:t>
            </w:r>
          </w:p>
        </w:tc>
      </w:tr>
    </w:tbl>
    <w:p w:rsidR="00E22B37" w:rsidRPr="003823C2" w:rsidRDefault="00E22B37" w:rsidP="003823C2">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Interest rates in the financial system continue to be below rates charged in neighboring countries. </w:t>
      </w:r>
      <w:r w:rsidRPr="003823C2">
        <w:rPr>
          <w:rFonts w:ascii="Times New Roman" w:hAnsi="Times New Roman" w:cs="Times New Roman"/>
          <w:sz w:val="24"/>
        </w:rPr>
        <w:t>Interest rates for commercial credit dropped from 11 percent in nominal terms to around 5 percent on average in 2009 (equivalent in real terms to a drop from 6 percent in 2005 to currently -1.7</w:t>
      </w:r>
      <w:r w:rsidR="005411D5" w:rsidRPr="003823C2">
        <w:rPr>
          <w:rFonts w:ascii="Times New Roman" w:hAnsi="Times New Roman" w:cs="Times New Roman"/>
          <w:sz w:val="24"/>
        </w:rPr>
        <w:t xml:space="preserve"> percent</w:t>
      </w:r>
      <w:r w:rsidRPr="003823C2">
        <w:rPr>
          <w:rFonts w:ascii="Times New Roman" w:hAnsi="Times New Roman" w:cs="Times New Roman"/>
          <w:sz w:val="24"/>
        </w:rPr>
        <w:t>), with some of the visited institutions reporting interest rates for commercial and real estate loans of around 4 percent for individual clients. Such favorable rates allow in principle for a significant expansion of long-term loans for investment, although this effect is to some extent mitigated by the fact that long-term loans usually have fixed rates only for the first few years, after which they convert into variable rate loans. Microfinance interest rates dropped even further, from 37 and 24 percent in 2005 to currently under 20 and 16 percent in nominal terms for the banking sector and finance companies. This is well below interest rates charged in other countries</w:t>
      </w:r>
      <w:r w:rsidR="00E57E09" w:rsidRPr="003823C2">
        <w:rPr>
          <w:rFonts w:ascii="Times New Roman" w:hAnsi="Times New Roman" w:cs="Times New Roman"/>
          <w:sz w:val="24"/>
        </w:rPr>
        <w:t xml:space="preserve"> (see Chart 23)</w:t>
      </w:r>
      <w:r w:rsidRPr="003823C2">
        <w:rPr>
          <w:rFonts w:ascii="Times New Roman" w:hAnsi="Times New Roman" w:cs="Times New Roman"/>
          <w:sz w:val="24"/>
        </w:rPr>
        <w:t xml:space="preserve">, where at times interest rates of 50 percent and more are reported for micro-credits. The reduction in average lending interest rates was mirrored by a drop in deposit interest rates, leaving the interest margin at first view unchanged. </w:t>
      </w:r>
      <w:r w:rsidR="005411D5" w:rsidRPr="003823C2">
        <w:rPr>
          <w:rFonts w:ascii="Times New Roman" w:hAnsi="Times New Roman" w:cs="Times New Roman"/>
          <w:sz w:val="24"/>
        </w:rPr>
        <w:t>H</w:t>
      </w:r>
      <w:r w:rsidRPr="003823C2">
        <w:rPr>
          <w:rFonts w:ascii="Times New Roman" w:hAnsi="Times New Roman" w:cs="Times New Roman"/>
          <w:sz w:val="24"/>
        </w:rPr>
        <w:t>owever</w:t>
      </w:r>
      <w:r w:rsidR="005411D5" w:rsidRPr="003823C2">
        <w:rPr>
          <w:rFonts w:ascii="Times New Roman" w:hAnsi="Times New Roman" w:cs="Times New Roman"/>
          <w:sz w:val="24"/>
        </w:rPr>
        <w:t>,</w:t>
      </w:r>
      <w:r w:rsidRPr="003823C2">
        <w:rPr>
          <w:rFonts w:ascii="Times New Roman" w:hAnsi="Times New Roman" w:cs="Times New Roman"/>
          <w:sz w:val="24"/>
        </w:rPr>
        <w:t xml:space="preserve"> the evolution of the interest margin does not reflect the significant shift that took place towards micro-credits and consumer loans with higher average interest rates. In the absence of the above mentioned drop in interest rates for the individual types of credits this shift in composition would have lead to an increase in average lending rates and thus larger interest rate margins. </w:t>
      </w:r>
    </w:p>
    <w:p w:rsidR="00801E58" w:rsidRPr="003571FD" w:rsidRDefault="00801E58" w:rsidP="00801E58">
      <w:pPr>
        <w:pStyle w:val="ListParagraph"/>
        <w:ind w:left="360"/>
        <w:jc w:val="both"/>
        <w:rPr>
          <w:rFonts w:ascii="Times New Roman" w:hAnsi="Times New Roman" w:cs="Times New Roman"/>
          <w:sz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70"/>
      </w:tblGrid>
      <w:tr w:rsidR="00AA3DAB" w:rsidRPr="003571FD">
        <w:tc>
          <w:tcPr>
            <w:tcW w:w="9350" w:type="dxa"/>
            <w:gridSpan w:val="2"/>
          </w:tcPr>
          <w:p w:rsidR="00AA3DAB" w:rsidRPr="003571FD" w:rsidRDefault="00AA3DAB" w:rsidP="00F379F3">
            <w:pPr>
              <w:pStyle w:val="Caption"/>
              <w:keepNext/>
              <w:rPr>
                <w:rFonts w:ascii="Times New Roman" w:hAnsi="Times New Roman" w:cs="Times New Roman"/>
                <w:color w:val="auto"/>
              </w:rPr>
            </w:pPr>
            <w:bookmarkStart w:id="80" w:name="_Toc312317289"/>
            <w:r w:rsidRPr="003571FD">
              <w:rPr>
                <w:rFonts w:ascii="Times New Roman" w:hAnsi="Times New Roman" w:cs="Times New Roman"/>
                <w:color w:val="auto"/>
              </w:rPr>
              <w:lastRenderedPageBreak/>
              <w:t xml:space="preserve">Chart </w:t>
            </w:r>
            <w:r w:rsidR="005744EE" w:rsidRPr="003571FD">
              <w:rPr>
                <w:rFonts w:ascii="Times New Roman" w:hAnsi="Times New Roman" w:cs="Times New Roman"/>
                <w:color w:val="auto"/>
              </w:rPr>
              <w:fldChar w:fldCharType="begin"/>
            </w:r>
            <w:r w:rsidRPr="003571FD">
              <w:rPr>
                <w:rFonts w:ascii="Times New Roman" w:hAnsi="Times New Roman" w:cs="Times New Roman"/>
                <w:color w:val="auto"/>
              </w:rPr>
              <w:instrText xml:space="preserve"> SEQ Chart \* ARABIC </w:instrText>
            </w:r>
            <w:r w:rsidR="005744EE" w:rsidRPr="003571FD">
              <w:rPr>
                <w:rFonts w:ascii="Times New Roman" w:hAnsi="Times New Roman" w:cs="Times New Roman"/>
                <w:color w:val="auto"/>
              </w:rPr>
              <w:fldChar w:fldCharType="separate"/>
            </w:r>
            <w:r w:rsidR="00064A1B">
              <w:rPr>
                <w:rFonts w:ascii="Times New Roman" w:hAnsi="Times New Roman" w:cs="Times New Roman"/>
                <w:noProof/>
                <w:color w:val="auto"/>
              </w:rPr>
              <w:t>23</w:t>
            </w:r>
            <w:r w:rsidR="005744EE" w:rsidRPr="003571FD">
              <w:rPr>
                <w:rFonts w:ascii="Times New Roman" w:hAnsi="Times New Roman" w:cs="Times New Roman"/>
                <w:color w:val="auto"/>
              </w:rPr>
              <w:fldChar w:fldCharType="end"/>
            </w:r>
            <w:r w:rsidRPr="003571FD">
              <w:rPr>
                <w:rFonts w:ascii="Times New Roman" w:hAnsi="Times New Roman" w:cs="Times New Roman"/>
                <w:color w:val="auto"/>
              </w:rPr>
              <w:t xml:space="preserve">: Interest rate – </w:t>
            </w:r>
            <w:r w:rsidR="00F379F3" w:rsidRPr="003571FD">
              <w:rPr>
                <w:rFonts w:ascii="Times New Roman" w:hAnsi="Times New Roman" w:cs="Times New Roman"/>
                <w:color w:val="auto"/>
              </w:rPr>
              <w:t>an</w:t>
            </w:r>
            <w:r w:rsidRPr="003571FD">
              <w:rPr>
                <w:rFonts w:ascii="Times New Roman" w:hAnsi="Times New Roman" w:cs="Times New Roman"/>
                <w:color w:val="auto"/>
              </w:rPr>
              <w:t xml:space="preserve"> international comparison</w:t>
            </w:r>
            <w:bookmarkEnd w:id="80"/>
          </w:p>
        </w:tc>
      </w:tr>
      <w:tr w:rsidR="00AA3DAB" w:rsidRPr="003571FD">
        <w:tc>
          <w:tcPr>
            <w:tcW w:w="4680" w:type="dxa"/>
          </w:tcPr>
          <w:p w:rsidR="00AA3DAB" w:rsidRPr="003571FD" w:rsidRDefault="00F379F3" w:rsidP="00F379F3">
            <w:r w:rsidRPr="003571FD">
              <w:rPr>
                <w:noProof/>
              </w:rPr>
              <w:drawing>
                <wp:inline distT="0" distB="0" distL="0" distR="0">
                  <wp:extent cx="2828925" cy="1704975"/>
                  <wp:effectExtent l="19050" t="0" r="9525"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2828925" cy="1704975"/>
                          </a:xfrm>
                          <a:prstGeom prst="rect">
                            <a:avLst/>
                          </a:prstGeom>
                          <a:noFill/>
                          <a:ln w="9525">
                            <a:noFill/>
                            <a:miter lim="800000"/>
                            <a:headEnd/>
                            <a:tailEnd/>
                          </a:ln>
                        </pic:spPr>
                      </pic:pic>
                    </a:graphicData>
                  </a:graphic>
                </wp:inline>
              </w:drawing>
            </w:r>
          </w:p>
        </w:tc>
        <w:tc>
          <w:tcPr>
            <w:tcW w:w="4670" w:type="dxa"/>
          </w:tcPr>
          <w:p w:rsidR="00AA3DAB" w:rsidRPr="003571FD" w:rsidRDefault="00F379F3" w:rsidP="00F379F3">
            <w:r w:rsidRPr="003571FD">
              <w:rPr>
                <w:noProof/>
              </w:rPr>
              <w:drawing>
                <wp:inline distT="0" distB="0" distL="0" distR="0">
                  <wp:extent cx="2828925" cy="1695450"/>
                  <wp:effectExtent l="19050" t="0" r="9525"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2828925" cy="1695450"/>
                          </a:xfrm>
                          <a:prstGeom prst="rect">
                            <a:avLst/>
                          </a:prstGeom>
                          <a:noFill/>
                          <a:ln w="9525">
                            <a:noFill/>
                            <a:miter lim="800000"/>
                            <a:headEnd/>
                            <a:tailEnd/>
                          </a:ln>
                        </pic:spPr>
                      </pic:pic>
                    </a:graphicData>
                  </a:graphic>
                </wp:inline>
              </w:drawing>
            </w:r>
          </w:p>
        </w:tc>
      </w:tr>
      <w:tr w:rsidR="00AA3DAB" w:rsidRPr="003571FD">
        <w:tc>
          <w:tcPr>
            <w:tcW w:w="9350" w:type="dxa"/>
            <w:gridSpan w:val="2"/>
          </w:tcPr>
          <w:p w:rsidR="00AA3DAB" w:rsidRPr="003571FD" w:rsidRDefault="00AA3DAB" w:rsidP="00F379F3">
            <w:pPr>
              <w:rPr>
                <w:rFonts w:ascii="Times New Roman" w:hAnsi="Times New Roman" w:cs="Times New Roman"/>
                <w:noProof/>
              </w:rPr>
            </w:pPr>
            <w:r w:rsidRPr="003571FD">
              <w:rPr>
                <w:rFonts w:ascii="Times New Roman" w:hAnsi="Times New Roman" w:cs="Times New Roman"/>
                <w:i/>
                <w:sz w:val="18"/>
              </w:rPr>
              <w:t xml:space="preserve">Source: World Bank’s </w:t>
            </w:r>
            <w:r w:rsidR="00F379F3" w:rsidRPr="003571FD">
              <w:rPr>
                <w:rFonts w:ascii="Times New Roman" w:hAnsi="Times New Roman" w:cs="Times New Roman"/>
                <w:i/>
                <w:sz w:val="18"/>
              </w:rPr>
              <w:t xml:space="preserve">own </w:t>
            </w:r>
            <w:r w:rsidRPr="003571FD">
              <w:rPr>
                <w:rFonts w:ascii="Times New Roman" w:hAnsi="Times New Roman" w:cs="Times New Roman"/>
                <w:i/>
                <w:sz w:val="18"/>
              </w:rPr>
              <w:t>calculations based on data from ASFI data</w:t>
            </w:r>
            <w:r w:rsidR="00F379F3" w:rsidRPr="003571FD">
              <w:rPr>
                <w:rFonts w:ascii="Times New Roman" w:hAnsi="Times New Roman" w:cs="Times New Roman"/>
                <w:i/>
                <w:sz w:val="18"/>
              </w:rPr>
              <w:t>.</w:t>
            </w:r>
          </w:p>
        </w:tc>
      </w:tr>
    </w:tbl>
    <w:p w:rsidR="00A43D06" w:rsidRPr="003571FD" w:rsidRDefault="00A43D06" w:rsidP="003823C2">
      <w:pPr>
        <w:pStyle w:val="Heading2"/>
      </w:pPr>
      <w:bookmarkStart w:id="81" w:name="_Toc312319510"/>
      <w:r w:rsidRPr="003571FD">
        <w:t>Ongoing and planned government programs</w:t>
      </w:r>
      <w:bookmarkEnd w:id="81"/>
    </w:p>
    <w:p w:rsidR="00A43D06" w:rsidRPr="003571FD" w:rsidRDefault="00A43D06" w:rsidP="00A43D06">
      <w:pPr>
        <w:jc w:val="both"/>
        <w:rPr>
          <w:rFonts w:ascii="Times New Roman" w:hAnsi="Times New Roman" w:cs="Times New Roman"/>
          <w:b/>
        </w:rPr>
      </w:pPr>
    </w:p>
    <w:p w:rsidR="00A43D06" w:rsidRPr="003571FD" w:rsidRDefault="009B328D" w:rsidP="00CA07A0">
      <w:pPr>
        <w:pStyle w:val="ListParagraph"/>
        <w:numPr>
          <w:ilvl w:val="0"/>
          <w:numId w:val="8"/>
        </w:numPr>
        <w:spacing w:after="240"/>
        <w:jc w:val="both"/>
        <w:rPr>
          <w:rFonts w:ascii="Times New Roman" w:hAnsi="Times New Roman" w:cs="Times New Roman"/>
          <w:b/>
          <w:sz w:val="24"/>
        </w:rPr>
      </w:pPr>
      <w:r w:rsidRPr="003571FD">
        <w:rPr>
          <w:rFonts w:ascii="Times New Roman" w:hAnsi="Times New Roman" w:cs="Times New Roman"/>
          <w:b/>
          <w:sz w:val="24"/>
        </w:rPr>
        <w:t>The new C</w:t>
      </w:r>
      <w:r w:rsidR="00A43D06" w:rsidRPr="003571FD">
        <w:rPr>
          <w:rFonts w:ascii="Times New Roman" w:hAnsi="Times New Roman" w:cs="Times New Roman"/>
          <w:b/>
          <w:sz w:val="24"/>
        </w:rPr>
        <w:t>onstitution provides guidance on the role of the government for fostering economic growth and the access to financial services by MSMEs</w:t>
      </w:r>
      <w:r w:rsidR="00A43D06" w:rsidRPr="003571FD">
        <w:rPr>
          <w:rStyle w:val="FootnoteReference"/>
          <w:rFonts w:ascii="Times New Roman" w:hAnsi="Times New Roman" w:cs="Times New Roman"/>
          <w:b/>
          <w:sz w:val="24"/>
        </w:rPr>
        <w:footnoteReference w:id="121"/>
      </w:r>
      <w:r w:rsidR="00A43D06" w:rsidRPr="003571FD">
        <w:rPr>
          <w:rFonts w:ascii="Times New Roman" w:hAnsi="Times New Roman" w:cs="Times New Roman"/>
          <w:b/>
          <w:sz w:val="24"/>
        </w:rPr>
        <w:t xml:space="preserve">. </w:t>
      </w:r>
      <w:r w:rsidR="00A43D06" w:rsidRPr="003571FD">
        <w:rPr>
          <w:rFonts w:ascii="Times New Roman" w:hAnsi="Times New Roman" w:cs="Times New Roman"/>
          <w:sz w:val="24"/>
        </w:rPr>
        <w:t>With the regulatory framework to be based on the criteria of equality of opportunity, solidarity and fair redistribution, Article 330 of the new Constitution foresees that the financial sector policy of the government should focus on (</w:t>
      </w:r>
      <w:proofErr w:type="spellStart"/>
      <w:r w:rsidR="00A43D06" w:rsidRPr="003571FD">
        <w:rPr>
          <w:rFonts w:ascii="Times New Roman" w:hAnsi="Times New Roman" w:cs="Times New Roman"/>
          <w:sz w:val="24"/>
        </w:rPr>
        <w:t>i</w:t>
      </w:r>
      <w:proofErr w:type="spellEnd"/>
      <w:r w:rsidR="00A43D06" w:rsidRPr="003571FD">
        <w:rPr>
          <w:rFonts w:ascii="Times New Roman" w:hAnsi="Times New Roman" w:cs="Times New Roman"/>
          <w:sz w:val="24"/>
        </w:rPr>
        <w:t xml:space="preserve">) enhancing the demand for financial services from MSMEs, in particular small artisans, commerce, services, community organizations and producer cooperatives, and (ii) facilitate the creation of non-bank financial entities with social objectives in the productive sectors. Furthermore, Articles 334 and 336 aim to enhance and foster the creation of community groups and cooperatives in targeted economic sectors, and facilitate their access to credit and technical assistance. </w:t>
      </w:r>
    </w:p>
    <w:p w:rsidR="00801E58" w:rsidRPr="003571FD" w:rsidRDefault="00801E58" w:rsidP="00801E58">
      <w:pPr>
        <w:pStyle w:val="ListParagraph"/>
        <w:ind w:left="360"/>
        <w:jc w:val="both"/>
        <w:rPr>
          <w:rFonts w:ascii="Times New Roman" w:hAnsi="Times New Roman" w:cs="Times New Roman"/>
          <w:b/>
          <w:sz w:val="24"/>
        </w:rPr>
      </w:pPr>
    </w:p>
    <w:p w:rsidR="00A43D06" w:rsidRPr="003571FD" w:rsidRDefault="00A43D0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The Government has already passed a number of reform measures to fulfill this constitutional mandate. </w:t>
      </w:r>
      <w:r w:rsidRPr="003571FD">
        <w:rPr>
          <w:rFonts w:ascii="Times New Roman" w:hAnsi="Times New Roman" w:cs="Times New Roman"/>
          <w:sz w:val="24"/>
        </w:rPr>
        <w:t>In coordination with the Vice Ministry of Pensions and Financial Services as well as the Central Bank, ASFI passed or amended regulations to (</w:t>
      </w:r>
      <w:proofErr w:type="spellStart"/>
      <w:r w:rsidRPr="003571FD">
        <w:rPr>
          <w:rFonts w:ascii="Times New Roman" w:hAnsi="Times New Roman" w:cs="Times New Roman"/>
          <w:sz w:val="24"/>
        </w:rPr>
        <w:t>i</w:t>
      </w:r>
      <w:proofErr w:type="spellEnd"/>
      <w:r w:rsidRPr="003571FD">
        <w:rPr>
          <w:rFonts w:ascii="Times New Roman" w:hAnsi="Times New Roman" w:cs="Times New Roman"/>
          <w:sz w:val="24"/>
        </w:rPr>
        <w:t xml:space="preserve">) specify the applicable definition for various sizes of enterprises, thus harmonized reporting standards in the financial sector, introducing the classification of </w:t>
      </w:r>
      <w:r w:rsidR="00D56D24">
        <w:rPr>
          <w:rFonts w:ascii="Times New Roman" w:hAnsi="Times New Roman" w:cs="Times New Roman"/>
          <w:sz w:val="24"/>
        </w:rPr>
        <w:t>M</w:t>
      </w:r>
      <w:r w:rsidRPr="003571FD">
        <w:rPr>
          <w:rFonts w:ascii="Times New Roman" w:hAnsi="Times New Roman" w:cs="Times New Roman"/>
          <w:sz w:val="24"/>
        </w:rPr>
        <w:t>SME loans and guarantee requirements, and improving the quality of information on credit by size of enterprise, (ii) lower provisioning</w:t>
      </w:r>
      <w:r w:rsidR="00D56D24">
        <w:rPr>
          <w:rFonts w:ascii="Times New Roman" w:hAnsi="Times New Roman" w:cs="Times New Roman"/>
          <w:sz w:val="24"/>
        </w:rPr>
        <w:t xml:space="preserve"> and capital adequacy</w:t>
      </w:r>
      <w:r w:rsidRPr="003571FD">
        <w:rPr>
          <w:rFonts w:ascii="Times New Roman" w:hAnsi="Times New Roman" w:cs="Times New Roman"/>
          <w:sz w:val="24"/>
        </w:rPr>
        <w:t xml:space="preserve"> requirements for productive sector credit</w:t>
      </w:r>
      <w:r w:rsidR="00D56D24">
        <w:rPr>
          <w:rFonts w:ascii="Times New Roman" w:hAnsi="Times New Roman" w:cs="Times New Roman"/>
          <w:sz w:val="24"/>
        </w:rPr>
        <w:t>, and raising their size and leverage limits</w:t>
      </w:r>
      <w:r w:rsidRPr="003571FD">
        <w:rPr>
          <w:rFonts w:ascii="Times New Roman" w:hAnsi="Times New Roman" w:cs="Times New Roman"/>
          <w:sz w:val="24"/>
        </w:rPr>
        <w:t xml:space="preserve">, with the aim of </w:t>
      </w:r>
      <w:r w:rsidR="00D56D24">
        <w:rPr>
          <w:rFonts w:ascii="Times New Roman" w:hAnsi="Times New Roman" w:cs="Times New Roman"/>
          <w:sz w:val="24"/>
        </w:rPr>
        <w:t xml:space="preserve">increasing supply and </w:t>
      </w:r>
      <w:r w:rsidRPr="003571FD">
        <w:rPr>
          <w:rFonts w:ascii="Times New Roman" w:hAnsi="Times New Roman" w:cs="Times New Roman"/>
          <w:sz w:val="24"/>
        </w:rPr>
        <w:t xml:space="preserve">lowering the interest rates charged, and (iii) establish a maximum time in which a credit application needs to be processed. </w:t>
      </w:r>
      <w:r w:rsidR="00D56D24" w:rsidRPr="003571FD">
        <w:rPr>
          <w:rFonts w:ascii="Times New Roman" w:hAnsi="Times New Roman" w:cs="Times New Roman"/>
          <w:sz w:val="24"/>
        </w:rPr>
        <w:t xml:space="preserve">Currently, discussions are underway with participation of the government to regulate interest rates and to create a dedicated public agricultural bank </w:t>
      </w:r>
      <w:r w:rsidR="0090496E">
        <w:rPr>
          <w:rFonts w:ascii="Times New Roman" w:hAnsi="Times New Roman" w:cs="Times New Roman"/>
          <w:sz w:val="24"/>
        </w:rPr>
        <w:t>Most of these reforms</w:t>
      </w:r>
      <w:r w:rsidRPr="003571FD">
        <w:rPr>
          <w:rFonts w:ascii="Times New Roman" w:hAnsi="Times New Roman" w:cs="Times New Roman"/>
          <w:sz w:val="24"/>
        </w:rPr>
        <w:t xml:space="preserve"> are not addressing any of the determined bottlenecks, and </w:t>
      </w:r>
      <w:r w:rsidR="0090496E">
        <w:rPr>
          <w:rFonts w:ascii="Times New Roman" w:hAnsi="Times New Roman" w:cs="Times New Roman"/>
          <w:sz w:val="24"/>
        </w:rPr>
        <w:t>the analysis thus raises doubt on</w:t>
      </w:r>
      <w:r w:rsidRPr="003571FD">
        <w:rPr>
          <w:rFonts w:ascii="Times New Roman" w:hAnsi="Times New Roman" w:cs="Times New Roman"/>
          <w:sz w:val="24"/>
        </w:rPr>
        <w:t xml:space="preserve"> whether the</w:t>
      </w:r>
      <w:r w:rsidR="0090496E">
        <w:rPr>
          <w:rFonts w:ascii="Times New Roman" w:hAnsi="Times New Roman" w:cs="Times New Roman"/>
          <w:sz w:val="24"/>
        </w:rPr>
        <w:t>se measures</w:t>
      </w:r>
      <w:r w:rsidRPr="003571FD">
        <w:rPr>
          <w:rFonts w:ascii="Times New Roman" w:hAnsi="Times New Roman" w:cs="Times New Roman"/>
          <w:sz w:val="24"/>
        </w:rPr>
        <w:t xml:space="preserve"> will be able to stimulate productive sector credit </w:t>
      </w:r>
      <w:r w:rsidR="00D56D24">
        <w:rPr>
          <w:rFonts w:ascii="Times New Roman" w:hAnsi="Times New Roman" w:cs="Times New Roman"/>
          <w:sz w:val="24"/>
        </w:rPr>
        <w:t>on a sustainable basis</w:t>
      </w:r>
      <w:r w:rsidRPr="003571FD">
        <w:rPr>
          <w:rFonts w:ascii="Times New Roman" w:hAnsi="Times New Roman" w:cs="Times New Roman"/>
          <w:sz w:val="24"/>
        </w:rPr>
        <w:t xml:space="preserve">.. Finally, </w:t>
      </w:r>
      <w:r w:rsidR="00BD2447">
        <w:rPr>
          <w:rFonts w:ascii="Times New Roman" w:hAnsi="Times New Roman" w:cs="Times New Roman"/>
          <w:sz w:val="24"/>
        </w:rPr>
        <w:t xml:space="preserve">the Central Bank and </w:t>
      </w:r>
      <w:r w:rsidRPr="003571FD">
        <w:rPr>
          <w:rFonts w:ascii="Times New Roman" w:hAnsi="Times New Roman" w:cs="Times New Roman"/>
          <w:sz w:val="24"/>
        </w:rPr>
        <w:t>ASFI ha</w:t>
      </w:r>
      <w:r w:rsidR="00BD2447">
        <w:rPr>
          <w:rFonts w:ascii="Times New Roman" w:hAnsi="Times New Roman" w:cs="Times New Roman"/>
          <w:sz w:val="24"/>
        </w:rPr>
        <w:t>ve</w:t>
      </w:r>
      <w:r w:rsidRPr="003571FD">
        <w:rPr>
          <w:rFonts w:ascii="Times New Roman" w:hAnsi="Times New Roman" w:cs="Times New Roman"/>
          <w:sz w:val="24"/>
        </w:rPr>
        <w:t xml:space="preserve"> been at the center of efforts to bring stakeholders from the public and private sphere together to reflect on possible ways forward for stimulating the growth of productive sectors and </w:t>
      </w:r>
      <w:r w:rsidRPr="003571FD">
        <w:rPr>
          <w:rFonts w:ascii="Times New Roman" w:hAnsi="Times New Roman" w:cs="Times New Roman"/>
          <w:sz w:val="24"/>
        </w:rPr>
        <w:lastRenderedPageBreak/>
        <w:t>made individual contributions to the discussion publicly available to raise awareness and transparency.</w:t>
      </w:r>
    </w:p>
    <w:p w:rsidR="00801E58" w:rsidRPr="003571FD" w:rsidRDefault="00801E58" w:rsidP="00801E58">
      <w:pPr>
        <w:pStyle w:val="ListParagraph"/>
        <w:ind w:left="360"/>
        <w:jc w:val="both"/>
        <w:rPr>
          <w:rFonts w:ascii="Times New Roman" w:hAnsi="Times New Roman" w:cs="Times New Roman"/>
          <w:sz w:val="24"/>
        </w:rPr>
      </w:pPr>
    </w:p>
    <w:p w:rsidR="00A43D06" w:rsidRPr="003571FD" w:rsidRDefault="00A43D0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Additionally, a number of government agencies, donors and NGOs support the development of individual sectors through the provision of grant funding, technical assistance and support for integration along value chains / clusters.</w:t>
      </w:r>
      <w:r w:rsidRPr="003571FD">
        <w:rPr>
          <w:rFonts w:ascii="Times New Roman" w:hAnsi="Times New Roman" w:cs="Times New Roman"/>
          <w:sz w:val="24"/>
        </w:rPr>
        <w:t xml:space="preserve"> A number of sources of grant funding are available to the productive sector, which </w:t>
      </w:r>
      <w:r w:rsidR="0090496E">
        <w:rPr>
          <w:rFonts w:ascii="Times New Roman" w:hAnsi="Times New Roman" w:cs="Times New Roman"/>
          <w:sz w:val="24"/>
        </w:rPr>
        <w:t xml:space="preserve">can help bridge initial shortcomings and jumpstart economic development, but </w:t>
      </w:r>
      <w:r w:rsidRPr="003571FD">
        <w:rPr>
          <w:rFonts w:ascii="Times New Roman" w:hAnsi="Times New Roman" w:cs="Times New Roman"/>
          <w:sz w:val="24"/>
        </w:rPr>
        <w:t xml:space="preserve">– if not done carefully - can </w:t>
      </w:r>
      <w:r w:rsidR="0090496E">
        <w:rPr>
          <w:rFonts w:ascii="Times New Roman" w:hAnsi="Times New Roman" w:cs="Times New Roman"/>
          <w:sz w:val="24"/>
        </w:rPr>
        <w:t xml:space="preserve">also </w:t>
      </w:r>
      <w:r w:rsidRPr="003571FD">
        <w:rPr>
          <w:rFonts w:ascii="Times New Roman" w:hAnsi="Times New Roman" w:cs="Times New Roman"/>
          <w:sz w:val="24"/>
        </w:rPr>
        <w:t xml:space="preserve">crowd out the </w:t>
      </w:r>
      <w:r w:rsidR="0090496E">
        <w:rPr>
          <w:rFonts w:ascii="Times New Roman" w:hAnsi="Times New Roman" w:cs="Times New Roman"/>
          <w:sz w:val="24"/>
        </w:rPr>
        <w:t>financial system</w:t>
      </w:r>
      <w:r w:rsidR="0090496E" w:rsidRPr="003571FD">
        <w:rPr>
          <w:rFonts w:ascii="Times New Roman" w:hAnsi="Times New Roman" w:cs="Times New Roman"/>
          <w:sz w:val="24"/>
        </w:rPr>
        <w:t xml:space="preserve"> </w:t>
      </w:r>
      <w:r w:rsidR="0090496E">
        <w:rPr>
          <w:rFonts w:ascii="Times New Roman" w:hAnsi="Times New Roman" w:cs="Times New Roman"/>
          <w:sz w:val="24"/>
        </w:rPr>
        <w:t>through</w:t>
      </w:r>
      <w:r w:rsidRPr="003571FD">
        <w:rPr>
          <w:rFonts w:ascii="Times New Roman" w:hAnsi="Times New Roman" w:cs="Times New Roman"/>
          <w:sz w:val="24"/>
        </w:rPr>
        <w:t xml:space="preserve"> lower demand for credit. </w:t>
      </w:r>
      <w:r w:rsidR="0090496E">
        <w:rPr>
          <w:rFonts w:ascii="Times New Roman" w:hAnsi="Times New Roman" w:cs="Times New Roman"/>
          <w:sz w:val="24"/>
        </w:rPr>
        <w:t xml:space="preserve">Attention should also be paid to facilitating the grant </w:t>
      </w:r>
      <w:proofErr w:type="gramStart"/>
      <w:r w:rsidR="0090496E">
        <w:rPr>
          <w:rFonts w:ascii="Times New Roman" w:hAnsi="Times New Roman" w:cs="Times New Roman"/>
          <w:sz w:val="24"/>
        </w:rPr>
        <w:t>recipients</w:t>
      </w:r>
      <w:proofErr w:type="gramEnd"/>
      <w:r w:rsidR="0090496E">
        <w:rPr>
          <w:rFonts w:ascii="Times New Roman" w:hAnsi="Times New Roman" w:cs="Times New Roman"/>
          <w:sz w:val="24"/>
        </w:rPr>
        <w:t xml:space="preserve"> linkage to the financial system, in order to allow them to graduate from grant funding on the medium term. </w:t>
      </w:r>
      <w:r w:rsidRPr="003571FD">
        <w:rPr>
          <w:rFonts w:ascii="Times New Roman" w:hAnsi="Times New Roman" w:cs="Times New Roman"/>
          <w:sz w:val="24"/>
        </w:rPr>
        <w:t xml:space="preserve">With regard to reforms to address underlying economic bottlenecks, one visited </w:t>
      </w:r>
      <w:r w:rsidR="009D2A43" w:rsidRPr="003571FD">
        <w:rPr>
          <w:rFonts w:ascii="Times New Roman" w:hAnsi="Times New Roman" w:cs="Times New Roman"/>
          <w:sz w:val="24"/>
        </w:rPr>
        <w:t>IFD</w:t>
      </w:r>
      <w:r w:rsidRPr="003571FD">
        <w:rPr>
          <w:rFonts w:ascii="Times New Roman" w:hAnsi="Times New Roman" w:cs="Times New Roman"/>
          <w:sz w:val="24"/>
        </w:rPr>
        <w:t xml:space="preserve"> reported for example of a sectoral regulatory agency which “registers” credit contracts to facilitate contract enforcement. This proved to be a viable and un-bureaucratic way of enhancing contract discipline in the sector, and circumventing bottlenecks in the area of creditor rights. Interviews with associations, private sector companies and NGOs working with value chains indicated the existence of a variety of individual initiatives along those lines as well as available technical assistance facilities, but in their totality the initiatives appear fragmented, and not well coordinated. This reduces their effectiveness.</w:t>
      </w:r>
      <w:r w:rsidR="00BD2447">
        <w:rPr>
          <w:rFonts w:ascii="Times New Roman" w:hAnsi="Times New Roman" w:cs="Times New Roman"/>
          <w:sz w:val="24"/>
        </w:rPr>
        <w:t xml:space="preserve"> </w:t>
      </w:r>
      <w:r w:rsidR="004A061A">
        <w:rPr>
          <w:rFonts w:ascii="Times New Roman" w:hAnsi="Times New Roman" w:cs="Times New Roman"/>
          <w:sz w:val="24"/>
        </w:rPr>
        <w:t xml:space="preserve">A </w:t>
      </w:r>
      <w:r w:rsidR="00BD2447">
        <w:rPr>
          <w:rFonts w:ascii="Times New Roman" w:hAnsi="Times New Roman" w:cs="Times New Roman"/>
          <w:sz w:val="24"/>
        </w:rPr>
        <w:t xml:space="preserve">more coordinated approach appears </w:t>
      </w:r>
      <w:r w:rsidR="0090496E">
        <w:rPr>
          <w:rFonts w:ascii="Times New Roman" w:hAnsi="Times New Roman" w:cs="Times New Roman"/>
          <w:sz w:val="24"/>
        </w:rPr>
        <w:t xml:space="preserve">thus </w:t>
      </w:r>
      <w:r w:rsidR="00BD2447">
        <w:rPr>
          <w:rFonts w:ascii="Times New Roman" w:hAnsi="Times New Roman" w:cs="Times New Roman"/>
          <w:sz w:val="24"/>
        </w:rPr>
        <w:t xml:space="preserve">to be </w:t>
      </w:r>
      <w:r w:rsidR="004A061A">
        <w:rPr>
          <w:rFonts w:ascii="Times New Roman" w:hAnsi="Times New Roman" w:cs="Times New Roman"/>
          <w:sz w:val="24"/>
        </w:rPr>
        <w:t>warranted</w:t>
      </w:r>
      <w:r w:rsidR="00BD2447">
        <w:rPr>
          <w:rFonts w:ascii="Times New Roman" w:hAnsi="Times New Roman" w:cs="Times New Roman"/>
          <w:sz w:val="24"/>
        </w:rPr>
        <w:t xml:space="preserve">, with both the government agencies and private sector stakeholders </w:t>
      </w:r>
      <w:r w:rsidR="004A061A">
        <w:rPr>
          <w:rFonts w:ascii="Times New Roman" w:hAnsi="Times New Roman" w:cs="Times New Roman"/>
          <w:sz w:val="24"/>
        </w:rPr>
        <w:t xml:space="preserve">(such as the Chambers of Commerce and Industry) in charge of alleviating constraints. </w:t>
      </w:r>
      <w:r w:rsidR="00BD2447">
        <w:rPr>
          <w:rFonts w:ascii="Times New Roman" w:hAnsi="Times New Roman" w:cs="Times New Roman"/>
          <w:sz w:val="24"/>
        </w:rPr>
        <w:t xml:space="preserve"> </w:t>
      </w:r>
    </w:p>
    <w:p w:rsidR="00801E58" w:rsidRPr="003571FD" w:rsidRDefault="00801E58" w:rsidP="00801E58">
      <w:pPr>
        <w:pStyle w:val="ListParagraph"/>
        <w:ind w:left="360"/>
        <w:jc w:val="both"/>
        <w:rPr>
          <w:rFonts w:ascii="Times New Roman" w:hAnsi="Times New Roman" w:cs="Times New Roman"/>
          <w:sz w:val="24"/>
        </w:rPr>
      </w:pPr>
    </w:p>
    <w:p w:rsidR="00A43D06" w:rsidRPr="003571FD" w:rsidRDefault="00A43D06" w:rsidP="00CA07A0">
      <w:pPr>
        <w:pStyle w:val="ListParagraph"/>
        <w:numPr>
          <w:ilvl w:val="0"/>
          <w:numId w:val="8"/>
        </w:numPr>
        <w:spacing w:after="240"/>
        <w:jc w:val="both"/>
        <w:rPr>
          <w:rFonts w:ascii="Times New Roman" w:hAnsi="Times New Roman" w:cs="Times New Roman"/>
          <w:b/>
          <w:sz w:val="24"/>
        </w:rPr>
      </w:pPr>
      <w:r w:rsidRPr="003571FD">
        <w:rPr>
          <w:rFonts w:ascii="Times New Roman" w:hAnsi="Times New Roman" w:cs="Times New Roman"/>
          <w:b/>
          <w:sz w:val="24"/>
        </w:rPr>
        <w:t>The two public banks also launched a number of initiatives to directly and indirectly enhance access to credit of targeted sectors:</w:t>
      </w:r>
    </w:p>
    <w:p w:rsidR="00A43D06" w:rsidRPr="003571FD" w:rsidRDefault="00A43D06" w:rsidP="00A43D06">
      <w:pPr>
        <w:jc w:val="both"/>
        <w:rPr>
          <w:rFonts w:ascii="Times New Roman" w:hAnsi="Times New Roman" w:cs="Times New Roman"/>
          <w:b/>
          <w:i/>
          <w:sz w:val="24"/>
        </w:rPr>
      </w:pPr>
      <w:r w:rsidRPr="003571FD">
        <w:rPr>
          <w:rFonts w:ascii="Times New Roman" w:hAnsi="Times New Roman" w:cs="Times New Roman"/>
          <w:b/>
          <w:i/>
          <w:sz w:val="24"/>
        </w:rPr>
        <w:t>Banco Union</w:t>
      </w:r>
    </w:p>
    <w:p w:rsidR="00A43D06" w:rsidRPr="003571FD" w:rsidRDefault="00A43D0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Having undergone substantial restructuring to clean up its balance sheet since 2004, </w:t>
      </w:r>
      <w:r w:rsidRPr="003571FD">
        <w:rPr>
          <w:rFonts w:ascii="Times New Roman" w:hAnsi="Times New Roman" w:cs="Times New Roman"/>
          <w:b/>
          <w:i/>
          <w:sz w:val="24"/>
        </w:rPr>
        <w:t>Banco Union</w:t>
      </w:r>
      <w:r w:rsidRPr="003571FD">
        <w:rPr>
          <w:rFonts w:ascii="Times New Roman" w:hAnsi="Times New Roman" w:cs="Times New Roman"/>
          <w:b/>
          <w:sz w:val="24"/>
        </w:rPr>
        <w:t xml:space="preserve"> has now shifted its mission objective towards facilitating access to financial services for all Bolivians, with a particular focus on </w:t>
      </w:r>
      <w:r w:rsidR="001F51E7" w:rsidRPr="003571FD">
        <w:rPr>
          <w:rFonts w:ascii="Times New Roman" w:hAnsi="Times New Roman" w:cs="Times New Roman"/>
          <w:b/>
          <w:sz w:val="24"/>
        </w:rPr>
        <w:t xml:space="preserve">funding </w:t>
      </w:r>
      <w:r w:rsidRPr="003571FD">
        <w:rPr>
          <w:rFonts w:ascii="Times New Roman" w:hAnsi="Times New Roman" w:cs="Times New Roman"/>
          <w:b/>
          <w:sz w:val="24"/>
        </w:rPr>
        <w:t xml:space="preserve">micro and small enterprises. </w:t>
      </w:r>
      <w:r w:rsidRPr="003571FD">
        <w:rPr>
          <w:rFonts w:ascii="Times New Roman" w:hAnsi="Times New Roman" w:cs="Times New Roman"/>
          <w:sz w:val="24"/>
        </w:rPr>
        <w:t>Formally being a joint-stock company, with the government holding over 97 percent of the stock, this first tier Bank does not yet have an official mandate from the government</w:t>
      </w:r>
      <w:r w:rsidRPr="003571FD">
        <w:rPr>
          <w:rStyle w:val="FootnoteReference"/>
          <w:rFonts w:ascii="Times New Roman" w:hAnsi="Times New Roman" w:cs="Times New Roman"/>
          <w:sz w:val="24"/>
        </w:rPr>
        <w:footnoteReference w:id="122"/>
      </w:r>
      <w:r w:rsidRPr="003571FD">
        <w:rPr>
          <w:rFonts w:ascii="Times New Roman" w:hAnsi="Times New Roman" w:cs="Times New Roman"/>
          <w:sz w:val="24"/>
        </w:rPr>
        <w:t xml:space="preserve"> to expand access to finance. Its self-declared mission objective is to support economic development through fostering access to financial services. Having significantly improved on its core financial indicators since 2005 (see Annex 1), it has established linkages with </w:t>
      </w:r>
      <w:r w:rsidR="001F51E7" w:rsidRPr="003571FD">
        <w:rPr>
          <w:rFonts w:ascii="Times New Roman" w:hAnsi="Times New Roman" w:cs="Times New Roman"/>
          <w:sz w:val="24"/>
        </w:rPr>
        <w:t>IFD</w:t>
      </w:r>
      <w:r w:rsidRPr="003571FD">
        <w:rPr>
          <w:rFonts w:ascii="Times New Roman" w:hAnsi="Times New Roman" w:cs="Times New Roman"/>
          <w:sz w:val="24"/>
        </w:rPr>
        <w:t xml:space="preserve">s operating in selected value chains and </w:t>
      </w:r>
      <w:r w:rsidR="00B6219D">
        <w:rPr>
          <w:rFonts w:ascii="Times New Roman" w:hAnsi="Times New Roman" w:cs="Times New Roman"/>
          <w:sz w:val="24"/>
        </w:rPr>
        <w:t xml:space="preserve">also increased its loan portfolio </w:t>
      </w:r>
      <w:r w:rsidRPr="003571FD">
        <w:rPr>
          <w:rFonts w:ascii="Times New Roman" w:hAnsi="Times New Roman" w:cs="Times New Roman"/>
          <w:sz w:val="24"/>
        </w:rPr>
        <w:t>to public enterprises</w:t>
      </w:r>
      <w:r w:rsidR="00B6219D">
        <w:rPr>
          <w:rFonts w:ascii="Times New Roman" w:hAnsi="Times New Roman" w:cs="Times New Roman"/>
          <w:sz w:val="24"/>
        </w:rPr>
        <w:t xml:space="preserve">. </w:t>
      </w:r>
      <w:proofErr w:type="gramStart"/>
      <w:r w:rsidR="00B6219D">
        <w:rPr>
          <w:rFonts w:ascii="Times New Roman" w:hAnsi="Times New Roman" w:cs="Times New Roman"/>
          <w:sz w:val="24"/>
        </w:rPr>
        <w:t xml:space="preserve">This </w:t>
      </w:r>
      <w:r w:rsidR="001F51E7" w:rsidRPr="003571FD">
        <w:rPr>
          <w:rFonts w:ascii="Times New Roman" w:hAnsi="Times New Roman" w:cs="Times New Roman"/>
          <w:sz w:val="24"/>
        </w:rPr>
        <w:t xml:space="preserve"> </w:t>
      </w:r>
      <w:r w:rsidRPr="003571FD">
        <w:rPr>
          <w:rFonts w:ascii="Times New Roman" w:hAnsi="Times New Roman" w:cs="Times New Roman"/>
          <w:sz w:val="24"/>
        </w:rPr>
        <w:t>boosted</w:t>
      </w:r>
      <w:proofErr w:type="gramEnd"/>
      <w:r w:rsidRPr="003571FD">
        <w:rPr>
          <w:rFonts w:ascii="Times New Roman" w:hAnsi="Times New Roman" w:cs="Times New Roman"/>
          <w:sz w:val="24"/>
        </w:rPr>
        <w:t xml:space="preserve"> its loan </w:t>
      </w:r>
      <w:r w:rsidRPr="003571FD">
        <w:rPr>
          <w:rFonts w:ascii="Times New Roman" w:hAnsi="Times New Roman" w:cs="Times New Roman"/>
          <w:sz w:val="24"/>
        </w:rPr>
        <w:lastRenderedPageBreak/>
        <w:t xml:space="preserve">portfolio and the number of borrowers in the last year. </w:t>
      </w:r>
      <w:r w:rsidR="00781E2F" w:rsidRPr="00781E2F">
        <w:rPr>
          <w:rFonts w:ascii="Times New Roman" w:hAnsi="Times New Roman" w:cs="Times New Roman"/>
          <w:i/>
          <w:sz w:val="24"/>
        </w:rPr>
        <w:t>Banco Union</w:t>
      </w:r>
      <w:r w:rsidR="00093707" w:rsidRPr="003571FD">
        <w:rPr>
          <w:rFonts w:ascii="Times New Roman" w:hAnsi="Times New Roman" w:cs="Times New Roman"/>
          <w:sz w:val="24"/>
        </w:rPr>
        <w:t xml:space="preserve"> </w:t>
      </w:r>
      <w:r w:rsidRPr="003571FD">
        <w:rPr>
          <w:rFonts w:ascii="Times New Roman" w:hAnsi="Times New Roman" w:cs="Times New Roman"/>
          <w:sz w:val="24"/>
        </w:rPr>
        <w:t>also helps implement a number of government programs, such as trust funds from the second tier bank BDP.</w:t>
      </w:r>
    </w:p>
    <w:p w:rsidR="00ED2AE9" w:rsidRPr="003571FD" w:rsidRDefault="00ED2AE9" w:rsidP="00ED2AE9">
      <w:pPr>
        <w:pStyle w:val="ListParagraph"/>
        <w:spacing w:after="240"/>
        <w:ind w:left="0"/>
        <w:jc w:val="both"/>
        <w:rPr>
          <w:rFonts w:ascii="Times New Roman" w:hAnsi="Times New Roman" w:cs="Times New Roman"/>
          <w:sz w:val="24"/>
        </w:rPr>
      </w:pPr>
    </w:p>
    <w:p w:rsidR="00634D54" w:rsidRPr="003571FD" w:rsidRDefault="00A43D0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The programs supported and developed by </w:t>
      </w:r>
      <w:r w:rsidRPr="003571FD">
        <w:rPr>
          <w:rFonts w:ascii="Times New Roman" w:hAnsi="Times New Roman" w:cs="Times New Roman"/>
          <w:b/>
          <w:i/>
          <w:sz w:val="24"/>
        </w:rPr>
        <w:t>Banco Union</w:t>
      </w:r>
      <w:r w:rsidRPr="003571FD">
        <w:rPr>
          <w:rFonts w:ascii="Times New Roman" w:hAnsi="Times New Roman" w:cs="Times New Roman"/>
          <w:b/>
          <w:sz w:val="24"/>
        </w:rPr>
        <w:t xml:space="preserve"> speak of a significant dynamic and innovation within the bank, but attention has to be paid to not distorting the market</w:t>
      </w:r>
      <w:r w:rsidRPr="003571FD">
        <w:rPr>
          <w:rFonts w:ascii="Times New Roman" w:hAnsi="Times New Roman" w:cs="Times New Roman"/>
          <w:sz w:val="24"/>
        </w:rPr>
        <w:t>. The Bank launched amongst other initiatives (</w:t>
      </w:r>
      <w:proofErr w:type="spellStart"/>
      <w:r w:rsidRPr="003571FD">
        <w:rPr>
          <w:rFonts w:ascii="Times New Roman" w:hAnsi="Times New Roman" w:cs="Times New Roman"/>
          <w:sz w:val="24"/>
        </w:rPr>
        <w:t>i</w:t>
      </w:r>
      <w:proofErr w:type="spellEnd"/>
      <w:r w:rsidRPr="003571FD">
        <w:rPr>
          <w:rFonts w:ascii="Times New Roman" w:hAnsi="Times New Roman" w:cs="Times New Roman"/>
          <w:sz w:val="24"/>
        </w:rPr>
        <w:t xml:space="preserve">) a fund to provide guarantees of up to 50 percent for loans of qualified MSMEs (PROPYME), </w:t>
      </w:r>
      <w:r w:rsidR="007A553E" w:rsidRPr="003571FD">
        <w:rPr>
          <w:rFonts w:ascii="Times New Roman" w:hAnsi="Times New Roman" w:cs="Times New Roman"/>
          <w:sz w:val="24"/>
        </w:rPr>
        <w:t xml:space="preserve">and </w:t>
      </w:r>
      <w:r w:rsidRPr="003571FD">
        <w:rPr>
          <w:rFonts w:ascii="Times New Roman" w:hAnsi="Times New Roman" w:cs="Times New Roman"/>
          <w:sz w:val="24"/>
        </w:rPr>
        <w:t xml:space="preserve">(ii) a micro life-insurance product with a maximum coverage of the equivalent of </w:t>
      </w:r>
      <w:r w:rsidR="009B328D" w:rsidRPr="003571FD">
        <w:rPr>
          <w:rFonts w:ascii="Times New Roman" w:hAnsi="Times New Roman" w:cs="Times New Roman"/>
          <w:sz w:val="24"/>
        </w:rPr>
        <w:t xml:space="preserve">USD </w:t>
      </w:r>
      <w:r w:rsidRPr="003571FD">
        <w:rPr>
          <w:rFonts w:ascii="Times New Roman" w:hAnsi="Times New Roman" w:cs="Times New Roman"/>
          <w:sz w:val="24"/>
        </w:rPr>
        <w:t>4,000 to 40,000</w:t>
      </w:r>
      <w:r w:rsidR="009D2A43" w:rsidRPr="003571FD">
        <w:rPr>
          <w:rFonts w:ascii="Times New Roman" w:hAnsi="Times New Roman" w:cs="Times New Roman"/>
          <w:sz w:val="24"/>
        </w:rPr>
        <w:t xml:space="preserve">. </w:t>
      </w:r>
      <w:r w:rsidR="00093707">
        <w:rPr>
          <w:rFonts w:ascii="Times New Roman" w:hAnsi="Times New Roman" w:cs="Times New Roman"/>
          <w:sz w:val="24"/>
        </w:rPr>
        <w:t>In order not to create contingent liabilities for the government and introduce market distortions, a</w:t>
      </w:r>
      <w:r w:rsidRPr="003571FD">
        <w:rPr>
          <w:rFonts w:ascii="Times New Roman" w:hAnsi="Times New Roman" w:cs="Times New Roman"/>
          <w:sz w:val="24"/>
        </w:rPr>
        <w:t>ttention needs to be paid that the various programs under implementation use the innovative capacity inside the Bank</w:t>
      </w:r>
      <w:r w:rsidRPr="003571FD">
        <w:rPr>
          <w:rStyle w:val="FootnoteReference"/>
          <w:rFonts w:ascii="Times New Roman" w:hAnsi="Times New Roman" w:cs="Times New Roman"/>
          <w:sz w:val="24"/>
        </w:rPr>
        <w:footnoteReference w:id="123"/>
      </w:r>
      <w:r w:rsidRPr="003571FD">
        <w:rPr>
          <w:rFonts w:ascii="Times New Roman" w:hAnsi="Times New Roman" w:cs="Times New Roman"/>
          <w:sz w:val="24"/>
        </w:rPr>
        <w:t xml:space="preserve"> to pilot new products or </w:t>
      </w:r>
      <w:r w:rsidR="0090496E">
        <w:rPr>
          <w:rFonts w:ascii="Times New Roman" w:hAnsi="Times New Roman" w:cs="Times New Roman"/>
          <w:sz w:val="24"/>
        </w:rPr>
        <w:t xml:space="preserve">test </w:t>
      </w:r>
      <w:r w:rsidRPr="003571FD">
        <w:rPr>
          <w:rFonts w:ascii="Times New Roman" w:hAnsi="Times New Roman" w:cs="Times New Roman"/>
          <w:sz w:val="24"/>
        </w:rPr>
        <w:t xml:space="preserve">the feasibility of catering to certain </w:t>
      </w:r>
      <w:proofErr w:type="spellStart"/>
      <w:r w:rsidR="0090496E">
        <w:rPr>
          <w:rFonts w:ascii="Times New Roman" w:hAnsi="Times New Roman" w:cs="Times New Roman"/>
          <w:sz w:val="24"/>
        </w:rPr>
        <w:t>underbanked</w:t>
      </w:r>
      <w:proofErr w:type="spellEnd"/>
      <w:r w:rsidR="0090496E">
        <w:rPr>
          <w:rFonts w:ascii="Times New Roman" w:hAnsi="Times New Roman" w:cs="Times New Roman"/>
          <w:sz w:val="24"/>
        </w:rPr>
        <w:t xml:space="preserve"> </w:t>
      </w:r>
      <w:r w:rsidRPr="003571FD">
        <w:rPr>
          <w:rFonts w:ascii="Times New Roman" w:hAnsi="Times New Roman" w:cs="Times New Roman"/>
          <w:sz w:val="24"/>
        </w:rPr>
        <w:t xml:space="preserve">market segments or geographic areas. </w:t>
      </w:r>
      <w:r w:rsidR="00093707">
        <w:rPr>
          <w:rFonts w:ascii="Times New Roman" w:hAnsi="Times New Roman" w:cs="Times New Roman"/>
          <w:sz w:val="24"/>
        </w:rPr>
        <w:t>Successful pilots</w:t>
      </w:r>
      <w:r w:rsidRPr="003571FD">
        <w:rPr>
          <w:rFonts w:ascii="Times New Roman" w:hAnsi="Times New Roman" w:cs="Times New Roman"/>
          <w:sz w:val="24"/>
        </w:rPr>
        <w:t xml:space="preserve"> could show the viability of catering to certain market segments or </w:t>
      </w:r>
      <w:r w:rsidR="008B3E84">
        <w:rPr>
          <w:rFonts w:ascii="Times New Roman" w:hAnsi="Times New Roman" w:cs="Times New Roman"/>
          <w:sz w:val="24"/>
        </w:rPr>
        <w:t xml:space="preserve">of </w:t>
      </w:r>
      <w:r w:rsidRPr="003571FD">
        <w:rPr>
          <w:rFonts w:ascii="Times New Roman" w:hAnsi="Times New Roman" w:cs="Times New Roman"/>
          <w:sz w:val="24"/>
        </w:rPr>
        <w:t xml:space="preserve">certain products, </w:t>
      </w:r>
      <w:r w:rsidR="00093707">
        <w:rPr>
          <w:rFonts w:ascii="Times New Roman" w:hAnsi="Times New Roman" w:cs="Times New Roman"/>
          <w:sz w:val="24"/>
        </w:rPr>
        <w:t xml:space="preserve">and under fair market conditions could lead to an uptake </w:t>
      </w:r>
      <w:r w:rsidR="008B3E84">
        <w:rPr>
          <w:rFonts w:ascii="Times New Roman" w:hAnsi="Times New Roman" w:cs="Times New Roman"/>
          <w:sz w:val="24"/>
        </w:rPr>
        <w:t xml:space="preserve">and broad roll-out </w:t>
      </w:r>
      <w:r w:rsidR="00093707">
        <w:rPr>
          <w:rFonts w:ascii="Times New Roman" w:hAnsi="Times New Roman" w:cs="Times New Roman"/>
          <w:sz w:val="24"/>
        </w:rPr>
        <w:t xml:space="preserve">by  </w:t>
      </w:r>
      <w:r w:rsidRPr="003571FD">
        <w:rPr>
          <w:rFonts w:ascii="Times New Roman" w:hAnsi="Times New Roman" w:cs="Times New Roman"/>
          <w:sz w:val="24"/>
        </w:rPr>
        <w:t xml:space="preserve"> private and cooperative financial institutions. At the current stage, this however is not always the case</w:t>
      </w:r>
      <w:r w:rsidR="00093707">
        <w:rPr>
          <w:rFonts w:ascii="Times New Roman" w:hAnsi="Times New Roman" w:cs="Times New Roman"/>
          <w:sz w:val="24"/>
        </w:rPr>
        <w:t>. S</w:t>
      </w:r>
      <w:r w:rsidRPr="003571FD">
        <w:rPr>
          <w:rFonts w:ascii="Times New Roman" w:hAnsi="Times New Roman" w:cs="Times New Roman"/>
          <w:sz w:val="24"/>
        </w:rPr>
        <w:t xml:space="preserve">ome of the </w:t>
      </w:r>
      <w:r w:rsidR="0090496E">
        <w:rPr>
          <w:rFonts w:ascii="Times New Roman" w:hAnsi="Times New Roman" w:cs="Times New Roman"/>
          <w:sz w:val="24"/>
        </w:rPr>
        <w:t xml:space="preserve">cheap </w:t>
      </w:r>
      <w:r w:rsidRPr="003571FD">
        <w:rPr>
          <w:rFonts w:ascii="Times New Roman" w:hAnsi="Times New Roman" w:cs="Times New Roman"/>
          <w:sz w:val="24"/>
        </w:rPr>
        <w:t xml:space="preserve">trust funds </w:t>
      </w:r>
      <w:r w:rsidR="0090496E">
        <w:rPr>
          <w:rFonts w:ascii="Times New Roman" w:hAnsi="Times New Roman" w:cs="Times New Roman"/>
          <w:sz w:val="24"/>
        </w:rPr>
        <w:t xml:space="preserve">resources </w:t>
      </w:r>
      <w:r w:rsidRPr="003571FD">
        <w:rPr>
          <w:rFonts w:ascii="Times New Roman" w:hAnsi="Times New Roman" w:cs="Times New Roman"/>
          <w:sz w:val="24"/>
        </w:rPr>
        <w:t xml:space="preserve">implemented with </w:t>
      </w:r>
      <w:r w:rsidRPr="003571FD">
        <w:rPr>
          <w:rFonts w:ascii="Times New Roman" w:hAnsi="Times New Roman" w:cs="Times New Roman"/>
          <w:i/>
          <w:sz w:val="24"/>
        </w:rPr>
        <w:t>Banco Union</w:t>
      </w:r>
      <w:r w:rsidRPr="003571FD">
        <w:rPr>
          <w:rFonts w:ascii="Times New Roman" w:hAnsi="Times New Roman" w:cs="Times New Roman"/>
          <w:sz w:val="24"/>
        </w:rPr>
        <w:t xml:space="preserve">’s support distort the market through </w:t>
      </w:r>
      <w:r w:rsidR="00093707">
        <w:rPr>
          <w:rFonts w:ascii="Times New Roman" w:hAnsi="Times New Roman" w:cs="Times New Roman"/>
          <w:sz w:val="24"/>
        </w:rPr>
        <w:t xml:space="preserve">focusing on </w:t>
      </w:r>
      <w:r w:rsidRPr="003571FD">
        <w:rPr>
          <w:rFonts w:ascii="Times New Roman" w:hAnsi="Times New Roman" w:cs="Times New Roman"/>
          <w:sz w:val="24"/>
        </w:rPr>
        <w:t>lower</w:t>
      </w:r>
      <w:r w:rsidR="0090496E">
        <w:rPr>
          <w:rFonts w:ascii="Times New Roman" w:hAnsi="Times New Roman" w:cs="Times New Roman"/>
          <w:sz w:val="24"/>
        </w:rPr>
        <w:t>ing</w:t>
      </w:r>
      <w:r w:rsidRPr="003571FD">
        <w:rPr>
          <w:rFonts w:ascii="Times New Roman" w:hAnsi="Times New Roman" w:cs="Times New Roman"/>
          <w:sz w:val="24"/>
        </w:rPr>
        <w:t xml:space="preserve"> interest rates for </w:t>
      </w:r>
      <w:r w:rsidR="008B3E84">
        <w:rPr>
          <w:rFonts w:ascii="Times New Roman" w:hAnsi="Times New Roman" w:cs="Times New Roman"/>
          <w:sz w:val="24"/>
        </w:rPr>
        <w:t xml:space="preserve">existing </w:t>
      </w:r>
      <w:r w:rsidRPr="003571FD">
        <w:rPr>
          <w:rFonts w:ascii="Times New Roman" w:hAnsi="Times New Roman" w:cs="Times New Roman"/>
          <w:sz w:val="24"/>
        </w:rPr>
        <w:t>micro-credits, instead of</w:t>
      </w:r>
      <w:r w:rsidR="008B3E84" w:rsidRPr="003571FD">
        <w:rPr>
          <w:rFonts w:ascii="Times New Roman" w:hAnsi="Times New Roman" w:cs="Times New Roman"/>
          <w:sz w:val="24"/>
        </w:rPr>
        <w:t xml:space="preserve">, for example, </w:t>
      </w:r>
      <w:r w:rsidRPr="003571FD">
        <w:rPr>
          <w:rFonts w:ascii="Times New Roman" w:hAnsi="Times New Roman" w:cs="Times New Roman"/>
          <w:sz w:val="24"/>
        </w:rPr>
        <w:t xml:space="preserve"> </w:t>
      </w:r>
      <w:r w:rsidR="003646BB" w:rsidRPr="003571FD">
        <w:rPr>
          <w:rFonts w:ascii="Times New Roman" w:hAnsi="Times New Roman" w:cs="Times New Roman"/>
          <w:sz w:val="24"/>
        </w:rPr>
        <w:t>addressing the</w:t>
      </w:r>
      <w:r w:rsidRPr="003571FD">
        <w:rPr>
          <w:rFonts w:ascii="Times New Roman" w:hAnsi="Times New Roman" w:cs="Times New Roman"/>
          <w:sz w:val="24"/>
        </w:rPr>
        <w:t xml:space="preserve"> market gaps for investment loans resulting from lack of collateral that have been mentioned earlier</w:t>
      </w:r>
      <w:r w:rsidRPr="003571FD">
        <w:rPr>
          <w:rStyle w:val="FootnoteReference"/>
          <w:rFonts w:ascii="Times New Roman" w:hAnsi="Times New Roman" w:cs="Times New Roman"/>
          <w:sz w:val="24"/>
        </w:rPr>
        <w:footnoteReference w:id="124"/>
      </w:r>
      <w:r w:rsidRPr="003571FD">
        <w:rPr>
          <w:rFonts w:ascii="Times New Roman" w:hAnsi="Times New Roman" w:cs="Times New Roman"/>
          <w:sz w:val="24"/>
        </w:rPr>
        <w:t xml:space="preserve">. </w:t>
      </w:r>
    </w:p>
    <w:p w:rsidR="00A43D06" w:rsidRPr="003571FD" w:rsidRDefault="00A43D06" w:rsidP="007C2030">
      <w:pPr>
        <w:rPr>
          <w:rFonts w:ascii="Times New Roman" w:hAnsi="Times New Roman" w:cs="Times New Roman"/>
          <w:sz w:val="24"/>
        </w:rPr>
      </w:pPr>
      <w:r w:rsidRPr="003571FD">
        <w:rPr>
          <w:rFonts w:ascii="Times New Roman" w:hAnsi="Times New Roman" w:cs="Times New Roman"/>
          <w:b/>
          <w:i/>
        </w:rPr>
        <w:t>Banco de Desarollo Productivo</w:t>
      </w:r>
    </w:p>
    <w:p w:rsidR="009D2A43" w:rsidRPr="003571FD" w:rsidRDefault="009D2A43" w:rsidP="009D2A43">
      <w:pPr>
        <w:pStyle w:val="ListParagraph"/>
        <w:spacing w:after="240"/>
        <w:ind w:left="0"/>
        <w:jc w:val="both"/>
        <w:rPr>
          <w:rFonts w:ascii="Times New Roman" w:hAnsi="Times New Roman" w:cs="Times New Roman"/>
          <w:sz w:val="24"/>
        </w:rPr>
      </w:pPr>
    </w:p>
    <w:p w:rsidR="00A43D06" w:rsidRPr="003571FD" w:rsidRDefault="00A43D0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The </w:t>
      </w:r>
      <w:r w:rsidRPr="003571FD">
        <w:rPr>
          <w:rFonts w:ascii="Times New Roman" w:hAnsi="Times New Roman" w:cs="Times New Roman"/>
          <w:b/>
          <w:i/>
          <w:sz w:val="24"/>
        </w:rPr>
        <w:t>Banco de Desarollo Productivo</w:t>
      </w:r>
      <w:r w:rsidR="00B91947" w:rsidRPr="003571FD">
        <w:rPr>
          <w:rFonts w:ascii="Times New Roman" w:hAnsi="Times New Roman" w:cs="Times New Roman"/>
          <w:b/>
          <w:i/>
          <w:sz w:val="24"/>
        </w:rPr>
        <w:t xml:space="preserve"> </w:t>
      </w:r>
      <w:r w:rsidR="00B91947" w:rsidRPr="003571FD">
        <w:rPr>
          <w:rFonts w:ascii="Times New Roman" w:hAnsi="Times New Roman" w:cs="Times New Roman"/>
          <w:b/>
          <w:sz w:val="24"/>
        </w:rPr>
        <w:t>(BDP)</w:t>
      </w:r>
      <w:r w:rsidRPr="003571FD">
        <w:rPr>
          <w:rFonts w:ascii="Times New Roman" w:hAnsi="Times New Roman" w:cs="Times New Roman"/>
          <w:b/>
          <w:i/>
          <w:sz w:val="24"/>
        </w:rPr>
        <w:t xml:space="preserve"> </w:t>
      </w:r>
      <w:r w:rsidRPr="003571FD">
        <w:rPr>
          <w:rFonts w:ascii="Times New Roman" w:hAnsi="Times New Roman" w:cs="Times New Roman"/>
          <w:b/>
          <w:sz w:val="24"/>
        </w:rPr>
        <w:t>is officially under the Ministry of Economic Planning.</w:t>
      </w:r>
      <w:r w:rsidRPr="003571FD">
        <w:rPr>
          <w:rFonts w:ascii="Times New Roman" w:hAnsi="Times New Roman" w:cs="Times New Roman"/>
          <w:sz w:val="24"/>
        </w:rPr>
        <w:t xml:space="preserve"> As it receives a substantial amount of its funding through trust funds and budgetary resources, the Ministry of Economy and Finance also plays an important role. Its public mandate is determined by the National Development Plan of 2007, declaring as its priority focus the development of the productive sector and of </w:t>
      </w:r>
      <w:proofErr w:type="gramStart"/>
      <w:r w:rsidRPr="003571FD">
        <w:rPr>
          <w:rFonts w:ascii="Times New Roman" w:hAnsi="Times New Roman" w:cs="Times New Roman"/>
          <w:sz w:val="24"/>
        </w:rPr>
        <w:t>conducive</w:t>
      </w:r>
      <w:proofErr w:type="gramEnd"/>
      <w:r w:rsidRPr="003571FD">
        <w:rPr>
          <w:rFonts w:ascii="Times New Roman" w:hAnsi="Times New Roman" w:cs="Times New Roman"/>
          <w:sz w:val="24"/>
        </w:rPr>
        <w:t xml:space="preserve"> financial conditions for credit. The BDP offers credit for on-lending to first tier institutions, which due to the prevailing low deposit interest rates and the ample liquidity in the system are currently only used by the </w:t>
      </w:r>
      <w:r w:rsidR="007A553E" w:rsidRPr="003571FD">
        <w:rPr>
          <w:rFonts w:ascii="Times New Roman" w:hAnsi="Times New Roman" w:cs="Times New Roman"/>
          <w:sz w:val="24"/>
        </w:rPr>
        <w:t>IFDs</w:t>
      </w:r>
      <w:r w:rsidRPr="003571FD">
        <w:rPr>
          <w:rFonts w:ascii="Times New Roman" w:hAnsi="Times New Roman" w:cs="Times New Roman"/>
          <w:sz w:val="24"/>
        </w:rPr>
        <w:t xml:space="preserve">. It also administers trust funds for the development of productive credit, which </w:t>
      </w:r>
      <w:r w:rsidR="00B85913">
        <w:rPr>
          <w:rFonts w:ascii="Times New Roman" w:hAnsi="Times New Roman" w:cs="Times New Roman"/>
          <w:sz w:val="24"/>
        </w:rPr>
        <w:t>with on-</w:t>
      </w:r>
      <w:proofErr w:type="gramStart"/>
      <w:r w:rsidR="00B85913">
        <w:rPr>
          <w:rFonts w:ascii="Times New Roman" w:hAnsi="Times New Roman" w:cs="Times New Roman"/>
          <w:sz w:val="24"/>
        </w:rPr>
        <w:t xml:space="preserve">lending </w:t>
      </w:r>
      <w:r w:rsidR="00B85913" w:rsidRPr="003571FD">
        <w:rPr>
          <w:rFonts w:ascii="Times New Roman" w:hAnsi="Times New Roman" w:cs="Times New Roman"/>
          <w:sz w:val="24"/>
        </w:rPr>
        <w:t xml:space="preserve"> </w:t>
      </w:r>
      <w:r w:rsidRPr="003571FD">
        <w:rPr>
          <w:rFonts w:ascii="Times New Roman" w:hAnsi="Times New Roman" w:cs="Times New Roman"/>
          <w:sz w:val="24"/>
        </w:rPr>
        <w:t>rates</w:t>
      </w:r>
      <w:proofErr w:type="gramEnd"/>
      <w:r w:rsidRPr="003571FD">
        <w:rPr>
          <w:rFonts w:ascii="Times New Roman" w:hAnsi="Times New Roman" w:cs="Times New Roman"/>
          <w:sz w:val="24"/>
        </w:rPr>
        <w:t xml:space="preserve"> of around 8 percent and grace periods of up to 2 years undersell the market. The trust funded loans are usually only </w:t>
      </w:r>
      <w:r w:rsidR="008B3E84">
        <w:rPr>
          <w:rFonts w:ascii="Times New Roman" w:hAnsi="Times New Roman" w:cs="Times New Roman"/>
          <w:sz w:val="24"/>
        </w:rPr>
        <w:t>processed</w:t>
      </w:r>
      <w:r w:rsidR="008B3E84" w:rsidRPr="003571FD">
        <w:rPr>
          <w:rFonts w:ascii="Times New Roman" w:hAnsi="Times New Roman" w:cs="Times New Roman"/>
          <w:sz w:val="24"/>
        </w:rPr>
        <w:t xml:space="preserve"> </w:t>
      </w:r>
      <w:r w:rsidRPr="003571FD">
        <w:rPr>
          <w:rFonts w:ascii="Times New Roman" w:hAnsi="Times New Roman" w:cs="Times New Roman"/>
          <w:sz w:val="24"/>
        </w:rPr>
        <w:t xml:space="preserve">by the involved first tier institutions, with the credit risk remaining with the BDP. This has led to the internal control of all loans by BDP prior to approval, and likely also creates disincentives for the financial entities to rigorously enforce </w:t>
      </w:r>
      <w:r w:rsidRPr="003571FD">
        <w:rPr>
          <w:rFonts w:ascii="Times New Roman" w:hAnsi="Times New Roman" w:cs="Times New Roman"/>
          <w:sz w:val="24"/>
        </w:rPr>
        <w:lastRenderedPageBreak/>
        <w:t>payment from the borrowers</w:t>
      </w:r>
      <w:r w:rsidRPr="003571FD">
        <w:rPr>
          <w:rStyle w:val="FootnoteReference"/>
          <w:rFonts w:ascii="Times New Roman" w:hAnsi="Times New Roman" w:cs="Times New Roman"/>
          <w:sz w:val="24"/>
        </w:rPr>
        <w:footnoteReference w:id="125"/>
      </w:r>
      <w:r w:rsidRPr="003571FD">
        <w:rPr>
          <w:rFonts w:ascii="Times New Roman" w:hAnsi="Times New Roman" w:cs="Times New Roman"/>
          <w:sz w:val="24"/>
        </w:rPr>
        <w:t xml:space="preserve">. Finally, BDP is in an advanced stage of launching a partial credit guarantee scheme to lower the dependence on collateral for clients from the productive sector. </w:t>
      </w:r>
    </w:p>
    <w:p w:rsidR="00801E58" w:rsidRPr="003571FD" w:rsidRDefault="00801E58" w:rsidP="00801E58">
      <w:pPr>
        <w:pStyle w:val="ListParagraph"/>
        <w:ind w:left="360"/>
        <w:jc w:val="both"/>
        <w:rPr>
          <w:rFonts w:ascii="Times New Roman" w:hAnsi="Times New Roman" w:cs="Times New Roman"/>
          <w:sz w:val="24"/>
        </w:rPr>
      </w:pPr>
    </w:p>
    <w:p w:rsidR="00E01CDE" w:rsidRPr="003571FD" w:rsidRDefault="00A43D0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As in the case of </w:t>
      </w:r>
      <w:r w:rsidRPr="003571FD">
        <w:rPr>
          <w:rFonts w:ascii="Times New Roman" w:hAnsi="Times New Roman" w:cs="Times New Roman"/>
          <w:b/>
          <w:i/>
          <w:sz w:val="24"/>
        </w:rPr>
        <w:t>Banco Union</w:t>
      </w:r>
      <w:r w:rsidRPr="003571FD">
        <w:rPr>
          <w:rFonts w:ascii="Times New Roman" w:hAnsi="Times New Roman" w:cs="Times New Roman"/>
          <w:b/>
          <w:sz w:val="24"/>
        </w:rPr>
        <w:t>, the programs administered by the BDP can play a significant role for bridging market gaps, but can also lead to market distortions if not done well.</w:t>
      </w:r>
      <w:r w:rsidRPr="003571FD">
        <w:rPr>
          <w:rFonts w:ascii="Times New Roman" w:hAnsi="Times New Roman" w:cs="Times New Roman"/>
          <w:sz w:val="24"/>
        </w:rPr>
        <w:t xml:space="preserve"> If loan contracts under the trust fund schemes are not enforced, these programs may even have a negative effect on the repayment culture of the targeted sectors. </w:t>
      </w:r>
      <w:r w:rsidR="00C93B20" w:rsidRPr="003571FD">
        <w:rPr>
          <w:rFonts w:ascii="Times New Roman" w:hAnsi="Times New Roman" w:cs="Times New Roman"/>
          <w:sz w:val="24"/>
        </w:rPr>
        <w:t>Despite being supervised by ASFI, t</w:t>
      </w:r>
      <w:r w:rsidRPr="003571FD">
        <w:rPr>
          <w:rFonts w:ascii="Times New Roman" w:hAnsi="Times New Roman" w:cs="Times New Roman"/>
          <w:sz w:val="24"/>
        </w:rPr>
        <w:t xml:space="preserve">he publicly available information about the BDP is not sufficiently detailed to provide information about the quality of its different loan portfolios, nor does it allow </w:t>
      </w:r>
      <w:proofErr w:type="gramStart"/>
      <w:r w:rsidRPr="003571FD">
        <w:rPr>
          <w:rFonts w:ascii="Times New Roman" w:hAnsi="Times New Roman" w:cs="Times New Roman"/>
          <w:sz w:val="24"/>
        </w:rPr>
        <w:t>to determine if and to what extent the loans channeled through the BDP distort</w:t>
      </w:r>
      <w:proofErr w:type="gramEnd"/>
      <w:r w:rsidRPr="003571FD">
        <w:rPr>
          <w:rFonts w:ascii="Times New Roman" w:hAnsi="Times New Roman" w:cs="Times New Roman"/>
          <w:sz w:val="24"/>
        </w:rPr>
        <w:t xml:space="preserve"> the market. </w:t>
      </w:r>
      <w:r w:rsidR="00C93B20" w:rsidRPr="003571FD">
        <w:rPr>
          <w:rFonts w:ascii="Times New Roman" w:hAnsi="Times New Roman" w:cs="Times New Roman"/>
          <w:sz w:val="24"/>
        </w:rPr>
        <w:t xml:space="preserve">The data </w:t>
      </w:r>
      <w:r w:rsidRPr="003571FD">
        <w:rPr>
          <w:rFonts w:ascii="Times New Roman" w:hAnsi="Times New Roman" w:cs="Times New Roman"/>
          <w:sz w:val="24"/>
        </w:rPr>
        <w:t>also do not provide information if and how BDP address</w:t>
      </w:r>
      <w:r w:rsidR="00C93B20" w:rsidRPr="003571FD">
        <w:rPr>
          <w:rFonts w:ascii="Times New Roman" w:hAnsi="Times New Roman" w:cs="Times New Roman"/>
          <w:sz w:val="24"/>
        </w:rPr>
        <w:t>es</w:t>
      </w:r>
      <w:r w:rsidRPr="003571FD">
        <w:rPr>
          <w:rFonts w:ascii="Times New Roman" w:hAnsi="Times New Roman" w:cs="Times New Roman"/>
          <w:sz w:val="24"/>
        </w:rPr>
        <w:t xml:space="preserve"> the core bottleneck in the system: the need for risk-sharing tools to lower the collateral requirements and help manage the riskiness of the loan portfolio. The latter will likely only be addressed once the partial credit risk scheme currently under development will be launched, and support for the establishment of an index-based agricultural insurance will be provided.</w:t>
      </w:r>
      <w:r w:rsidR="00B07DFB" w:rsidRPr="003571FD">
        <w:rPr>
          <w:rFonts w:ascii="Times New Roman" w:hAnsi="Times New Roman" w:cs="Times New Roman"/>
          <w:sz w:val="24"/>
        </w:rPr>
        <w:t xml:space="preserve"> </w:t>
      </w:r>
    </w:p>
    <w:p w:rsidR="00E01CDE" w:rsidRPr="003571FD" w:rsidRDefault="00E01CDE" w:rsidP="00E01CDE">
      <w:pPr>
        <w:pStyle w:val="ListParagraph"/>
        <w:ind w:left="360"/>
        <w:jc w:val="both"/>
        <w:rPr>
          <w:rFonts w:ascii="Times New Roman" w:hAnsi="Times New Roman" w:cs="Times New Roman"/>
          <w:sz w:val="24"/>
        </w:rPr>
      </w:pPr>
    </w:p>
    <w:p w:rsidR="00A43D06" w:rsidRPr="003571FD" w:rsidRDefault="00A43D0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Overall, there is a need to enhance transparency in the achievement of the public mandate</w:t>
      </w:r>
      <w:r w:rsidRPr="003571FD">
        <w:rPr>
          <w:rFonts w:ascii="Times New Roman" w:hAnsi="Times New Roman" w:cs="Times New Roman"/>
          <w:sz w:val="24"/>
        </w:rPr>
        <w:t xml:space="preserve">, which will require the setting </w:t>
      </w:r>
      <w:r w:rsidR="008B3E84">
        <w:rPr>
          <w:rFonts w:ascii="Times New Roman" w:hAnsi="Times New Roman" w:cs="Times New Roman"/>
          <w:sz w:val="24"/>
        </w:rPr>
        <w:t xml:space="preserve">of clear and limited mandates, the </w:t>
      </w:r>
      <w:r w:rsidRPr="003571FD">
        <w:rPr>
          <w:rFonts w:ascii="Times New Roman" w:hAnsi="Times New Roman" w:cs="Times New Roman"/>
          <w:sz w:val="24"/>
        </w:rPr>
        <w:t>monitoring of measurable performance indicators</w:t>
      </w:r>
      <w:r w:rsidR="008B3E84">
        <w:rPr>
          <w:rFonts w:ascii="Times New Roman" w:hAnsi="Times New Roman" w:cs="Times New Roman"/>
          <w:sz w:val="24"/>
        </w:rPr>
        <w:t xml:space="preserve"> towards those mandates</w:t>
      </w:r>
      <w:r w:rsidRPr="003571FD">
        <w:rPr>
          <w:rStyle w:val="FootnoteReference"/>
          <w:rFonts w:ascii="Times New Roman" w:hAnsi="Times New Roman" w:cs="Times New Roman"/>
          <w:sz w:val="24"/>
        </w:rPr>
        <w:footnoteReference w:id="126"/>
      </w:r>
      <w:r w:rsidRPr="003571FD">
        <w:rPr>
          <w:rFonts w:ascii="Times New Roman" w:hAnsi="Times New Roman" w:cs="Times New Roman"/>
          <w:sz w:val="24"/>
        </w:rPr>
        <w:t xml:space="preserve">, the careful observation of non-performing loans, and regular </w:t>
      </w:r>
      <w:r w:rsidR="008B3E84" w:rsidRPr="003571FD">
        <w:rPr>
          <w:rFonts w:ascii="Times New Roman" w:hAnsi="Times New Roman" w:cs="Times New Roman"/>
          <w:sz w:val="24"/>
        </w:rPr>
        <w:t>readjust</w:t>
      </w:r>
      <w:r w:rsidR="008B3E84">
        <w:rPr>
          <w:rFonts w:ascii="Times New Roman" w:hAnsi="Times New Roman" w:cs="Times New Roman"/>
          <w:sz w:val="24"/>
        </w:rPr>
        <w:t>ment</w:t>
      </w:r>
      <w:r w:rsidR="008B3E84" w:rsidRPr="003571FD">
        <w:rPr>
          <w:rFonts w:ascii="Times New Roman" w:hAnsi="Times New Roman" w:cs="Times New Roman"/>
          <w:sz w:val="24"/>
        </w:rPr>
        <w:t xml:space="preserve"> </w:t>
      </w:r>
      <w:r w:rsidRPr="003571FD">
        <w:rPr>
          <w:rFonts w:ascii="Times New Roman" w:hAnsi="Times New Roman" w:cs="Times New Roman"/>
          <w:sz w:val="24"/>
        </w:rPr>
        <w:t xml:space="preserve">of performance targets. </w:t>
      </w:r>
    </w:p>
    <w:p w:rsidR="00E01CDE" w:rsidRPr="003571FD" w:rsidRDefault="00E01CDE" w:rsidP="00E01CDE">
      <w:pPr>
        <w:pStyle w:val="ListParagraph"/>
        <w:ind w:left="360"/>
        <w:jc w:val="both"/>
        <w:rPr>
          <w:rFonts w:ascii="Times New Roman" w:hAnsi="Times New Roman" w:cs="Times New Roman"/>
          <w:sz w:val="24"/>
        </w:rPr>
      </w:pPr>
    </w:p>
    <w:p w:rsidR="00A43D06" w:rsidRPr="003571FD" w:rsidRDefault="00A43D06"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sz w:val="24"/>
        </w:rPr>
        <w:t>Summing up, there are a variety of government reform efforts underway, but the government might want to carefully evaluate their effectiveness and the effect of possible distortions on the other providers, in order to enhance the effectiveness of deployed public resources.</w:t>
      </w:r>
    </w:p>
    <w:p w:rsidR="00155A5F" w:rsidRPr="003571FD" w:rsidRDefault="00155A5F" w:rsidP="003823C2">
      <w:pPr>
        <w:pStyle w:val="Heading2"/>
      </w:pPr>
      <w:bookmarkStart w:id="82" w:name="_Toc312319511"/>
      <w:r w:rsidRPr="003571FD">
        <w:t>Moving ahead - options to increase the supply of loans to MSMEs</w:t>
      </w:r>
      <w:bookmarkEnd w:id="82"/>
      <w:r w:rsidRPr="003571FD">
        <w:t xml:space="preserve"> </w:t>
      </w:r>
    </w:p>
    <w:p w:rsidR="00155A5F" w:rsidRPr="003571FD" w:rsidRDefault="00155A5F" w:rsidP="00155A5F">
      <w:pPr>
        <w:jc w:val="both"/>
        <w:rPr>
          <w:rFonts w:ascii="Times New Roman" w:hAnsi="Times New Roman" w:cs="Times New Roman"/>
        </w:rPr>
      </w:pPr>
    </w:p>
    <w:p w:rsidR="00155A5F" w:rsidRPr="003571FD" w:rsidRDefault="00155A5F"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As seen, the growth of loan portfolios to MSMEs, in particular in the productive sector, </w:t>
      </w:r>
      <w:r w:rsidR="00B85913">
        <w:rPr>
          <w:rFonts w:ascii="Times New Roman" w:hAnsi="Times New Roman" w:cs="Times New Roman"/>
          <w:b/>
          <w:sz w:val="24"/>
        </w:rPr>
        <w:t>faces</w:t>
      </w:r>
      <w:r w:rsidR="00B85913" w:rsidRPr="003571FD">
        <w:rPr>
          <w:rFonts w:ascii="Times New Roman" w:hAnsi="Times New Roman" w:cs="Times New Roman"/>
          <w:b/>
          <w:sz w:val="24"/>
        </w:rPr>
        <w:t xml:space="preserve"> </w:t>
      </w:r>
      <w:r w:rsidRPr="003571FD">
        <w:rPr>
          <w:rFonts w:ascii="Times New Roman" w:hAnsi="Times New Roman" w:cs="Times New Roman"/>
          <w:b/>
          <w:sz w:val="24"/>
        </w:rPr>
        <w:t>significant demand side restrictions.</w:t>
      </w:r>
      <w:r w:rsidRPr="003571FD">
        <w:rPr>
          <w:rFonts w:ascii="Times New Roman" w:hAnsi="Times New Roman" w:cs="Times New Roman"/>
          <w:sz w:val="24"/>
        </w:rPr>
        <w:t xml:space="preserve"> Growth prospects are particularly reduced by the overall very small size of businesses, the lack of appropriate bus</w:t>
      </w:r>
      <w:r w:rsidR="00B91947" w:rsidRPr="003571FD">
        <w:rPr>
          <w:rFonts w:ascii="Times New Roman" w:hAnsi="Times New Roman" w:cs="Times New Roman"/>
          <w:sz w:val="24"/>
        </w:rPr>
        <w:t>iness management tools and know-</w:t>
      </w:r>
      <w:r w:rsidRPr="003571FD">
        <w:rPr>
          <w:rFonts w:ascii="Times New Roman" w:hAnsi="Times New Roman" w:cs="Times New Roman"/>
          <w:sz w:val="24"/>
        </w:rPr>
        <w:t>how, and the lack of stability and formality in their business relations</w:t>
      </w:r>
      <w:r w:rsidR="000B56C6" w:rsidRPr="003571FD">
        <w:rPr>
          <w:rFonts w:ascii="Times New Roman" w:hAnsi="Times New Roman" w:cs="Times New Roman"/>
          <w:sz w:val="24"/>
        </w:rPr>
        <w:t xml:space="preserve"> and deficiency in the business enabling environment</w:t>
      </w:r>
      <w:r w:rsidRPr="003571FD">
        <w:rPr>
          <w:rFonts w:ascii="Times New Roman" w:hAnsi="Times New Roman" w:cs="Times New Roman"/>
          <w:sz w:val="24"/>
        </w:rPr>
        <w:t xml:space="preserve">. Financing cannot solve such issues and it is therefore recommended that specific measures be taken to a) strengthen businesses, especially SMEs through training and well designed transfer of technology; b) promote the integration and strengthening of promising value chains and the establishment of more formal relations between their different stakeholders; c) promote the horizontal integration of small businesses so that they </w:t>
      </w:r>
      <w:r w:rsidRPr="003571FD">
        <w:rPr>
          <w:rFonts w:ascii="Times New Roman" w:hAnsi="Times New Roman" w:cs="Times New Roman"/>
          <w:sz w:val="24"/>
        </w:rPr>
        <w:lastRenderedPageBreak/>
        <w:t>can provide larger quantities of goods and services; d) enhance the availability and reliability of financial statements and to train MSMEs in making use of the information they can provide</w:t>
      </w:r>
      <w:r w:rsidR="00BE2041" w:rsidRPr="003571FD">
        <w:rPr>
          <w:rFonts w:ascii="Times New Roman" w:hAnsi="Times New Roman" w:cs="Times New Roman"/>
          <w:sz w:val="24"/>
        </w:rPr>
        <w:t>, and e) address shortcomings in the business environment and investment climate</w:t>
      </w:r>
      <w:r w:rsidRPr="003571FD">
        <w:rPr>
          <w:rFonts w:ascii="Times New Roman" w:hAnsi="Times New Roman" w:cs="Times New Roman"/>
          <w:sz w:val="24"/>
        </w:rPr>
        <w:t xml:space="preserve">. </w:t>
      </w:r>
      <w:r w:rsidR="00B85913">
        <w:rPr>
          <w:rFonts w:ascii="Times New Roman" w:hAnsi="Times New Roman" w:cs="Times New Roman"/>
          <w:sz w:val="24"/>
        </w:rPr>
        <w:t>These are tasks that both the government and the private sector stakeholders need to address in a concerted and well coordinated manner</w:t>
      </w:r>
      <w:r w:rsidR="008B3E84">
        <w:rPr>
          <w:rFonts w:ascii="Times New Roman" w:hAnsi="Times New Roman" w:cs="Times New Roman"/>
          <w:sz w:val="24"/>
        </w:rPr>
        <w:t xml:space="preserve"> to enhance efficiency and effectiveness</w:t>
      </w:r>
      <w:r w:rsidR="00B85913">
        <w:rPr>
          <w:rFonts w:ascii="Times New Roman" w:hAnsi="Times New Roman" w:cs="Times New Roman"/>
          <w:sz w:val="24"/>
        </w:rPr>
        <w:t xml:space="preserve">. </w:t>
      </w:r>
      <w:r w:rsidRPr="003571FD">
        <w:rPr>
          <w:rFonts w:ascii="Times New Roman" w:hAnsi="Times New Roman" w:cs="Times New Roman"/>
          <w:sz w:val="24"/>
        </w:rPr>
        <w:t xml:space="preserve">Pushing credit without at least simultaneously addressing those constraints will likely only lead to higher levels of individual debt, thus reducing the client’s further access to credit or negatively affecting the repayment culture in the country. </w:t>
      </w:r>
    </w:p>
    <w:p w:rsidR="00E01CDE" w:rsidRPr="003571FD" w:rsidRDefault="00E01CDE" w:rsidP="00E01CDE">
      <w:pPr>
        <w:pStyle w:val="ListParagraph"/>
        <w:ind w:left="360"/>
        <w:jc w:val="both"/>
        <w:rPr>
          <w:rFonts w:ascii="Times New Roman" w:hAnsi="Times New Roman" w:cs="Times New Roman"/>
          <w:sz w:val="24"/>
        </w:rPr>
      </w:pPr>
    </w:p>
    <w:p w:rsidR="00E01CDE" w:rsidRPr="003571FD" w:rsidRDefault="00155A5F"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In addition to this, it is advisable to implement measures that reduce existing uncertainties in the market</w:t>
      </w:r>
      <w:r w:rsidRPr="003571FD">
        <w:rPr>
          <w:rFonts w:ascii="Times New Roman" w:hAnsi="Times New Roman" w:cs="Times New Roman"/>
          <w:sz w:val="24"/>
        </w:rPr>
        <w:t>, by providing (and maintaining) a clear definition of the specific role of the state in each of the sectors of the economy, as well as of the pricing policies that will be followed by public enterprises in time.</w:t>
      </w:r>
    </w:p>
    <w:p w:rsidR="007C2030" w:rsidRPr="003571FD" w:rsidRDefault="007C2030" w:rsidP="007C2030">
      <w:pPr>
        <w:pStyle w:val="ListParagraph"/>
        <w:rPr>
          <w:rFonts w:ascii="Times New Roman" w:hAnsi="Times New Roman" w:cs="Times New Roman"/>
          <w:sz w:val="24"/>
        </w:rPr>
      </w:pPr>
    </w:p>
    <w:p w:rsidR="00155A5F" w:rsidRPr="003571FD" w:rsidRDefault="00155A5F" w:rsidP="007C203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With regard to the financial sector, a number of efforts could be considered that would allow taking better advantage of the existing institutions serving MSMEs:</w:t>
      </w:r>
    </w:p>
    <w:p w:rsidR="00155A5F" w:rsidRPr="003571FD" w:rsidRDefault="00155A5F" w:rsidP="00155A5F">
      <w:pPr>
        <w:jc w:val="both"/>
        <w:rPr>
          <w:rFonts w:ascii="Times New Roman" w:hAnsi="Times New Roman" w:cs="Times New Roman"/>
          <w:i/>
          <w:sz w:val="24"/>
        </w:rPr>
      </w:pPr>
      <w:r w:rsidRPr="003571FD">
        <w:rPr>
          <w:rFonts w:ascii="Times New Roman" w:hAnsi="Times New Roman" w:cs="Times New Roman"/>
          <w:i/>
          <w:sz w:val="24"/>
        </w:rPr>
        <w:t>Demand side information on access and use of financial services</w:t>
      </w:r>
    </w:p>
    <w:p w:rsidR="00155A5F" w:rsidRPr="003571FD" w:rsidRDefault="00155A5F"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Concrete policies to promote the supply and use of financial services by productive MSMEs should be based on reliable data on the sector and the sources used for financing.</w:t>
      </w:r>
      <w:r w:rsidRPr="003571FD">
        <w:rPr>
          <w:rFonts w:ascii="Times New Roman" w:hAnsi="Times New Roman" w:cs="Times New Roman"/>
          <w:sz w:val="24"/>
        </w:rPr>
        <w:t xml:space="preserve"> For this, it is recommended to include in the survey work planned by the government a dedicated module that looks at the access and use of financial services by MSMEs. In order to increase the usefulness of the information gathered for different public and private stakeholders, it would be advisable to unify the definition of the different types of enterprises by size</w:t>
      </w:r>
      <w:r w:rsidRPr="003571FD">
        <w:rPr>
          <w:rStyle w:val="FootnoteReference"/>
          <w:rFonts w:ascii="Times New Roman" w:hAnsi="Times New Roman" w:cs="Times New Roman"/>
          <w:sz w:val="24"/>
        </w:rPr>
        <w:footnoteReference w:id="127"/>
      </w:r>
      <w:r w:rsidRPr="003571FD">
        <w:rPr>
          <w:rFonts w:ascii="Times New Roman" w:hAnsi="Times New Roman" w:cs="Times New Roman"/>
          <w:sz w:val="24"/>
        </w:rPr>
        <w:t xml:space="preserve"> among all public and major private institutions. </w:t>
      </w:r>
    </w:p>
    <w:p w:rsidR="00155A5F" w:rsidRPr="003571FD" w:rsidRDefault="00155A5F" w:rsidP="00155A5F">
      <w:pPr>
        <w:jc w:val="both"/>
        <w:rPr>
          <w:rFonts w:ascii="Times New Roman" w:hAnsi="Times New Roman" w:cs="Times New Roman"/>
          <w:i/>
          <w:sz w:val="24"/>
        </w:rPr>
      </w:pPr>
      <w:r w:rsidRPr="003571FD">
        <w:rPr>
          <w:rFonts w:ascii="Times New Roman" w:hAnsi="Times New Roman" w:cs="Times New Roman"/>
          <w:i/>
          <w:sz w:val="24"/>
        </w:rPr>
        <w:t>Collateral and creditor rights</w:t>
      </w:r>
    </w:p>
    <w:p w:rsidR="00155A5F" w:rsidRPr="003571FD" w:rsidRDefault="00155A5F"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The difficulties faced by MSMEs to provide collateral for loans could be addressed through a variety of actions:</w:t>
      </w:r>
    </w:p>
    <w:p w:rsidR="00E01CDE" w:rsidRPr="003571FD" w:rsidRDefault="00E01CDE" w:rsidP="00E01CDE">
      <w:pPr>
        <w:pStyle w:val="ListParagraph"/>
        <w:ind w:left="360"/>
        <w:jc w:val="both"/>
        <w:rPr>
          <w:rFonts w:ascii="Times New Roman" w:hAnsi="Times New Roman" w:cs="Times New Roman"/>
          <w:sz w:val="24"/>
        </w:rPr>
      </w:pPr>
    </w:p>
    <w:p w:rsidR="00155A5F"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Assess in coordination with the different stakeholders options to facilitate the use of land (or its usufruct) in rural areas as collateral in the context of the current legislation. A very precise definition of the economic and social objectives that land has to fulfill might additionally contribute to reduce uncertainty and fa</w:t>
      </w:r>
      <w:r w:rsidR="00D268B0" w:rsidRPr="003571FD">
        <w:rPr>
          <w:rFonts w:ascii="Times New Roman" w:hAnsi="Times New Roman" w:cs="Times New Roman"/>
          <w:sz w:val="24"/>
          <w:szCs w:val="24"/>
        </w:rPr>
        <w:t>cilitate lending in rural areas,</w:t>
      </w:r>
    </w:p>
    <w:p w:rsidR="00D268B0" w:rsidRPr="003571FD" w:rsidRDefault="00D268B0" w:rsidP="00D268B0">
      <w:pPr>
        <w:pStyle w:val="ListParagraph"/>
        <w:jc w:val="both"/>
        <w:rPr>
          <w:rFonts w:ascii="Times New Roman" w:hAnsi="Times New Roman" w:cs="Times New Roman"/>
          <w:sz w:val="24"/>
          <w:szCs w:val="24"/>
        </w:rPr>
      </w:pPr>
    </w:p>
    <w:p w:rsidR="00D268B0"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Legal, regulatory and institutional reforms </w:t>
      </w:r>
      <w:r w:rsidR="00BE2041" w:rsidRPr="003571FD">
        <w:rPr>
          <w:rFonts w:ascii="Times New Roman" w:hAnsi="Times New Roman" w:cs="Times New Roman"/>
          <w:sz w:val="24"/>
          <w:szCs w:val="24"/>
        </w:rPr>
        <w:t xml:space="preserve">should be undertaken </w:t>
      </w:r>
      <w:r w:rsidRPr="003571FD">
        <w:rPr>
          <w:rFonts w:ascii="Times New Roman" w:hAnsi="Times New Roman" w:cs="Times New Roman"/>
          <w:sz w:val="24"/>
          <w:szCs w:val="24"/>
        </w:rPr>
        <w:t>to allow a broader use of movable</w:t>
      </w:r>
      <w:r w:rsidR="00D268B0" w:rsidRPr="003571FD">
        <w:rPr>
          <w:rFonts w:ascii="Times New Roman" w:hAnsi="Times New Roman" w:cs="Times New Roman"/>
          <w:sz w:val="24"/>
          <w:szCs w:val="24"/>
        </w:rPr>
        <w:t xml:space="preserve"> guarantees in credit contracts</w:t>
      </w:r>
      <w:r w:rsidR="007D2B48" w:rsidRPr="003571FD">
        <w:rPr>
          <w:rFonts w:ascii="Times New Roman" w:hAnsi="Times New Roman" w:cs="Times New Roman"/>
          <w:sz w:val="24"/>
          <w:szCs w:val="24"/>
        </w:rPr>
        <w:t xml:space="preserve"> and their enforcement</w:t>
      </w:r>
      <w:r w:rsidR="00BE2041" w:rsidRPr="003571FD">
        <w:rPr>
          <w:rFonts w:ascii="Times New Roman" w:hAnsi="Times New Roman" w:cs="Times New Roman"/>
          <w:sz w:val="24"/>
          <w:szCs w:val="24"/>
        </w:rPr>
        <w:t xml:space="preserve">. To facilitate the passing of </w:t>
      </w:r>
      <w:r w:rsidR="00BE2041" w:rsidRPr="003571FD">
        <w:rPr>
          <w:rFonts w:ascii="Times New Roman" w:hAnsi="Times New Roman" w:cs="Times New Roman"/>
          <w:sz w:val="24"/>
          <w:szCs w:val="24"/>
        </w:rPr>
        <w:lastRenderedPageBreak/>
        <w:t>new legislation, considerations should be given to passing a framework law that overrides the other legislation</w:t>
      </w:r>
      <w:r w:rsidR="008B3E84">
        <w:rPr>
          <w:rFonts w:ascii="Times New Roman" w:hAnsi="Times New Roman" w:cs="Times New Roman"/>
          <w:sz w:val="24"/>
          <w:szCs w:val="24"/>
        </w:rPr>
        <w:t>s</w:t>
      </w:r>
      <w:r w:rsidR="00BE2041" w:rsidRPr="003571FD">
        <w:rPr>
          <w:rFonts w:ascii="Times New Roman" w:hAnsi="Times New Roman" w:cs="Times New Roman"/>
          <w:sz w:val="24"/>
          <w:szCs w:val="24"/>
        </w:rPr>
        <w:t xml:space="preserve"> with regard to</w:t>
      </w:r>
      <w:r w:rsidR="007D2B48" w:rsidRPr="003571FD">
        <w:rPr>
          <w:rFonts w:ascii="Times New Roman" w:hAnsi="Times New Roman" w:cs="Times New Roman"/>
          <w:sz w:val="24"/>
          <w:szCs w:val="24"/>
        </w:rPr>
        <w:t xml:space="preserve"> collateral and creditor rights,</w:t>
      </w:r>
    </w:p>
    <w:p w:rsidR="00D268B0" w:rsidRPr="003571FD" w:rsidRDefault="00D268B0" w:rsidP="00D268B0">
      <w:pPr>
        <w:pStyle w:val="ListParagraph"/>
        <w:jc w:val="both"/>
        <w:rPr>
          <w:rFonts w:ascii="Times New Roman" w:hAnsi="Times New Roman" w:cs="Times New Roman"/>
          <w:sz w:val="24"/>
          <w:szCs w:val="24"/>
        </w:rPr>
      </w:pPr>
    </w:p>
    <w:p w:rsidR="00155A5F" w:rsidRPr="003571FD" w:rsidRDefault="00155A5F" w:rsidP="00155A5F">
      <w:pPr>
        <w:jc w:val="both"/>
        <w:rPr>
          <w:rFonts w:ascii="Times New Roman" w:hAnsi="Times New Roman" w:cs="Times New Roman"/>
          <w:i/>
          <w:sz w:val="24"/>
        </w:rPr>
      </w:pPr>
      <w:r w:rsidRPr="003571FD">
        <w:rPr>
          <w:rFonts w:ascii="Times New Roman" w:hAnsi="Times New Roman" w:cs="Times New Roman"/>
          <w:i/>
          <w:sz w:val="24"/>
        </w:rPr>
        <w:t>Reliability of financial information</w:t>
      </w:r>
    </w:p>
    <w:p w:rsidR="00155A5F" w:rsidRPr="003571FD" w:rsidRDefault="00155A5F" w:rsidP="00CA07A0">
      <w:pPr>
        <w:pStyle w:val="ListParagraph"/>
        <w:numPr>
          <w:ilvl w:val="0"/>
          <w:numId w:val="8"/>
        </w:numPr>
        <w:spacing w:after="240"/>
        <w:jc w:val="both"/>
        <w:rPr>
          <w:rFonts w:ascii="Times New Roman" w:hAnsi="Times New Roman" w:cs="Times New Roman"/>
          <w:b/>
          <w:sz w:val="24"/>
        </w:rPr>
      </w:pPr>
      <w:r w:rsidRPr="003571FD">
        <w:rPr>
          <w:rFonts w:ascii="Times New Roman" w:hAnsi="Times New Roman" w:cs="Times New Roman"/>
          <w:b/>
          <w:sz w:val="24"/>
        </w:rPr>
        <w:t>In order to reduce existing information asymmetries and facilitate a stronger formality in doing business, the government could:</w:t>
      </w:r>
    </w:p>
    <w:p w:rsidR="00E01CDE" w:rsidRPr="003571FD" w:rsidRDefault="00E01CDE" w:rsidP="00E01CDE">
      <w:pPr>
        <w:pStyle w:val="ListParagraph"/>
        <w:ind w:left="360"/>
        <w:jc w:val="both"/>
        <w:rPr>
          <w:rFonts w:ascii="Times New Roman" w:hAnsi="Times New Roman" w:cs="Times New Roman"/>
          <w:sz w:val="24"/>
        </w:rPr>
      </w:pPr>
    </w:p>
    <w:p w:rsidR="00155A5F"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Improve the credit bureau infrastructure </w:t>
      </w:r>
      <w:r w:rsidR="00620426" w:rsidRPr="003571FD">
        <w:rPr>
          <w:rFonts w:ascii="Times New Roman" w:hAnsi="Times New Roman" w:cs="Times New Roman"/>
          <w:sz w:val="24"/>
          <w:szCs w:val="24"/>
        </w:rPr>
        <w:t>through (</w:t>
      </w:r>
      <w:proofErr w:type="spellStart"/>
      <w:r w:rsidR="00620426" w:rsidRPr="003571FD">
        <w:rPr>
          <w:rFonts w:ascii="Times New Roman" w:hAnsi="Times New Roman" w:cs="Times New Roman"/>
          <w:sz w:val="24"/>
          <w:szCs w:val="24"/>
        </w:rPr>
        <w:t>i</w:t>
      </w:r>
      <w:proofErr w:type="spellEnd"/>
      <w:r w:rsidR="00620426" w:rsidRPr="003571FD">
        <w:rPr>
          <w:rFonts w:ascii="Times New Roman" w:hAnsi="Times New Roman" w:cs="Times New Roman"/>
          <w:sz w:val="24"/>
          <w:szCs w:val="24"/>
        </w:rPr>
        <w:t xml:space="preserve">) provision of information on all borrowers listed in SIRC to the private credit bureaus, (ii) reforms to </w:t>
      </w:r>
      <w:r w:rsidRPr="003571FD">
        <w:rPr>
          <w:rFonts w:ascii="Times New Roman" w:hAnsi="Times New Roman" w:cs="Times New Roman"/>
          <w:sz w:val="24"/>
          <w:szCs w:val="24"/>
        </w:rPr>
        <w:t xml:space="preserve">allow inclusion of positive information from utilities, telephone companies etc., and </w:t>
      </w:r>
      <w:r w:rsidR="00620426" w:rsidRPr="003571FD">
        <w:rPr>
          <w:rFonts w:ascii="Times New Roman" w:hAnsi="Times New Roman" w:cs="Times New Roman"/>
          <w:sz w:val="24"/>
          <w:szCs w:val="24"/>
        </w:rPr>
        <w:t xml:space="preserve">(iii) reforms </w:t>
      </w:r>
      <w:r w:rsidRPr="003571FD">
        <w:rPr>
          <w:rFonts w:ascii="Times New Roman" w:hAnsi="Times New Roman" w:cs="Times New Roman"/>
          <w:sz w:val="24"/>
          <w:szCs w:val="24"/>
        </w:rPr>
        <w:t xml:space="preserve">to clearly regulate and define the client’s </w:t>
      </w:r>
      <w:r w:rsidR="00D268B0" w:rsidRPr="003571FD">
        <w:rPr>
          <w:rFonts w:ascii="Times New Roman" w:hAnsi="Times New Roman" w:cs="Times New Roman"/>
          <w:sz w:val="24"/>
          <w:szCs w:val="24"/>
        </w:rPr>
        <w:t>right to the stored information,</w:t>
      </w:r>
    </w:p>
    <w:p w:rsidR="00D268B0" w:rsidRPr="003571FD" w:rsidRDefault="00D268B0" w:rsidP="00D268B0">
      <w:pPr>
        <w:pStyle w:val="ListParagraph"/>
        <w:jc w:val="both"/>
        <w:rPr>
          <w:rFonts w:ascii="Times New Roman" w:hAnsi="Times New Roman" w:cs="Times New Roman"/>
          <w:sz w:val="24"/>
          <w:szCs w:val="24"/>
        </w:rPr>
      </w:pPr>
    </w:p>
    <w:p w:rsidR="00155A5F"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Support efforts to foster auditing and accounting in the country. This could be based on reform recommendations </w:t>
      </w:r>
      <w:r w:rsidR="00CC35DB">
        <w:rPr>
          <w:rFonts w:ascii="Times New Roman" w:hAnsi="Times New Roman" w:cs="Times New Roman"/>
          <w:sz w:val="24"/>
          <w:szCs w:val="24"/>
        </w:rPr>
        <w:t>from an</w:t>
      </w:r>
      <w:r w:rsidRPr="003571FD">
        <w:rPr>
          <w:rFonts w:ascii="Times New Roman" w:hAnsi="Times New Roman" w:cs="Times New Roman"/>
          <w:sz w:val="24"/>
          <w:szCs w:val="24"/>
        </w:rPr>
        <w:t xml:space="preserve"> Auditing and Accounting ROSC, which </w:t>
      </w:r>
      <w:r w:rsidR="009B339F">
        <w:rPr>
          <w:rFonts w:ascii="Times New Roman" w:hAnsi="Times New Roman" w:cs="Times New Roman"/>
          <w:sz w:val="24"/>
          <w:szCs w:val="24"/>
        </w:rPr>
        <w:t>may</w:t>
      </w:r>
      <w:r w:rsidRPr="003571FD">
        <w:rPr>
          <w:rFonts w:ascii="Times New Roman" w:hAnsi="Times New Roman" w:cs="Times New Roman"/>
          <w:sz w:val="24"/>
          <w:szCs w:val="24"/>
        </w:rPr>
        <w:t xml:space="preserve"> be conducted with World Bank support</w:t>
      </w:r>
      <w:r w:rsidR="00CC35DB">
        <w:rPr>
          <w:rStyle w:val="FootnoteReference"/>
          <w:rFonts w:ascii="Times New Roman" w:hAnsi="Times New Roman" w:cs="Times New Roman"/>
          <w:sz w:val="24"/>
          <w:szCs w:val="24"/>
        </w:rPr>
        <w:footnoteReference w:id="128"/>
      </w:r>
      <w:r w:rsidRPr="003571FD">
        <w:rPr>
          <w:rFonts w:ascii="Times New Roman" w:hAnsi="Times New Roman" w:cs="Times New Roman"/>
          <w:sz w:val="24"/>
          <w:szCs w:val="24"/>
        </w:rPr>
        <w:t xml:space="preserve">. </w:t>
      </w:r>
    </w:p>
    <w:p w:rsidR="00155A5F" w:rsidRPr="003571FD" w:rsidRDefault="00155A5F" w:rsidP="00155A5F">
      <w:pPr>
        <w:jc w:val="both"/>
        <w:rPr>
          <w:rFonts w:ascii="Times New Roman" w:hAnsi="Times New Roman" w:cs="Times New Roman"/>
          <w:i/>
          <w:sz w:val="24"/>
        </w:rPr>
      </w:pPr>
      <w:r w:rsidRPr="003571FD">
        <w:rPr>
          <w:rFonts w:ascii="Times New Roman" w:hAnsi="Times New Roman" w:cs="Times New Roman"/>
          <w:i/>
          <w:sz w:val="24"/>
        </w:rPr>
        <w:t xml:space="preserve">Innovation in the financial system </w:t>
      </w:r>
    </w:p>
    <w:p w:rsidR="00155A5F" w:rsidRPr="003571FD" w:rsidRDefault="00B85913" w:rsidP="00CA07A0">
      <w:pPr>
        <w:pStyle w:val="ListParagraph"/>
        <w:numPr>
          <w:ilvl w:val="0"/>
          <w:numId w:val="8"/>
        </w:numPr>
        <w:spacing w:after="240"/>
        <w:jc w:val="both"/>
        <w:rPr>
          <w:rFonts w:ascii="Times New Roman" w:hAnsi="Times New Roman" w:cs="Times New Roman"/>
          <w:sz w:val="24"/>
        </w:rPr>
      </w:pPr>
      <w:r>
        <w:rPr>
          <w:rFonts w:ascii="Times New Roman" w:hAnsi="Times New Roman" w:cs="Times New Roman"/>
          <w:b/>
          <w:sz w:val="24"/>
        </w:rPr>
        <w:t>T</w:t>
      </w:r>
      <w:r w:rsidR="00155A5F" w:rsidRPr="003571FD">
        <w:rPr>
          <w:rFonts w:ascii="Times New Roman" w:hAnsi="Times New Roman" w:cs="Times New Roman"/>
          <w:b/>
          <w:sz w:val="24"/>
        </w:rPr>
        <w:t xml:space="preserve">o facilitate the development and roll-out of innovative credit products that eliminate some of the collateral requirements or reduce risks in lending, the government should </w:t>
      </w:r>
      <w:r>
        <w:rPr>
          <w:rFonts w:ascii="Times New Roman" w:hAnsi="Times New Roman" w:cs="Times New Roman"/>
          <w:b/>
          <w:sz w:val="24"/>
        </w:rPr>
        <w:t xml:space="preserve">embark on </w:t>
      </w:r>
      <w:r w:rsidR="00155A5F" w:rsidRPr="003571FD">
        <w:rPr>
          <w:rFonts w:ascii="Times New Roman" w:hAnsi="Times New Roman" w:cs="Times New Roman"/>
          <w:b/>
          <w:sz w:val="24"/>
        </w:rPr>
        <w:t>reform</w:t>
      </w:r>
      <w:r>
        <w:rPr>
          <w:rFonts w:ascii="Times New Roman" w:hAnsi="Times New Roman" w:cs="Times New Roman"/>
          <w:b/>
          <w:sz w:val="24"/>
        </w:rPr>
        <w:t>ing</w:t>
      </w:r>
      <w:r w:rsidR="00155A5F" w:rsidRPr="003571FD">
        <w:rPr>
          <w:rFonts w:ascii="Times New Roman" w:hAnsi="Times New Roman" w:cs="Times New Roman"/>
          <w:b/>
          <w:sz w:val="24"/>
        </w:rPr>
        <w:t xml:space="preserve"> the legal and regulatory framework for leasing, </w:t>
      </w:r>
      <w:r w:rsidR="00FB5227" w:rsidRPr="003571FD">
        <w:rPr>
          <w:rFonts w:ascii="Times New Roman" w:hAnsi="Times New Roman" w:cs="Times New Roman"/>
          <w:b/>
          <w:sz w:val="24"/>
        </w:rPr>
        <w:t xml:space="preserve">and </w:t>
      </w:r>
      <w:r w:rsidR="00155A5F" w:rsidRPr="003571FD">
        <w:rPr>
          <w:rFonts w:ascii="Times New Roman" w:hAnsi="Times New Roman" w:cs="Times New Roman"/>
          <w:b/>
          <w:sz w:val="24"/>
        </w:rPr>
        <w:t xml:space="preserve">factoring, </w:t>
      </w:r>
      <w:r w:rsidR="00FB5227" w:rsidRPr="003571FD">
        <w:rPr>
          <w:rFonts w:ascii="Times New Roman" w:hAnsi="Times New Roman" w:cs="Times New Roman"/>
          <w:b/>
          <w:sz w:val="24"/>
        </w:rPr>
        <w:t>and provide direct support for the development and availability of risk mitigating products such as partial credit guarantees and index-based or micro-insurance products</w:t>
      </w:r>
      <w:r w:rsidR="00155A5F" w:rsidRPr="003571FD">
        <w:rPr>
          <w:rFonts w:ascii="Times New Roman" w:hAnsi="Times New Roman" w:cs="Times New Roman"/>
          <w:b/>
          <w:sz w:val="24"/>
        </w:rPr>
        <w:t>.</w:t>
      </w:r>
      <w:r w:rsidR="00155A5F" w:rsidRPr="003571FD">
        <w:rPr>
          <w:rFonts w:ascii="Times New Roman" w:hAnsi="Times New Roman" w:cs="Times New Roman"/>
          <w:sz w:val="24"/>
        </w:rPr>
        <w:t xml:space="preserve"> </w:t>
      </w:r>
      <w:r w:rsidR="00FB5227" w:rsidRPr="003571FD">
        <w:rPr>
          <w:rFonts w:ascii="Times New Roman" w:hAnsi="Times New Roman" w:cs="Times New Roman"/>
          <w:sz w:val="24"/>
        </w:rPr>
        <w:t xml:space="preserve">Legal reforms </w:t>
      </w:r>
      <w:r w:rsidR="00155A5F" w:rsidRPr="003571FD">
        <w:rPr>
          <w:rFonts w:ascii="Times New Roman" w:hAnsi="Times New Roman" w:cs="Times New Roman"/>
          <w:sz w:val="24"/>
        </w:rPr>
        <w:t xml:space="preserve">would best be achieved through switching from a “negative” regulatory framework (explicit exclusion of activities) into creating an enabling framework (permitting new products </w:t>
      </w:r>
      <w:r w:rsidR="00FB5227" w:rsidRPr="003571FD">
        <w:rPr>
          <w:rFonts w:ascii="Times New Roman" w:hAnsi="Times New Roman" w:cs="Times New Roman"/>
          <w:sz w:val="24"/>
        </w:rPr>
        <w:t>pending</w:t>
      </w:r>
      <w:r w:rsidR="00155A5F" w:rsidRPr="003571FD">
        <w:rPr>
          <w:rFonts w:ascii="Times New Roman" w:hAnsi="Times New Roman" w:cs="Times New Roman"/>
          <w:sz w:val="24"/>
        </w:rPr>
        <w:t xml:space="preserve"> special </w:t>
      </w:r>
      <w:r w:rsidR="00AC5A5D" w:rsidRPr="003571FD">
        <w:rPr>
          <w:rFonts w:ascii="Times New Roman" w:hAnsi="Times New Roman" w:cs="Times New Roman"/>
          <w:sz w:val="24"/>
        </w:rPr>
        <w:t>approval by</w:t>
      </w:r>
      <w:r w:rsidR="00155A5F" w:rsidRPr="003571FD">
        <w:rPr>
          <w:rFonts w:ascii="Times New Roman" w:hAnsi="Times New Roman" w:cs="Times New Roman"/>
          <w:sz w:val="24"/>
        </w:rPr>
        <w:t xml:space="preserve"> ASFI). The latter approach would be flexible to accommodated innovation while still leaving room for ASFI to supervise and intervene where necessary. </w:t>
      </w:r>
    </w:p>
    <w:p w:rsidR="00E01CDE" w:rsidRPr="003571FD" w:rsidRDefault="00E01CDE" w:rsidP="00E01CDE">
      <w:pPr>
        <w:pStyle w:val="ListParagraph"/>
        <w:ind w:left="360"/>
        <w:jc w:val="both"/>
        <w:rPr>
          <w:rFonts w:ascii="Times New Roman" w:hAnsi="Times New Roman" w:cs="Times New Roman"/>
          <w:sz w:val="24"/>
        </w:rPr>
      </w:pPr>
    </w:p>
    <w:p w:rsidR="00155A5F"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In the area of leasing, ASFI should consider allowing leasing operations to be conducted by a dedicated unit within existing financial entity instead of mandating the creation of a separate financial entity. The integration of leasing within the financial entity would allow for cross-selling of products and reduce costs for marketing and outreach to clients, while the existence of a dedicated unit with (</w:t>
      </w:r>
      <w:proofErr w:type="spellStart"/>
      <w:r w:rsidRPr="003571FD">
        <w:rPr>
          <w:rFonts w:ascii="Times New Roman" w:hAnsi="Times New Roman" w:cs="Times New Roman"/>
          <w:sz w:val="24"/>
          <w:szCs w:val="24"/>
        </w:rPr>
        <w:t>i</w:t>
      </w:r>
      <w:proofErr w:type="spellEnd"/>
      <w:r w:rsidRPr="003571FD">
        <w:rPr>
          <w:rFonts w:ascii="Times New Roman" w:hAnsi="Times New Roman" w:cs="Times New Roman"/>
          <w:sz w:val="24"/>
          <w:szCs w:val="24"/>
        </w:rPr>
        <w:t>) specialized staff, (ii) a clearly developed product and (iii) adequate</w:t>
      </w:r>
      <w:r w:rsidR="00B57F01" w:rsidRPr="003571FD">
        <w:rPr>
          <w:rFonts w:ascii="Times New Roman" w:hAnsi="Times New Roman" w:cs="Times New Roman"/>
          <w:sz w:val="24"/>
          <w:szCs w:val="24"/>
        </w:rPr>
        <w:t xml:space="preserve"> accounting and</w:t>
      </w:r>
      <w:r w:rsidRPr="003571FD">
        <w:rPr>
          <w:rFonts w:ascii="Times New Roman" w:hAnsi="Times New Roman" w:cs="Times New Roman"/>
          <w:sz w:val="24"/>
          <w:szCs w:val="24"/>
        </w:rPr>
        <w:t xml:space="preserve"> control systems in place would prevent the misu</w:t>
      </w:r>
      <w:r w:rsidR="00D268B0" w:rsidRPr="003571FD">
        <w:rPr>
          <w:rFonts w:ascii="Times New Roman" w:hAnsi="Times New Roman" w:cs="Times New Roman"/>
          <w:sz w:val="24"/>
          <w:szCs w:val="24"/>
        </w:rPr>
        <w:t>se experienced in earlier years</w:t>
      </w:r>
      <w:r w:rsidR="007D2B48" w:rsidRPr="003571FD">
        <w:rPr>
          <w:rFonts w:ascii="Times New Roman" w:hAnsi="Times New Roman" w:cs="Times New Roman"/>
          <w:sz w:val="24"/>
          <w:szCs w:val="24"/>
        </w:rPr>
        <w:t xml:space="preserve">. </w:t>
      </w:r>
      <w:r w:rsidR="00AC5A5D" w:rsidRPr="003571FD">
        <w:rPr>
          <w:rFonts w:ascii="Times New Roman" w:hAnsi="Times New Roman" w:cs="Times New Roman"/>
          <w:sz w:val="24"/>
          <w:szCs w:val="24"/>
        </w:rPr>
        <w:t xml:space="preserve">In the area of factoring, the definition of an invoice would have to be clarified, and the legal and regulatory framework assessed to determine additional shortcomings that prevent the use and roll-out of this product. </w:t>
      </w:r>
      <w:r w:rsidR="007D2B48" w:rsidRPr="003571FD">
        <w:rPr>
          <w:rFonts w:ascii="Times New Roman" w:hAnsi="Times New Roman" w:cs="Times New Roman"/>
          <w:sz w:val="24"/>
          <w:szCs w:val="24"/>
        </w:rPr>
        <w:t xml:space="preserve">Implementation </w:t>
      </w:r>
      <w:r w:rsidR="007D2B48" w:rsidRPr="003571FD">
        <w:rPr>
          <w:rFonts w:ascii="Times New Roman" w:hAnsi="Times New Roman" w:cs="Times New Roman"/>
          <w:sz w:val="24"/>
          <w:szCs w:val="24"/>
        </w:rPr>
        <w:lastRenderedPageBreak/>
        <w:t>of the new framework</w:t>
      </w:r>
      <w:r w:rsidR="00AC5A5D" w:rsidRPr="003571FD">
        <w:rPr>
          <w:rFonts w:ascii="Times New Roman" w:hAnsi="Times New Roman" w:cs="Times New Roman"/>
          <w:sz w:val="24"/>
          <w:szCs w:val="24"/>
        </w:rPr>
        <w:t>s</w:t>
      </w:r>
      <w:r w:rsidR="007D2B48" w:rsidRPr="003571FD">
        <w:rPr>
          <w:rFonts w:ascii="Times New Roman" w:hAnsi="Times New Roman" w:cs="Times New Roman"/>
          <w:sz w:val="24"/>
          <w:szCs w:val="24"/>
        </w:rPr>
        <w:t xml:space="preserve"> could then be supported through TA and </w:t>
      </w:r>
      <w:r w:rsidR="00AC5A5D" w:rsidRPr="003571FD">
        <w:rPr>
          <w:rFonts w:ascii="Times New Roman" w:hAnsi="Times New Roman" w:cs="Times New Roman"/>
          <w:sz w:val="24"/>
          <w:szCs w:val="24"/>
        </w:rPr>
        <w:t xml:space="preserve">dedicated </w:t>
      </w:r>
      <w:r w:rsidR="007D2B48" w:rsidRPr="003571FD">
        <w:rPr>
          <w:rFonts w:ascii="Times New Roman" w:hAnsi="Times New Roman" w:cs="Times New Roman"/>
          <w:sz w:val="24"/>
          <w:szCs w:val="24"/>
        </w:rPr>
        <w:t xml:space="preserve">funding for </w:t>
      </w:r>
      <w:r w:rsidR="00AC5A5D" w:rsidRPr="003571FD">
        <w:rPr>
          <w:rFonts w:ascii="Times New Roman" w:hAnsi="Times New Roman" w:cs="Times New Roman"/>
          <w:sz w:val="24"/>
          <w:szCs w:val="24"/>
        </w:rPr>
        <w:t xml:space="preserve">the development of these products </w:t>
      </w:r>
      <w:r w:rsidR="007D2B48" w:rsidRPr="003571FD">
        <w:rPr>
          <w:rFonts w:ascii="Times New Roman" w:hAnsi="Times New Roman" w:cs="Times New Roman"/>
          <w:sz w:val="24"/>
          <w:szCs w:val="24"/>
        </w:rPr>
        <w:t>in the financial sector.</w:t>
      </w:r>
    </w:p>
    <w:p w:rsidR="00D268B0" w:rsidRPr="003571FD" w:rsidRDefault="00D268B0" w:rsidP="00D268B0">
      <w:pPr>
        <w:pStyle w:val="ListParagraph"/>
        <w:jc w:val="both"/>
        <w:rPr>
          <w:rFonts w:ascii="Times New Roman" w:hAnsi="Times New Roman" w:cs="Times New Roman"/>
          <w:sz w:val="24"/>
          <w:szCs w:val="24"/>
        </w:rPr>
      </w:pPr>
    </w:p>
    <w:p w:rsidR="00D268B0" w:rsidRPr="003571FD" w:rsidRDefault="007D2B48"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A</w:t>
      </w:r>
      <w:r w:rsidR="00155A5F" w:rsidRPr="003571FD">
        <w:rPr>
          <w:rFonts w:ascii="Times New Roman" w:hAnsi="Times New Roman" w:cs="Times New Roman"/>
          <w:sz w:val="24"/>
          <w:szCs w:val="24"/>
        </w:rPr>
        <w:t xml:space="preserve"> partial credit guarantee fund </w:t>
      </w:r>
      <w:r w:rsidRPr="003571FD">
        <w:rPr>
          <w:rFonts w:ascii="Times New Roman" w:hAnsi="Times New Roman" w:cs="Times New Roman"/>
          <w:sz w:val="24"/>
          <w:szCs w:val="24"/>
        </w:rPr>
        <w:t xml:space="preserve">could play an important role </w:t>
      </w:r>
      <w:r w:rsidR="00147F9F" w:rsidRPr="003571FD">
        <w:rPr>
          <w:rFonts w:ascii="Times New Roman" w:hAnsi="Times New Roman" w:cs="Times New Roman"/>
          <w:sz w:val="24"/>
          <w:szCs w:val="24"/>
        </w:rPr>
        <w:t>to</w:t>
      </w:r>
      <w:r w:rsidR="00155A5F" w:rsidRPr="003571FD">
        <w:rPr>
          <w:rFonts w:ascii="Times New Roman" w:hAnsi="Times New Roman" w:cs="Times New Roman"/>
          <w:sz w:val="24"/>
          <w:szCs w:val="24"/>
        </w:rPr>
        <w:t xml:space="preserve"> co</w:t>
      </w:r>
      <w:r w:rsidR="00D268B0" w:rsidRPr="003571FD">
        <w:rPr>
          <w:rFonts w:ascii="Times New Roman" w:hAnsi="Times New Roman" w:cs="Times New Roman"/>
          <w:sz w:val="24"/>
          <w:szCs w:val="24"/>
        </w:rPr>
        <w:t>mpensate for missing guarantees</w:t>
      </w:r>
      <w:r w:rsidR="00917643" w:rsidRPr="003571FD">
        <w:rPr>
          <w:rFonts w:ascii="Times New Roman" w:hAnsi="Times New Roman" w:cs="Times New Roman"/>
          <w:sz w:val="24"/>
          <w:szCs w:val="24"/>
        </w:rPr>
        <w:t>. The partial credit guarantee could for example, as already contemplated, be hinged administratively at the sec</w:t>
      </w:r>
      <w:r w:rsidR="006E0F73" w:rsidRPr="003571FD">
        <w:rPr>
          <w:rFonts w:ascii="Times New Roman" w:hAnsi="Times New Roman" w:cs="Times New Roman"/>
          <w:sz w:val="24"/>
          <w:szCs w:val="24"/>
        </w:rPr>
        <w:t>ond tier bank BDP. It</w:t>
      </w:r>
      <w:r w:rsidR="00917643" w:rsidRPr="003571FD">
        <w:rPr>
          <w:rFonts w:ascii="Times New Roman" w:hAnsi="Times New Roman" w:cs="Times New Roman"/>
          <w:sz w:val="24"/>
          <w:szCs w:val="24"/>
        </w:rPr>
        <w:t xml:space="preserve"> should be an autonomous judicial entity with separate </w:t>
      </w:r>
      <w:r w:rsidR="00067427" w:rsidRPr="003571FD">
        <w:rPr>
          <w:rFonts w:ascii="Times New Roman" w:hAnsi="Times New Roman" w:cs="Times New Roman"/>
          <w:sz w:val="24"/>
          <w:szCs w:val="24"/>
        </w:rPr>
        <w:t xml:space="preserve">and sufficient </w:t>
      </w:r>
      <w:r w:rsidR="00917643" w:rsidRPr="003571FD">
        <w:rPr>
          <w:rFonts w:ascii="Times New Roman" w:hAnsi="Times New Roman" w:cs="Times New Roman"/>
          <w:sz w:val="24"/>
          <w:szCs w:val="24"/>
        </w:rPr>
        <w:t>capital</w:t>
      </w:r>
      <w:r w:rsidR="00067427" w:rsidRPr="003571FD">
        <w:rPr>
          <w:rFonts w:ascii="Times New Roman" w:hAnsi="Times New Roman" w:cs="Times New Roman"/>
          <w:sz w:val="24"/>
          <w:szCs w:val="24"/>
        </w:rPr>
        <w:t xml:space="preserve"> endowment</w:t>
      </w:r>
      <w:r w:rsidR="006E0F73" w:rsidRPr="003571FD">
        <w:rPr>
          <w:rFonts w:ascii="Times New Roman" w:hAnsi="Times New Roman" w:cs="Times New Roman"/>
          <w:sz w:val="24"/>
          <w:szCs w:val="24"/>
        </w:rPr>
        <w:t xml:space="preserve"> and a mandate for operational self-sufficiency</w:t>
      </w:r>
      <w:r w:rsidR="00917643" w:rsidRPr="003571FD">
        <w:rPr>
          <w:rFonts w:ascii="Times New Roman" w:hAnsi="Times New Roman" w:cs="Times New Roman"/>
          <w:sz w:val="24"/>
          <w:szCs w:val="24"/>
        </w:rPr>
        <w:t xml:space="preserve">, clear </w:t>
      </w:r>
      <w:r w:rsidR="00067427" w:rsidRPr="003571FD">
        <w:rPr>
          <w:rFonts w:ascii="Times New Roman" w:hAnsi="Times New Roman" w:cs="Times New Roman"/>
          <w:sz w:val="24"/>
          <w:szCs w:val="24"/>
        </w:rPr>
        <w:t xml:space="preserve">and streamlined administrative rules </w:t>
      </w:r>
      <w:r w:rsidR="006E0F73" w:rsidRPr="003571FD">
        <w:rPr>
          <w:rFonts w:ascii="Times New Roman" w:hAnsi="Times New Roman" w:cs="Times New Roman"/>
          <w:sz w:val="24"/>
          <w:szCs w:val="24"/>
        </w:rPr>
        <w:t>in particular for</w:t>
      </w:r>
      <w:r w:rsidR="00067427" w:rsidRPr="003571FD">
        <w:rPr>
          <w:rFonts w:ascii="Times New Roman" w:hAnsi="Times New Roman" w:cs="Times New Roman"/>
          <w:sz w:val="24"/>
          <w:szCs w:val="24"/>
        </w:rPr>
        <w:t xml:space="preserve"> pay-outs, and </w:t>
      </w:r>
      <w:r w:rsidR="006E0F73" w:rsidRPr="003571FD">
        <w:rPr>
          <w:rFonts w:ascii="Times New Roman" w:hAnsi="Times New Roman" w:cs="Times New Roman"/>
          <w:sz w:val="24"/>
          <w:szCs w:val="24"/>
        </w:rPr>
        <w:t xml:space="preserve">adequate supervision of the financial system supervisory body ASFI. This should include publication of performance and results for transparency and public oversight. </w:t>
      </w:r>
    </w:p>
    <w:p w:rsidR="00D268B0" w:rsidRPr="003571FD" w:rsidRDefault="00D268B0" w:rsidP="00D268B0">
      <w:pPr>
        <w:pStyle w:val="ListParagraph"/>
        <w:jc w:val="both"/>
        <w:rPr>
          <w:rFonts w:ascii="Times New Roman" w:hAnsi="Times New Roman" w:cs="Times New Roman"/>
          <w:sz w:val="24"/>
          <w:szCs w:val="24"/>
        </w:rPr>
      </w:pPr>
    </w:p>
    <w:p w:rsidR="00155A5F"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The government </w:t>
      </w:r>
      <w:r w:rsidR="00B85913">
        <w:rPr>
          <w:rFonts w:ascii="Times New Roman" w:hAnsi="Times New Roman" w:cs="Times New Roman"/>
          <w:sz w:val="24"/>
          <w:szCs w:val="24"/>
        </w:rPr>
        <w:t xml:space="preserve">and business associations </w:t>
      </w:r>
      <w:r w:rsidRPr="003571FD">
        <w:rPr>
          <w:rFonts w:ascii="Times New Roman" w:hAnsi="Times New Roman" w:cs="Times New Roman"/>
          <w:sz w:val="24"/>
          <w:szCs w:val="24"/>
        </w:rPr>
        <w:t xml:space="preserve">can </w:t>
      </w:r>
      <w:r w:rsidR="00890212" w:rsidRPr="003571FD">
        <w:rPr>
          <w:rFonts w:ascii="Times New Roman" w:hAnsi="Times New Roman" w:cs="Times New Roman"/>
          <w:sz w:val="24"/>
          <w:szCs w:val="24"/>
        </w:rPr>
        <w:t xml:space="preserve">also </w:t>
      </w:r>
      <w:r w:rsidRPr="003571FD">
        <w:rPr>
          <w:rFonts w:ascii="Times New Roman" w:hAnsi="Times New Roman" w:cs="Times New Roman"/>
          <w:sz w:val="24"/>
          <w:szCs w:val="24"/>
        </w:rPr>
        <w:t>play an active role in supporting the use of these innovative lending instruments. It can for example foster leasing and factoring as part of reforms of the value chains, where standardized leasing products could be developed for certain types of machinery, and factoring could be fostered through a stronger integration of the various players along the value chain. Furthermore, information campaigns could be helpful to familiarize the population with the</w:t>
      </w:r>
      <w:r w:rsidR="00890212" w:rsidRPr="003571FD">
        <w:rPr>
          <w:rFonts w:ascii="Times New Roman" w:hAnsi="Times New Roman" w:cs="Times New Roman"/>
          <w:sz w:val="24"/>
          <w:szCs w:val="24"/>
        </w:rPr>
        <w:t>se</w:t>
      </w:r>
      <w:r w:rsidRPr="003571FD">
        <w:rPr>
          <w:rFonts w:ascii="Times New Roman" w:hAnsi="Times New Roman" w:cs="Times New Roman"/>
          <w:sz w:val="24"/>
          <w:szCs w:val="24"/>
        </w:rPr>
        <w:t xml:space="preserve"> instruments. </w:t>
      </w:r>
    </w:p>
    <w:p w:rsidR="00C51964" w:rsidRPr="003571FD" w:rsidRDefault="00C51964" w:rsidP="00C51964">
      <w:pPr>
        <w:pStyle w:val="ListParagraph"/>
        <w:jc w:val="both"/>
        <w:rPr>
          <w:rFonts w:ascii="Times New Roman" w:hAnsi="Times New Roman" w:cs="Times New Roman"/>
          <w:sz w:val="24"/>
          <w:szCs w:val="24"/>
        </w:rPr>
      </w:pPr>
    </w:p>
    <w:p w:rsidR="00155A5F" w:rsidRPr="003571FD" w:rsidRDefault="00155A5F" w:rsidP="00155A5F">
      <w:pPr>
        <w:jc w:val="both"/>
        <w:rPr>
          <w:rFonts w:ascii="Times New Roman" w:hAnsi="Times New Roman" w:cs="Times New Roman"/>
          <w:i/>
          <w:sz w:val="24"/>
        </w:rPr>
      </w:pPr>
      <w:r w:rsidRPr="003571FD">
        <w:rPr>
          <w:rFonts w:ascii="Times New Roman" w:hAnsi="Times New Roman" w:cs="Times New Roman"/>
          <w:i/>
          <w:sz w:val="24"/>
        </w:rPr>
        <w:t>The role</w:t>
      </w:r>
      <w:r w:rsidR="00890212" w:rsidRPr="003571FD">
        <w:rPr>
          <w:rFonts w:ascii="Times New Roman" w:hAnsi="Times New Roman" w:cs="Times New Roman"/>
          <w:i/>
          <w:sz w:val="24"/>
        </w:rPr>
        <w:t>s</w:t>
      </w:r>
      <w:r w:rsidRPr="003571FD">
        <w:rPr>
          <w:rFonts w:ascii="Times New Roman" w:hAnsi="Times New Roman" w:cs="Times New Roman"/>
          <w:i/>
          <w:sz w:val="24"/>
        </w:rPr>
        <w:t xml:space="preserve"> of the public banks</w:t>
      </w:r>
    </w:p>
    <w:p w:rsidR="00155A5F" w:rsidRPr="003571FD" w:rsidRDefault="00155A5F" w:rsidP="00CA07A0">
      <w:pPr>
        <w:pStyle w:val="ListParagraph"/>
        <w:numPr>
          <w:ilvl w:val="0"/>
          <w:numId w:val="8"/>
        </w:numPr>
        <w:spacing w:after="240"/>
        <w:jc w:val="both"/>
        <w:rPr>
          <w:rFonts w:ascii="Times New Roman" w:hAnsi="Times New Roman" w:cs="Times New Roman"/>
          <w:sz w:val="24"/>
        </w:rPr>
      </w:pPr>
      <w:r w:rsidRPr="003571FD">
        <w:rPr>
          <w:rFonts w:ascii="Times New Roman" w:hAnsi="Times New Roman" w:cs="Times New Roman"/>
          <w:b/>
          <w:sz w:val="24"/>
        </w:rPr>
        <w:t xml:space="preserve">Experience in other countries </w:t>
      </w:r>
      <w:r w:rsidR="00245E6C" w:rsidRPr="003571FD">
        <w:rPr>
          <w:rFonts w:ascii="Times New Roman" w:hAnsi="Times New Roman" w:cs="Times New Roman"/>
          <w:b/>
          <w:sz w:val="24"/>
        </w:rPr>
        <w:t xml:space="preserve">such as </w:t>
      </w:r>
      <w:proofErr w:type="spellStart"/>
      <w:r w:rsidR="00A378FA" w:rsidRPr="003571FD">
        <w:rPr>
          <w:rFonts w:ascii="Times New Roman" w:hAnsi="Times New Roman" w:cs="Times New Roman"/>
          <w:b/>
          <w:sz w:val="24"/>
        </w:rPr>
        <w:t>Bancoldex</w:t>
      </w:r>
      <w:proofErr w:type="spellEnd"/>
      <w:r w:rsidR="00A378FA" w:rsidRPr="003571FD">
        <w:rPr>
          <w:rFonts w:ascii="Times New Roman" w:hAnsi="Times New Roman" w:cs="Times New Roman"/>
          <w:b/>
          <w:sz w:val="24"/>
        </w:rPr>
        <w:t xml:space="preserve"> (Colombia), Mexico (</w:t>
      </w:r>
      <w:proofErr w:type="spellStart"/>
      <w:r w:rsidR="00A378FA" w:rsidRPr="003571FD">
        <w:rPr>
          <w:rFonts w:ascii="Times New Roman" w:hAnsi="Times New Roman" w:cs="Times New Roman"/>
          <w:b/>
          <w:sz w:val="24"/>
        </w:rPr>
        <w:t>Finrural</w:t>
      </w:r>
      <w:proofErr w:type="spellEnd"/>
      <w:r w:rsidR="00A378FA" w:rsidRPr="003571FD">
        <w:rPr>
          <w:rFonts w:ascii="Times New Roman" w:hAnsi="Times New Roman" w:cs="Times New Roman"/>
          <w:b/>
          <w:sz w:val="24"/>
        </w:rPr>
        <w:t>)</w:t>
      </w:r>
      <w:r w:rsidR="00245E6C" w:rsidRPr="003571FD">
        <w:rPr>
          <w:rFonts w:ascii="Times New Roman" w:hAnsi="Times New Roman" w:cs="Times New Roman"/>
          <w:b/>
          <w:sz w:val="24"/>
        </w:rPr>
        <w:t xml:space="preserve"> and Germany (KFW) </w:t>
      </w:r>
      <w:r w:rsidRPr="003571FD">
        <w:rPr>
          <w:rFonts w:ascii="Times New Roman" w:hAnsi="Times New Roman" w:cs="Times New Roman"/>
          <w:b/>
          <w:sz w:val="24"/>
        </w:rPr>
        <w:t>suggest that the setting of a clear and limited mandate</w:t>
      </w:r>
      <w:r w:rsidR="009459A4" w:rsidRPr="003571FD">
        <w:rPr>
          <w:rFonts w:ascii="Times New Roman" w:hAnsi="Times New Roman" w:cs="Times New Roman"/>
          <w:b/>
          <w:sz w:val="24"/>
        </w:rPr>
        <w:t xml:space="preserve"> (including </w:t>
      </w:r>
      <w:r w:rsidR="00A378FA" w:rsidRPr="003571FD">
        <w:rPr>
          <w:rFonts w:ascii="Times New Roman" w:hAnsi="Times New Roman" w:cs="Times New Roman"/>
          <w:b/>
          <w:sz w:val="24"/>
        </w:rPr>
        <w:t xml:space="preserve">defining a </w:t>
      </w:r>
      <w:r w:rsidR="009459A4" w:rsidRPr="003571FD">
        <w:rPr>
          <w:rFonts w:ascii="Times New Roman" w:hAnsi="Times New Roman" w:cs="Times New Roman"/>
          <w:b/>
          <w:sz w:val="24"/>
        </w:rPr>
        <w:t>target group or sector)</w:t>
      </w:r>
      <w:r w:rsidRPr="003571FD">
        <w:rPr>
          <w:rFonts w:ascii="Times New Roman" w:hAnsi="Times New Roman" w:cs="Times New Roman"/>
          <w:b/>
          <w:sz w:val="24"/>
        </w:rPr>
        <w:t>, transparent governance structures and enforceable budgetary limits are key for maintaining a healthy public banking system while making progress towards eliminating determined bottlenecks.</w:t>
      </w:r>
      <w:r w:rsidRPr="003571FD">
        <w:rPr>
          <w:rFonts w:ascii="Times New Roman" w:hAnsi="Times New Roman" w:cs="Times New Roman"/>
          <w:sz w:val="24"/>
        </w:rPr>
        <w:t xml:space="preserve"> Particular attention needs to be place on preventing market distortions</w:t>
      </w:r>
      <w:r w:rsidR="00C9739D" w:rsidRPr="003571FD">
        <w:rPr>
          <w:rFonts w:ascii="Times New Roman" w:hAnsi="Times New Roman" w:cs="Times New Roman"/>
          <w:sz w:val="24"/>
        </w:rPr>
        <w:t>, and on addressing only those areas in which prior analysis has determined a clear market gap</w:t>
      </w:r>
      <w:r w:rsidR="009459A4" w:rsidRPr="003571FD">
        <w:rPr>
          <w:rStyle w:val="FootnoteReference"/>
          <w:rFonts w:ascii="Times New Roman" w:hAnsi="Times New Roman" w:cs="Times New Roman"/>
          <w:sz w:val="24"/>
        </w:rPr>
        <w:footnoteReference w:id="129"/>
      </w:r>
      <w:r w:rsidRPr="003571FD">
        <w:rPr>
          <w:rFonts w:ascii="Times New Roman" w:hAnsi="Times New Roman" w:cs="Times New Roman"/>
          <w:sz w:val="24"/>
        </w:rPr>
        <w:t>:</w:t>
      </w:r>
    </w:p>
    <w:p w:rsidR="00E01CDE" w:rsidRPr="003571FD" w:rsidRDefault="00E01CDE" w:rsidP="00E01CDE">
      <w:pPr>
        <w:pStyle w:val="ListParagraph"/>
        <w:ind w:left="360"/>
        <w:jc w:val="both"/>
        <w:rPr>
          <w:rFonts w:ascii="Times New Roman" w:hAnsi="Times New Roman" w:cs="Times New Roman"/>
          <w:sz w:val="24"/>
        </w:rPr>
      </w:pPr>
    </w:p>
    <w:p w:rsidR="00155A5F"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There is a need to redefine and reorient the role of BDP, moving it fully away from first tier lending at subsidized rates and refocusing it on </w:t>
      </w:r>
      <w:r w:rsidR="00B85913">
        <w:rPr>
          <w:rFonts w:ascii="Times New Roman" w:hAnsi="Times New Roman" w:cs="Times New Roman"/>
          <w:sz w:val="24"/>
          <w:szCs w:val="24"/>
        </w:rPr>
        <w:t>(</w:t>
      </w:r>
      <w:proofErr w:type="spellStart"/>
      <w:r w:rsidR="00B85913">
        <w:rPr>
          <w:rFonts w:ascii="Times New Roman" w:hAnsi="Times New Roman" w:cs="Times New Roman"/>
          <w:sz w:val="24"/>
          <w:szCs w:val="24"/>
        </w:rPr>
        <w:t>i</w:t>
      </w:r>
      <w:proofErr w:type="spellEnd"/>
      <w:r w:rsidR="00B85913">
        <w:rPr>
          <w:rFonts w:ascii="Times New Roman" w:hAnsi="Times New Roman" w:cs="Times New Roman"/>
          <w:sz w:val="24"/>
          <w:szCs w:val="24"/>
        </w:rPr>
        <w:t xml:space="preserve">) </w:t>
      </w:r>
      <w:r w:rsidRPr="003571FD">
        <w:rPr>
          <w:rFonts w:ascii="Times New Roman" w:hAnsi="Times New Roman" w:cs="Times New Roman"/>
          <w:sz w:val="24"/>
          <w:szCs w:val="24"/>
        </w:rPr>
        <w:t>facilitating the introduction of innovative products</w:t>
      </w:r>
      <w:r w:rsidR="00102CEA" w:rsidRPr="003571FD">
        <w:rPr>
          <w:rFonts w:ascii="Times New Roman" w:hAnsi="Times New Roman" w:cs="Times New Roman"/>
          <w:sz w:val="24"/>
          <w:szCs w:val="24"/>
        </w:rPr>
        <w:t xml:space="preserve"> that address </w:t>
      </w:r>
      <w:r w:rsidR="00C9739D" w:rsidRPr="003571FD">
        <w:rPr>
          <w:rFonts w:ascii="Times New Roman" w:hAnsi="Times New Roman" w:cs="Times New Roman"/>
          <w:sz w:val="24"/>
          <w:szCs w:val="24"/>
        </w:rPr>
        <w:t xml:space="preserve">market failures </w:t>
      </w:r>
      <w:r w:rsidR="009459A4" w:rsidRPr="003571FD">
        <w:rPr>
          <w:rFonts w:ascii="Times New Roman" w:hAnsi="Times New Roman" w:cs="Times New Roman"/>
          <w:sz w:val="24"/>
          <w:szCs w:val="24"/>
        </w:rPr>
        <w:t xml:space="preserve">to its target sectors </w:t>
      </w:r>
      <w:r w:rsidR="00B85913">
        <w:rPr>
          <w:rFonts w:ascii="Times New Roman" w:hAnsi="Times New Roman" w:cs="Times New Roman"/>
          <w:sz w:val="24"/>
          <w:szCs w:val="24"/>
        </w:rPr>
        <w:t>and on</w:t>
      </w:r>
      <w:r w:rsidR="00C9739D" w:rsidRPr="003571FD">
        <w:rPr>
          <w:rFonts w:ascii="Times New Roman" w:hAnsi="Times New Roman" w:cs="Times New Roman"/>
          <w:sz w:val="24"/>
          <w:szCs w:val="24"/>
        </w:rPr>
        <w:t xml:space="preserve"> </w:t>
      </w:r>
      <w:r w:rsidR="00B85913">
        <w:rPr>
          <w:rFonts w:ascii="Times New Roman" w:hAnsi="Times New Roman" w:cs="Times New Roman"/>
          <w:sz w:val="24"/>
          <w:szCs w:val="24"/>
        </w:rPr>
        <w:t xml:space="preserve">(ii) </w:t>
      </w:r>
      <w:r w:rsidR="00C9739D" w:rsidRPr="003571FD">
        <w:rPr>
          <w:rFonts w:ascii="Times New Roman" w:hAnsi="Times New Roman" w:cs="Times New Roman"/>
          <w:sz w:val="24"/>
          <w:szCs w:val="24"/>
        </w:rPr>
        <w:t>areas where economic and social benefits exceed the costs of the intervention</w:t>
      </w:r>
      <w:r w:rsidRPr="003571FD">
        <w:rPr>
          <w:rFonts w:ascii="Times New Roman" w:hAnsi="Times New Roman" w:cs="Times New Roman"/>
          <w:sz w:val="24"/>
          <w:szCs w:val="24"/>
        </w:rPr>
        <w:t xml:space="preserve">. As done by some pubic banks in other countries, the BDP could for example foster the development of targeted products to individual sectors with the aim to familiarize the financial entities with the peculiarities of the respective sector, needed credit conditionalities and repayment cycles, and available guarantees. This could be done through risk sharing models. This would reduce piloting costs and risk perception in financial institutions, and </w:t>
      </w:r>
      <w:r w:rsidRPr="003571FD">
        <w:rPr>
          <w:rFonts w:ascii="Times New Roman" w:hAnsi="Times New Roman" w:cs="Times New Roman"/>
          <w:sz w:val="24"/>
          <w:szCs w:val="24"/>
        </w:rPr>
        <w:lastRenderedPageBreak/>
        <w:t xml:space="preserve">open up new sectors to financing. BDP could also play a pivotal role in launching leasing, </w:t>
      </w:r>
      <w:r w:rsidR="00A378FA" w:rsidRPr="003571FD">
        <w:rPr>
          <w:rFonts w:ascii="Times New Roman" w:hAnsi="Times New Roman" w:cs="Times New Roman"/>
          <w:sz w:val="24"/>
          <w:szCs w:val="24"/>
        </w:rPr>
        <w:t xml:space="preserve">or factoring, </w:t>
      </w:r>
      <w:r w:rsidRPr="003571FD">
        <w:rPr>
          <w:rFonts w:ascii="Times New Roman" w:hAnsi="Times New Roman" w:cs="Times New Roman"/>
          <w:sz w:val="24"/>
          <w:szCs w:val="24"/>
        </w:rPr>
        <w:t>and lowering the riskiness of loans through issuing partial credit guarantee</w:t>
      </w:r>
      <w:r w:rsidR="00A378FA" w:rsidRPr="003571FD">
        <w:rPr>
          <w:rFonts w:ascii="Times New Roman" w:hAnsi="Times New Roman" w:cs="Times New Roman"/>
          <w:sz w:val="24"/>
          <w:szCs w:val="24"/>
        </w:rPr>
        <w:t xml:space="preserve"> for credits to selected sectors or geographic regions.</w:t>
      </w:r>
      <w:r w:rsidRPr="003571FD">
        <w:rPr>
          <w:rFonts w:ascii="Times New Roman" w:hAnsi="Times New Roman" w:cs="Times New Roman"/>
          <w:sz w:val="24"/>
          <w:szCs w:val="24"/>
        </w:rPr>
        <w:t xml:space="preserve"> </w:t>
      </w:r>
    </w:p>
    <w:p w:rsidR="00D268B0" w:rsidRPr="003571FD" w:rsidRDefault="00D268B0" w:rsidP="00D268B0">
      <w:pPr>
        <w:pStyle w:val="ListParagraph"/>
        <w:jc w:val="both"/>
        <w:rPr>
          <w:rFonts w:ascii="Times New Roman" w:hAnsi="Times New Roman" w:cs="Times New Roman"/>
          <w:sz w:val="24"/>
          <w:szCs w:val="24"/>
        </w:rPr>
      </w:pPr>
    </w:p>
    <w:p w:rsidR="00155A5F"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 xml:space="preserve">The government also needs to clarify the role that </w:t>
      </w:r>
      <w:r w:rsidRPr="003571FD">
        <w:rPr>
          <w:rFonts w:ascii="Times New Roman" w:hAnsi="Times New Roman" w:cs="Times New Roman"/>
          <w:i/>
          <w:sz w:val="24"/>
          <w:szCs w:val="24"/>
        </w:rPr>
        <w:t>Banco Union</w:t>
      </w:r>
      <w:r w:rsidRPr="003571FD">
        <w:rPr>
          <w:rFonts w:ascii="Times New Roman" w:hAnsi="Times New Roman" w:cs="Times New Roman"/>
          <w:sz w:val="24"/>
          <w:szCs w:val="24"/>
        </w:rPr>
        <w:t xml:space="preserve"> will play for the development of the financial system. As recent reform measures indicate, there is the risk that the </w:t>
      </w:r>
      <w:r w:rsidRPr="003571FD">
        <w:rPr>
          <w:rFonts w:ascii="Times New Roman" w:hAnsi="Times New Roman" w:cs="Times New Roman"/>
          <w:i/>
          <w:sz w:val="24"/>
          <w:szCs w:val="24"/>
        </w:rPr>
        <w:t xml:space="preserve">Banco Union </w:t>
      </w:r>
      <w:r w:rsidRPr="003571FD">
        <w:rPr>
          <w:rFonts w:ascii="Times New Roman" w:hAnsi="Times New Roman" w:cs="Times New Roman"/>
          <w:sz w:val="24"/>
          <w:szCs w:val="24"/>
        </w:rPr>
        <w:t>will be burdened with too many roles, and loose traction and focus. As the bank is operating on the first tier, a particular focus needs to be placed on not distorting the market through unduly low interest rates and generous loan conditions, which cannot viably be matched by the private financial system</w:t>
      </w:r>
      <w:r w:rsidR="00EA0847">
        <w:rPr>
          <w:rFonts w:ascii="Times New Roman" w:hAnsi="Times New Roman" w:cs="Times New Roman"/>
          <w:sz w:val="24"/>
          <w:szCs w:val="24"/>
        </w:rPr>
        <w:t xml:space="preserve"> and on the longer term could lead to contingent liabilities of the government</w:t>
      </w:r>
      <w:r w:rsidRPr="003571FD">
        <w:rPr>
          <w:rFonts w:ascii="Times New Roman" w:hAnsi="Times New Roman" w:cs="Times New Roman"/>
          <w:sz w:val="24"/>
          <w:szCs w:val="24"/>
        </w:rPr>
        <w:t>. Similar recommendations would apply to a</w:t>
      </w:r>
      <w:r w:rsidR="00B57F01" w:rsidRPr="003571FD">
        <w:rPr>
          <w:rFonts w:ascii="Times New Roman" w:hAnsi="Times New Roman" w:cs="Times New Roman"/>
          <w:sz w:val="24"/>
          <w:szCs w:val="24"/>
        </w:rPr>
        <w:t>ny</w:t>
      </w:r>
      <w:r w:rsidRPr="003571FD">
        <w:rPr>
          <w:rFonts w:ascii="Times New Roman" w:hAnsi="Times New Roman" w:cs="Times New Roman"/>
          <w:sz w:val="24"/>
          <w:szCs w:val="24"/>
        </w:rPr>
        <w:t xml:space="preserve"> new </w:t>
      </w:r>
      <w:r w:rsidR="00B57F01" w:rsidRPr="003571FD">
        <w:rPr>
          <w:rFonts w:ascii="Times New Roman" w:hAnsi="Times New Roman" w:cs="Times New Roman"/>
          <w:sz w:val="24"/>
          <w:szCs w:val="24"/>
        </w:rPr>
        <w:t>development</w:t>
      </w:r>
      <w:r w:rsidRPr="003571FD">
        <w:rPr>
          <w:rFonts w:ascii="Times New Roman" w:hAnsi="Times New Roman" w:cs="Times New Roman"/>
          <w:sz w:val="24"/>
          <w:szCs w:val="24"/>
        </w:rPr>
        <w:t xml:space="preserve"> bank, if the government follows through on its intention to create </w:t>
      </w:r>
      <w:r w:rsidR="00B57F01" w:rsidRPr="003571FD">
        <w:rPr>
          <w:rFonts w:ascii="Times New Roman" w:hAnsi="Times New Roman" w:cs="Times New Roman"/>
          <w:sz w:val="24"/>
          <w:szCs w:val="24"/>
        </w:rPr>
        <w:t>such</w:t>
      </w:r>
      <w:r w:rsidRPr="003571FD">
        <w:rPr>
          <w:rFonts w:ascii="Times New Roman" w:hAnsi="Times New Roman" w:cs="Times New Roman"/>
          <w:sz w:val="24"/>
          <w:szCs w:val="24"/>
        </w:rPr>
        <w:t xml:space="preserve"> a</w:t>
      </w:r>
      <w:r w:rsidR="00B57F01" w:rsidRPr="003571FD">
        <w:rPr>
          <w:rFonts w:ascii="Times New Roman" w:hAnsi="Times New Roman" w:cs="Times New Roman"/>
          <w:sz w:val="24"/>
          <w:szCs w:val="24"/>
        </w:rPr>
        <w:t xml:space="preserve"> new</w:t>
      </w:r>
      <w:r w:rsidRPr="003571FD">
        <w:rPr>
          <w:rFonts w:ascii="Times New Roman" w:hAnsi="Times New Roman" w:cs="Times New Roman"/>
          <w:sz w:val="24"/>
          <w:szCs w:val="24"/>
        </w:rPr>
        <w:t xml:space="preserve"> public financial institution. </w:t>
      </w:r>
    </w:p>
    <w:p w:rsidR="00D268B0" w:rsidRPr="003571FD" w:rsidRDefault="00D268B0" w:rsidP="00D268B0">
      <w:pPr>
        <w:pStyle w:val="ListParagraph"/>
        <w:ind w:left="504"/>
        <w:jc w:val="both"/>
        <w:rPr>
          <w:rFonts w:ascii="Times New Roman" w:hAnsi="Times New Roman" w:cs="Times New Roman"/>
          <w:sz w:val="24"/>
          <w:szCs w:val="24"/>
        </w:rPr>
      </w:pPr>
    </w:p>
    <w:p w:rsidR="00155A5F" w:rsidRPr="003571FD" w:rsidRDefault="00155A5F" w:rsidP="00CA07A0">
      <w:pPr>
        <w:pStyle w:val="ListParagraph"/>
        <w:numPr>
          <w:ilvl w:val="0"/>
          <w:numId w:val="9"/>
        </w:numPr>
        <w:jc w:val="both"/>
        <w:rPr>
          <w:rFonts w:ascii="Times New Roman" w:hAnsi="Times New Roman" w:cs="Times New Roman"/>
          <w:sz w:val="24"/>
          <w:szCs w:val="24"/>
        </w:rPr>
      </w:pPr>
      <w:r w:rsidRPr="003571FD">
        <w:rPr>
          <w:rFonts w:ascii="Times New Roman" w:hAnsi="Times New Roman" w:cs="Times New Roman"/>
          <w:sz w:val="24"/>
          <w:szCs w:val="24"/>
        </w:rPr>
        <w:t>For all direct government interventions, the programs need to be developed based on a prior needs assessment (i.e. as determined by the above demand side survey), and include the setting of a monitoring and evaluation framework to track their effectiveness, the uptake of those products in the private sector on their own balance sheet, and actual achievements in the real sector. A sunset clause for individual product lines would be helpful to maintain the innovative capacity of the institutions.</w:t>
      </w:r>
    </w:p>
    <w:p w:rsidR="00BB0334" w:rsidRPr="003571FD" w:rsidRDefault="00BB0334">
      <w:pPr>
        <w:rPr>
          <w:rFonts w:ascii="Times New Roman" w:hAnsi="Times New Roman" w:cs="Times New Roman"/>
        </w:rPr>
      </w:pPr>
      <w:r w:rsidRPr="003571FD">
        <w:rPr>
          <w:rFonts w:ascii="Times New Roman" w:hAnsi="Times New Roman" w:cs="Times New Roman"/>
        </w:rPr>
        <w:br w:type="page"/>
      </w:r>
    </w:p>
    <w:p w:rsidR="001319F6" w:rsidRPr="003571FD" w:rsidRDefault="001319F6" w:rsidP="001319F6">
      <w:pPr>
        <w:jc w:val="center"/>
        <w:rPr>
          <w:rFonts w:ascii="Times New Roman" w:hAnsi="Times New Roman" w:cs="Times New Roman"/>
          <w:b/>
          <w:sz w:val="28"/>
          <w:lang w:val="es-PA"/>
        </w:rPr>
      </w:pPr>
      <w:proofErr w:type="spellStart"/>
      <w:r w:rsidRPr="003571FD">
        <w:rPr>
          <w:rFonts w:ascii="Times New Roman" w:hAnsi="Times New Roman" w:cs="Times New Roman"/>
          <w:b/>
          <w:sz w:val="28"/>
          <w:lang w:val="es-PA"/>
        </w:rPr>
        <w:lastRenderedPageBreak/>
        <w:t>List</w:t>
      </w:r>
      <w:proofErr w:type="spellEnd"/>
      <w:r w:rsidRPr="003571FD">
        <w:rPr>
          <w:rFonts w:ascii="Times New Roman" w:hAnsi="Times New Roman" w:cs="Times New Roman"/>
          <w:b/>
          <w:sz w:val="28"/>
          <w:lang w:val="es-PA"/>
        </w:rPr>
        <w:t xml:space="preserve"> of </w:t>
      </w:r>
      <w:proofErr w:type="spellStart"/>
      <w:r w:rsidRPr="003571FD">
        <w:rPr>
          <w:rFonts w:ascii="Times New Roman" w:hAnsi="Times New Roman" w:cs="Times New Roman"/>
          <w:b/>
          <w:sz w:val="28"/>
          <w:lang w:val="es-PA"/>
        </w:rPr>
        <w:t>References</w:t>
      </w:r>
      <w:proofErr w:type="spellEnd"/>
    </w:p>
    <w:p w:rsidR="00F36D08" w:rsidRPr="003571FD" w:rsidRDefault="00F36D08" w:rsidP="007C2030">
      <w:pPr>
        <w:rPr>
          <w:rFonts w:ascii="Times New Roman" w:hAnsi="Times New Roman" w:cs="Times New Roman"/>
          <w:sz w:val="24"/>
          <w:lang w:val="es-US"/>
        </w:rPr>
      </w:pPr>
      <w:r w:rsidRPr="003571FD">
        <w:rPr>
          <w:rFonts w:ascii="Times New Roman" w:hAnsi="Times New Roman" w:cs="Times New Roman"/>
          <w:sz w:val="24"/>
          <w:lang w:val="es-US"/>
        </w:rPr>
        <w:t xml:space="preserve">ASFI (2009), "Estudio sobre la </w:t>
      </w:r>
      <w:proofErr w:type="spellStart"/>
      <w:r w:rsidRPr="003571FD">
        <w:rPr>
          <w:rFonts w:ascii="Times New Roman" w:hAnsi="Times New Roman" w:cs="Times New Roman"/>
          <w:sz w:val="24"/>
          <w:lang w:val="es-US"/>
        </w:rPr>
        <w:t>bancarizacion</w:t>
      </w:r>
      <w:proofErr w:type="spellEnd"/>
      <w:r w:rsidRPr="003571FD">
        <w:rPr>
          <w:rFonts w:ascii="Times New Roman" w:hAnsi="Times New Roman" w:cs="Times New Roman"/>
          <w:sz w:val="24"/>
          <w:lang w:val="es-US"/>
        </w:rPr>
        <w:t xml:space="preserve"> en Bolivia, La Paz, </w:t>
      </w:r>
      <w:proofErr w:type="spellStart"/>
      <w:r w:rsidRPr="003571FD">
        <w:rPr>
          <w:rFonts w:ascii="Times New Roman" w:hAnsi="Times New Roman" w:cs="Times New Roman"/>
          <w:sz w:val="24"/>
          <w:lang w:val="es-US"/>
        </w:rPr>
        <w:t>May</w:t>
      </w:r>
      <w:proofErr w:type="spellEnd"/>
      <w:r w:rsidRPr="003571FD">
        <w:rPr>
          <w:rFonts w:ascii="Times New Roman" w:hAnsi="Times New Roman" w:cs="Times New Roman"/>
          <w:sz w:val="24"/>
          <w:lang w:val="es-US"/>
        </w:rPr>
        <w:t xml:space="preserve"> 2009.</w:t>
      </w:r>
    </w:p>
    <w:p w:rsidR="00F36D08" w:rsidRPr="003571FD" w:rsidRDefault="00F36D08" w:rsidP="007C2030">
      <w:pPr>
        <w:rPr>
          <w:rFonts w:ascii="Times New Roman" w:hAnsi="Times New Roman" w:cs="Times New Roman"/>
          <w:sz w:val="24"/>
          <w:lang w:val="es-US"/>
        </w:rPr>
      </w:pPr>
      <w:r w:rsidRPr="003571FD">
        <w:rPr>
          <w:rFonts w:ascii="Times New Roman" w:hAnsi="Times New Roman" w:cs="Times New Roman"/>
          <w:sz w:val="24"/>
          <w:lang w:val="es-US"/>
        </w:rPr>
        <w:t>ASFI (2010), "</w:t>
      </w:r>
      <w:proofErr w:type="spellStart"/>
      <w:r w:rsidRPr="003571FD">
        <w:rPr>
          <w:rFonts w:ascii="Times New Roman" w:hAnsi="Times New Roman" w:cs="Times New Roman"/>
          <w:sz w:val="24"/>
          <w:lang w:val="es-US"/>
        </w:rPr>
        <w:t>Clasificacion</w:t>
      </w:r>
      <w:proofErr w:type="spellEnd"/>
      <w:r w:rsidRPr="003571FD">
        <w:rPr>
          <w:rFonts w:ascii="Times New Roman" w:hAnsi="Times New Roman" w:cs="Times New Roman"/>
          <w:sz w:val="24"/>
          <w:lang w:val="es-US"/>
        </w:rPr>
        <w:t xml:space="preserve"> de las localidades nacionales con </w:t>
      </w:r>
      <w:r w:rsidR="00C373EC" w:rsidRPr="003571FD">
        <w:rPr>
          <w:rFonts w:ascii="Times New Roman" w:hAnsi="Times New Roman" w:cs="Times New Roman"/>
          <w:sz w:val="24"/>
          <w:lang w:val="es-US"/>
        </w:rPr>
        <w:t>más</w:t>
      </w:r>
      <w:r w:rsidRPr="003571FD">
        <w:rPr>
          <w:rFonts w:ascii="Times New Roman" w:hAnsi="Times New Roman" w:cs="Times New Roman"/>
          <w:sz w:val="24"/>
          <w:lang w:val="es-US"/>
        </w:rPr>
        <w:t xml:space="preserve"> de dos mil habitantes </w:t>
      </w:r>
      <w:proofErr w:type="spellStart"/>
      <w:r w:rsidRPr="003571FD">
        <w:rPr>
          <w:rFonts w:ascii="Times New Roman" w:hAnsi="Times New Roman" w:cs="Times New Roman"/>
          <w:sz w:val="24"/>
          <w:lang w:val="es-US"/>
        </w:rPr>
        <w:t>segun</w:t>
      </w:r>
      <w:proofErr w:type="spellEnd"/>
      <w:r w:rsidRPr="003571FD">
        <w:rPr>
          <w:rFonts w:ascii="Times New Roman" w:hAnsi="Times New Roman" w:cs="Times New Roman"/>
          <w:sz w:val="24"/>
          <w:lang w:val="es-US"/>
        </w:rPr>
        <w:t xml:space="preserve"> su nivel de </w:t>
      </w:r>
      <w:proofErr w:type="spellStart"/>
      <w:r w:rsidRPr="003571FD">
        <w:rPr>
          <w:rFonts w:ascii="Times New Roman" w:hAnsi="Times New Roman" w:cs="Times New Roman"/>
          <w:sz w:val="24"/>
          <w:lang w:val="es-US"/>
        </w:rPr>
        <w:t>bancarizacion</w:t>
      </w:r>
      <w:proofErr w:type="spellEnd"/>
      <w:r w:rsidRPr="003571FD">
        <w:rPr>
          <w:rFonts w:ascii="Times New Roman" w:hAnsi="Times New Roman" w:cs="Times New Roman"/>
          <w:sz w:val="24"/>
          <w:lang w:val="es-US"/>
        </w:rPr>
        <w:t xml:space="preserve">", La Paz, </w:t>
      </w:r>
      <w:proofErr w:type="spellStart"/>
      <w:r w:rsidRPr="003571FD">
        <w:rPr>
          <w:rFonts w:ascii="Times New Roman" w:hAnsi="Times New Roman" w:cs="Times New Roman"/>
          <w:sz w:val="24"/>
          <w:lang w:val="es-US"/>
        </w:rPr>
        <w:t>December</w:t>
      </w:r>
      <w:proofErr w:type="spellEnd"/>
      <w:r w:rsidRPr="003571FD">
        <w:rPr>
          <w:rFonts w:ascii="Times New Roman" w:hAnsi="Times New Roman" w:cs="Times New Roman"/>
          <w:sz w:val="24"/>
          <w:lang w:val="es-US"/>
        </w:rPr>
        <w:t xml:space="preserve"> 2010.</w:t>
      </w:r>
    </w:p>
    <w:p w:rsidR="00F36D08" w:rsidRPr="003571FD" w:rsidRDefault="00F36D08" w:rsidP="007C2030">
      <w:pPr>
        <w:rPr>
          <w:rFonts w:ascii="Times New Roman" w:hAnsi="Times New Roman" w:cs="Times New Roman"/>
          <w:sz w:val="24"/>
          <w:lang w:val="es-US"/>
        </w:rPr>
      </w:pPr>
      <w:r w:rsidRPr="003571FD">
        <w:rPr>
          <w:rFonts w:ascii="Times New Roman" w:hAnsi="Times New Roman" w:cs="Times New Roman"/>
          <w:sz w:val="24"/>
          <w:lang w:val="es-US"/>
        </w:rPr>
        <w:t xml:space="preserve">ASFI (2010), "Primer Encuentro Financiero </w:t>
      </w:r>
      <w:proofErr w:type="spellStart"/>
      <w:r w:rsidRPr="003571FD">
        <w:rPr>
          <w:rFonts w:ascii="Times New Roman" w:hAnsi="Times New Roman" w:cs="Times New Roman"/>
          <w:sz w:val="24"/>
          <w:lang w:val="es-US"/>
        </w:rPr>
        <w:t>Bancarizacion</w:t>
      </w:r>
      <w:proofErr w:type="spellEnd"/>
      <w:r w:rsidRPr="003571FD">
        <w:rPr>
          <w:rFonts w:ascii="Times New Roman" w:hAnsi="Times New Roman" w:cs="Times New Roman"/>
          <w:sz w:val="24"/>
          <w:lang w:val="es-US"/>
        </w:rPr>
        <w:t xml:space="preserve"> y </w:t>
      </w:r>
      <w:proofErr w:type="spellStart"/>
      <w:r w:rsidRPr="003571FD">
        <w:rPr>
          <w:rFonts w:ascii="Times New Roman" w:hAnsi="Times New Roman" w:cs="Times New Roman"/>
          <w:sz w:val="24"/>
          <w:lang w:val="es-US"/>
        </w:rPr>
        <w:t>Credito</w:t>
      </w:r>
      <w:proofErr w:type="spellEnd"/>
      <w:r w:rsidRPr="003571FD">
        <w:rPr>
          <w:rFonts w:ascii="Times New Roman" w:hAnsi="Times New Roman" w:cs="Times New Roman"/>
          <w:sz w:val="24"/>
          <w:lang w:val="es-US"/>
        </w:rPr>
        <w:t xml:space="preserve"> Productivo" - </w:t>
      </w:r>
      <w:proofErr w:type="spellStart"/>
      <w:r w:rsidRPr="003571FD">
        <w:rPr>
          <w:rFonts w:ascii="Times New Roman" w:hAnsi="Times New Roman" w:cs="Times New Roman"/>
          <w:sz w:val="24"/>
          <w:lang w:val="es-US"/>
        </w:rPr>
        <w:t>powerpoints</w:t>
      </w:r>
      <w:proofErr w:type="spellEnd"/>
      <w:r w:rsidRPr="003571FD">
        <w:rPr>
          <w:rFonts w:ascii="Times New Roman" w:hAnsi="Times New Roman" w:cs="Times New Roman"/>
          <w:sz w:val="24"/>
          <w:lang w:val="es-US"/>
        </w:rPr>
        <w:t xml:space="preserve"> </w:t>
      </w:r>
      <w:proofErr w:type="spellStart"/>
      <w:r w:rsidRPr="003571FD">
        <w:rPr>
          <w:rFonts w:ascii="Times New Roman" w:hAnsi="Times New Roman" w:cs="Times New Roman"/>
          <w:sz w:val="24"/>
          <w:lang w:val="es-US"/>
        </w:rPr>
        <w:t>presented</w:t>
      </w:r>
      <w:proofErr w:type="spellEnd"/>
      <w:r w:rsidRPr="003571FD">
        <w:rPr>
          <w:rFonts w:ascii="Times New Roman" w:hAnsi="Times New Roman" w:cs="Times New Roman"/>
          <w:sz w:val="24"/>
          <w:lang w:val="es-US"/>
        </w:rPr>
        <w:t xml:space="preserve"> </w:t>
      </w:r>
      <w:proofErr w:type="spellStart"/>
      <w:r w:rsidRPr="003571FD">
        <w:rPr>
          <w:rFonts w:ascii="Times New Roman" w:hAnsi="Times New Roman" w:cs="Times New Roman"/>
          <w:sz w:val="24"/>
          <w:lang w:val="es-US"/>
        </w:rPr>
        <w:t>by</w:t>
      </w:r>
      <w:proofErr w:type="spellEnd"/>
      <w:r w:rsidRPr="003571FD">
        <w:rPr>
          <w:rFonts w:ascii="Times New Roman" w:hAnsi="Times New Roman" w:cs="Times New Roman"/>
          <w:sz w:val="24"/>
          <w:lang w:val="es-US"/>
        </w:rPr>
        <w:t xml:space="preserve"> </w:t>
      </w:r>
      <w:proofErr w:type="spellStart"/>
      <w:r w:rsidRPr="003571FD">
        <w:rPr>
          <w:rFonts w:ascii="Times New Roman" w:hAnsi="Times New Roman" w:cs="Times New Roman"/>
          <w:sz w:val="24"/>
          <w:lang w:val="es-US"/>
        </w:rPr>
        <w:t>various</w:t>
      </w:r>
      <w:proofErr w:type="spellEnd"/>
      <w:r w:rsidRPr="003571FD">
        <w:rPr>
          <w:rFonts w:ascii="Times New Roman" w:hAnsi="Times New Roman" w:cs="Times New Roman"/>
          <w:sz w:val="24"/>
          <w:lang w:val="es-US"/>
        </w:rPr>
        <w:t xml:space="preserve"> </w:t>
      </w:r>
      <w:proofErr w:type="spellStart"/>
      <w:r w:rsidRPr="003571FD">
        <w:rPr>
          <w:rFonts w:ascii="Times New Roman" w:hAnsi="Times New Roman" w:cs="Times New Roman"/>
          <w:sz w:val="24"/>
          <w:lang w:val="es-US"/>
        </w:rPr>
        <w:t>stakeholders</w:t>
      </w:r>
      <w:proofErr w:type="spellEnd"/>
      <w:r w:rsidRPr="003571FD">
        <w:rPr>
          <w:rFonts w:ascii="Times New Roman" w:hAnsi="Times New Roman" w:cs="Times New Roman"/>
          <w:sz w:val="24"/>
          <w:lang w:val="es-US"/>
        </w:rPr>
        <w:t xml:space="preserve"> at </w:t>
      </w:r>
      <w:proofErr w:type="spellStart"/>
      <w:r w:rsidRPr="003571FD">
        <w:rPr>
          <w:rFonts w:ascii="Times New Roman" w:hAnsi="Times New Roman" w:cs="Times New Roman"/>
          <w:sz w:val="24"/>
          <w:lang w:val="es-US"/>
        </w:rPr>
        <w:t>the</w:t>
      </w:r>
      <w:proofErr w:type="spellEnd"/>
      <w:r w:rsidRPr="003571FD">
        <w:rPr>
          <w:rFonts w:ascii="Times New Roman" w:hAnsi="Times New Roman" w:cs="Times New Roman"/>
          <w:sz w:val="24"/>
          <w:lang w:val="es-US"/>
        </w:rPr>
        <w:t xml:space="preserve"> </w:t>
      </w:r>
      <w:proofErr w:type="spellStart"/>
      <w:r w:rsidRPr="003571FD">
        <w:rPr>
          <w:rFonts w:ascii="Times New Roman" w:hAnsi="Times New Roman" w:cs="Times New Roman"/>
          <w:sz w:val="24"/>
          <w:lang w:val="es-US"/>
        </w:rPr>
        <w:t>conference</w:t>
      </w:r>
      <w:proofErr w:type="spellEnd"/>
      <w:r w:rsidRPr="003571FD">
        <w:rPr>
          <w:rFonts w:ascii="Times New Roman" w:hAnsi="Times New Roman" w:cs="Times New Roman"/>
          <w:sz w:val="24"/>
          <w:lang w:val="es-US"/>
        </w:rPr>
        <w:t xml:space="preserve">, (http://www.asfi.gob.bo/ASFI/Eventos/PrimerEncuentroFinanciero.aspx), La Paz, </w:t>
      </w:r>
      <w:proofErr w:type="spellStart"/>
      <w:r w:rsidRPr="003571FD">
        <w:rPr>
          <w:rFonts w:ascii="Times New Roman" w:hAnsi="Times New Roman" w:cs="Times New Roman"/>
          <w:sz w:val="24"/>
          <w:lang w:val="es-US"/>
        </w:rPr>
        <w:t>October</w:t>
      </w:r>
      <w:proofErr w:type="spellEnd"/>
      <w:r w:rsidRPr="003571FD">
        <w:rPr>
          <w:rFonts w:ascii="Times New Roman" w:hAnsi="Times New Roman" w:cs="Times New Roman"/>
          <w:sz w:val="24"/>
          <w:lang w:val="es-US"/>
        </w:rPr>
        <w:t xml:space="preserve"> 2010.</w:t>
      </w:r>
    </w:p>
    <w:p w:rsidR="001319F6" w:rsidRPr="003571FD" w:rsidRDefault="001319F6" w:rsidP="007C2030">
      <w:pPr>
        <w:rPr>
          <w:rFonts w:ascii="Times New Roman" w:hAnsi="Times New Roman" w:cs="Times New Roman"/>
          <w:sz w:val="24"/>
          <w:lang w:val="es-PA"/>
        </w:rPr>
      </w:pPr>
      <w:r w:rsidRPr="003571FD">
        <w:rPr>
          <w:rFonts w:ascii="Times New Roman" w:hAnsi="Times New Roman" w:cs="Times New Roman"/>
          <w:sz w:val="24"/>
          <w:lang w:val="es-US"/>
        </w:rPr>
        <w:t xml:space="preserve">Central Bank of Bolivia (2009a), “Informe mensual – Sistema de Pago Julio 2009. </w:t>
      </w:r>
      <w:r w:rsidRPr="003571FD">
        <w:rPr>
          <w:rFonts w:ascii="Times New Roman" w:hAnsi="Times New Roman" w:cs="Times New Roman"/>
          <w:sz w:val="24"/>
          <w:lang w:val="es-PA"/>
        </w:rPr>
        <w:t>Encuesta sobre uso de instrumentos de pago alternativos al efectivo en Bolivia”, La Paz, 2009</w:t>
      </w:r>
      <w:r w:rsidR="0058270C" w:rsidRPr="003571FD">
        <w:rPr>
          <w:rFonts w:ascii="Times New Roman" w:hAnsi="Times New Roman" w:cs="Times New Roman"/>
          <w:sz w:val="24"/>
          <w:lang w:val="es-PA"/>
        </w:rPr>
        <w:t>.</w:t>
      </w:r>
    </w:p>
    <w:p w:rsidR="001319F6" w:rsidRPr="003571FD" w:rsidRDefault="001319F6" w:rsidP="007C2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rPr>
      </w:pPr>
      <w:r w:rsidRPr="003571FD">
        <w:rPr>
          <w:rFonts w:ascii="Times New Roman" w:hAnsi="Times New Roman" w:cs="Times New Roman"/>
          <w:sz w:val="24"/>
        </w:rPr>
        <w:t>CEMLA, IADB and FOMIN (2010), “Program for Improving Central Bank Reporting and Procedures on Remittances”, Case Study on Bolivia, Mexico 2010.</w:t>
      </w:r>
    </w:p>
    <w:p w:rsidR="001319F6" w:rsidRPr="003571FD" w:rsidRDefault="001319F6" w:rsidP="007C20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rPr>
      </w:pPr>
    </w:p>
    <w:p w:rsidR="001319F6" w:rsidRPr="003571FD" w:rsidRDefault="001319F6" w:rsidP="007C2030">
      <w:pPr>
        <w:rPr>
          <w:rFonts w:ascii="Times New Roman" w:hAnsi="Times New Roman" w:cs="Times New Roman"/>
          <w:sz w:val="24"/>
          <w:lang w:val="es-PA"/>
        </w:rPr>
      </w:pPr>
      <w:r w:rsidRPr="003571FD">
        <w:rPr>
          <w:rFonts w:ascii="Times New Roman" w:hAnsi="Times New Roman" w:cs="Times New Roman"/>
          <w:sz w:val="24"/>
          <w:lang w:val="es-PA"/>
        </w:rPr>
        <w:t>Central Bank of Bolivia (2009b), “Informe mensual – Sistema de Pago Agosto 2009. Encuesta sobre pagos electrónicos al sistema financiera”, La Paz, 2009</w:t>
      </w:r>
      <w:r w:rsidR="0058270C" w:rsidRPr="003571FD">
        <w:rPr>
          <w:rFonts w:ascii="Times New Roman" w:hAnsi="Times New Roman" w:cs="Times New Roman"/>
          <w:sz w:val="24"/>
          <w:lang w:val="es-PA"/>
        </w:rPr>
        <w:t>.</w:t>
      </w:r>
    </w:p>
    <w:p w:rsidR="001319F6" w:rsidRPr="00CA190B" w:rsidRDefault="001319F6" w:rsidP="007C2030">
      <w:pPr>
        <w:rPr>
          <w:rFonts w:ascii="Times New Roman" w:hAnsi="Times New Roman" w:cs="Times New Roman"/>
          <w:sz w:val="24"/>
          <w:lang w:val="es-BO"/>
        </w:rPr>
      </w:pPr>
      <w:proofErr w:type="spellStart"/>
      <w:r w:rsidRPr="00CA190B">
        <w:rPr>
          <w:rFonts w:ascii="Times New Roman" w:hAnsi="Times New Roman" w:cs="Times New Roman"/>
          <w:sz w:val="24"/>
          <w:lang w:val="es-BO"/>
        </w:rPr>
        <w:t>Doing</w:t>
      </w:r>
      <w:proofErr w:type="spellEnd"/>
      <w:r w:rsidRPr="00CA190B">
        <w:rPr>
          <w:rFonts w:ascii="Times New Roman" w:hAnsi="Times New Roman" w:cs="Times New Roman"/>
          <w:sz w:val="24"/>
          <w:lang w:val="es-BO"/>
        </w:rPr>
        <w:t xml:space="preserve"> Business, </w:t>
      </w:r>
      <w:proofErr w:type="spellStart"/>
      <w:r w:rsidRPr="00CA190B">
        <w:rPr>
          <w:rFonts w:ascii="Times New Roman" w:hAnsi="Times New Roman" w:cs="Times New Roman"/>
          <w:sz w:val="24"/>
          <w:lang w:val="es-BO"/>
        </w:rPr>
        <w:t>annual</w:t>
      </w:r>
      <w:proofErr w:type="spellEnd"/>
      <w:r w:rsidRPr="00CA190B">
        <w:rPr>
          <w:rFonts w:ascii="Times New Roman" w:hAnsi="Times New Roman" w:cs="Times New Roman"/>
          <w:sz w:val="24"/>
          <w:lang w:val="es-BO"/>
        </w:rPr>
        <w:t xml:space="preserve"> </w:t>
      </w:r>
      <w:proofErr w:type="spellStart"/>
      <w:r w:rsidRPr="00CA190B">
        <w:rPr>
          <w:rFonts w:ascii="Times New Roman" w:hAnsi="Times New Roman" w:cs="Times New Roman"/>
          <w:sz w:val="24"/>
          <w:lang w:val="es-BO"/>
        </w:rPr>
        <w:t>reports</w:t>
      </w:r>
      <w:proofErr w:type="spellEnd"/>
      <w:r w:rsidRPr="00CA190B">
        <w:rPr>
          <w:rFonts w:ascii="Times New Roman" w:hAnsi="Times New Roman" w:cs="Times New Roman"/>
          <w:sz w:val="24"/>
          <w:lang w:val="es-BO"/>
        </w:rPr>
        <w:t xml:space="preserve"> 2005-2010</w:t>
      </w:r>
      <w:r w:rsidR="0058270C" w:rsidRPr="00CA190B">
        <w:rPr>
          <w:rFonts w:ascii="Times New Roman" w:hAnsi="Times New Roman" w:cs="Times New Roman"/>
          <w:sz w:val="24"/>
          <w:lang w:val="es-BO"/>
        </w:rPr>
        <w:t>.</w:t>
      </w:r>
    </w:p>
    <w:p w:rsidR="001319F6" w:rsidRPr="003571FD" w:rsidRDefault="00781E2F" w:rsidP="007C2030">
      <w:pPr>
        <w:rPr>
          <w:rFonts w:ascii="Times New Roman" w:hAnsi="Times New Roman" w:cs="Times New Roman"/>
          <w:sz w:val="24"/>
        </w:rPr>
      </w:pPr>
      <w:r w:rsidRPr="00CA190B">
        <w:rPr>
          <w:rFonts w:ascii="Times New Roman" w:hAnsi="Times New Roman" w:cs="Times New Roman"/>
          <w:sz w:val="24"/>
          <w:lang w:val="es-BO"/>
        </w:rPr>
        <w:t xml:space="preserve">Financiera </w:t>
      </w:r>
      <w:proofErr w:type="spellStart"/>
      <w:r w:rsidRPr="00CA190B">
        <w:rPr>
          <w:rFonts w:ascii="Times New Roman" w:hAnsi="Times New Roman" w:cs="Times New Roman"/>
          <w:sz w:val="24"/>
          <w:lang w:val="es-BO"/>
        </w:rPr>
        <w:t>Prodem</w:t>
      </w:r>
      <w:proofErr w:type="spellEnd"/>
      <w:r w:rsidRPr="00CA190B">
        <w:rPr>
          <w:rFonts w:ascii="Times New Roman" w:hAnsi="Times New Roman" w:cs="Times New Roman"/>
          <w:sz w:val="24"/>
          <w:lang w:val="es-BO"/>
        </w:rPr>
        <w:t xml:space="preserve"> (2003), “Rural </w:t>
      </w:r>
      <w:proofErr w:type="spellStart"/>
      <w:r w:rsidRPr="00CA190B">
        <w:rPr>
          <w:rFonts w:ascii="Times New Roman" w:hAnsi="Times New Roman" w:cs="Times New Roman"/>
          <w:sz w:val="24"/>
          <w:lang w:val="es-BO"/>
        </w:rPr>
        <w:t>Financial</w:t>
      </w:r>
      <w:proofErr w:type="spellEnd"/>
      <w:r w:rsidRPr="00CA190B">
        <w:rPr>
          <w:rFonts w:ascii="Times New Roman" w:hAnsi="Times New Roman" w:cs="Times New Roman"/>
          <w:sz w:val="24"/>
          <w:lang w:val="es-BO"/>
        </w:rPr>
        <w:t xml:space="preserve"> </w:t>
      </w:r>
      <w:proofErr w:type="spellStart"/>
      <w:r w:rsidRPr="00CA190B">
        <w:rPr>
          <w:rFonts w:ascii="Times New Roman" w:hAnsi="Times New Roman" w:cs="Times New Roman"/>
          <w:sz w:val="24"/>
          <w:lang w:val="es-BO"/>
        </w:rPr>
        <w:t>Institutions</w:t>
      </w:r>
      <w:proofErr w:type="spellEnd"/>
      <w:r w:rsidRPr="00CA190B">
        <w:rPr>
          <w:rFonts w:ascii="Times New Roman" w:hAnsi="Times New Roman" w:cs="Times New Roman"/>
          <w:sz w:val="24"/>
          <w:lang w:val="es-BO"/>
        </w:rPr>
        <w:t xml:space="preserve">: </w:t>
      </w:r>
      <w:proofErr w:type="spellStart"/>
      <w:r w:rsidRPr="00CA190B">
        <w:rPr>
          <w:rFonts w:ascii="Times New Roman" w:hAnsi="Times New Roman" w:cs="Times New Roman"/>
          <w:sz w:val="24"/>
          <w:lang w:val="es-BO"/>
        </w:rPr>
        <w:t>Savings</w:t>
      </w:r>
      <w:proofErr w:type="spellEnd"/>
      <w:r w:rsidRPr="00CA190B">
        <w:rPr>
          <w:rFonts w:ascii="Times New Roman" w:hAnsi="Times New Roman" w:cs="Times New Roman"/>
          <w:sz w:val="24"/>
          <w:lang w:val="es-BO"/>
        </w:rPr>
        <w:t xml:space="preserve"> </w:t>
      </w:r>
      <w:proofErr w:type="spellStart"/>
      <w:r w:rsidRPr="00CA190B">
        <w:rPr>
          <w:rFonts w:ascii="Times New Roman" w:hAnsi="Times New Roman" w:cs="Times New Roman"/>
          <w:sz w:val="24"/>
          <w:lang w:val="es-BO"/>
        </w:rPr>
        <w:t>Mobilization</w:t>
      </w:r>
      <w:proofErr w:type="spellEnd"/>
      <w:r w:rsidRPr="00CA190B">
        <w:rPr>
          <w:rFonts w:ascii="Times New Roman" w:hAnsi="Times New Roman" w:cs="Times New Roman"/>
          <w:sz w:val="24"/>
          <w:lang w:val="es-BO"/>
        </w:rPr>
        <w:t xml:space="preserve">. </w:t>
      </w:r>
      <w:r w:rsidR="001319F6" w:rsidRPr="003571FD">
        <w:rPr>
          <w:rFonts w:ascii="Times New Roman" w:hAnsi="Times New Roman" w:cs="Times New Roman"/>
          <w:sz w:val="24"/>
        </w:rPr>
        <w:t>The Bolivian Experience of the Prodem Private Financial Fund SA.”, Case Stud</w:t>
      </w:r>
      <w:r w:rsidR="00880D2A" w:rsidRPr="003571FD">
        <w:rPr>
          <w:rFonts w:ascii="Times New Roman" w:hAnsi="Times New Roman" w:cs="Times New Roman"/>
          <w:sz w:val="24"/>
        </w:rPr>
        <w:t>y supported by USAID and WOCCU</w:t>
      </w:r>
      <w:r w:rsidR="0058270C" w:rsidRPr="003571FD">
        <w:rPr>
          <w:rFonts w:ascii="Times New Roman" w:hAnsi="Times New Roman" w:cs="Times New Roman"/>
          <w:sz w:val="24"/>
        </w:rPr>
        <w:t>.</w:t>
      </w:r>
    </w:p>
    <w:p w:rsidR="001319F6" w:rsidRPr="003571FD" w:rsidRDefault="001319F6" w:rsidP="007C2030">
      <w:pPr>
        <w:rPr>
          <w:rFonts w:ascii="Times New Roman" w:hAnsi="Times New Roman" w:cs="Times New Roman"/>
          <w:sz w:val="24"/>
        </w:rPr>
      </w:pPr>
      <w:proofErr w:type="gramStart"/>
      <w:r w:rsidRPr="003571FD">
        <w:rPr>
          <w:rFonts w:ascii="Times New Roman" w:hAnsi="Times New Roman" w:cs="Times New Roman"/>
          <w:sz w:val="24"/>
        </w:rPr>
        <w:t>Heritage Foundation (2011), Annual Index of Economic Freedom</w:t>
      </w:r>
      <w:r w:rsidR="0058270C" w:rsidRPr="003571FD">
        <w:rPr>
          <w:rFonts w:ascii="Times New Roman" w:hAnsi="Times New Roman" w:cs="Times New Roman"/>
          <w:sz w:val="24"/>
        </w:rPr>
        <w:t>.</w:t>
      </w:r>
      <w:proofErr w:type="gramEnd"/>
    </w:p>
    <w:p w:rsidR="001319F6" w:rsidRPr="003571FD" w:rsidRDefault="001319F6" w:rsidP="007C2030">
      <w:pPr>
        <w:rPr>
          <w:rFonts w:ascii="Times New Roman" w:hAnsi="Times New Roman" w:cs="Times New Roman"/>
          <w:sz w:val="24"/>
          <w:lang w:val="es-PA"/>
        </w:rPr>
      </w:pPr>
      <w:r w:rsidRPr="003571FD">
        <w:rPr>
          <w:rFonts w:ascii="Times New Roman" w:hAnsi="Times New Roman" w:cs="Times New Roman"/>
          <w:sz w:val="24"/>
          <w:lang w:val="es-PA"/>
        </w:rPr>
        <w:t xml:space="preserve">IADB (2006), “Bolivia: </w:t>
      </w:r>
      <w:proofErr w:type="spellStart"/>
      <w:r w:rsidRPr="003571FD">
        <w:rPr>
          <w:rFonts w:ascii="Times New Roman" w:hAnsi="Times New Roman" w:cs="Times New Roman"/>
          <w:sz w:val="24"/>
          <w:lang w:val="es-PA"/>
        </w:rPr>
        <w:t>Situacion</w:t>
      </w:r>
      <w:proofErr w:type="spellEnd"/>
      <w:r w:rsidRPr="003571FD">
        <w:rPr>
          <w:rFonts w:ascii="Times New Roman" w:hAnsi="Times New Roman" w:cs="Times New Roman"/>
          <w:sz w:val="24"/>
          <w:lang w:val="es-PA"/>
        </w:rPr>
        <w:t xml:space="preserve"> y </w:t>
      </w:r>
      <w:proofErr w:type="spellStart"/>
      <w:r w:rsidRPr="003571FD">
        <w:rPr>
          <w:rFonts w:ascii="Times New Roman" w:hAnsi="Times New Roman" w:cs="Times New Roman"/>
          <w:sz w:val="24"/>
          <w:lang w:val="es-PA"/>
        </w:rPr>
        <w:t>perspective</w:t>
      </w:r>
      <w:proofErr w:type="spellEnd"/>
      <w:r w:rsidRPr="003571FD">
        <w:rPr>
          <w:rFonts w:ascii="Times New Roman" w:hAnsi="Times New Roman" w:cs="Times New Roman"/>
          <w:sz w:val="24"/>
          <w:lang w:val="es-PA"/>
        </w:rPr>
        <w:t xml:space="preserve"> de las </w:t>
      </w:r>
      <w:proofErr w:type="spellStart"/>
      <w:r w:rsidRPr="003571FD">
        <w:rPr>
          <w:rFonts w:ascii="Times New Roman" w:hAnsi="Times New Roman" w:cs="Times New Roman"/>
          <w:sz w:val="24"/>
          <w:lang w:val="es-PA"/>
        </w:rPr>
        <w:t>Mpymes</w:t>
      </w:r>
      <w:proofErr w:type="spellEnd"/>
      <w:r w:rsidRPr="003571FD">
        <w:rPr>
          <w:rFonts w:ascii="Times New Roman" w:hAnsi="Times New Roman" w:cs="Times New Roman"/>
          <w:sz w:val="24"/>
          <w:lang w:val="es-PA"/>
        </w:rPr>
        <w:t xml:space="preserve"> y su </w:t>
      </w:r>
      <w:proofErr w:type="spellStart"/>
      <w:r w:rsidRPr="003571FD">
        <w:rPr>
          <w:rFonts w:ascii="Times New Roman" w:hAnsi="Times New Roman" w:cs="Times New Roman"/>
          <w:sz w:val="24"/>
          <w:lang w:val="es-PA"/>
        </w:rPr>
        <w:t>contribucion</w:t>
      </w:r>
      <w:proofErr w:type="spellEnd"/>
      <w:r w:rsidRPr="003571FD">
        <w:rPr>
          <w:rFonts w:ascii="Times New Roman" w:hAnsi="Times New Roman" w:cs="Times New Roman"/>
          <w:sz w:val="24"/>
          <w:lang w:val="es-PA"/>
        </w:rPr>
        <w:t xml:space="preserve"> a la </w:t>
      </w:r>
      <w:proofErr w:type="spellStart"/>
      <w:r w:rsidRPr="003571FD">
        <w:rPr>
          <w:rFonts w:ascii="Times New Roman" w:hAnsi="Times New Roman" w:cs="Times New Roman"/>
          <w:sz w:val="24"/>
          <w:lang w:val="es-PA"/>
        </w:rPr>
        <w:t>economia</w:t>
      </w:r>
      <w:proofErr w:type="spellEnd"/>
      <w:r w:rsidRPr="003571FD">
        <w:rPr>
          <w:rFonts w:ascii="Times New Roman" w:hAnsi="Times New Roman" w:cs="Times New Roman"/>
          <w:sz w:val="24"/>
          <w:lang w:val="es-PA"/>
        </w:rPr>
        <w:t xml:space="preserve">”, Dionisos Borda and Julio </w:t>
      </w:r>
      <w:proofErr w:type="spellStart"/>
      <w:r w:rsidRPr="003571FD">
        <w:rPr>
          <w:rFonts w:ascii="Times New Roman" w:hAnsi="Times New Roman" w:cs="Times New Roman"/>
          <w:sz w:val="24"/>
          <w:lang w:val="es-PA"/>
        </w:rPr>
        <w:t>Ra</w:t>
      </w:r>
      <w:r w:rsidR="00880D2A" w:rsidRPr="003571FD">
        <w:rPr>
          <w:rFonts w:ascii="Times New Roman" w:hAnsi="Times New Roman" w:cs="Times New Roman"/>
          <w:sz w:val="24"/>
          <w:lang w:val="es-PA"/>
        </w:rPr>
        <w:t>mirez</w:t>
      </w:r>
      <w:proofErr w:type="spellEnd"/>
      <w:r w:rsidR="00880D2A" w:rsidRPr="003571FD">
        <w:rPr>
          <w:rFonts w:ascii="Times New Roman" w:hAnsi="Times New Roman" w:cs="Times New Roman"/>
          <w:sz w:val="24"/>
          <w:lang w:val="es-PA"/>
        </w:rPr>
        <w:t>, Washington DC, June 2006</w:t>
      </w:r>
      <w:r w:rsidR="0058270C" w:rsidRPr="003571FD">
        <w:rPr>
          <w:rFonts w:ascii="Times New Roman" w:hAnsi="Times New Roman" w:cs="Times New Roman"/>
          <w:sz w:val="24"/>
          <w:lang w:val="es-PA"/>
        </w:rPr>
        <w:t>.</w:t>
      </w:r>
    </w:p>
    <w:p w:rsidR="00B57F01" w:rsidRPr="003571FD" w:rsidRDefault="00B57F01" w:rsidP="007C2030">
      <w:pPr>
        <w:rPr>
          <w:rFonts w:ascii="Times New Roman" w:hAnsi="Times New Roman" w:cs="Times New Roman"/>
          <w:sz w:val="24"/>
        </w:rPr>
      </w:pPr>
      <w:r w:rsidRPr="003571FD">
        <w:rPr>
          <w:rFonts w:ascii="Times New Roman" w:hAnsi="Times New Roman" w:cs="Times New Roman"/>
          <w:sz w:val="24"/>
        </w:rPr>
        <w:t xml:space="preserve">IFC / </w:t>
      </w:r>
      <w:proofErr w:type="spellStart"/>
      <w:r w:rsidRPr="003571FD">
        <w:rPr>
          <w:rFonts w:ascii="Times New Roman" w:hAnsi="Times New Roman" w:cs="Times New Roman"/>
          <w:sz w:val="24"/>
        </w:rPr>
        <w:t>Microsave</w:t>
      </w:r>
      <w:proofErr w:type="spellEnd"/>
      <w:r w:rsidRPr="003571FD">
        <w:rPr>
          <w:rFonts w:ascii="Times New Roman" w:hAnsi="Times New Roman" w:cs="Times New Roman"/>
          <w:sz w:val="24"/>
        </w:rPr>
        <w:t>/ Ministry of Foreign Affairs (2011) “Deposit: Assessment in India”, Washington DC. 2001.</w:t>
      </w:r>
    </w:p>
    <w:p w:rsidR="00AF1B1B" w:rsidRPr="003571FD" w:rsidRDefault="00AF1B1B" w:rsidP="007C2030">
      <w:pPr>
        <w:rPr>
          <w:rFonts w:ascii="Times New Roman" w:hAnsi="Times New Roman" w:cs="Times New Roman"/>
          <w:sz w:val="24"/>
          <w:lang w:val="es-BO"/>
        </w:rPr>
      </w:pPr>
      <w:r w:rsidRPr="003571FD">
        <w:rPr>
          <w:rFonts w:ascii="Times New Roman" w:hAnsi="Times New Roman" w:cs="Times New Roman"/>
          <w:sz w:val="24"/>
          <w:lang w:val="es-BO"/>
        </w:rPr>
        <w:t xml:space="preserve">ILO (2011), “Bolivia: frente a la comercialización y la competencia en las microfinanzas, ¿qué rol deben tener las políticas públicas?”, Julio </w:t>
      </w:r>
      <w:proofErr w:type="spellStart"/>
      <w:r w:rsidRPr="003571FD">
        <w:rPr>
          <w:rFonts w:ascii="Times New Roman" w:hAnsi="Times New Roman" w:cs="Times New Roman"/>
          <w:sz w:val="24"/>
          <w:lang w:val="es-BO"/>
        </w:rPr>
        <w:t>Alem</w:t>
      </w:r>
      <w:proofErr w:type="spellEnd"/>
      <w:r w:rsidRPr="003571FD">
        <w:rPr>
          <w:rFonts w:ascii="Times New Roman" w:hAnsi="Times New Roman" w:cs="Times New Roman"/>
          <w:sz w:val="24"/>
          <w:lang w:val="es-BO"/>
        </w:rPr>
        <w:t xml:space="preserve"> Rojo, Carlos Foronda and Ricardo Nogales, in “Microfinanzas y políticas públicas”.</w:t>
      </w:r>
    </w:p>
    <w:p w:rsidR="001319F6" w:rsidRPr="003571FD" w:rsidRDefault="001319F6" w:rsidP="007C2030">
      <w:pPr>
        <w:rPr>
          <w:rFonts w:ascii="Times New Roman" w:hAnsi="Times New Roman" w:cs="Times New Roman"/>
          <w:sz w:val="24"/>
        </w:rPr>
      </w:pPr>
      <w:proofErr w:type="gramStart"/>
      <w:r w:rsidRPr="003571FD">
        <w:rPr>
          <w:rFonts w:ascii="Times New Roman" w:hAnsi="Times New Roman" w:cs="Times New Roman"/>
          <w:sz w:val="24"/>
        </w:rPr>
        <w:t>INE (2001), Demographic survey</w:t>
      </w:r>
      <w:r w:rsidR="0058270C" w:rsidRPr="003571FD">
        <w:rPr>
          <w:rFonts w:ascii="Times New Roman" w:hAnsi="Times New Roman" w:cs="Times New Roman"/>
          <w:sz w:val="24"/>
        </w:rPr>
        <w:t>.</w:t>
      </w:r>
      <w:proofErr w:type="gramEnd"/>
    </w:p>
    <w:p w:rsidR="001319F6" w:rsidRPr="003571FD" w:rsidRDefault="001319F6" w:rsidP="007C2030">
      <w:pPr>
        <w:rPr>
          <w:rFonts w:ascii="Times New Roman" w:hAnsi="Times New Roman" w:cs="Times New Roman"/>
          <w:sz w:val="24"/>
        </w:rPr>
      </w:pPr>
      <w:r w:rsidRPr="003571FD">
        <w:rPr>
          <w:rFonts w:ascii="Times New Roman" w:hAnsi="Times New Roman" w:cs="Times New Roman"/>
          <w:sz w:val="24"/>
        </w:rPr>
        <w:t>INE (2009 and 2010), Labor Market Statistics</w:t>
      </w:r>
      <w:r w:rsidR="0058270C" w:rsidRPr="003571FD">
        <w:rPr>
          <w:rFonts w:ascii="Times New Roman" w:hAnsi="Times New Roman" w:cs="Times New Roman"/>
          <w:sz w:val="24"/>
        </w:rPr>
        <w:t>.</w:t>
      </w:r>
    </w:p>
    <w:p w:rsidR="001319F6" w:rsidRPr="003571FD" w:rsidRDefault="001319F6" w:rsidP="007C2030">
      <w:pPr>
        <w:rPr>
          <w:rFonts w:ascii="Times New Roman" w:hAnsi="Times New Roman" w:cs="Times New Roman"/>
          <w:sz w:val="24"/>
        </w:rPr>
      </w:pPr>
      <w:r w:rsidRPr="003571FD">
        <w:rPr>
          <w:rFonts w:ascii="Times New Roman" w:hAnsi="Times New Roman" w:cs="Times New Roman"/>
          <w:sz w:val="24"/>
        </w:rPr>
        <w:t xml:space="preserve">The Mix / IADB and FOMIN (2010), “Microfinance Americas: The top 100”, Washington, DC. </w:t>
      </w:r>
    </w:p>
    <w:p w:rsidR="001319F6" w:rsidRPr="003571FD" w:rsidRDefault="001319F6" w:rsidP="007C2030">
      <w:pPr>
        <w:rPr>
          <w:rFonts w:ascii="Times New Roman" w:hAnsi="Times New Roman" w:cs="Times New Roman"/>
          <w:sz w:val="24"/>
          <w:lang w:val="es-PA"/>
        </w:rPr>
      </w:pPr>
      <w:r w:rsidRPr="003571FD">
        <w:rPr>
          <w:rFonts w:ascii="Times New Roman" w:hAnsi="Times New Roman" w:cs="Times New Roman"/>
          <w:sz w:val="24"/>
          <w:lang w:val="es-PA"/>
        </w:rPr>
        <w:t xml:space="preserve">Saavedra </w:t>
      </w:r>
      <w:proofErr w:type="spellStart"/>
      <w:r w:rsidRPr="003571FD">
        <w:rPr>
          <w:rFonts w:ascii="Times New Roman" w:hAnsi="Times New Roman" w:cs="Times New Roman"/>
          <w:sz w:val="24"/>
          <w:lang w:val="es-PA"/>
        </w:rPr>
        <w:t>Garcia</w:t>
      </w:r>
      <w:proofErr w:type="spellEnd"/>
      <w:r w:rsidRPr="003571FD">
        <w:rPr>
          <w:rFonts w:ascii="Times New Roman" w:hAnsi="Times New Roman" w:cs="Times New Roman"/>
          <w:sz w:val="24"/>
          <w:lang w:val="es-PA"/>
        </w:rPr>
        <w:t xml:space="preserve">, Moreno Uribe, </w:t>
      </w:r>
      <w:proofErr w:type="spellStart"/>
      <w:r w:rsidRPr="003571FD">
        <w:rPr>
          <w:rFonts w:ascii="Times New Roman" w:hAnsi="Times New Roman" w:cs="Times New Roman"/>
          <w:sz w:val="24"/>
          <w:lang w:val="es-PA"/>
        </w:rPr>
        <w:t>Hernandez</w:t>
      </w:r>
      <w:proofErr w:type="spellEnd"/>
      <w:r w:rsidRPr="003571FD">
        <w:rPr>
          <w:rFonts w:ascii="Times New Roman" w:hAnsi="Times New Roman" w:cs="Times New Roman"/>
          <w:sz w:val="24"/>
          <w:lang w:val="es-PA"/>
        </w:rPr>
        <w:t xml:space="preserve"> Callejas (2008), “</w:t>
      </w:r>
      <w:proofErr w:type="spellStart"/>
      <w:r w:rsidRPr="003571FD">
        <w:rPr>
          <w:rFonts w:ascii="Times New Roman" w:hAnsi="Times New Roman" w:cs="Times New Roman"/>
          <w:sz w:val="24"/>
          <w:lang w:val="es-PA"/>
        </w:rPr>
        <w:t>Caracterisacion</w:t>
      </w:r>
      <w:proofErr w:type="spellEnd"/>
      <w:r w:rsidRPr="003571FD">
        <w:rPr>
          <w:rFonts w:ascii="Times New Roman" w:hAnsi="Times New Roman" w:cs="Times New Roman"/>
          <w:sz w:val="24"/>
          <w:lang w:val="es-PA"/>
        </w:rPr>
        <w:t xml:space="preserve"> de las </w:t>
      </w:r>
      <w:proofErr w:type="spellStart"/>
      <w:r w:rsidRPr="003571FD">
        <w:rPr>
          <w:rFonts w:ascii="Times New Roman" w:hAnsi="Times New Roman" w:cs="Times New Roman"/>
          <w:sz w:val="24"/>
          <w:lang w:val="es-PA"/>
        </w:rPr>
        <w:t>Mipymes</w:t>
      </w:r>
      <w:proofErr w:type="spellEnd"/>
      <w:r w:rsidRPr="003571FD">
        <w:rPr>
          <w:rFonts w:ascii="Times New Roman" w:hAnsi="Times New Roman" w:cs="Times New Roman"/>
          <w:sz w:val="24"/>
          <w:lang w:val="es-PA"/>
        </w:rPr>
        <w:t xml:space="preserve"> en </w:t>
      </w:r>
      <w:proofErr w:type="spellStart"/>
      <w:r w:rsidRPr="003571FD">
        <w:rPr>
          <w:rFonts w:ascii="Times New Roman" w:hAnsi="Times New Roman" w:cs="Times New Roman"/>
          <w:sz w:val="24"/>
          <w:lang w:val="es-PA"/>
        </w:rPr>
        <w:t>America</w:t>
      </w:r>
      <w:proofErr w:type="spellEnd"/>
      <w:r w:rsidRPr="003571FD">
        <w:rPr>
          <w:rFonts w:ascii="Times New Roman" w:hAnsi="Times New Roman" w:cs="Times New Roman"/>
          <w:sz w:val="24"/>
          <w:lang w:val="es-PA"/>
        </w:rPr>
        <w:t xml:space="preserve"> Latina: Un estudio comparativa”, Revista International La nueva gestión organizacional, </w:t>
      </w:r>
      <w:r w:rsidR="00880D2A" w:rsidRPr="003571FD">
        <w:rPr>
          <w:rFonts w:ascii="Times New Roman" w:hAnsi="Times New Roman" w:cs="Times New Roman"/>
          <w:sz w:val="24"/>
          <w:lang w:val="es-PA"/>
        </w:rPr>
        <w:t xml:space="preserve">N. 07, </w:t>
      </w:r>
      <w:proofErr w:type="spellStart"/>
      <w:r w:rsidR="00880D2A" w:rsidRPr="003571FD">
        <w:rPr>
          <w:rFonts w:ascii="Times New Roman" w:hAnsi="Times New Roman" w:cs="Times New Roman"/>
          <w:sz w:val="24"/>
          <w:lang w:val="es-PA"/>
        </w:rPr>
        <w:t>July</w:t>
      </w:r>
      <w:proofErr w:type="spellEnd"/>
      <w:r w:rsidR="00880D2A" w:rsidRPr="003571FD">
        <w:rPr>
          <w:rFonts w:ascii="Times New Roman" w:hAnsi="Times New Roman" w:cs="Times New Roman"/>
          <w:sz w:val="24"/>
          <w:lang w:val="es-PA"/>
        </w:rPr>
        <w:t xml:space="preserve"> / </w:t>
      </w:r>
      <w:proofErr w:type="spellStart"/>
      <w:r w:rsidR="00880D2A" w:rsidRPr="003571FD">
        <w:rPr>
          <w:rFonts w:ascii="Times New Roman" w:hAnsi="Times New Roman" w:cs="Times New Roman"/>
          <w:sz w:val="24"/>
          <w:lang w:val="es-PA"/>
        </w:rPr>
        <w:t>December</w:t>
      </w:r>
      <w:proofErr w:type="spellEnd"/>
      <w:r w:rsidR="00880D2A" w:rsidRPr="003571FD">
        <w:rPr>
          <w:rFonts w:ascii="Times New Roman" w:hAnsi="Times New Roman" w:cs="Times New Roman"/>
          <w:sz w:val="24"/>
          <w:lang w:val="es-PA"/>
        </w:rPr>
        <w:t xml:space="preserve"> 2008</w:t>
      </w:r>
      <w:r w:rsidR="0058270C" w:rsidRPr="003571FD">
        <w:rPr>
          <w:rFonts w:ascii="Times New Roman" w:hAnsi="Times New Roman" w:cs="Times New Roman"/>
          <w:sz w:val="24"/>
          <w:lang w:val="es-PA"/>
        </w:rPr>
        <w:t>.</w:t>
      </w:r>
    </w:p>
    <w:p w:rsidR="001319F6" w:rsidRPr="003571FD" w:rsidRDefault="001319F6" w:rsidP="007C2030">
      <w:pPr>
        <w:rPr>
          <w:rFonts w:ascii="Times New Roman" w:hAnsi="Times New Roman" w:cs="Times New Roman"/>
          <w:sz w:val="24"/>
          <w:lang w:val="es-PA"/>
        </w:rPr>
      </w:pPr>
      <w:r w:rsidRPr="003571FD">
        <w:rPr>
          <w:rFonts w:ascii="Times New Roman" w:hAnsi="Times New Roman" w:cs="Times New Roman"/>
          <w:sz w:val="24"/>
          <w:lang w:val="es-PA"/>
        </w:rPr>
        <w:lastRenderedPageBreak/>
        <w:t xml:space="preserve">Western </w:t>
      </w:r>
      <w:proofErr w:type="spellStart"/>
      <w:r w:rsidRPr="003571FD">
        <w:rPr>
          <w:rFonts w:ascii="Times New Roman" w:hAnsi="Times New Roman" w:cs="Times New Roman"/>
          <w:sz w:val="24"/>
          <w:lang w:val="es-PA"/>
        </w:rPr>
        <w:t>Hemisphere</w:t>
      </w:r>
      <w:proofErr w:type="spellEnd"/>
      <w:r w:rsidRPr="003571FD">
        <w:rPr>
          <w:rFonts w:ascii="Times New Roman" w:hAnsi="Times New Roman" w:cs="Times New Roman"/>
          <w:sz w:val="24"/>
          <w:lang w:val="es-PA"/>
        </w:rPr>
        <w:t xml:space="preserve"> </w:t>
      </w:r>
      <w:proofErr w:type="spellStart"/>
      <w:r w:rsidRPr="003571FD">
        <w:rPr>
          <w:rFonts w:ascii="Times New Roman" w:hAnsi="Times New Roman" w:cs="Times New Roman"/>
          <w:sz w:val="24"/>
          <w:lang w:val="es-PA"/>
        </w:rPr>
        <w:t>Credit</w:t>
      </w:r>
      <w:proofErr w:type="spellEnd"/>
      <w:r w:rsidRPr="003571FD">
        <w:rPr>
          <w:rFonts w:ascii="Times New Roman" w:hAnsi="Times New Roman" w:cs="Times New Roman"/>
          <w:sz w:val="24"/>
          <w:lang w:val="es-PA"/>
        </w:rPr>
        <w:t xml:space="preserve"> and Loan </w:t>
      </w:r>
      <w:proofErr w:type="spellStart"/>
      <w:r w:rsidRPr="003571FD">
        <w:rPr>
          <w:rFonts w:ascii="Times New Roman" w:hAnsi="Times New Roman" w:cs="Times New Roman"/>
          <w:sz w:val="24"/>
          <w:lang w:val="es-PA"/>
        </w:rPr>
        <w:t>Reporting</w:t>
      </w:r>
      <w:proofErr w:type="spellEnd"/>
      <w:r w:rsidRPr="003571FD">
        <w:rPr>
          <w:rFonts w:ascii="Times New Roman" w:hAnsi="Times New Roman" w:cs="Times New Roman"/>
          <w:sz w:val="24"/>
          <w:lang w:val="es-PA"/>
        </w:rPr>
        <w:t xml:space="preserve"> </w:t>
      </w:r>
      <w:proofErr w:type="spellStart"/>
      <w:r w:rsidRPr="003571FD">
        <w:rPr>
          <w:rFonts w:ascii="Times New Roman" w:hAnsi="Times New Roman" w:cs="Times New Roman"/>
          <w:sz w:val="24"/>
          <w:lang w:val="es-PA"/>
        </w:rPr>
        <w:t>Initiative</w:t>
      </w:r>
      <w:proofErr w:type="spellEnd"/>
      <w:r w:rsidRPr="003571FD">
        <w:rPr>
          <w:rFonts w:ascii="Times New Roman" w:hAnsi="Times New Roman" w:cs="Times New Roman"/>
          <w:sz w:val="24"/>
          <w:lang w:val="es-PA"/>
        </w:rPr>
        <w:t xml:space="preserve">, (2011), </w:t>
      </w:r>
      <w:proofErr w:type="spellStart"/>
      <w:r w:rsidRPr="003571FD">
        <w:rPr>
          <w:rFonts w:ascii="Times New Roman" w:hAnsi="Times New Roman" w:cs="Times New Roman"/>
          <w:sz w:val="24"/>
          <w:lang w:val="es-PA"/>
        </w:rPr>
        <w:t>Evaluacion</w:t>
      </w:r>
      <w:proofErr w:type="spellEnd"/>
      <w:r w:rsidRPr="003571FD">
        <w:rPr>
          <w:rFonts w:ascii="Times New Roman" w:hAnsi="Times New Roman" w:cs="Times New Roman"/>
          <w:sz w:val="24"/>
          <w:lang w:val="es-PA"/>
        </w:rPr>
        <w:t xml:space="preserve"> y comentarios a los sistemas de reporte de prestamos bancarios y créditos de Bolivia, Washington, </w:t>
      </w:r>
      <w:proofErr w:type="spellStart"/>
      <w:r w:rsidRPr="003571FD">
        <w:rPr>
          <w:rFonts w:ascii="Times New Roman" w:hAnsi="Times New Roman" w:cs="Times New Roman"/>
          <w:sz w:val="24"/>
          <w:lang w:val="es-PA"/>
        </w:rPr>
        <w:t>January</w:t>
      </w:r>
      <w:proofErr w:type="spellEnd"/>
      <w:r w:rsidRPr="003571FD">
        <w:rPr>
          <w:rFonts w:ascii="Times New Roman" w:hAnsi="Times New Roman" w:cs="Times New Roman"/>
          <w:sz w:val="24"/>
          <w:lang w:val="es-PA"/>
        </w:rPr>
        <w:t xml:space="preserve"> 2011.</w:t>
      </w:r>
    </w:p>
    <w:p w:rsidR="001319F6" w:rsidRPr="003571FD" w:rsidRDefault="00B57F01" w:rsidP="007C2030">
      <w:pPr>
        <w:rPr>
          <w:rFonts w:ascii="Times New Roman" w:hAnsi="Times New Roman" w:cs="Times New Roman"/>
          <w:sz w:val="24"/>
        </w:rPr>
      </w:pPr>
      <w:r w:rsidRPr="003571FD">
        <w:rPr>
          <w:rFonts w:ascii="Times New Roman" w:hAnsi="Times New Roman" w:cs="Times New Roman"/>
          <w:sz w:val="24"/>
        </w:rPr>
        <w:t>World Bank</w:t>
      </w:r>
      <w:r w:rsidR="001319F6" w:rsidRPr="003571FD">
        <w:rPr>
          <w:rFonts w:ascii="Times New Roman" w:hAnsi="Times New Roman" w:cs="Times New Roman"/>
          <w:sz w:val="24"/>
        </w:rPr>
        <w:t xml:space="preserve"> (2006), Enterprise Survey for Bolivia</w:t>
      </w:r>
      <w:r w:rsidR="0058270C" w:rsidRPr="003571FD">
        <w:rPr>
          <w:rFonts w:ascii="Times New Roman" w:hAnsi="Times New Roman" w:cs="Times New Roman"/>
          <w:sz w:val="24"/>
        </w:rPr>
        <w:t>.</w:t>
      </w:r>
    </w:p>
    <w:p w:rsidR="001319F6" w:rsidRPr="003571FD" w:rsidRDefault="00B57F01" w:rsidP="007C2030">
      <w:pPr>
        <w:rPr>
          <w:rFonts w:ascii="Times New Roman" w:hAnsi="Times New Roman" w:cs="Times New Roman"/>
          <w:sz w:val="24"/>
          <w:lang w:val="es-PA"/>
        </w:rPr>
      </w:pPr>
      <w:proofErr w:type="spellStart"/>
      <w:r w:rsidRPr="003571FD">
        <w:rPr>
          <w:rFonts w:ascii="Times New Roman" w:hAnsi="Times New Roman" w:cs="Times New Roman"/>
          <w:sz w:val="24"/>
          <w:lang w:val="es-PA"/>
        </w:rPr>
        <w:t>World</w:t>
      </w:r>
      <w:proofErr w:type="spellEnd"/>
      <w:r w:rsidRPr="003571FD">
        <w:rPr>
          <w:rFonts w:ascii="Times New Roman" w:hAnsi="Times New Roman" w:cs="Times New Roman"/>
          <w:sz w:val="24"/>
          <w:lang w:val="es-PA"/>
        </w:rPr>
        <w:t xml:space="preserve"> Bank</w:t>
      </w:r>
      <w:r w:rsidR="001319F6" w:rsidRPr="003571FD">
        <w:rPr>
          <w:rFonts w:ascii="Times New Roman" w:hAnsi="Times New Roman" w:cs="Times New Roman"/>
          <w:sz w:val="24"/>
          <w:lang w:val="es-PA"/>
        </w:rPr>
        <w:t xml:space="preserve"> (2007), “Bolivia - </w:t>
      </w:r>
      <w:proofErr w:type="spellStart"/>
      <w:r w:rsidR="001319F6" w:rsidRPr="003571FD">
        <w:rPr>
          <w:rFonts w:ascii="Times New Roman" w:hAnsi="Times New Roman" w:cs="Times New Roman"/>
          <w:sz w:val="24"/>
          <w:lang w:val="es-PA"/>
        </w:rPr>
        <w:t>Politicas</w:t>
      </w:r>
      <w:proofErr w:type="spellEnd"/>
      <w:r w:rsidR="001319F6" w:rsidRPr="003571FD">
        <w:rPr>
          <w:rFonts w:ascii="Times New Roman" w:hAnsi="Times New Roman" w:cs="Times New Roman"/>
          <w:sz w:val="24"/>
          <w:lang w:val="es-PA"/>
        </w:rPr>
        <w:t xml:space="preserve"> para incrementar la formalidad y productividad de las empresas”, Washington DC, June 2007</w:t>
      </w:r>
      <w:r w:rsidR="0058270C" w:rsidRPr="003571FD">
        <w:rPr>
          <w:rFonts w:ascii="Times New Roman" w:hAnsi="Times New Roman" w:cs="Times New Roman"/>
          <w:sz w:val="24"/>
          <w:lang w:val="es-PA"/>
        </w:rPr>
        <w:t>.</w:t>
      </w:r>
    </w:p>
    <w:p w:rsidR="00A229CE" w:rsidRPr="003571FD" w:rsidRDefault="00A229CE" w:rsidP="007C2030">
      <w:pPr>
        <w:rPr>
          <w:rFonts w:ascii="Times New Roman" w:hAnsi="Times New Roman" w:cs="Times New Roman"/>
          <w:sz w:val="24"/>
        </w:rPr>
      </w:pPr>
      <w:r w:rsidRPr="003571FD">
        <w:rPr>
          <w:rFonts w:ascii="Times New Roman" w:hAnsi="Times New Roman" w:cs="Times New Roman"/>
          <w:sz w:val="24"/>
        </w:rPr>
        <w:t xml:space="preserve">World Bank (2007), “Finance for all - Policies and Pitfalls in Expanding Access”, Thorsten Beck, </w:t>
      </w:r>
      <w:proofErr w:type="spellStart"/>
      <w:r w:rsidRPr="003571FD">
        <w:rPr>
          <w:rFonts w:ascii="Times New Roman" w:hAnsi="Times New Roman" w:cs="Times New Roman"/>
          <w:sz w:val="24"/>
        </w:rPr>
        <w:t>Asli</w:t>
      </w:r>
      <w:proofErr w:type="spellEnd"/>
      <w:r w:rsidRPr="003571FD">
        <w:rPr>
          <w:rFonts w:ascii="Times New Roman" w:hAnsi="Times New Roman" w:cs="Times New Roman"/>
          <w:sz w:val="24"/>
        </w:rPr>
        <w:t xml:space="preserve"> </w:t>
      </w:r>
      <w:proofErr w:type="spellStart"/>
      <w:r w:rsidRPr="003571FD">
        <w:rPr>
          <w:rFonts w:ascii="Times New Roman" w:hAnsi="Times New Roman" w:cs="Times New Roman"/>
          <w:sz w:val="24"/>
        </w:rPr>
        <w:t>Demirgüç-Kunt</w:t>
      </w:r>
      <w:proofErr w:type="spellEnd"/>
      <w:r w:rsidRPr="003571FD">
        <w:rPr>
          <w:rFonts w:ascii="Times New Roman" w:hAnsi="Times New Roman" w:cs="Times New Roman"/>
          <w:sz w:val="24"/>
        </w:rPr>
        <w:t xml:space="preserve"> and Patrick </w:t>
      </w:r>
      <w:proofErr w:type="spellStart"/>
      <w:r w:rsidRPr="003571FD">
        <w:rPr>
          <w:rFonts w:ascii="Times New Roman" w:hAnsi="Times New Roman" w:cs="Times New Roman"/>
          <w:sz w:val="24"/>
        </w:rPr>
        <w:t>Honohan</w:t>
      </w:r>
      <w:proofErr w:type="spellEnd"/>
      <w:r w:rsidRPr="003571FD">
        <w:rPr>
          <w:rFonts w:ascii="Times New Roman" w:hAnsi="Times New Roman" w:cs="Times New Roman"/>
          <w:sz w:val="24"/>
        </w:rPr>
        <w:t>, Washington DC, 2007.</w:t>
      </w:r>
    </w:p>
    <w:p w:rsidR="00F01B8D" w:rsidRPr="003571FD" w:rsidRDefault="00B57F01" w:rsidP="007C2030">
      <w:pPr>
        <w:rPr>
          <w:rFonts w:ascii="Times New Roman" w:hAnsi="Times New Roman" w:cs="Times New Roman"/>
          <w:sz w:val="24"/>
        </w:rPr>
      </w:pPr>
      <w:proofErr w:type="gramStart"/>
      <w:r w:rsidRPr="003571FD">
        <w:rPr>
          <w:rFonts w:ascii="Times New Roman" w:hAnsi="Times New Roman" w:cs="Times New Roman"/>
          <w:sz w:val="24"/>
        </w:rPr>
        <w:t>World Bank</w:t>
      </w:r>
      <w:r w:rsidR="001319F6" w:rsidRPr="003571FD">
        <w:rPr>
          <w:rFonts w:ascii="Times New Roman" w:hAnsi="Times New Roman" w:cs="Times New Roman"/>
          <w:sz w:val="24"/>
        </w:rPr>
        <w:t xml:space="preserve"> (2010), </w:t>
      </w:r>
      <w:r w:rsidR="007C2030" w:rsidRPr="003571FD">
        <w:rPr>
          <w:rFonts w:ascii="Times New Roman" w:hAnsi="Times New Roman" w:cs="Times New Roman"/>
          <w:sz w:val="24"/>
        </w:rPr>
        <w:t>“</w:t>
      </w:r>
      <w:r w:rsidR="001319F6" w:rsidRPr="003571FD">
        <w:rPr>
          <w:rFonts w:ascii="Times New Roman" w:hAnsi="Times New Roman" w:cs="Times New Roman"/>
          <w:sz w:val="24"/>
        </w:rPr>
        <w:t>Secured transaction regimes and collateral registries</w:t>
      </w:r>
      <w:r w:rsidR="007C2030" w:rsidRPr="003571FD">
        <w:rPr>
          <w:rFonts w:ascii="Times New Roman" w:hAnsi="Times New Roman" w:cs="Times New Roman"/>
          <w:sz w:val="24"/>
        </w:rPr>
        <w:t>”</w:t>
      </w:r>
      <w:r w:rsidR="001319F6" w:rsidRPr="003571FD">
        <w:rPr>
          <w:rFonts w:ascii="Times New Roman" w:hAnsi="Times New Roman" w:cs="Times New Roman"/>
          <w:sz w:val="24"/>
        </w:rPr>
        <w:t>, Washington DC, January 2010</w:t>
      </w:r>
      <w:r w:rsidR="0058270C" w:rsidRPr="003571FD">
        <w:rPr>
          <w:rFonts w:ascii="Times New Roman" w:hAnsi="Times New Roman" w:cs="Times New Roman"/>
          <w:sz w:val="24"/>
        </w:rPr>
        <w:t>.</w:t>
      </w:r>
      <w:proofErr w:type="gramEnd"/>
    </w:p>
    <w:p w:rsidR="007C2030" w:rsidRPr="003571FD" w:rsidRDefault="007C2030" w:rsidP="007C2030">
      <w:pPr>
        <w:rPr>
          <w:rFonts w:ascii="Times New Roman" w:hAnsi="Times New Roman" w:cs="Times New Roman"/>
          <w:sz w:val="24"/>
          <w:lang w:val="es-PA"/>
        </w:rPr>
      </w:pPr>
      <w:proofErr w:type="spellStart"/>
      <w:r w:rsidRPr="003571FD">
        <w:rPr>
          <w:rFonts w:ascii="Times New Roman" w:hAnsi="Times New Roman" w:cs="Times New Roman"/>
          <w:sz w:val="24"/>
          <w:lang w:val="es-PA"/>
        </w:rPr>
        <w:t>World</w:t>
      </w:r>
      <w:proofErr w:type="spellEnd"/>
      <w:r w:rsidRPr="003571FD">
        <w:rPr>
          <w:rFonts w:ascii="Times New Roman" w:hAnsi="Times New Roman" w:cs="Times New Roman"/>
          <w:sz w:val="24"/>
          <w:lang w:val="es-PA"/>
        </w:rPr>
        <w:t xml:space="preserve"> Bank (2011), “Las Cooperativas Societarias en el marco regulatorio de Bolivia”, </w:t>
      </w:r>
      <w:proofErr w:type="spellStart"/>
      <w:r w:rsidRPr="003571FD">
        <w:rPr>
          <w:rFonts w:ascii="Times New Roman" w:hAnsi="Times New Roman" w:cs="Times New Roman"/>
          <w:sz w:val="24"/>
          <w:lang w:val="es-PA"/>
        </w:rPr>
        <w:t>forthcoming</w:t>
      </w:r>
      <w:proofErr w:type="spellEnd"/>
      <w:r w:rsidRPr="003571FD">
        <w:rPr>
          <w:rFonts w:ascii="Times New Roman" w:hAnsi="Times New Roman" w:cs="Times New Roman"/>
          <w:sz w:val="24"/>
          <w:lang w:val="es-PA"/>
        </w:rPr>
        <w:t xml:space="preserve">. </w:t>
      </w:r>
    </w:p>
    <w:p w:rsidR="00A229CE" w:rsidRPr="003571FD" w:rsidRDefault="00A229CE" w:rsidP="007C2030">
      <w:pPr>
        <w:rPr>
          <w:rFonts w:ascii="Times New Roman" w:hAnsi="Times New Roman" w:cs="Times New Roman"/>
          <w:sz w:val="24"/>
          <w:lang w:val="es-PA"/>
        </w:rPr>
        <w:sectPr w:rsidR="00A229CE" w:rsidRPr="003571FD" w:rsidSect="00634D54">
          <w:pgSz w:w="12240" w:h="15840"/>
          <w:pgMar w:top="1440" w:right="1440" w:bottom="1350" w:left="1440" w:header="720" w:footer="720" w:gutter="0"/>
          <w:pgNumType w:start="1"/>
          <w:cols w:space="720"/>
          <w:titlePg/>
          <w:docGrid w:linePitch="360"/>
        </w:sectPr>
      </w:pPr>
    </w:p>
    <w:p w:rsidR="00F01B8D" w:rsidRPr="003571FD" w:rsidRDefault="00F01B8D" w:rsidP="00F01B8D">
      <w:pPr>
        <w:jc w:val="center"/>
        <w:rPr>
          <w:rFonts w:ascii="Times New Roman" w:hAnsi="Times New Roman" w:cs="Times New Roman"/>
          <w:b/>
          <w:sz w:val="28"/>
        </w:rPr>
      </w:pPr>
      <w:r w:rsidRPr="003571FD">
        <w:rPr>
          <w:rFonts w:ascii="Times New Roman" w:hAnsi="Times New Roman" w:cs="Times New Roman"/>
          <w:b/>
          <w:sz w:val="28"/>
        </w:rPr>
        <w:lastRenderedPageBreak/>
        <w:t>Annex I</w:t>
      </w:r>
    </w:p>
    <w:p w:rsidR="00654888" w:rsidRPr="003571FD" w:rsidRDefault="009D2A43" w:rsidP="00EF773C">
      <w:pPr>
        <w:jc w:val="both"/>
        <w:rPr>
          <w:rFonts w:ascii="Times New Roman" w:eastAsiaTheme="majorEastAsia" w:hAnsi="Times New Roman" w:cs="Times New Roman"/>
          <w:bCs/>
          <w:i/>
          <w:sz w:val="18"/>
          <w:szCs w:val="28"/>
        </w:rPr>
      </w:pPr>
      <w:r w:rsidRPr="003571FD">
        <w:rPr>
          <w:noProof/>
          <w:szCs w:val="28"/>
        </w:rPr>
        <w:drawing>
          <wp:inline distT="0" distB="0" distL="0" distR="0">
            <wp:extent cx="9086850" cy="5012286"/>
            <wp:effectExtent l="0" t="0" r="0" b="0"/>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9086850" cy="5012286"/>
                    </a:xfrm>
                    <a:prstGeom prst="rect">
                      <a:avLst/>
                    </a:prstGeom>
                    <a:noFill/>
                    <a:ln w="9525">
                      <a:noFill/>
                      <a:miter lim="800000"/>
                      <a:headEnd/>
                      <a:tailEnd/>
                    </a:ln>
                  </pic:spPr>
                </pic:pic>
              </a:graphicData>
            </a:graphic>
          </wp:inline>
        </w:drawing>
      </w:r>
    </w:p>
    <w:p w:rsidR="001319F6" w:rsidRPr="00654888" w:rsidRDefault="00654888" w:rsidP="00654888">
      <w:pPr>
        <w:jc w:val="both"/>
        <w:rPr>
          <w:rFonts w:ascii="Times New Roman" w:eastAsiaTheme="majorEastAsia" w:hAnsi="Times New Roman" w:cs="Times New Roman"/>
          <w:i/>
          <w:sz w:val="18"/>
          <w:szCs w:val="24"/>
        </w:rPr>
      </w:pPr>
      <w:r w:rsidRPr="003571FD">
        <w:rPr>
          <w:rFonts w:ascii="Times New Roman" w:eastAsiaTheme="majorEastAsia" w:hAnsi="Times New Roman" w:cs="Times New Roman"/>
          <w:i/>
          <w:sz w:val="18"/>
          <w:szCs w:val="24"/>
        </w:rPr>
        <w:t>Source: World Bank’s own calculations based on ASFI and FINRURAL data. For comparability purposes, absolute figures were adjusted to reflect the transformation of Banco FIE (from SLA to bank) and the exit of Citibank from Bolivia.</w:t>
      </w:r>
      <w:r>
        <w:rPr>
          <w:rFonts w:ascii="Times New Roman" w:eastAsiaTheme="majorEastAsia" w:hAnsi="Times New Roman" w:cs="Times New Roman"/>
          <w:i/>
          <w:sz w:val="18"/>
          <w:szCs w:val="24"/>
        </w:rPr>
        <w:t xml:space="preserve"> </w:t>
      </w:r>
    </w:p>
    <w:sectPr w:rsidR="001319F6" w:rsidRPr="00654888" w:rsidSect="00F01B8D">
      <w:pgSz w:w="15840" w:h="12240" w:orient="landscape"/>
      <w:pgMar w:top="1440" w:right="72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B7D" w:rsidRDefault="00B53B7D" w:rsidP="00EF773C">
      <w:pPr>
        <w:spacing w:after="0" w:line="240" w:lineRule="auto"/>
      </w:pPr>
      <w:r>
        <w:separator/>
      </w:r>
    </w:p>
  </w:endnote>
  <w:endnote w:type="continuationSeparator" w:id="0">
    <w:p w:rsidR="00B53B7D" w:rsidRDefault="00B53B7D" w:rsidP="00EF7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383" w:rsidRDefault="00A55383">
    <w:pPr>
      <w:pStyle w:val="Footer"/>
      <w:jc w:val="right"/>
    </w:pPr>
  </w:p>
  <w:p w:rsidR="00A55383" w:rsidRDefault="00A553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72480"/>
      <w:docPartObj>
        <w:docPartGallery w:val="Page Numbers (Bottom of Page)"/>
        <w:docPartUnique/>
      </w:docPartObj>
    </w:sdtPr>
    <w:sdtEndPr/>
    <w:sdtContent>
      <w:p w:rsidR="00A55383" w:rsidRDefault="00CD27AA">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rsidR="00A55383" w:rsidRDefault="00A553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21103"/>
      <w:docPartObj>
        <w:docPartGallery w:val="Page Numbers (Bottom of Page)"/>
        <w:docPartUnique/>
      </w:docPartObj>
    </w:sdtPr>
    <w:sdtEndPr/>
    <w:sdtContent>
      <w:p w:rsidR="00A55383" w:rsidRDefault="00CD27AA">
        <w:pPr>
          <w:pStyle w:val="Footer"/>
          <w:jc w:val="right"/>
        </w:pPr>
        <w:r>
          <w:fldChar w:fldCharType="begin"/>
        </w:r>
        <w:r>
          <w:instrText xml:space="preserve"> PAGE   \* MERGEFORMAT </w:instrText>
        </w:r>
        <w:r>
          <w:fldChar w:fldCharType="separate"/>
        </w:r>
        <w:r w:rsidR="00A55383">
          <w:rPr>
            <w:noProof/>
          </w:rPr>
          <w:t>ii</w:t>
        </w:r>
        <w:r>
          <w:rPr>
            <w:noProof/>
          </w:rPr>
          <w:fldChar w:fldCharType="end"/>
        </w:r>
      </w:p>
    </w:sdtContent>
  </w:sdt>
  <w:p w:rsidR="00A55383" w:rsidRDefault="00A553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21088"/>
      <w:docPartObj>
        <w:docPartGallery w:val="Page Numbers (Bottom of Page)"/>
        <w:docPartUnique/>
      </w:docPartObj>
    </w:sdtPr>
    <w:sdtEndPr/>
    <w:sdtContent>
      <w:p w:rsidR="00A55383" w:rsidRDefault="00CD27A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A55383" w:rsidRDefault="00A553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21097"/>
      <w:docPartObj>
        <w:docPartGallery w:val="Page Numbers (Bottom of Page)"/>
        <w:docPartUnique/>
      </w:docPartObj>
    </w:sdtPr>
    <w:sdtEndPr/>
    <w:sdtContent>
      <w:p w:rsidR="00A55383" w:rsidRDefault="00CD27AA">
        <w:pPr>
          <w:pStyle w:val="Footer"/>
          <w:jc w:val="right"/>
        </w:pPr>
        <w:r>
          <w:fldChar w:fldCharType="begin"/>
        </w:r>
        <w:r>
          <w:instrText xml:space="preserve"> PAGE   \* MERGEFORMAT </w:instrText>
        </w:r>
        <w:r>
          <w:fldChar w:fldCharType="separate"/>
        </w:r>
        <w:r>
          <w:rPr>
            <w:noProof/>
          </w:rPr>
          <w:t>91</w:t>
        </w:r>
        <w:r>
          <w:rPr>
            <w:noProof/>
          </w:rPr>
          <w:fldChar w:fldCharType="end"/>
        </w:r>
      </w:p>
    </w:sdtContent>
  </w:sdt>
  <w:p w:rsidR="00A55383" w:rsidRDefault="00A553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B7D" w:rsidRDefault="00B53B7D" w:rsidP="00EF773C">
      <w:pPr>
        <w:spacing w:after="0" w:line="240" w:lineRule="auto"/>
      </w:pPr>
      <w:r>
        <w:separator/>
      </w:r>
    </w:p>
  </w:footnote>
  <w:footnote w:type="continuationSeparator" w:id="0">
    <w:p w:rsidR="00B53B7D" w:rsidRDefault="00B53B7D" w:rsidP="00EF773C">
      <w:pPr>
        <w:spacing w:after="0" w:line="240" w:lineRule="auto"/>
      </w:pPr>
      <w:r>
        <w:continuationSeparator/>
      </w:r>
    </w:p>
  </w:footnote>
  <w:footnote w:id="1">
    <w:p w:rsidR="00A55383" w:rsidRPr="002E1C1D" w:rsidRDefault="00A55383" w:rsidP="002E1C1D">
      <w:pPr>
        <w:pStyle w:val="FootnoteText"/>
        <w:jc w:val="both"/>
        <w:rPr>
          <w:rFonts w:ascii="Times New Roman" w:hAnsi="Times New Roman" w:cs="Times New Roman"/>
          <w:sz w:val="18"/>
          <w:szCs w:val="18"/>
        </w:rPr>
      </w:pPr>
      <w:r w:rsidRPr="002E1C1D">
        <w:rPr>
          <w:rStyle w:val="FootnoteReference"/>
          <w:rFonts w:ascii="Times New Roman" w:hAnsi="Times New Roman" w:cs="Times New Roman"/>
          <w:sz w:val="18"/>
          <w:szCs w:val="18"/>
        </w:rPr>
        <w:footnoteRef/>
      </w:r>
      <w:r w:rsidRPr="002E1C1D">
        <w:rPr>
          <w:rFonts w:ascii="Times New Roman" w:hAnsi="Times New Roman" w:cs="Times New Roman"/>
          <w:sz w:val="18"/>
          <w:szCs w:val="18"/>
        </w:rPr>
        <w:t xml:space="preserve"> The Financial Sector Assessment Program (FSAP) update incorporates some of the suggestions made in this report, albeit without the complete background information and details.</w:t>
      </w:r>
    </w:p>
  </w:footnote>
  <w:footnote w:id="2">
    <w:p w:rsidR="00A55383" w:rsidRPr="002E1C1D" w:rsidRDefault="00A55383" w:rsidP="003010CF">
      <w:pPr>
        <w:pStyle w:val="FootnoteText"/>
        <w:jc w:val="both"/>
        <w:rPr>
          <w:rFonts w:ascii="Times New Roman" w:hAnsi="Times New Roman" w:cs="Times New Roman"/>
          <w:sz w:val="18"/>
          <w:szCs w:val="18"/>
        </w:rPr>
      </w:pPr>
      <w:r w:rsidRPr="002E1C1D">
        <w:rPr>
          <w:rStyle w:val="FootnoteReference"/>
          <w:rFonts w:ascii="Times New Roman" w:hAnsi="Times New Roman" w:cs="Times New Roman"/>
          <w:sz w:val="18"/>
          <w:szCs w:val="18"/>
        </w:rPr>
        <w:footnoteRef/>
      </w:r>
      <w:r w:rsidRPr="002E1C1D">
        <w:rPr>
          <w:rFonts w:ascii="Times New Roman" w:hAnsi="Times New Roman" w:cs="Times New Roman"/>
          <w:sz w:val="18"/>
          <w:szCs w:val="18"/>
        </w:rPr>
        <w:t xml:space="preserve"> This report is the final delivery for the Financial Sector Notes ESW (Economic Sector Work) as approved in January 2010. With view to the recent FSAP mission, the focus of the report shifted towards assessing market composition, regulations, and available financial infrastructure and government policies with view to outreach of the financial system to rural areas and to the productive sector. This is the current focus of the government in the financial sector. </w:t>
      </w:r>
    </w:p>
  </w:footnote>
  <w:footnote w:id="3">
    <w:p w:rsidR="00A55383" w:rsidRPr="00120C73" w:rsidRDefault="00A55383" w:rsidP="00C91422">
      <w:pPr>
        <w:pStyle w:val="FootnoteText"/>
        <w:jc w:val="both"/>
        <w:rPr>
          <w:rFonts w:ascii="Times New Roman" w:hAnsi="Times New Roman"/>
          <w:sz w:val="18"/>
        </w:rPr>
      </w:pPr>
      <w:r w:rsidRPr="002E1C1D">
        <w:rPr>
          <w:rStyle w:val="FootnoteReference"/>
          <w:rFonts w:ascii="Times New Roman" w:hAnsi="Times New Roman" w:cs="Times New Roman"/>
          <w:sz w:val="18"/>
          <w:szCs w:val="18"/>
        </w:rPr>
        <w:footnoteRef/>
      </w:r>
      <w:r w:rsidRPr="002E1C1D">
        <w:rPr>
          <w:rFonts w:ascii="Times New Roman" w:hAnsi="Times New Roman" w:cs="Times New Roman"/>
          <w:sz w:val="18"/>
          <w:szCs w:val="18"/>
        </w:rPr>
        <w:t xml:space="preserve"> See further discussions on the available surveys in Chapter 5 and 6.</w:t>
      </w:r>
    </w:p>
  </w:footnote>
  <w:footnote w:id="4">
    <w:p w:rsidR="00A55383" w:rsidRPr="001F0A6C" w:rsidRDefault="00A55383" w:rsidP="002E1C1D">
      <w:pPr>
        <w:pStyle w:val="FootnoteText"/>
        <w:jc w:val="both"/>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In Bolivia, the formal microfinance sector includes 3 microfinance banks, 5 finance companies and </w:t>
      </w:r>
      <w:r>
        <w:rPr>
          <w:rFonts w:ascii="Times New Roman" w:hAnsi="Times New Roman" w:cs="Times New Roman"/>
          <w:sz w:val="18"/>
          <w:szCs w:val="18"/>
        </w:rPr>
        <w:t xml:space="preserve">as of December 2010 25 </w:t>
      </w:r>
      <w:r w:rsidRPr="001F0A6C">
        <w:rPr>
          <w:rFonts w:ascii="Times New Roman" w:hAnsi="Times New Roman" w:cs="Times New Roman"/>
          <w:sz w:val="18"/>
          <w:szCs w:val="18"/>
        </w:rPr>
        <w:t>open cooperatives</w:t>
      </w:r>
      <w:r>
        <w:rPr>
          <w:rFonts w:ascii="Times New Roman" w:hAnsi="Times New Roman" w:cs="Times New Roman"/>
          <w:sz w:val="18"/>
          <w:szCs w:val="18"/>
        </w:rPr>
        <w:t>.</w:t>
      </w:r>
    </w:p>
  </w:footnote>
  <w:footnote w:id="5">
    <w:p w:rsidR="00A55383" w:rsidRPr="001F0A6C" w:rsidRDefault="00A55383" w:rsidP="00CB26EC">
      <w:pPr>
        <w:pStyle w:val="FootnoteText"/>
        <w:jc w:val="both"/>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FINRURAL</w:t>
      </w:r>
      <w:r>
        <w:rPr>
          <w:rFonts w:ascii="Times New Roman" w:hAnsi="Times New Roman" w:cs="Times New Roman"/>
          <w:sz w:val="18"/>
          <w:szCs w:val="18"/>
        </w:rPr>
        <w:t xml:space="preserve"> (</w:t>
      </w:r>
      <w:r>
        <w:rPr>
          <w:rFonts w:ascii="Times New Roman" w:hAnsi="Times New Roman" w:cs="Times New Roman"/>
          <w:i/>
          <w:sz w:val="18"/>
          <w:szCs w:val="18"/>
        </w:rPr>
        <w:t>Federación Nacional de Instituciones Financieras de Desarrollo)</w:t>
      </w:r>
      <w:r w:rsidRPr="001F0A6C">
        <w:rPr>
          <w:rFonts w:ascii="Times New Roman" w:hAnsi="Times New Roman" w:cs="Times New Roman"/>
          <w:sz w:val="18"/>
          <w:szCs w:val="18"/>
        </w:rPr>
        <w:t xml:space="preserve"> is an association which represents 13 </w:t>
      </w:r>
      <w:r>
        <w:rPr>
          <w:rFonts w:ascii="Times New Roman" w:hAnsi="Times New Roman" w:cs="Times New Roman"/>
          <w:sz w:val="18"/>
          <w:szCs w:val="18"/>
        </w:rPr>
        <w:t>IFDs</w:t>
      </w:r>
      <w:r w:rsidRPr="001F0A6C">
        <w:rPr>
          <w:rFonts w:ascii="Times New Roman" w:hAnsi="Times New Roman" w:cs="Times New Roman"/>
          <w:sz w:val="18"/>
          <w:szCs w:val="18"/>
        </w:rPr>
        <w:t xml:space="preserve"> and supports their development through implementation of joint infrastructure projects such as cash transport systems, common data platforms etc.</w:t>
      </w:r>
    </w:p>
  </w:footnote>
  <w:footnote w:id="6">
    <w:p w:rsidR="00A55383" w:rsidRPr="00682F0F" w:rsidRDefault="00A55383" w:rsidP="002E1C1D">
      <w:pPr>
        <w:pStyle w:val="FootnoteText"/>
        <w:jc w:val="both"/>
        <w:rPr>
          <w:rFonts w:ascii="Times New Roman" w:hAnsi="Times New Roman" w:cs="Times New Roman"/>
          <w:sz w:val="18"/>
          <w:szCs w:val="18"/>
        </w:rPr>
      </w:pPr>
      <w:r w:rsidRPr="00682F0F">
        <w:rPr>
          <w:rStyle w:val="FootnoteReference"/>
          <w:rFonts w:ascii="Times New Roman" w:hAnsi="Times New Roman" w:cs="Times New Roman"/>
          <w:sz w:val="18"/>
          <w:szCs w:val="18"/>
        </w:rPr>
        <w:footnoteRef/>
      </w:r>
      <w:r w:rsidRPr="00682F0F">
        <w:rPr>
          <w:rFonts w:ascii="Times New Roman" w:hAnsi="Times New Roman" w:cs="Times New Roman"/>
          <w:sz w:val="18"/>
          <w:szCs w:val="18"/>
        </w:rPr>
        <w:t xml:space="preserve"> On the other side, pushing lending alone would not contribute significantly to enhance production and productivity of firms, if not linked with reforms to enhance the integration of the sectors, improvements to the business environment and market access of clients.</w:t>
      </w:r>
    </w:p>
  </w:footnote>
  <w:footnote w:id="7">
    <w:p w:rsidR="00A55383" w:rsidRPr="001F0A6C" w:rsidRDefault="00A55383" w:rsidP="002E1C1D">
      <w:pPr>
        <w:pStyle w:val="FootnoteText"/>
        <w:jc w:val="both"/>
        <w:rPr>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This is based on the share within all registered financial entities (be they regulated or not). However, the data are not netted between the formal financial system and the unregulated financial system. Given the differences in clientele and loan size in </w:t>
      </w:r>
      <w:r w:rsidRPr="007E1AF4">
        <w:rPr>
          <w:rFonts w:ascii="Times New Roman" w:hAnsi="Times New Roman" w:cs="Times New Roman"/>
          <w:sz w:val="18"/>
          <w:szCs w:val="18"/>
        </w:rPr>
        <w:t>IFDs</w:t>
      </w:r>
      <w:r w:rsidRPr="001F0A6C">
        <w:rPr>
          <w:rFonts w:ascii="Times New Roman" w:hAnsi="Times New Roman" w:cs="Times New Roman"/>
          <w:sz w:val="18"/>
          <w:szCs w:val="18"/>
        </w:rPr>
        <w:t xml:space="preserve"> it can be assumed that there is not a large overlap between their clients and those of the formal financial system. However, an overlap between the clients from closed cooperatives and the financial system is likely, as experience in other countries shows.</w:t>
      </w:r>
      <w:r w:rsidRPr="001F0A6C">
        <w:rPr>
          <w:sz w:val="18"/>
          <w:szCs w:val="18"/>
        </w:rPr>
        <w:t xml:space="preserve"> </w:t>
      </w:r>
    </w:p>
  </w:footnote>
  <w:footnote w:id="8">
    <w:p w:rsidR="00A55383" w:rsidRPr="004F24F4" w:rsidRDefault="00A55383" w:rsidP="002E1C1D">
      <w:pPr>
        <w:pStyle w:val="FootnoteText"/>
        <w:jc w:val="both"/>
        <w:rPr>
          <w:rFonts w:ascii="Times New Roman" w:hAnsi="Times New Roman" w:cs="Times New Roman"/>
          <w:sz w:val="18"/>
          <w:szCs w:val="18"/>
        </w:rPr>
      </w:pPr>
      <w:r w:rsidRPr="004F24F4">
        <w:rPr>
          <w:rStyle w:val="FootnoteReference"/>
          <w:rFonts w:ascii="Times New Roman" w:hAnsi="Times New Roman" w:cs="Times New Roman"/>
          <w:sz w:val="18"/>
          <w:szCs w:val="18"/>
        </w:rPr>
        <w:footnoteRef/>
      </w:r>
      <w:r w:rsidRPr="004F24F4">
        <w:rPr>
          <w:rStyle w:val="FootnoteReference"/>
          <w:rFonts w:ascii="Times New Roman" w:hAnsi="Times New Roman" w:cs="Times New Roman"/>
          <w:sz w:val="18"/>
          <w:szCs w:val="18"/>
        </w:rPr>
        <w:t xml:space="preserve"> </w:t>
      </w:r>
      <w:r w:rsidRPr="004F24F4">
        <w:rPr>
          <w:rFonts w:ascii="Times New Roman" w:hAnsi="Times New Roman" w:cs="Times New Roman"/>
          <w:sz w:val="18"/>
          <w:szCs w:val="18"/>
        </w:rPr>
        <w:t xml:space="preserve">According to a recent study, </w:t>
      </w:r>
      <w:r w:rsidRPr="007E1AF4">
        <w:rPr>
          <w:rFonts w:ascii="Times New Roman" w:hAnsi="Times New Roman" w:cs="Times New Roman"/>
          <w:sz w:val="18"/>
          <w:szCs w:val="18"/>
        </w:rPr>
        <w:t>the IFDs</w:t>
      </w:r>
      <w:r w:rsidRPr="004F24F4">
        <w:rPr>
          <w:rFonts w:ascii="Times New Roman" w:hAnsi="Times New Roman" w:cs="Times New Roman"/>
          <w:sz w:val="18"/>
          <w:szCs w:val="18"/>
        </w:rPr>
        <w:t xml:space="preserve"> are the group of financial institutions that cater to the segments with the lowest income in Bolivia (</w:t>
      </w:r>
      <w:r>
        <w:rPr>
          <w:rFonts w:ascii="Times New Roman" w:hAnsi="Times New Roman" w:cs="Times New Roman"/>
          <w:sz w:val="18"/>
          <w:szCs w:val="18"/>
        </w:rPr>
        <w:t xml:space="preserve">see </w:t>
      </w:r>
      <w:proofErr w:type="spellStart"/>
      <w:r w:rsidRPr="004F24F4">
        <w:rPr>
          <w:rFonts w:ascii="Times New Roman" w:hAnsi="Times New Roman" w:cs="Times New Roman"/>
          <w:sz w:val="18"/>
          <w:szCs w:val="18"/>
        </w:rPr>
        <w:t>Alem</w:t>
      </w:r>
      <w:proofErr w:type="spellEnd"/>
      <w:r w:rsidRPr="004F24F4">
        <w:rPr>
          <w:rFonts w:ascii="Times New Roman" w:hAnsi="Times New Roman" w:cs="Times New Roman"/>
          <w:sz w:val="18"/>
          <w:szCs w:val="18"/>
        </w:rPr>
        <w:t xml:space="preserve"> et. </w:t>
      </w:r>
      <w:r>
        <w:rPr>
          <w:rFonts w:ascii="Times New Roman" w:hAnsi="Times New Roman" w:cs="Times New Roman"/>
          <w:sz w:val="18"/>
          <w:szCs w:val="18"/>
        </w:rPr>
        <w:t>a</w:t>
      </w:r>
      <w:r w:rsidRPr="004F24F4">
        <w:rPr>
          <w:rFonts w:ascii="Times New Roman" w:hAnsi="Times New Roman" w:cs="Times New Roman"/>
          <w:sz w:val="18"/>
          <w:szCs w:val="18"/>
        </w:rPr>
        <w:t>l, ILO, 2011)</w:t>
      </w:r>
    </w:p>
  </w:footnote>
  <w:footnote w:id="9">
    <w:p w:rsidR="00A55383" w:rsidRPr="001F0A6C" w:rsidRDefault="00A55383" w:rsidP="002E1C1D">
      <w:pPr>
        <w:pStyle w:val="FootnoteText"/>
        <w:jc w:val="both"/>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w:t>
      </w:r>
      <w:r>
        <w:rPr>
          <w:rFonts w:ascii="Times New Roman" w:hAnsi="Times New Roman" w:cs="Times New Roman"/>
          <w:sz w:val="18"/>
          <w:szCs w:val="18"/>
        </w:rPr>
        <w:t>For more detail, see</w:t>
      </w:r>
      <w:r w:rsidRPr="001F0A6C">
        <w:rPr>
          <w:rFonts w:ascii="Times New Roman" w:hAnsi="Times New Roman" w:cs="Times New Roman"/>
          <w:sz w:val="18"/>
          <w:szCs w:val="18"/>
        </w:rPr>
        <w:t xml:space="preserve"> forthcoming note on the regulatory framework for cooperatives and the transition process into the regulatory sphere, which was delivered and discussed with the authorities. Furthermore, experience in Mexico with the transition of savings and loan institutions and cooperatives suggest that incentives along the way need to be provided to encourage and speed up the transition</w:t>
      </w:r>
      <w:r w:rsidRPr="003010CF">
        <w:rPr>
          <w:rFonts w:ascii="Times New Roman" w:hAnsi="Times New Roman" w:cs="Times New Roman"/>
          <w:sz w:val="18"/>
          <w:szCs w:val="18"/>
        </w:rPr>
        <w:t xml:space="preserve"> </w:t>
      </w:r>
      <w:r w:rsidRPr="001F0A6C">
        <w:rPr>
          <w:rFonts w:ascii="Times New Roman" w:hAnsi="Times New Roman" w:cs="Times New Roman"/>
          <w:sz w:val="18"/>
          <w:szCs w:val="18"/>
        </w:rPr>
        <w:t xml:space="preserve">process, as well as technical assistance provided to facilitate the setting up of appropriate internal organizational structures and processes. </w:t>
      </w:r>
    </w:p>
  </w:footnote>
  <w:footnote w:id="10">
    <w:p w:rsidR="00A55383" w:rsidRPr="00BA2B4A" w:rsidRDefault="00A55383" w:rsidP="002E1C1D">
      <w:pPr>
        <w:pStyle w:val="FootnoteText"/>
        <w:jc w:val="both"/>
        <w:rPr>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It should be noted that the geographic reach of the formal financial system will be significantly expanded through the ongoing incorporation of the hitherto unregulated closed cooperatives and the </w:t>
      </w:r>
      <w:r w:rsidRPr="007E1AF4">
        <w:rPr>
          <w:rFonts w:ascii="Times New Roman" w:hAnsi="Times New Roman" w:cs="Times New Roman"/>
          <w:sz w:val="18"/>
          <w:szCs w:val="18"/>
        </w:rPr>
        <w:t>IFDs under</w:t>
      </w:r>
      <w:r w:rsidRPr="001F0A6C">
        <w:rPr>
          <w:rFonts w:ascii="Times New Roman" w:hAnsi="Times New Roman" w:cs="Times New Roman"/>
          <w:sz w:val="18"/>
          <w:szCs w:val="18"/>
        </w:rPr>
        <w:t xml:space="preserve"> the purview of ASFI.</w:t>
      </w:r>
    </w:p>
  </w:footnote>
  <w:footnote w:id="11">
    <w:p w:rsidR="00A55383" w:rsidRPr="002E1C1D" w:rsidRDefault="00A55383" w:rsidP="002E1C1D">
      <w:pPr>
        <w:pStyle w:val="FootnoteText"/>
        <w:jc w:val="both"/>
        <w:rPr>
          <w:rFonts w:ascii="Times New Roman" w:hAnsi="Times New Roman" w:cs="Times New Roman"/>
          <w:sz w:val="18"/>
          <w:szCs w:val="18"/>
        </w:rPr>
      </w:pPr>
      <w:r w:rsidRPr="002E1C1D">
        <w:rPr>
          <w:rStyle w:val="FootnoteReference"/>
          <w:rFonts w:ascii="Times New Roman" w:hAnsi="Times New Roman" w:cs="Times New Roman"/>
          <w:sz w:val="18"/>
          <w:szCs w:val="18"/>
        </w:rPr>
        <w:footnoteRef/>
      </w:r>
      <w:r w:rsidRPr="002E1C1D">
        <w:rPr>
          <w:rFonts w:ascii="Times New Roman" w:hAnsi="Times New Roman" w:cs="Times New Roman"/>
          <w:sz w:val="18"/>
          <w:szCs w:val="18"/>
        </w:rPr>
        <w:t xml:space="preserve"> ATMs are for example rather expensive for a financial institution, as (</w:t>
      </w:r>
      <w:proofErr w:type="spellStart"/>
      <w:r w:rsidRPr="002E1C1D">
        <w:rPr>
          <w:rFonts w:ascii="Times New Roman" w:hAnsi="Times New Roman" w:cs="Times New Roman"/>
          <w:sz w:val="18"/>
          <w:szCs w:val="18"/>
        </w:rPr>
        <w:t>i</w:t>
      </w:r>
      <w:proofErr w:type="spellEnd"/>
      <w:r w:rsidRPr="002E1C1D">
        <w:rPr>
          <w:rFonts w:ascii="Times New Roman" w:hAnsi="Times New Roman" w:cs="Times New Roman"/>
          <w:sz w:val="18"/>
          <w:szCs w:val="18"/>
        </w:rPr>
        <w:t>) money transport services are expensive, and (ii) ATMs need to be rather frequently reloaded due to the requirement to offer 10 and 20 Boliviano bills, while (iii) income through commissions is eliminated for own clients. The regulation on service points mandates high security standards. The latter might not be necessary in some of the smaller villages, where banking is mostly based on pre-established trust and thus protected through the community. Leaving the security standards to a larger extent at the discretion of the financial entity will likely lower some of the hurdles for outreach. Finally, consumer protection measures such as reducing waiting times to 30 minutes can pose a problem for branches, which only at certain peak times, such as for the paying of cash transfers, report a higher volume of client traffic.</w:t>
      </w:r>
    </w:p>
  </w:footnote>
  <w:footnote w:id="12">
    <w:p w:rsidR="00A55383" w:rsidRPr="00B27403" w:rsidRDefault="00A55383" w:rsidP="002E1C1D">
      <w:pPr>
        <w:pStyle w:val="FootnoteText"/>
        <w:jc w:val="both"/>
        <w:rPr>
          <w:rFonts w:ascii="Times New Roman" w:hAnsi="Times New Roman" w:cs="Times New Roman"/>
          <w:sz w:val="18"/>
          <w:szCs w:val="18"/>
        </w:rPr>
      </w:pPr>
      <w:r w:rsidRPr="002E1C1D">
        <w:rPr>
          <w:rStyle w:val="FootnoteReference"/>
          <w:rFonts w:ascii="Times New Roman" w:hAnsi="Times New Roman" w:cs="Times New Roman"/>
          <w:sz w:val="18"/>
          <w:szCs w:val="18"/>
        </w:rPr>
        <w:footnoteRef/>
      </w:r>
      <w:r w:rsidRPr="002E1C1D">
        <w:rPr>
          <w:rFonts w:ascii="Times New Roman" w:hAnsi="Times New Roman" w:cs="Times New Roman"/>
          <w:sz w:val="18"/>
          <w:szCs w:val="18"/>
        </w:rPr>
        <w:t xml:space="preserve"> This refers to credit classified by all types of financial institutions as microcredit. It is thus different from the share of micro-finance institutions in deposits and credits as discussed in Chapter 2, paragraph 8.</w:t>
      </w:r>
      <w:r>
        <w:rPr>
          <w:rFonts w:ascii="Times New Roman" w:hAnsi="Times New Roman" w:cs="Times New Roman"/>
          <w:sz w:val="18"/>
          <w:szCs w:val="18"/>
        </w:rPr>
        <w:t xml:space="preserve"> </w:t>
      </w:r>
    </w:p>
  </w:footnote>
  <w:footnote w:id="13">
    <w:p w:rsidR="00A55383" w:rsidRPr="002E1C1D" w:rsidRDefault="00A55383" w:rsidP="002E1C1D">
      <w:pPr>
        <w:pStyle w:val="FootnoteText"/>
        <w:jc w:val="both"/>
        <w:rPr>
          <w:rFonts w:ascii="Times New Roman" w:hAnsi="Times New Roman" w:cs="Times New Roman"/>
          <w:sz w:val="18"/>
          <w:szCs w:val="18"/>
        </w:rPr>
      </w:pPr>
      <w:r w:rsidRPr="002E1C1D">
        <w:rPr>
          <w:rStyle w:val="FootnoteReference"/>
          <w:rFonts w:ascii="Times New Roman" w:hAnsi="Times New Roman" w:cs="Times New Roman"/>
          <w:sz w:val="18"/>
          <w:szCs w:val="18"/>
        </w:rPr>
        <w:footnoteRef/>
      </w:r>
      <w:r w:rsidRPr="002E1C1D">
        <w:rPr>
          <w:rFonts w:ascii="Times New Roman" w:hAnsi="Times New Roman" w:cs="Times New Roman"/>
          <w:sz w:val="18"/>
          <w:szCs w:val="18"/>
        </w:rPr>
        <w:t xml:space="preserve"> Agriculture, forestry, manufacturing industry and extractive industries.</w:t>
      </w:r>
    </w:p>
  </w:footnote>
  <w:footnote w:id="14">
    <w:p w:rsidR="00A55383" w:rsidRDefault="00A55383">
      <w:pPr>
        <w:pStyle w:val="FootnoteText"/>
      </w:pPr>
      <w:r w:rsidRPr="007E1AF4">
        <w:rPr>
          <w:rStyle w:val="FootnoteReference"/>
          <w:rFonts w:ascii="Times New Roman" w:hAnsi="Times New Roman" w:cs="Times New Roman"/>
          <w:color w:val="000000" w:themeColor="text1"/>
          <w:sz w:val="18"/>
          <w:szCs w:val="18"/>
        </w:rPr>
        <w:footnoteRef/>
      </w:r>
      <w:r w:rsidRPr="007E1AF4">
        <w:t xml:space="preserve"> </w:t>
      </w:r>
      <w:r w:rsidRPr="007E1AF4">
        <w:rPr>
          <w:rFonts w:ascii="Times New Roman" w:hAnsi="Times New Roman" w:cs="Times New Roman"/>
          <w:sz w:val="18"/>
          <w:szCs w:val="18"/>
        </w:rPr>
        <w:t>In this context, ASFI’s recent changes to the prudential framework, which explicitly introduce movable collateral as guarantees for loans, is a positive first step.</w:t>
      </w:r>
    </w:p>
  </w:footnote>
  <w:footnote w:id="15">
    <w:p w:rsidR="00A55383" w:rsidRPr="003E2D6B" w:rsidRDefault="00A55383" w:rsidP="00176E36">
      <w:pPr>
        <w:pStyle w:val="FootnoteText"/>
        <w:jc w:val="both"/>
        <w:rPr>
          <w:rFonts w:ascii="Times New Roman" w:hAnsi="Times New Roman" w:cs="Times New Roman"/>
          <w:sz w:val="18"/>
          <w:szCs w:val="18"/>
        </w:rPr>
      </w:pPr>
      <w:r w:rsidRPr="001F0A6C">
        <w:rPr>
          <w:rStyle w:val="FootnoteReference"/>
          <w:rFonts w:ascii="Times New Roman" w:hAnsi="Times New Roman" w:cs="Times New Roman"/>
          <w:color w:val="000000" w:themeColor="text1"/>
          <w:sz w:val="18"/>
          <w:szCs w:val="18"/>
        </w:rPr>
        <w:footnoteRef/>
      </w:r>
      <w:r w:rsidRPr="001F0A6C">
        <w:rPr>
          <w:rFonts w:ascii="Times New Roman" w:hAnsi="Times New Roman" w:cs="Times New Roman"/>
          <w:color w:val="000000" w:themeColor="text1"/>
          <w:sz w:val="18"/>
          <w:szCs w:val="18"/>
        </w:rPr>
        <w:t xml:space="preserve"> </w:t>
      </w:r>
      <w:r w:rsidRPr="001F0A6C">
        <w:rPr>
          <w:rFonts w:ascii="Times New Roman" w:hAnsi="Times New Roman" w:cs="Times New Roman"/>
          <w:sz w:val="18"/>
          <w:szCs w:val="18"/>
        </w:rPr>
        <w:t xml:space="preserve">The new constitution generally confirms the right of the individual to security in property possession. However, Article 397 establishes that the government has the right to repossess land if the owner is not fulfilling its social or social-economic role. Furthermore, Article 396 assigned an explicit role to the government for regulating the land market, in particularly preventing a large land </w:t>
      </w:r>
      <w:r w:rsidRPr="00D02ADE">
        <w:rPr>
          <w:rFonts w:ascii="Times New Roman" w:hAnsi="Times New Roman" w:cs="Times New Roman"/>
          <w:sz w:val="18"/>
          <w:szCs w:val="18"/>
        </w:rPr>
        <w:t>ownership. It is not yet clearly defined under which circumstances this provision can be applied</w:t>
      </w:r>
      <w:r w:rsidRPr="00147F9F">
        <w:rPr>
          <w:rFonts w:ascii="Times New Roman" w:hAnsi="Times New Roman" w:cs="Times New Roman"/>
          <w:sz w:val="18"/>
          <w:szCs w:val="18"/>
        </w:rPr>
        <w:t xml:space="preserve"> The compliance with the requirement to fulfill a social and economic role is verified every two years by the government, and has already lead to withdrawal of land rights in selected cases</w:t>
      </w:r>
      <w:r w:rsidRPr="00D02ADE">
        <w:rPr>
          <w:rFonts w:ascii="Times New Roman" w:hAnsi="Times New Roman" w:cs="Times New Roman"/>
          <w:sz w:val="18"/>
          <w:szCs w:val="18"/>
        </w:rPr>
        <w:t>.</w:t>
      </w:r>
      <w:r w:rsidRPr="00147F9F">
        <w:rPr>
          <w:rFonts w:ascii="Times New Roman" w:hAnsi="Times New Roman" w:cs="Times New Roman"/>
          <w:sz w:val="18"/>
          <w:szCs w:val="18"/>
        </w:rPr>
        <w:t xml:space="preserve"> </w:t>
      </w:r>
    </w:p>
  </w:footnote>
  <w:footnote w:id="16">
    <w:p w:rsidR="00A55383" w:rsidRPr="00176E36" w:rsidRDefault="00A55383" w:rsidP="00176E36">
      <w:pPr>
        <w:pStyle w:val="FootnoteText"/>
        <w:jc w:val="both"/>
        <w:rPr>
          <w:rFonts w:ascii="Times New Roman" w:hAnsi="Times New Roman" w:cs="Times New Roman"/>
          <w:sz w:val="18"/>
          <w:szCs w:val="18"/>
        </w:rPr>
      </w:pPr>
      <w:r w:rsidRPr="00176E36">
        <w:rPr>
          <w:rStyle w:val="FootnoteReference"/>
          <w:rFonts w:ascii="Times New Roman" w:hAnsi="Times New Roman" w:cs="Times New Roman"/>
          <w:sz w:val="18"/>
          <w:szCs w:val="18"/>
        </w:rPr>
        <w:footnoteRef/>
      </w:r>
      <w:r w:rsidRPr="00176E36">
        <w:rPr>
          <w:rFonts w:ascii="Times New Roman" w:hAnsi="Times New Roman" w:cs="Times New Roman"/>
          <w:sz w:val="18"/>
          <w:szCs w:val="18"/>
        </w:rPr>
        <w:t xml:space="preserve"> The government is currently revising the country’s financial system law to adapt it to the new Constitution, and there are ongoing discussions on the introduction of interest rate caps, and on increasing the role of the government in the financial system through for example the creation of a new bank. These developments and discussions are not considered in this document.</w:t>
      </w:r>
    </w:p>
  </w:footnote>
  <w:footnote w:id="17">
    <w:p w:rsidR="00A55383" w:rsidRDefault="00A55383">
      <w:pPr>
        <w:pStyle w:val="FootnoteText"/>
      </w:pPr>
      <w:r w:rsidRPr="007E1AF4">
        <w:rPr>
          <w:rStyle w:val="FootnoteReference"/>
          <w:rFonts w:ascii="Times New Roman" w:hAnsi="Times New Roman" w:cs="Times New Roman"/>
          <w:sz w:val="18"/>
          <w:szCs w:val="18"/>
        </w:rPr>
        <w:footnoteRef/>
      </w:r>
      <w:r w:rsidRPr="007E1AF4">
        <w:t xml:space="preserve"> </w:t>
      </w:r>
      <w:r w:rsidRPr="007E1AF4">
        <w:rPr>
          <w:rFonts w:ascii="Times New Roman" w:hAnsi="Times New Roman" w:cs="Times New Roman"/>
          <w:sz w:val="18"/>
          <w:szCs w:val="18"/>
        </w:rPr>
        <w:t xml:space="preserve">The Central Bank and ASFI have since launched regulations to clarify the delivery of financial services by mobile network operators. </w:t>
      </w:r>
    </w:p>
  </w:footnote>
  <w:footnote w:id="18">
    <w:p w:rsidR="00A55383" w:rsidRPr="001F0A6C" w:rsidRDefault="00A55383" w:rsidP="00D14FF7">
      <w:pPr>
        <w:pStyle w:val="FootnoteText"/>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Ideally using the categorization established </w:t>
      </w:r>
      <w:r>
        <w:rPr>
          <w:rFonts w:ascii="Times New Roman" w:hAnsi="Times New Roman" w:cs="Times New Roman"/>
          <w:sz w:val="18"/>
          <w:szCs w:val="18"/>
        </w:rPr>
        <w:t xml:space="preserve">recently </w:t>
      </w:r>
      <w:r w:rsidRPr="001F0A6C">
        <w:rPr>
          <w:rFonts w:ascii="Times New Roman" w:hAnsi="Times New Roman" w:cs="Times New Roman"/>
          <w:sz w:val="18"/>
          <w:szCs w:val="18"/>
        </w:rPr>
        <w:t>by ASFI for this purpose.</w:t>
      </w:r>
    </w:p>
  </w:footnote>
  <w:footnote w:id="19">
    <w:p w:rsidR="00A55383" w:rsidRDefault="00A55383">
      <w:pPr>
        <w:pStyle w:val="FootnoteText"/>
      </w:pPr>
      <w:r>
        <w:rPr>
          <w:rStyle w:val="FootnoteReference"/>
        </w:rPr>
        <w:footnoteRef/>
      </w:r>
      <w:r>
        <w:t xml:space="preserve"> </w:t>
      </w:r>
      <w:r w:rsidRPr="007E1AF4">
        <w:rPr>
          <w:rFonts w:ascii="Times New Roman" w:hAnsi="Times New Roman" w:cs="Times New Roman"/>
          <w:sz w:val="18"/>
          <w:szCs w:val="18"/>
        </w:rPr>
        <w:t>The Bolivian authorities are considering carrying out an auditing and accounting ROSC with support of the World Bank</w:t>
      </w:r>
    </w:p>
  </w:footnote>
  <w:footnote w:id="20">
    <w:p w:rsidR="00A55383" w:rsidRPr="001F0A6C" w:rsidRDefault="00A55383" w:rsidP="00EF773C">
      <w:pPr>
        <w:pStyle w:val="FootnoteText"/>
        <w:jc w:val="both"/>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In larger part due to strong demand for its hydrocarbon products, which account for </w:t>
      </w:r>
      <w:r>
        <w:rPr>
          <w:rFonts w:ascii="Times New Roman" w:hAnsi="Times New Roman" w:cs="Times New Roman"/>
          <w:sz w:val="18"/>
          <w:szCs w:val="18"/>
        </w:rPr>
        <w:t xml:space="preserve">more than </w:t>
      </w:r>
      <w:r w:rsidRPr="001F0A6C">
        <w:rPr>
          <w:rFonts w:ascii="Times New Roman" w:hAnsi="Times New Roman" w:cs="Times New Roman"/>
          <w:sz w:val="18"/>
          <w:szCs w:val="18"/>
        </w:rPr>
        <w:t xml:space="preserve">a third of exports. </w:t>
      </w:r>
    </w:p>
  </w:footnote>
  <w:footnote w:id="21">
    <w:p w:rsidR="00A55383" w:rsidRPr="001B4A51" w:rsidRDefault="00A55383">
      <w:pPr>
        <w:pStyle w:val="FootnoteText"/>
        <w:rPr>
          <w:rFonts w:ascii="Times New Roman" w:hAnsi="Times New Roman" w:cs="Times New Roman"/>
          <w:sz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End 2009, based on INE data.</w:t>
      </w:r>
      <w:r>
        <w:rPr>
          <w:rFonts w:ascii="Times New Roman" w:hAnsi="Times New Roman" w:cs="Times New Roman"/>
          <w:sz w:val="18"/>
        </w:rPr>
        <w:t xml:space="preserve"> </w:t>
      </w:r>
    </w:p>
  </w:footnote>
  <w:footnote w:id="22">
    <w:p w:rsidR="00A55383" w:rsidRPr="00DC0619" w:rsidRDefault="00A55383" w:rsidP="00DC0619">
      <w:pPr>
        <w:pStyle w:val="FootnoteText"/>
        <w:jc w:val="both"/>
        <w:rPr>
          <w:rFonts w:ascii="Times New Roman" w:hAnsi="Times New Roman" w:cs="Times New Roman"/>
          <w:sz w:val="18"/>
          <w:szCs w:val="18"/>
        </w:rPr>
      </w:pPr>
      <w:r w:rsidRPr="00DC0619">
        <w:rPr>
          <w:rStyle w:val="FootnoteReference"/>
          <w:rFonts w:ascii="Times New Roman" w:hAnsi="Times New Roman" w:cs="Times New Roman"/>
          <w:sz w:val="18"/>
          <w:szCs w:val="18"/>
        </w:rPr>
        <w:footnoteRef/>
      </w:r>
      <w:r w:rsidRPr="00DC0619">
        <w:rPr>
          <w:rFonts w:ascii="Times New Roman" w:hAnsi="Times New Roman" w:cs="Times New Roman"/>
          <w:sz w:val="18"/>
          <w:szCs w:val="18"/>
        </w:rPr>
        <w:t xml:space="preserve"> Amongst the planned measures were (</w:t>
      </w:r>
      <w:proofErr w:type="spellStart"/>
      <w:r w:rsidRPr="00DC0619">
        <w:rPr>
          <w:rFonts w:ascii="Times New Roman" w:hAnsi="Times New Roman" w:cs="Times New Roman"/>
          <w:sz w:val="18"/>
          <w:szCs w:val="18"/>
        </w:rPr>
        <w:t>i</w:t>
      </w:r>
      <w:proofErr w:type="spellEnd"/>
      <w:r w:rsidRPr="00DC0619">
        <w:rPr>
          <w:rFonts w:ascii="Times New Roman" w:hAnsi="Times New Roman" w:cs="Times New Roman"/>
          <w:sz w:val="18"/>
          <w:szCs w:val="18"/>
        </w:rPr>
        <w:t xml:space="preserve">) the facilitation of access to financial services for MSMEs (ii) the development of business and market intelligence service for MSMEs (through Pro Bolivia) as well as measures to promote exports (through </w:t>
      </w:r>
      <w:r w:rsidRPr="00DC0619">
        <w:rPr>
          <w:rFonts w:ascii="Times New Roman" w:hAnsi="Times New Roman" w:cs="Times New Roman"/>
          <w:i/>
          <w:sz w:val="18"/>
          <w:szCs w:val="18"/>
        </w:rPr>
        <w:t>Promueve Bolivia</w:t>
      </w:r>
      <w:r w:rsidRPr="00DC0619">
        <w:rPr>
          <w:rFonts w:ascii="Times New Roman" w:hAnsi="Times New Roman" w:cs="Times New Roman"/>
          <w:sz w:val="18"/>
          <w:szCs w:val="18"/>
        </w:rPr>
        <w:t>), and (iii) support to enhance the quality of production through standards and certification services.</w:t>
      </w:r>
    </w:p>
  </w:footnote>
  <w:footnote w:id="23">
    <w:p w:rsidR="00A55383" w:rsidRPr="00DC0619" w:rsidRDefault="00A55383" w:rsidP="00DC0619">
      <w:pPr>
        <w:pStyle w:val="FootnoteText"/>
        <w:jc w:val="both"/>
        <w:rPr>
          <w:rFonts w:ascii="Times New Roman" w:hAnsi="Times New Roman" w:cs="Times New Roman"/>
          <w:sz w:val="18"/>
          <w:szCs w:val="18"/>
        </w:rPr>
      </w:pPr>
      <w:r w:rsidRPr="00DC0619">
        <w:rPr>
          <w:rStyle w:val="FootnoteReference"/>
          <w:rFonts w:ascii="Times New Roman" w:hAnsi="Times New Roman" w:cs="Times New Roman"/>
          <w:sz w:val="18"/>
          <w:szCs w:val="18"/>
        </w:rPr>
        <w:footnoteRef/>
      </w:r>
      <w:r w:rsidRPr="00DC0619">
        <w:rPr>
          <w:rFonts w:ascii="Times New Roman" w:hAnsi="Times New Roman" w:cs="Times New Roman"/>
          <w:sz w:val="18"/>
          <w:szCs w:val="18"/>
        </w:rPr>
        <w:t xml:space="preserve"> In October 2010, ASFI for example organized a workshop with stakeholders on productive credit, and published the presentations of the participants on its internet page.</w:t>
      </w:r>
    </w:p>
  </w:footnote>
  <w:footnote w:id="24">
    <w:p w:rsidR="00A55383" w:rsidRPr="001F0A6C" w:rsidRDefault="00A55383" w:rsidP="00DC0619">
      <w:pPr>
        <w:pStyle w:val="FootnoteText"/>
        <w:jc w:val="both"/>
        <w:rPr>
          <w:sz w:val="18"/>
          <w:szCs w:val="18"/>
        </w:rPr>
      </w:pPr>
      <w:r w:rsidRPr="00DC0619">
        <w:rPr>
          <w:rStyle w:val="FootnoteReference"/>
          <w:rFonts w:ascii="Times New Roman" w:hAnsi="Times New Roman" w:cs="Times New Roman"/>
          <w:sz w:val="18"/>
          <w:szCs w:val="18"/>
        </w:rPr>
        <w:footnoteRef/>
      </w:r>
      <w:r w:rsidRPr="00DC0619">
        <w:rPr>
          <w:rFonts w:ascii="Times New Roman" w:hAnsi="Times New Roman" w:cs="Times New Roman"/>
          <w:sz w:val="18"/>
          <w:szCs w:val="18"/>
        </w:rPr>
        <w:t xml:space="preserve"> Expressed explicitly as a focus topic during two missions in 2010, as well as for the FSAP update conducted in March 2011.</w:t>
      </w:r>
    </w:p>
  </w:footnote>
  <w:footnote w:id="25">
    <w:p w:rsidR="00A55383" w:rsidRPr="00063406" w:rsidRDefault="00A55383">
      <w:pPr>
        <w:pStyle w:val="FootnoteText"/>
        <w:rPr>
          <w:rFonts w:ascii="Times New Roman" w:hAnsi="Times New Roman" w:cs="Times New Roman"/>
          <w:sz w:val="18"/>
          <w:szCs w:val="18"/>
        </w:rPr>
      </w:pPr>
      <w:r>
        <w:rPr>
          <w:rStyle w:val="FootnoteReference"/>
        </w:rPr>
        <w:footnoteRef/>
      </w:r>
      <w:r>
        <w:t xml:space="preserve"> </w:t>
      </w:r>
      <w:r>
        <w:rPr>
          <w:rFonts w:ascii="Times New Roman" w:hAnsi="Times New Roman" w:cs="Times New Roman"/>
          <w:sz w:val="18"/>
          <w:szCs w:val="18"/>
        </w:rPr>
        <w:t>In December 2010, on</w:t>
      </w:r>
      <w:r w:rsidRPr="00781E2F">
        <w:rPr>
          <w:rFonts w:ascii="Times New Roman" w:hAnsi="Times New Roman" w:cs="Times New Roman"/>
          <w:sz w:val="18"/>
          <w:szCs w:val="18"/>
        </w:rPr>
        <w:t xml:space="preserve">e additional cooperative </w:t>
      </w:r>
      <w:r>
        <w:rPr>
          <w:rFonts w:ascii="Times New Roman" w:hAnsi="Times New Roman" w:cs="Times New Roman"/>
          <w:sz w:val="18"/>
          <w:szCs w:val="18"/>
        </w:rPr>
        <w:t>has become fully supervised by ASFI. Please note that some sections of the report are based on data for November 2010, as this was the original dataset provided by the authorities for this assessment, and thus only comprise 24 cooperatives.</w:t>
      </w:r>
    </w:p>
  </w:footnote>
  <w:footnote w:id="26">
    <w:p w:rsidR="00A55383" w:rsidRPr="00CC18AC" w:rsidRDefault="00A55383" w:rsidP="00245B24">
      <w:pPr>
        <w:pStyle w:val="FootnoteText"/>
        <w:rPr>
          <w:rFonts w:ascii="Times New Roman" w:hAnsi="Times New Roman" w:cs="Times New Roman"/>
          <w:sz w:val="18"/>
          <w:szCs w:val="18"/>
        </w:rPr>
      </w:pPr>
      <w:r w:rsidRPr="00A35ABE">
        <w:rPr>
          <w:rStyle w:val="FootnoteReference"/>
          <w:rFonts w:ascii="Times New Roman" w:hAnsi="Times New Roman" w:cs="Times New Roman"/>
          <w:sz w:val="18"/>
          <w:szCs w:val="18"/>
        </w:rPr>
        <w:footnoteRef/>
      </w:r>
      <w:r w:rsidRPr="00A35ABE">
        <w:rPr>
          <w:rFonts w:ascii="Times New Roman" w:hAnsi="Times New Roman" w:cs="Times New Roman"/>
          <w:sz w:val="18"/>
          <w:szCs w:val="18"/>
        </w:rPr>
        <w:t xml:space="preserve"> </w:t>
      </w:r>
      <w:r w:rsidRPr="00A35ABE">
        <w:rPr>
          <w:rFonts w:ascii="Times New Roman" w:hAnsi="Times New Roman" w:cs="Times New Roman"/>
          <w:i/>
          <w:sz w:val="18"/>
          <w:szCs w:val="18"/>
        </w:rPr>
        <w:t>Cooperativa T</w:t>
      </w:r>
      <w:r>
        <w:rPr>
          <w:rFonts w:ascii="Times New Roman" w:hAnsi="Times New Roman" w:cs="Times New Roman"/>
          <w:i/>
          <w:sz w:val="18"/>
          <w:szCs w:val="18"/>
        </w:rPr>
        <w:t>r</w:t>
      </w:r>
      <w:r w:rsidRPr="00A35ABE">
        <w:rPr>
          <w:rFonts w:ascii="Times New Roman" w:hAnsi="Times New Roman" w:cs="Times New Roman"/>
          <w:i/>
          <w:sz w:val="18"/>
          <w:szCs w:val="18"/>
        </w:rPr>
        <w:t>apetrol Oriente</w:t>
      </w:r>
      <w:r w:rsidRPr="00A35ABE">
        <w:rPr>
          <w:rFonts w:ascii="Times New Roman" w:hAnsi="Times New Roman" w:cs="Times New Roman"/>
          <w:sz w:val="18"/>
          <w:szCs w:val="18"/>
        </w:rPr>
        <w:t xml:space="preserve"> was intervened in 2005 after having lost close to 70 percent of its capital.</w:t>
      </w:r>
      <w:r w:rsidRPr="00CC18AC">
        <w:rPr>
          <w:rFonts w:ascii="Times New Roman" w:hAnsi="Times New Roman" w:cs="Times New Roman"/>
          <w:sz w:val="18"/>
          <w:szCs w:val="18"/>
        </w:rPr>
        <w:t xml:space="preserve"> </w:t>
      </w:r>
    </w:p>
  </w:footnote>
  <w:footnote w:id="27">
    <w:p w:rsidR="00A55383" w:rsidRPr="00245B4C" w:rsidRDefault="00A55383">
      <w:pPr>
        <w:pStyle w:val="FootnoteText"/>
        <w:rPr>
          <w:rFonts w:ascii="Times New Roman" w:hAnsi="Times New Roman" w:cs="Times New Roman"/>
          <w:sz w:val="18"/>
          <w:szCs w:val="18"/>
          <w:lang w:val="es-PA"/>
        </w:rPr>
      </w:pPr>
      <w:r w:rsidRPr="00245B4C">
        <w:rPr>
          <w:rStyle w:val="FootnoteReference"/>
          <w:rFonts w:ascii="Times New Roman" w:hAnsi="Times New Roman" w:cs="Times New Roman"/>
          <w:sz w:val="18"/>
          <w:szCs w:val="18"/>
        </w:rPr>
        <w:footnoteRef/>
      </w:r>
      <w:r w:rsidRPr="00245B4C">
        <w:rPr>
          <w:rFonts w:ascii="Times New Roman" w:hAnsi="Times New Roman" w:cs="Times New Roman"/>
          <w:sz w:val="18"/>
          <w:szCs w:val="18"/>
          <w:lang w:val="es-PA"/>
        </w:rPr>
        <w:t xml:space="preserve"> </w:t>
      </w:r>
      <w:r w:rsidRPr="00245B4C">
        <w:rPr>
          <w:rFonts w:ascii="Times New Roman" w:hAnsi="Times New Roman" w:cs="Times New Roman"/>
          <w:sz w:val="18"/>
          <w:szCs w:val="18"/>
          <w:lang w:val="es-BO"/>
        </w:rPr>
        <w:t>Banco Solidario, Banco Los Andes and Banco FIE.</w:t>
      </w:r>
      <w:r w:rsidRPr="00245B4C">
        <w:rPr>
          <w:rFonts w:ascii="Times New Roman" w:hAnsi="Times New Roman" w:cs="Times New Roman"/>
          <w:sz w:val="18"/>
          <w:szCs w:val="18"/>
          <w:lang w:val="es-PA"/>
        </w:rPr>
        <w:t xml:space="preserve"> </w:t>
      </w:r>
    </w:p>
  </w:footnote>
  <w:footnote w:id="28">
    <w:p w:rsidR="00A55383" w:rsidRPr="00245B4C" w:rsidRDefault="00A55383" w:rsidP="00245B4C">
      <w:pPr>
        <w:pStyle w:val="FootnoteText"/>
        <w:jc w:val="both"/>
        <w:rPr>
          <w:rFonts w:ascii="Times New Roman" w:hAnsi="Times New Roman" w:cs="Times New Roman"/>
          <w:sz w:val="18"/>
          <w:szCs w:val="18"/>
        </w:rPr>
      </w:pPr>
      <w:r w:rsidRPr="00245B4C">
        <w:rPr>
          <w:rStyle w:val="FootnoteReference"/>
          <w:rFonts w:ascii="Times New Roman" w:hAnsi="Times New Roman" w:cs="Times New Roman"/>
          <w:sz w:val="18"/>
          <w:szCs w:val="18"/>
        </w:rPr>
        <w:footnoteRef/>
      </w:r>
      <w:r w:rsidRPr="00245B4C">
        <w:rPr>
          <w:rFonts w:ascii="Times New Roman" w:hAnsi="Times New Roman" w:cs="Times New Roman"/>
          <w:sz w:val="18"/>
          <w:szCs w:val="18"/>
        </w:rPr>
        <w:t xml:space="preserve"> FINRURAL (</w:t>
      </w:r>
      <w:r w:rsidRPr="00245B4C">
        <w:rPr>
          <w:rFonts w:ascii="Times New Roman" w:hAnsi="Times New Roman" w:cs="Times New Roman"/>
          <w:i/>
          <w:sz w:val="18"/>
          <w:szCs w:val="18"/>
        </w:rPr>
        <w:t>Federación Nacional de Instituciones Financieras de Desarrollo</w:t>
      </w:r>
      <w:r w:rsidRPr="00245B4C">
        <w:rPr>
          <w:rFonts w:ascii="Times New Roman" w:hAnsi="Times New Roman" w:cs="Times New Roman"/>
          <w:sz w:val="18"/>
          <w:szCs w:val="18"/>
        </w:rPr>
        <w:t xml:space="preserve">) is an association which represents 13 IFDs, and also supports their development through development of joint infrastructure such as cash transport systems, common data platforms etc. </w:t>
      </w:r>
    </w:p>
  </w:footnote>
  <w:footnote w:id="29">
    <w:p w:rsidR="00A55383" w:rsidRDefault="00A55383" w:rsidP="00245B4C">
      <w:pPr>
        <w:pStyle w:val="FootnoteText"/>
        <w:jc w:val="both"/>
      </w:pPr>
      <w:r w:rsidRPr="00245B4C">
        <w:rPr>
          <w:rStyle w:val="FootnoteReference"/>
          <w:rFonts w:ascii="Times New Roman" w:hAnsi="Times New Roman" w:cs="Times New Roman"/>
          <w:sz w:val="18"/>
          <w:szCs w:val="18"/>
        </w:rPr>
        <w:footnoteRef/>
      </w:r>
      <w:r w:rsidRPr="00245B4C">
        <w:rPr>
          <w:rFonts w:ascii="Times New Roman" w:hAnsi="Times New Roman" w:cs="Times New Roman"/>
          <w:sz w:val="18"/>
          <w:szCs w:val="18"/>
        </w:rPr>
        <w:t xml:space="preserve"> Until recently, ASFI did not have a clear mandate to collect this data, as the DGCOOP is formally the entity in charge of licensing any cooperative and collecting the basic data on these entities. As in many countries, given the number of financial and non-financial cooperatives, this is a vast task for which not sufficient budgetary resources are available.</w:t>
      </w:r>
      <w:r>
        <w:rPr>
          <w:rFonts w:ascii="Times New Roman" w:hAnsi="Times New Roman" w:cs="Times New Roman"/>
          <w:sz w:val="18"/>
          <w:szCs w:val="18"/>
        </w:rPr>
        <w:t xml:space="preserve"> </w:t>
      </w:r>
    </w:p>
  </w:footnote>
  <w:footnote w:id="30">
    <w:p w:rsidR="00A55383" w:rsidRPr="000A1309" w:rsidRDefault="00A55383" w:rsidP="00245B24">
      <w:pPr>
        <w:pStyle w:val="FootnoteText"/>
        <w:jc w:val="both"/>
        <w:rPr>
          <w:rFonts w:ascii="Times New Roman" w:hAnsi="Times New Roman" w:cs="Times New Roman"/>
          <w:sz w:val="18"/>
          <w:szCs w:val="18"/>
        </w:rPr>
      </w:pPr>
      <w:r w:rsidRPr="003F3B59">
        <w:rPr>
          <w:rStyle w:val="FootnoteReference"/>
          <w:rFonts w:ascii="Times New Roman" w:hAnsi="Times New Roman" w:cs="Times New Roman"/>
          <w:sz w:val="18"/>
          <w:szCs w:val="18"/>
        </w:rPr>
        <w:footnoteRef/>
      </w:r>
      <w:r w:rsidRPr="003F3B59">
        <w:rPr>
          <w:rFonts w:ascii="Times New Roman" w:hAnsi="Times New Roman" w:cs="Times New Roman"/>
          <w:sz w:val="18"/>
          <w:szCs w:val="18"/>
        </w:rPr>
        <w:t xml:space="preserve"> The data are not netted between the formal financial system and the unregulated financial system, but given the differences in clientele and loan </w:t>
      </w:r>
      <w:r w:rsidRPr="000A1309">
        <w:rPr>
          <w:rFonts w:ascii="Times New Roman" w:hAnsi="Times New Roman" w:cs="Times New Roman"/>
          <w:sz w:val="18"/>
          <w:szCs w:val="18"/>
        </w:rPr>
        <w:t xml:space="preserve">size in </w:t>
      </w:r>
      <w:r w:rsidRPr="00781E2F">
        <w:rPr>
          <w:rFonts w:ascii="Times New Roman" w:hAnsi="Times New Roman" w:cs="Times New Roman"/>
          <w:sz w:val="18"/>
          <w:szCs w:val="18"/>
        </w:rPr>
        <w:t>IFDs</w:t>
      </w:r>
      <w:r w:rsidRPr="000A1309">
        <w:rPr>
          <w:rFonts w:ascii="Times New Roman" w:hAnsi="Times New Roman" w:cs="Times New Roman"/>
          <w:sz w:val="18"/>
          <w:szCs w:val="18"/>
        </w:rPr>
        <w:t xml:space="preserve"> it can be assumed that there is not a large overlap between their clients and those of the formal financial system. However, an overlap between the clients from closed cooperatives and the financial system is likely, as experience in other countries shows. </w:t>
      </w:r>
    </w:p>
  </w:footnote>
  <w:footnote w:id="31">
    <w:p w:rsidR="00A55383" w:rsidRPr="004F24F4" w:rsidRDefault="00A55383" w:rsidP="00F43D6E">
      <w:pPr>
        <w:pStyle w:val="FootnoteText"/>
        <w:rPr>
          <w:rFonts w:ascii="Times New Roman" w:hAnsi="Times New Roman" w:cs="Times New Roman"/>
          <w:sz w:val="18"/>
          <w:szCs w:val="18"/>
        </w:rPr>
      </w:pPr>
      <w:r w:rsidRPr="000A1309">
        <w:rPr>
          <w:rStyle w:val="FootnoteReference"/>
          <w:rFonts w:ascii="Times New Roman" w:hAnsi="Times New Roman" w:cs="Times New Roman"/>
          <w:sz w:val="18"/>
          <w:szCs w:val="18"/>
        </w:rPr>
        <w:footnoteRef/>
      </w:r>
      <w:r>
        <w:rPr>
          <w:rStyle w:val="FootnoteReference"/>
          <w:rFonts w:ascii="Times New Roman" w:hAnsi="Times New Roman" w:cs="Times New Roman"/>
          <w:sz w:val="18"/>
          <w:szCs w:val="18"/>
        </w:rPr>
        <w:t xml:space="preserve"> </w:t>
      </w:r>
      <w:r w:rsidRPr="00781E2F">
        <w:rPr>
          <w:rFonts w:ascii="Times New Roman" w:hAnsi="Times New Roman" w:cs="Times New Roman"/>
          <w:sz w:val="18"/>
          <w:szCs w:val="18"/>
        </w:rPr>
        <w:t>According to a recent study, the IFDs</w:t>
      </w:r>
      <w:r w:rsidRPr="000A1309">
        <w:rPr>
          <w:rFonts w:ascii="Times New Roman" w:hAnsi="Times New Roman" w:cs="Times New Roman"/>
          <w:sz w:val="18"/>
          <w:szCs w:val="18"/>
        </w:rPr>
        <w:t xml:space="preserve"> are the group of financial institutions that cater to the segments with the lowest income in Bolivia (see </w:t>
      </w:r>
      <w:proofErr w:type="spellStart"/>
      <w:r w:rsidRPr="000A1309">
        <w:rPr>
          <w:rFonts w:ascii="Times New Roman" w:hAnsi="Times New Roman" w:cs="Times New Roman"/>
          <w:sz w:val="18"/>
          <w:szCs w:val="18"/>
        </w:rPr>
        <w:t>Alem</w:t>
      </w:r>
      <w:proofErr w:type="spellEnd"/>
      <w:r w:rsidRPr="000A1309">
        <w:rPr>
          <w:rFonts w:ascii="Times New Roman" w:hAnsi="Times New Roman" w:cs="Times New Roman"/>
          <w:sz w:val="18"/>
          <w:szCs w:val="18"/>
        </w:rPr>
        <w:t xml:space="preserve"> et. al, ILO, 2011)</w:t>
      </w:r>
    </w:p>
  </w:footnote>
  <w:footnote w:id="32">
    <w:p w:rsidR="00A55383" w:rsidRPr="003F3B59" w:rsidRDefault="00A55383" w:rsidP="00245B24">
      <w:pPr>
        <w:pStyle w:val="FootnoteText"/>
        <w:jc w:val="both"/>
        <w:rPr>
          <w:rFonts w:ascii="Times New Roman" w:hAnsi="Times New Roman" w:cs="Times New Roman"/>
          <w:sz w:val="18"/>
          <w:szCs w:val="18"/>
        </w:rPr>
      </w:pPr>
      <w:r w:rsidRPr="003F3B59">
        <w:rPr>
          <w:rStyle w:val="FootnoteReference"/>
          <w:rFonts w:ascii="Times New Roman" w:hAnsi="Times New Roman" w:cs="Times New Roman"/>
          <w:sz w:val="18"/>
          <w:szCs w:val="18"/>
        </w:rPr>
        <w:footnoteRef/>
      </w:r>
      <w:r w:rsidRPr="003F3B59">
        <w:rPr>
          <w:rFonts w:ascii="Times New Roman" w:hAnsi="Times New Roman" w:cs="Times New Roman"/>
          <w:sz w:val="18"/>
          <w:szCs w:val="18"/>
        </w:rPr>
        <w:t xml:space="preserve"> See forthcoming note on the regulatory framework for cooperatives and the transition process into the regulatory sphere, which was delivered and discussed with the authorities. Furthermore, experience in Mexico with the transition of savings and loan institutions and cooperatives suggest that incentives along the way need to be provided </w:t>
      </w:r>
      <w:r>
        <w:rPr>
          <w:rFonts w:ascii="Times New Roman" w:hAnsi="Times New Roman" w:cs="Times New Roman"/>
          <w:sz w:val="18"/>
          <w:szCs w:val="18"/>
        </w:rPr>
        <w:t xml:space="preserve">to entities willing to adjust </w:t>
      </w:r>
      <w:r w:rsidRPr="003F3B59">
        <w:rPr>
          <w:rFonts w:ascii="Times New Roman" w:hAnsi="Times New Roman" w:cs="Times New Roman"/>
          <w:sz w:val="18"/>
          <w:szCs w:val="18"/>
        </w:rPr>
        <w:t>to encourage and speed up the</w:t>
      </w:r>
      <w:r>
        <w:rPr>
          <w:rFonts w:ascii="Times New Roman" w:hAnsi="Times New Roman" w:cs="Times New Roman"/>
          <w:sz w:val="18"/>
          <w:szCs w:val="18"/>
        </w:rPr>
        <w:t>ir</w:t>
      </w:r>
      <w:r w:rsidRPr="003F3B59">
        <w:rPr>
          <w:rFonts w:ascii="Times New Roman" w:hAnsi="Times New Roman" w:cs="Times New Roman"/>
          <w:sz w:val="18"/>
          <w:szCs w:val="18"/>
        </w:rPr>
        <w:t xml:space="preserve"> transition process, </w:t>
      </w:r>
      <w:r>
        <w:rPr>
          <w:rFonts w:ascii="Times New Roman" w:hAnsi="Times New Roman" w:cs="Times New Roman"/>
          <w:sz w:val="18"/>
          <w:szCs w:val="18"/>
        </w:rPr>
        <w:t>together with</w:t>
      </w:r>
      <w:r w:rsidRPr="003F3B59">
        <w:rPr>
          <w:rFonts w:ascii="Times New Roman" w:hAnsi="Times New Roman" w:cs="Times New Roman"/>
          <w:sz w:val="18"/>
          <w:szCs w:val="18"/>
        </w:rPr>
        <w:t xml:space="preserve"> technical assistance to facilitate the setting up of appropriate internal organizational structures and processes. </w:t>
      </w:r>
    </w:p>
  </w:footnote>
  <w:footnote w:id="33">
    <w:p w:rsidR="00A55383" w:rsidRPr="006D6CAA" w:rsidRDefault="00A55383" w:rsidP="00EF773C">
      <w:pPr>
        <w:pStyle w:val="FootnoteText"/>
        <w:jc w:val="both"/>
        <w:rPr>
          <w:rFonts w:ascii="Times New Roman" w:hAnsi="Times New Roman" w:cs="Times New Roman"/>
          <w:sz w:val="18"/>
          <w:szCs w:val="18"/>
        </w:rPr>
      </w:pPr>
      <w:r w:rsidRPr="006D6CAA">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Source: World Bank, FinStat</w:t>
      </w:r>
      <w:r w:rsidRPr="006D6CAA">
        <w:rPr>
          <w:rFonts w:ascii="Times New Roman" w:hAnsi="Times New Roman" w:cs="Times New Roman"/>
          <w:sz w:val="18"/>
          <w:szCs w:val="18"/>
        </w:rPr>
        <w:t xml:space="preserve"> database. </w:t>
      </w:r>
    </w:p>
  </w:footnote>
  <w:footnote w:id="34">
    <w:p w:rsidR="00A55383" w:rsidRPr="006D6CAA" w:rsidRDefault="00A55383" w:rsidP="00EF773C">
      <w:pPr>
        <w:pStyle w:val="FootnoteText"/>
        <w:jc w:val="both"/>
        <w:rPr>
          <w:rFonts w:ascii="Times New Roman" w:hAnsi="Times New Roman" w:cs="Times New Roman"/>
          <w:sz w:val="18"/>
          <w:szCs w:val="18"/>
        </w:rPr>
      </w:pPr>
      <w:r w:rsidRPr="006D6CAA">
        <w:rPr>
          <w:rStyle w:val="FootnoteReference"/>
          <w:rFonts w:ascii="Times New Roman" w:hAnsi="Times New Roman" w:cs="Times New Roman"/>
          <w:sz w:val="18"/>
          <w:szCs w:val="18"/>
        </w:rPr>
        <w:footnoteRef/>
      </w:r>
      <w:r w:rsidRPr="006D6CAA">
        <w:rPr>
          <w:rFonts w:ascii="Times New Roman" w:hAnsi="Times New Roman" w:cs="Times New Roman"/>
          <w:sz w:val="18"/>
          <w:szCs w:val="18"/>
        </w:rPr>
        <w:t xml:space="preserve"> See further discussions on the available surveys in Chapter 5 and 6.</w:t>
      </w:r>
    </w:p>
  </w:footnote>
  <w:footnote w:id="35">
    <w:p w:rsidR="00A55383" w:rsidRPr="006D6CAA" w:rsidRDefault="00A55383" w:rsidP="00EF773C">
      <w:pPr>
        <w:pStyle w:val="FootnoteText"/>
        <w:jc w:val="both"/>
        <w:rPr>
          <w:rFonts w:ascii="Times New Roman" w:hAnsi="Times New Roman" w:cs="Times New Roman"/>
          <w:sz w:val="18"/>
          <w:szCs w:val="18"/>
        </w:rPr>
      </w:pPr>
      <w:r w:rsidRPr="006D6CAA">
        <w:rPr>
          <w:rStyle w:val="FootnoteReference"/>
          <w:rFonts w:ascii="Times New Roman" w:hAnsi="Times New Roman" w:cs="Times New Roman"/>
          <w:sz w:val="18"/>
          <w:szCs w:val="18"/>
        </w:rPr>
        <w:footnoteRef/>
      </w:r>
      <w:r w:rsidRPr="006D6CAA">
        <w:rPr>
          <w:rFonts w:ascii="Times New Roman" w:hAnsi="Times New Roman" w:cs="Times New Roman"/>
          <w:sz w:val="18"/>
          <w:szCs w:val="18"/>
        </w:rPr>
        <w:t xml:space="preserve"> Both credit and deposit growth rates and ratios to GDP are based on data from the IMF IFS database, to make it internationally comparable. </w:t>
      </w:r>
    </w:p>
  </w:footnote>
  <w:footnote w:id="36">
    <w:p w:rsidR="00A55383" w:rsidRPr="006D6CAA" w:rsidRDefault="00A55383" w:rsidP="0060526F">
      <w:pPr>
        <w:pStyle w:val="FootnoteText"/>
        <w:jc w:val="both"/>
        <w:rPr>
          <w:rFonts w:ascii="Times New Roman" w:hAnsi="Times New Roman" w:cs="Times New Roman"/>
          <w:sz w:val="18"/>
          <w:szCs w:val="18"/>
        </w:rPr>
      </w:pPr>
      <w:r w:rsidRPr="006D6CAA">
        <w:rPr>
          <w:rStyle w:val="FootnoteReference"/>
          <w:rFonts w:ascii="Times New Roman" w:hAnsi="Times New Roman" w:cs="Times New Roman"/>
          <w:sz w:val="18"/>
          <w:szCs w:val="18"/>
        </w:rPr>
        <w:footnoteRef/>
      </w:r>
      <w:r w:rsidRPr="006D6CAA">
        <w:rPr>
          <w:rFonts w:ascii="Times New Roman" w:hAnsi="Times New Roman" w:cs="Times New Roman"/>
          <w:sz w:val="18"/>
          <w:szCs w:val="18"/>
        </w:rPr>
        <w:t xml:space="preserve"> Defined here as current and savings accounts</w:t>
      </w:r>
      <w:r>
        <w:rPr>
          <w:rFonts w:ascii="Times New Roman" w:hAnsi="Times New Roman" w:cs="Times New Roman"/>
          <w:sz w:val="18"/>
          <w:szCs w:val="18"/>
        </w:rPr>
        <w:t>.</w:t>
      </w:r>
    </w:p>
  </w:footnote>
  <w:footnote w:id="37">
    <w:p w:rsidR="00A55383" w:rsidRPr="006D6CAA" w:rsidRDefault="00A55383" w:rsidP="0060526F">
      <w:pPr>
        <w:pStyle w:val="FootnoteText"/>
        <w:jc w:val="both"/>
        <w:rPr>
          <w:rFonts w:ascii="Times New Roman" w:hAnsi="Times New Roman" w:cs="Times New Roman"/>
          <w:sz w:val="18"/>
          <w:szCs w:val="18"/>
        </w:rPr>
      </w:pPr>
      <w:r w:rsidRPr="006D6CAA">
        <w:rPr>
          <w:rStyle w:val="FootnoteReference"/>
          <w:rFonts w:ascii="Times New Roman" w:hAnsi="Times New Roman" w:cs="Times New Roman"/>
          <w:sz w:val="18"/>
          <w:szCs w:val="18"/>
        </w:rPr>
        <w:footnoteRef/>
      </w:r>
      <w:r w:rsidRPr="006D6CAA">
        <w:rPr>
          <w:rFonts w:ascii="Times New Roman" w:hAnsi="Times New Roman" w:cs="Times New Roman"/>
          <w:sz w:val="18"/>
          <w:szCs w:val="18"/>
        </w:rPr>
        <w:t xml:space="preserve"> Source: </w:t>
      </w:r>
      <w:r>
        <w:rPr>
          <w:rFonts w:ascii="Times New Roman" w:hAnsi="Times New Roman" w:cs="Times New Roman"/>
          <w:sz w:val="18"/>
          <w:szCs w:val="18"/>
        </w:rPr>
        <w:t>d</w:t>
      </w:r>
      <w:r w:rsidRPr="006D6CAA">
        <w:rPr>
          <w:rFonts w:ascii="Times New Roman" w:hAnsi="Times New Roman" w:cs="Times New Roman"/>
          <w:sz w:val="18"/>
          <w:szCs w:val="18"/>
        </w:rPr>
        <w:t xml:space="preserve">ata provided by ASFI, this figure does not include </w:t>
      </w:r>
      <w:r>
        <w:rPr>
          <w:rFonts w:ascii="Times New Roman" w:hAnsi="Times New Roman" w:cs="Times New Roman"/>
          <w:sz w:val="18"/>
          <w:szCs w:val="18"/>
        </w:rPr>
        <w:t xml:space="preserve">the </w:t>
      </w:r>
      <w:r w:rsidRPr="006D6CAA">
        <w:rPr>
          <w:rFonts w:ascii="Times New Roman" w:hAnsi="Times New Roman" w:cs="Times New Roman"/>
          <w:sz w:val="18"/>
          <w:szCs w:val="18"/>
        </w:rPr>
        <w:t>325,2</w:t>
      </w:r>
      <w:r>
        <w:rPr>
          <w:rFonts w:ascii="Times New Roman" w:hAnsi="Times New Roman" w:cs="Times New Roman"/>
          <w:sz w:val="18"/>
          <w:szCs w:val="18"/>
        </w:rPr>
        <w:t>80 accounts of the un</w:t>
      </w:r>
      <w:r w:rsidRPr="006D6CAA">
        <w:rPr>
          <w:rFonts w:ascii="Times New Roman" w:hAnsi="Times New Roman" w:cs="Times New Roman"/>
          <w:sz w:val="18"/>
          <w:szCs w:val="18"/>
        </w:rPr>
        <w:t>regulated closed cooperatives</w:t>
      </w:r>
      <w:r>
        <w:rPr>
          <w:rFonts w:ascii="Times New Roman" w:hAnsi="Times New Roman" w:cs="Times New Roman"/>
          <w:sz w:val="18"/>
          <w:szCs w:val="18"/>
        </w:rPr>
        <w:t>.</w:t>
      </w:r>
    </w:p>
  </w:footnote>
  <w:footnote w:id="38">
    <w:p w:rsidR="00A55383" w:rsidRPr="00A35ABE" w:rsidRDefault="00A55383" w:rsidP="0060526F">
      <w:pPr>
        <w:pStyle w:val="FootnoteText"/>
        <w:jc w:val="both"/>
        <w:rPr>
          <w:rFonts w:ascii="Times New Roman" w:hAnsi="Times New Roman" w:cs="Times New Roman"/>
          <w:sz w:val="18"/>
          <w:szCs w:val="18"/>
        </w:rPr>
      </w:pPr>
      <w:r w:rsidRPr="006D6CAA">
        <w:rPr>
          <w:rStyle w:val="FootnoteReference"/>
          <w:rFonts w:ascii="Times New Roman" w:hAnsi="Times New Roman" w:cs="Times New Roman"/>
          <w:sz w:val="18"/>
          <w:szCs w:val="18"/>
        </w:rPr>
        <w:footnoteRef/>
      </w:r>
      <w:r w:rsidRPr="006D6CAA">
        <w:rPr>
          <w:rFonts w:ascii="Times New Roman" w:hAnsi="Times New Roman" w:cs="Times New Roman"/>
          <w:sz w:val="18"/>
          <w:szCs w:val="18"/>
        </w:rPr>
        <w:t xml:space="preserve"> The comparison also holds when only </w:t>
      </w:r>
      <w:r w:rsidRPr="00A35ABE">
        <w:rPr>
          <w:rFonts w:ascii="Times New Roman" w:hAnsi="Times New Roman" w:cs="Times New Roman"/>
          <w:sz w:val="18"/>
          <w:szCs w:val="18"/>
        </w:rPr>
        <w:t xml:space="preserve">looking at banking accounts in the system. The data for banks alone is more comparable across countries as in many countries worldwide non-bank financial institutions are partially regulated by other regulatory agency or not regulated at all, leading to a gap in availability and reliability of data for the international comparison. </w:t>
      </w:r>
    </w:p>
  </w:footnote>
  <w:footnote w:id="39">
    <w:p w:rsidR="00A55383" w:rsidRDefault="00A55383" w:rsidP="0060526F">
      <w:pPr>
        <w:pStyle w:val="FootnoteText"/>
        <w:jc w:val="both"/>
      </w:pPr>
      <w:r w:rsidRPr="00A35ABE">
        <w:rPr>
          <w:rStyle w:val="FootnoteReference"/>
          <w:rFonts w:ascii="Times New Roman" w:hAnsi="Times New Roman" w:cs="Times New Roman"/>
          <w:sz w:val="18"/>
          <w:szCs w:val="18"/>
        </w:rPr>
        <w:footnoteRef/>
      </w:r>
      <w:r w:rsidRPr="00A35ABE">
        <w:rPr>
          <w:rFonts w:ascii="Times New Roman" w:hAnsi="Times New Roman" w:cs="Times New Roman"/>
          <w:sz w:val="18"/>
          <w:szCs w:val="18"/>
        </w:rPr>
        <w:t xml:space="preserve"> </w:t>
      </w:r>
      <w:proofErr w:type="gramStart"/>
      <w:r w:rsidRPr="00A35ABE">
        <w:rPr>
          <w:rFonts w:ascii="Times New Roman" w:hAnsi="Times New Roman" w:cs="Times New Roman"/>
          <w:sz w:val="18"/>
          <w:szCs w:val="18"/>
        </w:rPr>
        <w:t xml:space="preserve">Measured here as GNI </w:t>
      </w:r>
      <w:r w:rsidRPr="00A35ABE">
        <w:rPr>
          <w:rFonts w:ascii="Times New Roman" w:hAnsi="Times New Roman" w:cs="Times New Roman"/>
          <w:i/>
          <w:sz w:val="18"/>
          <w:szCs w:val="18"/>
        </w:rPr>
        <w:t>per capita</w:t>
      </w:r>
      <w:r w:rsidRPr="00A35ABE">
        <w:rPr>
          <w:rFonts w:ascii="Times New Roman" w:hAnsi="Times New Roman" w:cs="Times New Roman"/>
          <w:sz w:val="18"/>
          <w:szCs w:val="18"/>
        </w:rPr>
        <w:t xml:space="preserve"> based on the Atlas method.</w:t>
      </w:r>
      <w:proofErr w:type="gramEnd"/>
      <w:r w:rsidRPr="00A35ABE">
        <w:rPr>
          <w:rFonts w:ascii="Times New Roman" w:hAnsi="Times New Roman" w:cs="Times New Roman"/>
          <w:sz w:val="18"/>
          <w:szCs w:val="18"/>
        </w:rPr>
        <w:t xml:space="preserve"> Source: World Bank data.</w:t>
      </w:r>
      <w:r>
        <w:t xml:space="preserve"> </w:t>
      </w:r>
    </w:p>
  </w:footnote>
  <w:footnote w:id="40">
    <w:p w:rsidR="00A55383" w:rsidRPr="008F3912" w:rsidRDefault="00A55383" w:rsidP="00C15D70">
      <w:pPr>
        <w:pStyle w:val="FootnoteText"/>
        <w:jc w:val="both"/>
        <w:rPr>
          <w:rFonts w:ascii="Times New Roman" w:hAnsi="Times New Roman" w:cs="Times New Roman"/>
          <w:sz w:val="18"/>
          <w:szCs w:val="18"/>
        </w:rPr>
      </w:pPr>
      <w:r w:rsidRPr="008F3912">
        <w:rPr>
          <w:rStyle w:val="FootnoteReference"/>
          <w:rFonts w:ascii="Times New Roman" w:hAnsi="Times New Roman" w:cs="Times New Roman"/>
          <w:sz w:val="18"/>
          <w:szCs w:val="18"/>
        </w:rPr>
        <w:footnoteRef/>
      </w:r>
      <w:r w:rsidRPr="008F3912">
        <w:rPr>
          <w:rFonts w:ascii="Times New Roman" w:hAnsi="Times New Roman" w:cs="Times New Roman"/>
          <w:sz w:val="18"/>
          <w:szCs w:val="18"/>
        </w:rPr>
        <w:t xml:space="preserve"> This is in contrast for example with countries like Paraguay, where the formal financial system has hitherto mostly focused on larger borrowers, and only recently is starting to cater to micro-and small enterprises on a larger scale.</w:t>
      </w:r>
      <w:r>
        <w:rPr>
          <w:rFonts w:ascii="Times New Roman" w:hAnsi="Times New Roman" w:cs="Times New Roman"/>
          <w:sz w:val="18"/>
          <w:szCs w:val="18"/>
        </w:rPr>
        <w:t xml:space="preserve"> </w:t>
      </w:r>
    </w:p>
  </w:footnote>
  <w:footnote w:id="41">
    <w:p w:rsidR="00A55383" w:rsidRDefault="00A55383">
      <w:pPr>
        <w:pStyle w:val="FootnoteText"/>
      </w:pPr>
      <w:r w:rsidRPr="00781E2F">
        <w:rPr>
          <w:rStyle w:val="FootnoteReference"/>
          <w:rFonts w:ascii="Times New Roman" w:hAnsi="Times New Roman" w:cs="Times New Roman"/>
          <w:sz w:val="18"/>
          <w:szCs w:val="18"/>
        </w:rPr>
        <w:footnoteRef/>
      </w:r>
      <w:r>
        <w:t xml:space="preserve"> </w:t>
      </w:r>
      <w:r w:rsidRPr="00781E2F">
        <w:rPr>
          <w:rFonts w:ascii="Times New Roman" w:hAnsi="Times New Roman" w:cs="Times New Roman"/>
          <w:sz w:val="18"/>
          <w:szCs w:val="18"/>
        </w:rPr>
        <w:t xml:space="preserve">Collateral is </w:t>
      </w:r>
      <w:r>
        <w:rPr>
          <w:rFonts w:ascii="Times New Roman" w:hAnsi="Times New Roman" w:cs="Times New Roman"/>
          <w:sz w:val="18"/>
          <w:szCs w:val="18"/>
        </w:rPr>
        <w:t>in many instances not needed for working capital, as the loan amounts are smaller and in many instances are done without requiring a real guarantee.</w:t>
      </w:r>
    </w:p>
  </w:footnote>
  <w:footnote w:id="42">
    <w:p w:rsidR="00A55383" w:rsidRPr="008F3912" w:rsidRDefault="00A55383" w:rsidP="00C15D70">
      <w:pPr>
        <w:pStyle w:val="FootnoteText"/>
        <w:jc w:val="both"/>
        <w:rPr>
          <w:rFonts w:ascii="Times New Roman" w:hAnsi="Times New Roman" w:cs="Times New Roman"/>
          <w:sz w:val="18"/>
          <w:szCs w:val="18"/>
        </w:rPr>
      </w:pPr>
      <w:r w:rsidRPr="008F3912">
        <w:rPr>
          <w:rStyle w:val="FootnoteReference"/>
          <w:rFonts w:ascii="Times New Roman" w:hAnsi="Times New Roman" w:cs="Times New Roman"/>
          <w:sz w:val="18"/>
          <w:szCs w:val="18"/>
        </w:rPr>
        <w:footnoteRef/>
      </w:r>
      <w:r w:rsidRPr="008F3912">
        <w:rPr>
          <w:rFonts w:ascii="Times New Roman" w:hAnsi="Times New Roman" w:cs="Times New Roman"/>
          <w:sz w:val="18"/>
          <w:szCs w:val="18"/>
        </w:rPr>
        <w:t xml:space="preserve"> As branch are counted the following 5 service points defined by ASFI as having a permanent location and being fielded by own staff: </w:t>
      </w:r>
      <w:r>
        <w:rPr>
          <w:rFonts w:ascii="Times New Roman" w:hAnsi="Times New Roman" w:cs="Times New Roman"/>
          <w:i/>
          <w:sz w:val="18"/>
          <w:szCs w:val="18"/>
        </w:rPr>
        <w:t>o</w:t>
      </w:r>
      <w:r w:rsidRPr="008F3912">
        <w:rPr>
          <w:rFonts w:ascii="Times New Roman" w:hAnsi="Times New Roman" w:cs="Times New Roman"/>
          <w:i/>
          <w:sz w:val="18"/>
          <w:szCs w:val="18"/>
        </w:rPr>
        <w:t>ficina central</w:t>
      </w:r>
      <w:r w:rsidRPr="008F3912">
        <w:rPr>
          <w:rFonts w:ascii="Times New Roman" w:hAnsi="Times New Roman" w:cs="Times New Roman"/>
          <w:sz w:val="18"/>
          <w:szCs w:val="18"/>
        </w:rPr>
        <w:t xml:space="preserve">, </w:t>
      </w:r>
      <w:r w:rsidRPr="008F3912">
        <w:rPr>
          <w:rFonts w:ascii="Times New Roman" w:hAnsi="Times New Roman" w:cs="Times New Roman"/>
          <w:i/>
          <w:sz w:val="18"/>
          <w:szCs w:val="18"/>
        </w:rPr>
        <w:t>sucursal</w:t>
      </w:r>
      <w:r w:rsidRPr="008F3912">
        <w:rPr>
          <w:rFonts w:ascii="Times New Roman" w:hAnsi="Times New Roman" w:cs="Times New Roman"/>
          <w:sz w:val="18"/>
          <w:szCs w:val="18"/>
        </w:rPr>
        <w:t xml:space="preserve">, </w:t>
      </w:r>
      <w:r w:rsidRPr="008F3912">
        <w:rPr>
          <w:rFonts w:ascii="Times New Roman" w:hAnsi="Times New Roman" w:cs="Times New Roman"/>
          <w:i/>
          <w:sz w:val="18"/>
          <w:szCs w:val="18"/>
        </w:rPr>
        <w:t>agencia fija</w:t>
      </w:r>
      <w:r w:rsidRPr="008F3912">
        <w:rPr>
          <w:rFonts w:ascii="Times New Roman" w:hAnsi="Times New Roman" w:cs="Times New Roman"/>
          <w:sz w:val="18"/>
          <w:szCs w:val="18"/>
        </w:rPr>
        <w:t xml:space="preserve">, </w:t>
      </w:r>
      <w:r w:rsidRPr="008F3912">
        <w:rPr>
          <w:rFonts w:ascii="Times New Roman" w:hAnsi="Times New Roman" w:cs="Times New Roman"/>
          <w:i/>
          <w:sz w:val="18"/>
          <w:szCs w:val="18"/>
        </w:rPr>
        <w:t>oficina externa</w:t>
      </w:r>
      <w:r w:rsidRPr="008F3912">
        <w:rPr>
          <w:rFonts w:ascii="Times New Roman" w:hAnsi="Times New Roman" w:cs="Times New Roman"/>
          <w:sz w:val="18"/>
          <w:szCs w:val="18"/>
        </w:rPr>
        <w:t xml:space="preserve"> </w:t>
      </w:r>
      <w:r>
        <w:rPr>
          <w:rFonts w:ascii="Times New Roman" w:hAnsi="Times New Roman" w:cs="Times New Roman"/>
          <w:sz w:val="18"/>
          <w:szCs w:val="18"/>
        </w:rPr>
        <w:t>and</w:t>
      </w:r>
      <w:r w:rsidRPr="008F3912">
        <w:rPr>
          <w:rFonts w:ascii="Times New Roman" w:hAnsi="Times New Roman" w:cs="Times New Roman"/>
          <w:sz w:val="18"/>
          <w:szCs w:val="18"/>
        </w:rPr>
        <w:t xml:space="preserve"> </w:t>
      </w:r>
      <w:r w:rsidRPr="008F3912">
        <w:rPr>
          <w:rFonts w:ascii="Times New Roman" w:hAnsi="Times New Roman" w:cs="Times New Roman"/>
          <w:i/>
          <w:sz w:val="18"/>
          <w:szCs w:val="18"/>
        </w:rPr>
        <w:t>oficina ferial</w:t>
      </w:r>
      <w:r w:rsidRPr="008F3912">
        <w:rPr>
          <w:rFonts w:ascii="Times New Roman" w:hAnsi="Times New Roman" w:cs="Times New Roman"/>
          <w:sz w:val="18"/>
          <w:szCs w:val="18"/>
        </w:rPr>
        <w:t xml:space="preserve">. </w:t>
      </w:r>
    </w:p>
  </w:footnote>
  <w:footnote w:id="43">
    <w:p w:rsidR="00A55383" w:rsidRPr="008F1D29" w:rsidRDefault="00A55383" w:rsidP="0060526F">
      <w:pPr>
        <w:pStyle w:val="FootnoteText"/>
        <w:jc w:val="both"/>
        <w:rPr>
          <w:rFonts w:ascii="Times New Roman" w:hAnsi="Times New Roman" w:cs="Times New Roman"/>
          <w:sz w:val="18"/>
          <w:szCs w:val="18"/>
        </w:rPr>
      </w:pPr>
      <w:r w:rsidRPr="00712ACD">
        <w:rPr>
          <w:rStyle w:val="FootnoteReference"/>
          <w:rFonts w:ascii="Times New Roman" w:hAnsi="Times New Roman" w:cs="Times New Roman"/>
          <w:sz w:val="18"/>
          <w:szCs w:val="18"/>
        </w:rPr>
        <w:footnoteRef/>
      </w:r>
      <w:r w:rsidRPr="00CA190B">
        <w:rPr>
          <w:lang w:val="es-BO"/>
        </w:rPr>
        <w:t xml:space="preserve"> </w:t>
      </w:r>
      <w:r w:rsidRPr="00CA190B">
        <w:rPr>
          <w:rFonts w:ascii="Times New Roman" w:hAnsi="Times New Roman" w:cs="Times New Roman"/>
          <w:sz w:val="18"/>
          <w:szCs w:val="18"/>
          <w:lang w:val="es-BO"/>
        </w:rPr>
        <w:t>Central Bank of Bolivia (2009a), “</w:t>
      </w:r>
      <w:r w:rsidRPr="00CA190B">
        <w:rPr>
          <w:rFonts w:ascii="Times New Roman" w:hAnsi="Times New Roman" w:cs="Times New Roman"/>
          <w:i/>
          <w:sz w:val="18"/>
          <w:szCs w:val="18"/>
          <w:lang w:val="es-BO"/>
        </w:rPr>
        <w:t>Informe mensual – Julio 2009. Encuesta sobre uso de instrumentos de pago alternativos al efectivo en Bolivia</w:t>
      </w:r>
      <w:r w:rsidRPr="00CA190B">
        <w:rPr>
          <w:rFonts w:ascii="Times New Roman" w:hAnsi="Times New Roman" w:cs="Times New Roman"/>
          <w:sz w:val="18"/>
          <w:szCs w:val="18"/>
          <w:lang w:val="es-BO"/>
        </w:rPr>
        <w:t xml:space="preserve">”, </w:t>
      </w:r>
      <w:r w:rsidRPr="00CA190B">
        <w:rPr>
          <w:rFonts w:ascii="Times New Roman" w:hAnsi="Times New Roman" w:cs="Times New Roman"/>
          <w:i/>
          <w:sz w:val="18"/>
          <w:szCs w:val="18"/>
          <w:lang w:val="es-BO"/>
        </w:rPr>
        <w:t>La Paz</w:t>
      </w:r>
      <w:r w:rsidRPr="00CA190B">
        <w:rPr>
          <w:rFonts w:ascii="Times New Roman" w:hAnsi="Times New Roman" w:cs="Times New Roman"/>
          <w:sz w:val="18"/>
          <w:szCs w:val="18"/>
          <w:lang w:val="es-BO"/>
        </w:rPr>
        <w:t xml:space="preserve"> (2009), and Central Bank of Bolivia (2010), “</w:t>
      </w:r>
      <w:r w:rsidRPr="00CA190B">
        <w:rPr>
          <w:rFonts w:ascii="Times New Roman" w:hAnsi="Times New Roman" w:cs="Times New Roman"/>
          <w:i/>
          <w:sz w:val="18"/>
          <w:szCs w:val="18"/>
          <w:lang w:val="es-BO"/>
        </w:rPr>
        <w:t xml:space="preserve">Informe mensual, Sistema de pago – Agosto 2009. </w:t>
      </w:r>
      <w:proofErr w:type="spellStart"/>
      <w:r w:rsidRPr="008F1D29">
        <w:rPr>
          <w:rFonts w:ascii="Times New Roman" w:hAnsi="Times New Roman" w:cs="Times New Roman"/>
          <w:i/>
          <w:sz w:val="18"/>
          <w:szCs w:val="18"/>
        </w:rPr>
        <w:t>Encuesta</w:t>
      </w:r>
      <w:proofErr w:type="spellEnd"/>
      <w:r w:rsidRPr="008F1D29">
        <w:rPr>
          <w:rFonts w:ascii="Times New Roman" w:hAnsi="Times New Roman" w:cs="Times New Roman"/>
          <w:i/>
          <w:sz w:val="18"/>
          <w:szCs w:val="18"/>
        </w:rPr>
        <w:t xml:space="preserve"> </w:t>
      </w:r>
      <w:proofErr w:type="spellStart"/>
      <w:r w:rsidRPr="008F1D29">
        <w:rPr>
          <w:rFonts w:ascii="Times New Roman" w:hAnsi="Times New Roman" w:cs="Times New Roman"/>
          <w:i/>
          <w:sz w:val="18"/>
          <w:szCs w:val="18"/>
        </w:rPr>
        <w:t>sobre</w:t>
      </w:r>
      <w:proofErr w:type="spellEnd"/>
      <w:r w:rsidRPr="008F1D29">
        <w:rPr>
          <w:rFonts w:ascii="Times New Roman" w:hAnsi="Times New Roman" w:cs="Times New Roman"/>
          <w:i/>
          <w:sz w:val="18"/>
          <w:szCs w:val="18"/>
        </w:rPr>
        <w:t xml:space="preserve"> </w:t>
      </w:r>
      <w:proofErr w:type="spellStart"/>
      <w:r w:rsidRPr="008F1D29">
        <w:rPr>
          <w:rFonts w:ascii="Times New Roman" w:hAnsi="Times New Roman" w:cs="Times New Roman"/>
          <w:i/>
          <w:sz w:val="18"/>
          <w:szCs w:val="18"/>
        </w:rPr>
        <w:t>pagos</w:t>
      </w:r>
      <w:proofErr w:type="spellEnd"/>
      <w:r w:rsidRPr="008F1D29">
        <w:rPr>
          <w:rFonts w:ascii="Times New Roman" w:hAnsi="Times New Roman" w:cs="Times New Roman"/>
          <w:i/>
          <w:sz w:val="18"/>
          <w:szCs w:val="18"/>
        </w:rPr>
        <w:t xml:space="preserve"> </w:t>
      </w:r>
      <w:proofErr w:type="spellStart"/>
      <w:r w:rsidRPr="008F1D29">
        <w:rPr>
          <w:rFonts w:ascii="Times New Roman" w:hAnsi="Times New Roman" w:cs="Times New Roman"/>
          <w:i/>
          <w:sz w:val="18"/>
          <w:szCs w:val="18"/>
        </w:rPr>
        <w:t>electrónicos</w:t>
      </w:r>
      <w:proofErr w:type="spellEnd"/>
      <w:r w:rsidRPr="008F1D29">
        <w:rPr>
          <w:rFonts w:ascii="Times New Roman" w:hAnsi="Times New Roman" w:cs="Times New Roman"/>
          <w:i/>
          <w:sz w:val="18"/>
          <w:szCs w:val="18"/>
        </w:rPr>
        <w:t xml:space="preserve"> al sistema financiero</w:t>
      </w:r>
      <w:r w:rsidRPr="008F1D29">
        <w:rPr>
          <w:rFonts w:ascii="Times New Roman" w:hAnsi="Times New Roman" w:cs="Times New Roman"/>
          <w:sz w:val="18"/>
          <w:szCs w:val="18"/>
        </w:rPr>
        <w:t xml:space="preserve">”, </w:t>
      </w:r>
      <w:r w:rsidRPr="008F1D29">
        <w:rPr>
          <w:rFonts w:ascii="Times New Roman" w:hAnsi="Times New Roman" w:cs="Times New Roman"/>
          <w:i/>
          <w:sz w:val="18"/>
          <w:szCs w:val="18"/>
        </w:rPr>
        <w:t>La Paz</w:t>
      </w:r>
      <w:r w:rsidRPr="008F1D29">
        <w:rPr>
          <w:rFonts w:ascii="Times New Roman" w:hAnsi="Times New Roman" w:cs="Times New Roman"/>
          <w:sz w:val="18"/>
          <w:szCs w:val="18"/>
        </w:rPr>
        <w:t>, (2009).</w:t>
      </w:r>
    </w:p>
  </w:footnote>
  <w:footnote w:id="44">
    <w:p w:rsidR="00A55383" w:rsidRPr="00FF7206" w:rsidRDefault="00A55383" w:rsidP="0060526F">
      <w:pPr>
        <w:pStyle w:val="FootnoteText"/>
        <w:jc w:val="both"/>
        <w:rPr>
          <w:rFonts w:ascii="Times New Roman" w:hAnsi="Times New Roman" w:cs="Times New Roman"/>
          <w:sz w:val="18"/>
          <w:szCs w:val="18"/>
        </w:rPr>
      </w:pPr>
      <w:r w:rsidRPr="00FF7206">
        <w:rPr>
          <w:rStyle w:val="FootnoteReference"/>
          <w:rFonts w:ascii="Times New Roman" w:hAnsi="Times New Roman" w:cs="Times New Roman"/>
          <w:sz w:val="18"/>
          <w:szCs w:val="18"/>
        </w:rPr>
        <w:footnoteRef/>
      </w:r>
      <w:r w:rsidRPr="00FF7206">
        <w:rPr>
          <w:rFonts w:ascii="Times New Roman" w:hAnsi="Times New Roman" w:cs="Times New Roman"/>
          <w:sz w:val="18"/>
          <w:szCs w:val="18"/>
        </w:rPr>
        <w:t xml:space="preserve"> The C</w:t>
      </w:r>
      <w:r>
        <w:rPr>
          <w:rFonts w:ascii="Times New Roman" w:hAnsi="Times New Roman" w:cs="Times New Roman"/>
          <w:sz w:val="18"/>
          <w:szCs w:val="18"/>
        </w:rPr>
        <w:t>entral Bank’s</w:t>
      </w:r>
      <w:r w:rsidRPr="00FF7206">
        <w:rPr>
          <w:rFonts w:ascii="Times New Roman" w:hAnsi="Times New Roman" w:cs="Times New Roman"/>
          <w:sz w:val="18"/>
          <w:szCs w:val="18"/>
        </w:rPr>
        <w:t xml:space="preserve"> survey o</w:t>
      </w:r>
      <w:r>
        <w:rPr>
          <w:rFonts w:ascii="Times New Roman" w:hAnsi="Times New Roman" w:cs="Times New Roman"/>
          <w:sz w:val="18"/>
          <w:szCs w:val="18"/>
        </w:rPr>
        <w:t>n</w:t>
      </w:r>
      <w:r w:rsidRPr="00FF7206">
        <w:rPr>
          <w:rFonts w:ascii="Times New Roman" w:hAnsi="Times New Roman" w:cs="Times New Roman"/>
          <w:sz w:val="18"/>
          <w:szCs w:val="18"/>
        </w:rPr>
        <w:t xml:space="preserve"> payment systems (August 2009) shows that 91 percent of banks, 43 percent of </w:t>
      </w:r>
      <w:r>
        <w:rPr>
          <w:rFonts w:ascii="Times New Roman" w:hAnsi="Times New Roman" w:cs="Times New Roman"/>
          <w:sz w:val="18"/>
          <w:szCs w:val="18"/>
        </w:rPr>
        <w:t>SLAs</w:t>
      </w:r>
      <w:r w:rsidRPr="00FF7206">
        <w:rPr>
          <w:rFonts w:ascii="Times New Roman" w:hAnsi="Times New Roman" w:cs="Times New Roman"/>
          <w:sz w:val="18"/>
          <w:szCs w:val="18"/>
        </w:rPr>
        <w:t>, 67 percent of finance companies and only 27 percent of the cooperatives offer transfers to third parties as a service.</w:t>
      </w:r>
    </w:p>
  </w:footnote>
  <w:footnote w:id="45">
    <w:p w:rsidR="00A55383" w:rsidRPr="00980068" w:rsidRDefault="00A55383">
      <w:pPr>
        <w:pStyle w:val="FootnoteText"/>
        <w:rPr>
          <w:rFonts w:ascii="Times New Roman" w:hAnsi="Times New Roman" w:cs="Times New Roman"/>
          <w:sz w:val="18"/>
          <w:szCs w:val="18"/>
        </w:rPr>
      </w:pPr>
      <w:r w:rsidRPr="00781E2F">
        <w:rPr>
          <w:rStyle w:val="FootnoteReference"/>
          <w:rFonts w:ascii="Times New Roman" w:hAnsi="Times New Roman" w:cs="Times New Roman"/>
          <w:sz w:val="18"/>
        </w:rPr>
        <w:footnoteRef/>
      </w:r>
      <w:r>
        <w:t xml:space="preserve"> </w:t>
      </w:r>
      <w:r w:rsidRPr="00781E2F">
        <w:rPr>
          <w:rFonts w:ascii="Times New Roman" w:hAnsi="Times New Roman" w:cs="Times New Roman"/>
          <w:sz w:val="18"/>
          <w:szCs w:val="18"/>
        </w:rPr>
        <w:t xml:space="preserve">The </w:t>
      </w:r>
      <w:r>
        <w:rPr>
          <w:rFonts w:ascii="Times New Roman" w:hAnsi="Times New Roman" w:cs="Times New Roman"/>
          <w:sz w:val="18"/>
          <w:szCs w:val="18"/>
        </w:rPr>
        <w:t>relatively high Herfindahl Index in 2008 still reflected the merger of Banco Mercantil and Banco Santa Cruz, which had significantly increased the market share of the largest banks</w:t>
      </w:r>
      <w:proofErr w:type="gramStart"/>
      <w:r>
        <w:rPr>
          <w:rFonts w:ascii="Times New Roman" w:hAnsi="Times New Roman" w:cs="Times New Roman"/>
          <w:sz w:val="18"/>
          <w:szCs w:val="18"/>
        </w:rPr>
        <w:t>..</w:t>
      </w:r>
      <w:proofErr w:type="gramEnd"/>
      <w:r>
        <w:rPr>
          <w:rFonts w:ascii="Times New Roman" w:hAnsi="Times New Roman" w:cs="Times New Roman"/>
          <w:sz w:val="18"/>
          <w:szCs w:val="18"/>
        </w:rPr>
        <w:t xml:space="preserve"> Since then, 2 more finance companies converted into banks, which led to the drop in the reported index </w:t>
      </w:r>
    </w:p>
  </w:footnote>
  <w:footnote w:id="46">
    <w:p w:rsidR="00A55383" w:rsidRPr="00177848" w:rsidRDefault="00A55383" w:rsidP="00CA07A0">
      <w:pPr>
        <w:pStyle w:val="FootnoteText"/>
        <w:jc w:val="both"/>
        <w:rPr>
          <w:rFonts w:ascii="Times New Roman" w:hAnsi="Times New Roman" w:cs="Times New Roman"/>
        </w:rPr>
      </w:pPr>
      <w:r w:rsidRPr="004B61DC">
        <w:rPr>
          <w:rStyle w:val="FootnoteReference"/>
          <w:rFonts w:ascii="Times New Roman" w:hAnsi="Times New Roman" w:cs="Times New Roman"/>
          <w:sz w:val="18"/>
        </w:rPr>
        <w:footnoteRef/>
      </w:r>
      <w:r w:rsidRPr="00614471">
        <w:rPr>
          <w:rFonts w:ascii="Times New Roman" w:hAnsi="Times New Roman" w:cs="Times New Roman"/>
          <w:sz w:val="18"/>
          <w:szCs w:val="18"/>
        </w:rPr>
        <w:t xml:space="preserve"> The difference between the concentration ratios from Chart</w:t>
      </w:r>
      <w:r w:rsidRPr="00177848">
        <w:rPr>
          <w:rFonts w:ascii="Times New Roman" w:hAnsi="Times New Roman" w:cs="Times New Roman"/>
          <w:sz w:val="18"/>
        </w:rPr>
        <w:t xml:space="preserve"> 3 and the ones in the text stems from different sources. </w:t>
      </w:r>
      <w:r>
        <w:rPr>
          <w:rFonts w:ascii="Times New Roman" w:hAnsi="Times New Roman" w:cs="Times New Roman"/>
          <w:sz w:val="18"/>
        </w:rPr>
        <w:t>F</w:t>
      </w:r>
      <w:r w:rsidRPr="00177848">
        <w:rPr>
          <w:rFonts w:ascii="Times New Roman" w:hAnsi="Times New Roman" w:cs="Times New Roman"/>
          <w:sz w:val="18"/>
        </w:rPr>
        <w:t>or international comparison purposes</w:t>
      </w:r>
      <w:r>
        <w:rPr>
          <w:rFonts w:ascii="Times New Roman" w:hAnsi="Times New Roman" w:cs="Times New Roman"/>
          <w:sz w:val="18"/>
        </w:rPr>
        <w:t>, t</w:t>
      </w:r>
      <w:r w:rsidRPr="00177848">
        <w:rPr>
          <w:rFonts w:ascii="Times New Roman" w:hAnsi="Times New Roman" w:cs="Times New Roman"/>
          <w:sz w:val="18"/>
        </w:rPr>
        <w:t>he chart was elaborated based on the World Bank’s Finstat database</w:t>
      </w:r>
      <w:r>
        <w:rPr>
          <w:rFonts w:ascii="Times New Roman" w:hAnsi="Times New Roman" w:cs="Times New Roman"/>
          <w:sz w:val="18"/>
        </w:rPr>
        <w:t xml:space="preserve">, which takes into account a sample of 10 banks reporting to </w:t>
      </w:r>
      <w:r w:rsidRPr="00177848">
        <w:rPr>
          <w:rFonts w:ascii="Times New Roman" w:hAnsi="Times New Roman" w:cs="Times New Roman"/>
          <w:i/>
          <w:sz w:val="18"/>
        </w:rPr>
        <w:t>Bankscope</w:t>
      </w:r>
      <w:r>
        <w:rPr>
          <w:rFonts w:ascii="Times New Roman" w:hAnsi="Times New Roman" w:cs="Times New Roman"/>
          <w:sz w:val="18"/>
        </w:rPr>
        <w:t>. The ratio in the text was calculated based on ASFI data.</w:t>
      </w:r>
    </w:p>
  </w:footnote>
  <w:footnote w:id="47">
    <w:p w:rsidR="00A55383" w:rsidRPr="0033527D" w:rsidRDefault="00A55383" w:rsidP="00CA07A0">
      <w:pPr>
        <w:pStyle w:val="FootnoteText"/>
        <w:jc w:val="both"/>
        <w:rPr>
          <w:sz w:val="18"/>
          <w:szCs w:val="18"/>
        </w:rPr>
      </w:pPr>
      <w:r w:rsidRPr="003F3B59">
        <w:rPr>
          <w:rStyle w:val="FootnoteReference"/>
          <w:rFonts w:ascii="Times New Roman" w:hAnsi="Times New Roman" w:cs="Times New Roman"/>
          <w:sz w:val="18"/>
          <w:szCs w:val="18"/>
        </w:rPr>
        <w:footnoteRef/>
      </w:r>
      <w:r w:rsidRPr="003F3B59">
        <w:rPr>
          <w:rFonts w:ascii="Times New Roman" w:hAnsi="Times New Roman" w:cs="Times New Roman"/>
          <w:sz w:val="18"/>
          <w:szCs w:val="18"/>
        </w:rPr>
        <w:t xml:space="preserve"> Brazil, Chile, Colombia, Costa Rica, Ecuador and Mexico show </w:t>
      </w:r>
      <w:r>
        <w:rPr>
          <w:rFonts w:ascii="Times New Roman" w:hAnsi="Times New Roman" w:cs="Times New Roman"/>
          <w:sz w:val="18"/>
          <w:szCs w:val="18"/>
        </w:rPr>
        <w:t xml:space="preserve">for example </w:t>
      </w:r>
      <w:r w:rsidRPr="003F3B59">
        <w:rPr>
          <w:rFonts w:ascii="Times New Roman" w:hAnsi="Times New Roman" w:cs="Times New Roman"/>
          <w:sz w:val="18"/>
          <w:szCs w:val="18"/>
        </w:rPr>
        <w:t xml:space="preserve">similar market shares for the largest banks, while El Salvador, Guatemala, Peru and Uruguay </w:t>
      </w:r>
      <w:r>
        <w:rPr>
          <w:rFonts w:ascii="Times New Roman" w:hAnsi="Times New Roman" w:cs="Times New Roman"/>
          <w:sz w:val="18"/>
          <w:szCs w:val="18"/>
        </w:rPr>
        <w:t>report</w:t>
      </w:r>
      <w:r w:rsidRPr="003F3B59">
        <w:rPr>
          <w:rFonts w:ascii="Times New Roman" w:hAnsi="Times New Roman" w:cs="Times New Roman"/>
          <w:sz w:val="18"/>
          <w:szCs w:val="18"/>
        </w:rPr>
        <w:t xml:space="preserve"> higher levels of concentration within the banking sector. </w:t>
      </w:r>
      <w:r>
        <w:rPr>
          <w:rFonts w:ascii="Times New Roman" w:hAnsi="Times New Roman" w:cs="Times New Roman"/>
          <w:sz w:val="18"/>
          <w:szCs w:val="18"/>
        </w:rPr>
        <w:t>T</w:t>
      </w:r>
      <w:r w:rsidRPr="003F3B59">
        <w:rPr>
          <w:rFonts w:ascii="Times New Roman" w:hAnsi="Times New Roman" w:cs="Times New Roman"/>
          <w:sz w:val="18"/>
          <w:szCs w:val="18"/>
        </w:rPr>
        <w:t>he World Bank FinStat database</w:t>
      </w:r>
      <w:r>
        <w:rPr>
          <w:rFonts w:ascii="Times New Roman" w:hAnsi="Times New Roman" w:cs="Times New Roman"/>
          <w:sz w:val="18"/>
          <w:szCs w:val="18"/>
        </w:rPr>
        <w:t xml:space="preserve"> also</w:t>
      </w:r>
      <w:r w:rsidRPr="003F3B59">
        <w:rPr>
          <w:rFonts w:ascii="Times New Roman" w:hAnsi="Times New Roman" w:cs="Times New Roman"/>
          <w:sz w:val="18"/>
          <w:szCs w:val="18"/>
        </w:rPr>
        <w:t xml:space="preserve"> shows similar or higher levels of concentration for regional and income level peers, and market shares of close to 80 percent for countries with similar structural </w:t>
      </w:r>
      <w:r w:rsidRPr="00A35ABE">
        <w:rPr>
          <w:rFonts w:ascii="Times New Roman" w:hAnsi="Times New Roman" w:cs="Times New Roman"/>
          <w:sz w:val="18"/>
          <w:szCs w:val="18"/>
        </w:rPr>
        <w:t xml:space="preserve">features. It should however be noted that the concentration ratio can only provide an indication into competition, as the market size also plays an important role for the number of players that can sustainably operate in a market, with some of the larger economies like Mexico and Colombia considering similar concentration ratios to be an issue. </w:t>
      </w:r>
      <w:r>
        <w:rPr>
          <w:rFonts w:ascii="Times New Roman" w:hAnsi="Times New Roman" w:cs="Times New Roman"/>
          <w:sz w:val="18"/>
          <w:szCs w:val="18"/>
        </w:rPr>
        <w:t xml:space="preserve">The H statistic also indicates higher concentration in the Bolivian market, but like the market concentration ratios does not reflect the small size of the formal economy, and the importance of non-banks for the delivery of financial services. </w:t>
      </w:r>
    </w:p>
  </w:footnote>
  <w:footnote w:id="48">
    <w:p w:rsidR="00A55383" w:rsidRPr="00614471" w:rsidRDefault="00A55383" w:rsidP="00FE409B">
      <w:pPr>
        <w:pStyle w:val="FootnoteText"/>
        <w:jc w:val="both"/>
        <w:rPr>
          <w:rFonts w:ascii="Times New Roman" w:hAnsi="Times New Roman" w:cs="Times New Roman"/>
          <w:sz w:val="18"/>
          <w:szCs w:val="18"/>
        </w:rPr>
      </w:pPr>
      <w:r w:rsidRPr="00FB67D0">
        <w:rPr>
          <w:rFonts w:ascii="Times New Roman" w:hAnsi="Times New Roman" w:cs="Times New Roman"/>
          <w:sz w:val="18"/>
          <w:szCs w:val="18"/>
          <w:vertAlign w:val="superscript"/>
        </w:rPr>
        <w:footnoteRef/>
      </w:r>
      <w:r w:rsidRPr="00FB67D0">
        <w:rPr>
          <w:rFonts w:ascii="Times New Roman" w:hAnsi="Times New Roman" w:cs="Times New Roman"/>
          <w:sz w:val="18"/>
          <w:szCs w:val="18"/>
          <w:vertAlign w:val="superscript"/>
        </w:rPr>
        <w:t xml:space="preserve"> </w:t>
      </w:r>
      <w:r w:rsidRPr="00FB67D0">
        <w:rPr>
          <w:rFonts w:ascii="Times New Roman" w:hAnsi="Times New Roman" w:cs="Times New Roman"/>
          <w:sz w:val="18"/>
          <w:szCs w:val="18"/>
        </w:rPr>
        <w:t>It is interesting to note in this context that there is a progressive transition of some entities from IFDs to Finance Companies and from Finance Companies to Banks. Other entrants, different from upgrading microfinance oriented entities may find that the Bolivian market is not attractive due to its small size and ongoing legal adjustments.</w:t>
      </w:r>
    </w:p>
  </w:footnote>
  <w:footnote w:id="49">
    <w:p w:rsidR="00A55383" w:rsidRPr="00D80C62" w:rsidRDefault="00A55383" w:rsidP="000639A5">
      <w:pPr>
        <w:pStyle w:val="FootnoteText"/>
        <w:jc w:val="both"/>
        <w:rPr>
          <w:rFonts w:ascii="Times New Roman" w:hAnsi="Times New Roman" w:cs="Times New Roman"/>
          <w:sz w:val="18"/>
          <w:szCs w:val="18"/>
        </w:rPr>
      </w:pPr>
      <w:r w:rsidRPr="00A35ABE">
        <w:rPr>
          <w:rStyle w:val="FootnoteReference"/>
          <w:rFonts w:ascii="Times New Roman" w:hAnsi="Times New Roman" w:cs="Times New Roman"/>
          <w:sz w:val="18"/>
          <w:szCs w:val="18"/>
        </w:rPr>
        <w:footnoteRef/>
      </w:r>
      <w:r w:rsidRPr="00A35ABE">
        <w:rPr>
          <w:rFonts w:ascii="Times New Roman" w:hAnsi="Times New Roman" w:cs="Times New Roman"/>
          <w:sz w:val="18"/>
          <w:szCs w:val="18"/>
        </w:rPr>
        <w:t xml:space="preserve"> It should be noted that in 2008 and 2009 the rates of return were above the regional averages, as profitability in many other countries in the region was negatively impacted by the international economic and financial crisis, while the financial system in Bolivia benefited from higher interest rates of government paper.</w:t>
      </w:r>
      <w:r w:rsidRPr="00D80C62">
        <w:rPr>
          <w:rFonts w:ascii="Times New Roman" w:hAnsi="Times New Roman" w:cs="Times New Roman"/>
          <w:sz w:val="18"/>
          <w:szCs w:val="18"/>
        </w:rPr>
        <w:t xml:space="preserve"> </w:t>
      </w:r>
    </w:p>
  </w:footnote>
  <w:footnote w:id="50">
    <w:p w:rsidR="00A55383" w:rsidRPr="001320E0" w:rsidRDefault="00A55383" w:rsidP="00EF773C">
      <w:pPr>
        <w:pStyle w:val="FootnoteText"/>
        <w:jc w:val="both"/>
        <w:rPr>
          <w:rFonts w:ascii="Times New Roman" w:hAnsi="Times New Roman" w:cs="Times New Roman"/>
          <w:sz w:val="18"/>
          <w:szCs w:val="18"/>
        </w:rPr>
      </w:pPr>
      <w:r w:rsidRPr="001320E0">
        <w:rPr>
          <w:rStyle w:val="FootnoteReference"/>
          <w:rFonts w:ascii="Times New Roman" w:hAnsi="Times New Roman" w:cs="Times New Roman"/>
          <w:sz w:val="18"/>
          <w:szCs w:val="18"/>
        </w:rPr>
        <w:footnoteRef/>
      </w:r>
      <w:r w:rsidRPr="001320E0">
        <w:rPr>
          <w:rFonts w:ascii="Times New Roman" w:hAnsi="Times New Roman" w:cs="Times New Roman"/>
          <w:sz w:val="18"/>
          <w:szCs w:val="18"/>
        </w:rPr>
        <w:t xml:space="preserve"> For example, the income statements for </w:t>
      </w:r>
      <w:r>
        <w:rPr>
          <w:rFonts w:ascii="Times New Roman" w:hAnsi="Times New Roman" w:cs="Times New Roman"/>
          <w:sz w:val="18"/>
          <w:szCs w:val="18"/>
        </w:rPr>
        <w:t>the finance company</w:t>
      </w:r>
      <w:r w:rsidRPr="001320E0">
        <w:rPr>
          <w:rFonts w:ascii="Times New Roman" w:hAnsi="Times New Roman" w:cs="Times New Roman"/>
          <w:i/>
          <w:sz w:val="18"/>
          <w:szCs w:val="18"/>
        </w:rPr>
        <w:t xml:space="preserve"> Prodem</w:t>
      </w:r>
      <w:r w:rsidRPr="001320E0">
        <w:rPr>
          <w:rFonts w:ascii="Times New Roman" w:hAnsi="Times New Roman" w:cs="Times New Roman"/>
          <w:sz w:val="18"/>
          <w:szCs w:val="18"/>
        </w:rPr>
        <w:t xml:space="preserve"> and the </w:t>
      </w:r>
      <w:r w:rsidRPr="00D978AD">
        <w:rPr>
          <w:rFonts w:ascii="Times New Roman" w:hAnsi="Times New Roman" w:cs="Times New Roman"/>
          <w:sz w:val="18"/>
          <w:szCs w:val="18"/>
        </w:rPr>
        <w:t>SLA</w:t>
      </w:r>
      <w:r w:rsidRPr="001320E0">
        <w:rPr>
          <w:rFonts w:ascii="Times New Roman" w:hAnsi="Times New Roman" w:cs="Times New Roman"/>
          <w:i/>
          <w:sz w:val="18"/>
          <w:szCs w:val="18"/>
        </w:rPr>
        <w:t xml:space="preserve"> La Paz</w:t>
      </w:r>
      <w:r w:rsidRPr="001320E0">
        <w:rPr>
          <w:rFonts w:ascii="Times New Roman" w:hAnsi="Times New Roman" w:cs="Times New Roman"/>
          <w:sz w:val="18"/>
          <w:szCs w:val="18"/>
        </w:rPr>
        <w:t xml:space="preserve"> show higher commission income through non-intermediation related services such as the delivery of conditional cash transfers in the case of PRODEM, and the payment of utilities in the case of </w:t>
      </w:r>
      <w:r>
        <w:rPr>
          <w:rFonts w:ascii="Times New Roman" w:hAnsi="Times New Roman" w:cs="Times New Roman"/>
          <w:sz w:val="18"/>
          <w:szCs w:val="18"/>
        </w:rPr>
        <w:t>SLA</w:t>
      </w:r>
      <w:r w:rsidRPr="00D978AD">
        <w:rPr>
          <w:rFonts w:ascii="Times New Roman" w:hAnsi="Times New Roman" w:cs="Times New Roman"/>
          <w:i/>
          <w:sz w:val="18"/>
          <w:szCs w:val="18"/>
        </w:rPr>
        <w:t xml:space="preserve"> </w:t>
      </w:r>
      <w:r w:rsidRPr="001320E0">
        <w:rPr>
          <w:rFonts w:ascii="Times New Roman" w:hAnsi="Times New Roman" w:cs="Times New Roman"/>
          <w:i/>
          <w:sz w:val="18"/>
          <w:szCs w:val="18"/>
        </w:rPr>
        <w:t>La Paz</w:t>
      </w:r>
      <w:r w:rsidRPr="001320E0">
        <w:rPr>
          <w:rFonts w:ascii="Times New Roman" w:hAnsi="Times New Roman" w:cs="Times New Roman"/>
          <w:sz w:val="18"/>
          <w:szCs w:val="18"/>
        </w:rPr>
        <w:t>.</w:t>
      </w:r>
    </w:p>
  </w:footnote>
  <w:footnote w:id="51">
    <w:p w:rsidR="00A55383" w:rsidRPr="001320E0" w:rsidRDefault="00A55383" w:rsidP="00EF773C">
      <w:pPr>
        <w:pStyle w:val="FootnoteText"/>
        <w:jc w:val="both"/>
        <w:rPr>
          <w:rFonts w:ascii="Times New Roman" w:hAnsi="Times New Roman" w:cs="Times New Roman"/>
          <w:sz w:val="18"/>
          <w:szCs w:val="18"/>
        </w:rPr>
      </w:pPr>
      <w:r w:rsidRPr="001320E0">
        <w:rPr>
          <w:rStyle w:val="FootnoteReference"/>
          <w:rFonts w:ascii="Times New Roman" w:hAnsi="Times New Roman" w:cs="Times New Roman"/>
          <w:sz w:val="18"/>
          <w:szCs w:val="18"/>
        </w:rPr>
        <w:footnoteRef/>
      </w:r>
      <w:r w:rsidRPr="001320E0">
        <w:rPr>
          <w:rFonts w:ascii="Times New Roman" w:hAnsi="Times New Roman" w:cs="Times New Roman"/>
          <w:sz w:val="18"/>
          <w:szCs w:val="18"/>
        </w:rPr>
        <w:t xml:space="preserve"> Several aspects contributed to these high levels of liquidity. Since 2005, the government increasingly shifted its debt from international markets into the national market, with a corresponding increase in domestic interest rates for “</w:t>
      </w:r>
      <w:r w:rsidRPr="001320E0">
        <w:rPr>
          <w:rFonts w:ascii="Times New Roman" w:hAnsi="Times New Roman" w:cs="Times New Roman"/>
          <w:i/>
          <w:sz w:val="18"/>
          <w:szCs w:val="18"/>
        </w:rPr>
        <w:t>letras de tresoria</w:t>
      </w:r>
      <w:r w:rsidRPr="001320E0">
        <w:rPr>
          <w:rFonts w:ascii="Times New Roman" w:hAnsi="Times New Roman" w:cs="Times New Roman"/>
          <w:sz w:val="18"/>
          <w:szCs w:val="18"/>
        </w:rPr>
        <w:t xml:space="preserve">”. This in particularly led the “traditional” commercial banking sector and the </w:t>
      </w:r>
      <w:r>
        <w:rPr>
          <w:rFonts w:ascii="Times New Roman" w:hAnsi="Times New Roman" w:cs="Times New Roman"/>
          <w:sz w:val="18"/>
          <w:szCs w:val="18"/>
        </w:rPr>
        <w:t>SLAs</w:t>
      </w:r>
      <w:r w:rsidRPr="001320E0">
        <w:rPr>
          <w:rFonts w:ascii="Times New Roman" w:hAnsi="Times New Roman" w:cs="Times New Roman"/>
          <w:sz w:val="18"/>
          <w:szCs w:val="18"/>
        </w:rPr>
        <w:t xml:space="preserve"> to increase their liquid assets held at the Central Bank to over 25 percent of assets. In 2009, the Central Bank shifted its monetary policy from contractive to expansive with low interest rates, which reversed this trend. Commercial banks and </w:t>
      </w:r>
      <w:r>
        <w:rPr>
          <w:rFonts w:ascii="Times New Roman" w:hAnsi="Times New Roman" w:cs="Times New Roman"/>
          <w:sz w:val="18"/>
          <w:szCs w:val="18"/>
        </w:rPr>
        <w:t>SLAs</w:t>
      </w:r>
      <w:r w:rsidRPr="001320E0">
        <w:rPr>
          <w:rFonts w:ascii="Times New Roman" w:hAnsi="Times New Roman" w:cs="Times New Roman"/>
          <w:sz w:val="18"/>
          <w:szCs w:val="18"/>
        </w:rPr>
        <w:t xml:space="preserve"> now report assets at the Central Bank of 16 and 9 percent respectively. Another important factor driving the high levels of liquidity has been </w:t>
      </w:r>
      <w:r>
        <w:rPr>
          <w:rFonts w:ascii="Times New Roman" w:hAnsi="Times New Roman" w:cs="Times New Roman"/>
          <w:sz w:val="18"/>
          <w:szCs w:val="18"/>
        </w:rPr>
        <w:t xml:space="preserve">weaknesses in the investment climate as discussed in Chapter 6, </w:t>
      </w:r>
      <w:r w:rsidRPr="001320E0">
        <w:rPr>
          <w:rFonts w:ascii="Times New Roman" w:hAnsi="Times New Roman" w:cs="Times New Roman"/>
          <w:sz w:val="18"/>
          <w:szCs w:val="18"/>
        </w:rPr>
        <w:t xml:space="preserve">the perception of higher uncertainty in the international and national economic system, as well as the strong growth of deposits, which was not matched with equal growth in credit due to the lack of demand for credit in combination with supply side driven difficulties in quickly expanding the base of borrowers due to the high levels of informality in the economy and the small scale of most business. </w:t>
      </w:r>
    </w:p>
  </w:footnote>
  <w:footnote w:id="52">
    <w:p w:rsidR="00A55383" w:rsidRDefault="00A55383" w:rsidP="00EF773C">
      <w:pPr>
        <w:pStyle w:val="FootnoteText"/>
        <w:jc w:val="both"/>
      </w:pPr>
      <w:r w:rsidRPr="001320E0">
        <w:rPr>
          <w:rStyle w:val="FootnoteReference"/>
          <w:rFonts w:ascii="Times New Roman" w:hAnsi="Times New Roman" w:cs="Times New Roman"/>
          <w:sz w:val="18"/>
          <w:szCs w:val="18"/>
        </w:rPr>
        <w:footnoteRef/>
      </w:r>
      <w:r w:rsidRPr="001320E0">
        <w:rPr>
          <w:rFonts w:ascii="Times New Roman" w:hAnsi="Times New Roman" w:cs="Times New Roman"/>
          <w:sz w:val="18"/>
          <w:szCs w:val="18"/>
        </w:rPr>
        <w:t xml:space="preserve"> ASFI only recently (November 2010) introduced a new regulation to limit investments in international assets to 50 percent of the entities capital. Given the lack of investment alternatives in Bolivia and the currently low domestic interest rates for investments, this will likely reduce profitability of the entities in the short-term.</w:t>
      </w:r>
      <w:r>
        <w:rPr>
          <w:sz w:val="18"/>
          <w:szCs w:val="18"/>
        </w:rPr>
        <w:t xml:space="preserve"> </w:t>
      </w:r>
    </w:p>
  </w:footnote>
  <w:footnote w:id="53">
    <w:p w:rsidR="00A55383" w:rsidRPr="001320E0" w:rsidRDefault="00A55383" w:rsidP="00EF773C">
      <w:pPr>
        <w:pStyle w:val="FootnoteText"/>
        <w:jc w:val="both"/>
        <w:rPr>
          <w:rFonts w:ascii="Times New Roman" w:hAnsi="Times New Roman" w:cs="Times New Roman"/>
          <w:sz w:val="18"/>
          <w:szCs w:val="18"/>
        </w:rPr>
      </w:pPr>
      <w:r w:rsidRPr="001320E0">
        <w:rPr>
          <w:rStyle w:val="FootnoteReference"/>
          <w:rFonts w:ascii="Times New Roman" w:hAnsi="Times New Roman" w:cs="Times New Roman"/>
          <w:sz w:val="18"/>
          <w:szCs w:val="18"/>
        </w:rPr>
        <w:footnoteRef/>
      </w:r>
      <w:r w:rsidRPr="001320E0">
        <w:rPr>
          <w:rFonts w:ascii="Times New Roman" w:hAnsi="Times New Roman" w:cs="Times New Roman"/>
          <w:sz w:val="18"/>
          <w:szCs w:val="18"/>
        </w:rPr>
        <w:t xml:space="preserve"> Between 20-30 percent of the deposits in individual commercial banks </w:t>
      </w:r>
      <w:r>
        <w:rPr>
          <w:rFonts w:ascii="Times New Roman" w:hAnsi="Times New Roman" w:cs="Times New Roman"/>
          <w:sz w:val="18"/>
          <w:szCs w:val="18"/>
        </w:rPr>
        <w:t xml:space="preserve">are </w:t>
      </w:r>
      <w:r w:rsidRPr="001320E0">
        <w:rPr>
          <w:rFonts w:ascii="Times New Roman" w:hAnsi="Times New Roman" w:cs="Times New Roman"/>
          <w:sz w:val="18"/>
          <w:szCs w:val="18"/>
        </w:rPr>
        <w:t>being held by around 100 depositors and in the case of the public bank 25 percent by only 25 depositors.</w:t>
      </w:r>
    </w:p>
  </w:footnote>
  <w:footnote w:id="54">
    <w:p w:rsidR="00A55383" w:rsidRPr="00AC2AC1" w:rsidRDefault="00A55383" w:rsidP="00EF773C">
      <w:pPr>
        <w:pStyle w:val="FootnoteText"/>
        <w:jc w:val="both"/>
        <w:rPr>
          <w:sz w:val="18"/>
          <w:szCs w:val="18"/>
        </w:rPr>
      </w:pPr>
      <w:r w:rsidRPr="001320E0">
        <w:rPr>
          <w:rStyle w:val="FootnoteReference"/>
          <w:rFonts w:ascii="Times New Roman" w:hAnsi="Times New Roman" w:cs="Times New Roman"/>
          <w:sz w:val="18"/>
          <w:szCs w:val="18"/>
        </w:rPr>
        <w:footnoteRef/>
      </w:r>
      <w:r w:rsidRPr="001320E0">
        <w:rPr>
          <w:rFonts w:ascii="Times New Roman" w:hAnsi="Times New Roman" w:cs="Times New Roman"/>
          <w:sz w:val="18"/>
          <w:szCs w:val="18"/>
        </w:rPr>
        <w:t xml:space="preserve"> Cooperatives, finance companies and microfinance banks also saw an increase in sight deposits, but over 50 percent of their funds continue to be in the form of more stable term deposits and their depositor base tends to be more broadly diversified over a larger number of depositors.</w:t>
      </w:r>
      <w:r>
        <w:rPr>
          <w:sz w:val="18"/>
          <w:szCs w:val="18"/>
        </w:rPr>
        <w:t xml:space="preserve"> </w:t>
      </w:r>
    </w:p>
  </w:footnote>
  <w:footnote w:id="55">
    <w:p w:rsidR="00A55383" w:rsidRPr="000639A5" w:rsidRDefault="00A55383" w:rsidP="00CA07A0">
      <w:pPr>
        <w:pStyle w:val="FootnoteText"/>
        <w:rPr>
          <w:rFonts w:ascii="Times New Roman" w:hAnsi="Times New Roman" w:cs="Times New Roman"/>
          <w:sz w:val="18"/>
          <w:szCs w:val="18"/>
        </w:rPr>
      </w:pPr>
      <w:r w:rsidRPr="000639A5">
        <w:rPr>
          <w:rStyle w:val="FootnoteReference"/>
          <w:rFonts w:ascii="Times New Roman" w:hAnsi="Times New Roman" w:cs="Times New Roman"/>
          <w:sz w:val="18"/>
          <w:szCs w:val="18"/>
        </w:rPr>
        <w:footnoteRef/>
      </w:r>
      <w:r w:rsidRPr="000639A5">
        <w:rPr>
          <w:rFonts w:ascii="Times New Roman" w:hAnsi="Times New Roman" w:cs="Times New Roman"/>
          <w:sz w:val="18"/>
          <w:szCs w:val="18"/>
        </w:rPr>
        <w:t xml:space="preserve"> The investment policy issued under Law 65 does however allow investments in bonds issued by banks</w:t>
      </w:r>
      <w:r>
        <w:rPr>
          <w:rFonts w:ascii="Times New Roman" w:hAnsi="Times New Roman" w:cs="Times New Roman"/>
          <w:sz w:val="18"/>
          <w:szCs w:val="18"/>
        </w:rPr>
        <w:t>, and also foresees that the investments of the pension funds be well diversified and seek the highest possible returns on investments within certain risk categories</w:t>
      </w:r>
      <w:r w:rsidRPr="000639A5">
        <w:rPr>
          <w:rFonts w:ascii="Times New Roman" w:hAnsi="Times New Roman" w:cs="Times New Roman"/>
          <w:sz w:val="18"/>
          <w:szCs w:val="18"/>
        </w:rPr>
        <w:t xml:space="preserve">. </w:t>
      </w:r>
    </w:p>
  </w:footnote>
  <w:footnote w:id="56">
    <w:p w:rsidR="00A55383" w:rsidRDefault="00A55383" w:rsidP="00EF773C">
      <w:pPr>
        <w:pStyle w:val="FootnoteText"/>
        <w:jc w:val="both"/>
      </w:pPr>
      <w:r w:rsidRPr="000639A5">
        <w:rPr>
          <w:rStyle w:val="FootnoteReference"/>
          <w:rFonts w:ascii="Times New Roman" w:hAnsi="Times New Roman" w:cs="Times New Roman"/>
          <w:sz w:val="18"/>
          <w:szCs w:val="18"/>
        </w:rPr>
        <w:footnoteRef/>
      </w:r>
      <w:r w:rsidRPr="000639A5">
        <w:rPr>
          <w:rFonts w:ascii="Times New Roman" w:hAnsi="Times New Roman" w:cs="Times New Roman"/>
          <w:sz w:val="18"/>
          <w:szCs w:val="18"/>
        </w:rPr>
        <w:t xml:space="preserve"> The regulatory framework limits the net open position in foreign exchange to 70 percent of capital.</w:t>
      </w:r>
      <w:r>
        <w:t xml:space="preserve"> </w:t>
      </w:r>
    </w:p>
  </w:footnote>
  <w:footnote w:id="57">
    <w:p w:rsidR="00A55383" w:rsidRPr="009D7478" w:rsidRDefault="00A55383" w:rsidP="009D7478">
      <w:pPr>
        <w:pStyle w:val="FootnoteText"/>
        <w:jc w:val="both"/>
        <w:rPr>
          <w:rFonts w:ascii="Times New Roman" w:hAnsi="Times New Roman" w:cs="Times New Roman"/>
          <w:sz w:val="18"/>
          <w:szCs w:val="18"/>
        </w:rPr>
      </w:pPr>
      <w:r w:rsidRPr="009D7478">
        <w:rPr>
          <w:rStyle w:val="FootnoteReference"/>
          <w:rFonts w:ascii="Times New Roman" w:hAnsi="Times New Roman" w:cs="Times New Roman"/>
          <w:sz w:val="18"/>
          <w:szCs w:val="18"/>
        </w:rPr>
        <w:footnoteRef/>
      </w:r>
      <w:r w:rsidRPr="009D7478">
        <w:rPr>
          <w:rFonts w:ascii="Times New Roman" w:hAnsi="Times New Roman" w:cs="Times New Roman"/>
          <w:sz w:val="18"/>
          <w:szCs w:val="18"/>
        </w:rPr>
        <w:t xml:space="preserve"> In the banking sector, less than 700 borrowers account for 30 percent of the loan portfolio, highlighting a significant concentration risk for individual banks. Stress results indicate that some banks would fall under the capital adequacy ratio if 5 of their largest borrower would default. </w:t>
      </w:r>
    </w:p>
  </w:footnote>
  <w:footnote w:id="58">
    <w:p w:rsidR="00A55383" w:rsidRPr="009D7478" w:rsidRDefault="00A55383" w:rsidP="009D7478">
      <w:pPr>
        <w:pStyle w:val="FootnoteText"/>
        <w:jc w:val="both"/>
        <w:rPr>
          <w:rFonts w:ascii="Times New Roman" w:hAnsi="Times New Roman" w:cs="Times New Roman"/>
          <w:sz w:val="18"/>
          <w:szCs w:val="18"/>
        </w:rPr>
      </w:pPr>
      <w:r w:rsidRPr="009D7478">
        <w:rPr>
          <w:rStyle w:val="FootnoteReference"/>
          <w:rFonts w:ascii="Times New Roman" w:hAnsi="Times New Roman" w:cs="Times New Roman"/>
          <w:sz w:val="18"/>
          <w:szCs w:val="18"/>
        </w:rPr>
        <w:footnoteRef/>
      </w:r>
      <w:r w:rsidRPr="009D7478">
        <w:rPr>
          <w:rFonts w:ascii="Times New Roman" w:hAnsi="Times New Roman" w:cs="Times New Roman"/>
          <w:sz w:val="18"/>
          <w:szCs w:val="18"/>
        </w:rPr>
        <w:t xml:space="preserve"> There is no information available on the levels of non-performing loans for the government programs, which are channeled through the banking system. Hearsay suggests that these programs have much higher non-performing loans, but as they are in general passed on to the </w:t>
      </w:r>
      <w:r w:rsidRPr="00046BEF">
        <w:rPr>
          <w:rFonts w:ascii="Times New Roman" w:hAnsi="Times New Roman" w:cs="Times New Roman"/>
          <w:sz w:val="18"/>
          <w:szCs w:val="18"/>
        </w:rPr>
        <w:t>BDP trust funds</w:t>
      </w:r>
      <w:r w:rsidRPr="009D7478">
        <w:rPr>
          <w:rFonts w:ascii="Times New Roman" w:hAnsi="Times New Roman" w:cs="Times New Roman"/>
          <w:sz w:val="18"/>
          <w:szCs w:val="18"/>
        </w:rPr>
        <w:t xml:space="preserve">, they do not show in the books of the financial entities.  </w:t>
      </w:r>
    </w:p>
  </w:footnote>
  <w:footnote w:id="59">
    <w:p w:rsidR="00A55383" w:rsidRDefault="00A55383" w:rsidP="009D7478">
      <w:pPr>
        <w:pStyle w:val="FootnoteText"/>
        <w:jc w:val="both"/>
      </w:pPr>
      <w:r w:rsidRPr="00046BEF">
        <w:rPr>
          <w:rStyle w:val="FootnoteReference"/>
          <w:rFonts w:ascii="Times New Roman" w:hAnsi="Times New Roman" w:cs="Times New Roman"/>
          <w:sz w:val="18"/>
          <w:szCs w:val="18"/>
        </w:rPr>
        <w:footnoteRef/>
      </w:r>
      <w:r w:rsidRPr="00046BEF">
        <w:rPr>
          <w:rFonts w:ascii="Times New Roman" w:hAnsi="Times New Roman" w:cs="Times New Roman"/>
          <w:sz w:val="18"/>
          <w:szCs w:val="18"/>
        </w:rPr>
        <w:t xml:space="preserve"> The data do not include information about the trust funds mentioned in the previous footnote. The aggregated NPLs, especially of the public banks would most likely be much higher than reported here if the figures were to include the trust fund portfolios.</w:t>
      </w:r>
      <w:r>
        <w:rPr>
          <w:rFonts w:ascii="Times New Roman" w:hAnsi="Times New Roman" w:cs="Times New Roman"/>
          <w:sz w:val="18"/>
          <w:szCs w:val="18"/>
        </w:rPr>
        <w:t xml:space="preserve"> </w:t>
      </w:r>
    </w:p>
  </w:footnote>
  <w:footnote w:id="60">
    <w:p w:rsidR="00A55383" w:rsidRPr="009D7478" w:rsidRDefault="00A55383" w:rsidP="004F0E23">
      <w:pPr>
        <w:pStyle w:val="FootnoteText"/>
        <w:jc w:val="both"/>
        <w:rPr>
          <w:rFonts w:ascii="Times New Roman" w:hAnsi="Times New Roman" w:cs="Times New Roman"/>
          <w:sz w:val="18"/>
          <w:szCs w:val="18"/>
        </w:rPr>
      </w:pPr>
      <w:r w:rsidRPr="009D7478">
        <w:rPr>
          <w:rStyle w:val="FootnoteReference"/>
          <w:rFonts w:ascii="Times New Roman" w:hAnsi="Times New Roman" w:cs="Times New Roman"/>
          <w:sz w:val="18"/>
          <w:szCs w:val="18"/>
        </w:rPr>
        <w:footnoteRef/>
      </w:r>
      <w:r w:rsidRPr="009D7478">
        <w:rPr>
          <w:rFonts w:ascii="Times New Roman" w:hAnsi="Times New Roman" w:cs="Times New Roman"/>
          <w:sz w:val="18"/>
          <w:szCs w:val="18"/>
        </w:rPr>
        <w:t xml:space="preserve"> The law for banks and financial entities (Law 1488) and its regulations place restrictions for non-bank financial entities on foreign trade operations, capital investments in securitization companies, the administration of investment funds and factoring and leasing operations. Additionally, non-bank financial institutions need to get permission to issue current accounts and credit cards. Those permissions have so far not been issued, although some entities have applied for it. </w:t>
      </w:r>
    </w:p>
  </w:footnote>
  <w:footnote w:id="61">
    <w:p w:rsidR="00A55383" w:rsidRPr="003857DE" w:rsidRDefault="00A55383" w:rsidP="004F0E23">
      <w:pPr>
        <w:pStyle w:val="FootnoteText"/>
        <w:jc w:val="both"/>
        <w:rPr>
          <w:rFonts w:ascii="Times New Roman" w:hAnsi="Times New Roman" w:cs="Times New Roman"/>
          <w:sz w:val="18"/>
          <w:szCs w:val="18"/>
        </w:rPr>
      </w:pPr>
      <w:r w:rsidRPr="003857DE">
        <w:rPr>
          <w:rStyle w:val="FootnoteReference"/>
          <w:rFonts w:ascii="Times New Roman" w:hAnsi="Times New Roman" w:cs="Times New Roman"/>
          <w:sz w:val="18"/>
          <w:szCs w:val="18"/>
        </w:rPr>
        <w:footnoteRef/>
      </w:r>
      <w:r w:rsidRPr="003857DE">
        <w:rPr>
          <w:rFonts w:ascii="Times New Roman" w:hAnsi="Times New Roman" w:cs="Times New Roman"/>
          <w:sz w:val="18"/>
          <w:szCs w:val="18"/>
        </w:rPr>
        <w:t xml:space="preserve"> This is for example the case with recent regulations to foster credit to the productive credit for which provisioning requirements in the case of performing loans were lowered in the hope of incentivizing lending to the sector and lowering its costs. Implementing this leads to provisioning levels that are not in line with the over the years consistently higher non-performing loan ratios for the productive sector (see </w:t>
      </w:r>
      <w:r w:rsidRPr="00B85837">
        <w:rPr>
          <w:rFonts w:ascii="Times New Roman" w:hAnsi="Times New Roman" w:cs="Times New Roman"/>
          <w:sz w:val="18"/>
          <w:szCs w:val="18"/>
        </w:rPr>
        <w:t>Chapter 6), and thus can encourage inappropriate</w:t>
      </w:r>
      <w:r w:rsidRPr="003857DE">
        <w:rPr>
          <w:rFonts w:ascii="Times New Roman" w:hAnsi="Times New Roman" w:cs="Times New Roman"/>
          <w:sz w:val="18"/>
          <w:szCs w:val="18"/>
        </w:rPr>
        <w:t xml:space="preserve"> risk management until the loan becomes non-performing and the costs for no-longer reduced levels of provisioning have to be shouldered</w:t>
      </w:r>
      <w:r w:rsidRPr="00046BEF">
        <w:rPr>
          <w:rFonts w:ascii="Times New Roman" w:hAnsi="Times New Roman" w:cs="Times New Roman"/>
          <w:sz w:val="18"/>
          <w:szCs w:val="18"/>
        </w:rPr>
        <w:t>. Similar distortions arise from (</w:t>
      </w:r>
      <w:proofErr w:type="spellStart"/>
      <w:r w:rsidRPr="00046BEF">
        <w:rPr>
          <w:rFonts w:ascii="Times New Roman" w:hAnsi="Times New Roman" w:cs="Times New Roman"/>
          <w:sz w:val="18"/>
          <w:szCs w:val="18"/>
        </w:rPr>
        <w:t>i</w:t>
      </w:r>
      <w:proofErr w:type="spellEnd"/>
      <w:r w:rsidRPr="00046BEF">
        <w:rPr>
          <w:rFonts w:ascii="Times New Roman" w:hAnsi="Times New Roman" w:cs="Times New Roman"/>
          <w:sz w:val="18"/>
          <w:szCs w:val="18"/>
        </w:rPr>
        <w:t>) the recently introduced favorable risk weights for the capital adequacy calculations introduced, and (ii) higher capital leverages and loan size limits for productive credit loans.</w:t>
      </w:r>
    </w:p>
  </w:footnote>
  <w:footnote w:id="62">
    <w:p w:rsidR="00A55383" w:rsidRPr="003857DE" w:rsidRDefault="00A55383" w:rsidP="004F0E23">
      <w:pPr>
        <w:pStyle w:val="FootnoteText"/>
        <w:jc w:val="both"/>
        <w:rPr>
          <w:rFonts w:ascii="Times New Roman" w:hAnsi="Times New Roman" w:cs="Times New Roman"/>
          <w:sz w:val="18"/>
          <w:szCs w:val="18"/>
        </w:rPr>
      </w:pPr>
      <w:r w:rsidRPr="003857DE">
        <w:rPr>
          <w:rStyle w:val="FootnoteReference"/>
          <w:rFonts w:ascii="Times New Roman" w:hAnsi="Times New Roman" w:cs="Times New Roman"/>
          <w:sz w:val="18"/>
          <w:szCs w:val="18"/>
        </w:rPr>
        <w:footnoteRef/>
      </w:r>
      <w:r w:rsidRPr="003857DE">
        <w:rPr>
          <w:rFonts w:ascii="Times New Roman" w:hAnsi="Times New Roman" w:cs="Times New Roman"/>
          <w:sz w:val="18"/>
          <w:szCs w:val="18"/>
        </w:rPr>
        <w:t xml:space="preserve"> The chapter on access to finance as well as the technical note prepared on the transformation of closed cooperatives into the regulatory sphere provide</w:t>
      </w:r>
      <w:r>
        <w:rPr>
          <w:rFonts w:ascii="Times New Roman" w:hAnsi="Times New Roman" w:cs="Times New Roman"/>
          <w:sz w:val="18"/>
          <w:szCs w:val="18"/>
        </w:rPr>
        <w:t>s</w:t>
      </w:r>
      <w:r w:rsidRPr="003857DE">
        <w:rPr>
          <w:rFonts w:ascii="Times New Roman" w:hAnsi="Times New Roman" w:cs="Times New Roman"/>
          <w:sz w:val="18"/>
          <w:szCs w:val="18"/>
        </w:rPr>
        <w:t xml:space="preserve"> more in-depth assessment on the rational for the suggested reforms.</w:t>
      </w:r>
      <w:r>
        <w:rPr>
          <w:rFonts w:ascii="Times New Roman" w:hAnsi="Times New Roman" w:cs="Times New Roman"/>
          <w:sz w:val="18"/>
          <w:szCs w:val="18"/>
        </w:rPr>
        <w:t xml:space="preserve"> </w:t>
      </w:r>
    </w:p>
  </w:footnote>
  <w:footnote w:id="63">
    <w:p w:rsidR="00A55383" w:rsidRDefault="00A55383">
      <w:pPr>
        <w:pStyle w:val="FootnoteText"/>
      </w:pPr>
      <w:r w:rsidRPr="00781E2F">
        <w:rPr>
          <w:rStyle w:val="FootnoteReference"/>
          <w:rFonts w:ascii="Times New Roman" w:hAnsi="Times New Roman" w:cs="Times New Roman"/>
          <w:sz w:val="18"/>
          <w:szCs w:val="18"/>
        </w:rPr>
        <w:footnoteRef/>
      </w:r>
      <w:r>
        <w:t xml:space="preserve"> </w:t>
      </w:r>
      <w:r w:rsidRPr="00781E2F">
        <w:rPr>
          <w:rFonts w:ascii="Times New Roman" w:hAnsi="Times New Roman" w:cs="Times New Roman"/>
          <w:sz w:val="18"/>
          <w:szCs w:val="18"/>
        </w:rPr>
        <w:t>A model code is for example available from WOCCU (World Council of Credit Unions), and several countries such as Brazil have introduced one in the last few years.</w:t>
      </w:r>
    </w:p>
  </w:footnote>
  <w:footnote w:id="64">
    <w:p w:rsidR="00A55383" w:rsidRDefault="00A55383">
      <w:pPr>
        <w:pStyle w:val="FootnoteText"/>
      </w:pPr>
      <w:r w:rsidRPr="00781E2F">
        <w:rPr>
          <w:rStyle w:val="FootnoteReference"/>
          <w:rFonts w:ascii="Times New Roman" w:hAnsi="Times New Roman" w:cs="Times New Roman"/>
          <w:sz w:val="18"/>
          <w:szCs w:val="18"/>
        </w:rPr>
        <w:footnoteRef/>
      </w:r>
      <w:r>
        <w:t xml:space="preserve"> </w:t>
      </w:r>
      <w:r w:rsidRPr="00781E2F">
        <w:rPr>
          <w:rFonts w:ascii="Times New Roman" w:hAnsi="Times New Roman" w:cs="Times New Roman"/>
          <w:sz w:val="18"/>
          <w:szCs w:val="18"/>
        </w:rPr>
        <w:t xml:space="preserve">Resolution </w:t>
      </w:r>
      <w:r>
        <w:rPr>
          <w:rFonts w:ascii="Times New Roman" w:hAnsi="Times New Roman" w:cs="Times New Roman"/>
          <w:sz w:val="18"/>
          <w:szCs w:val="18"/>
        </w:rPr>
        <w:t xml:space="preserve">No. </w:t>
      </w:r>
      <w:r w:rsidRPr="00781E2F">
        <w:rPr>
          <w:rFonts w:ascii="Times New Roman" w:hAnsi="Times New Roman" w:cs="Times New Roman"/>
          <w:sz w:val="18"/>
          <w:szCs w:val="18"/>
        </w:rPr>
        <w:t xml:space="preserve">693 </w:t>
      </w:r>
      <w:r>
        <w:rPr>
          <w:rFonts w:ascii="Times New Roman" w:hAnsi="Times New Roman" w:cs="Times New Roman"/>
          <w:sz w:val="18"/>
          <w:szCs w:val="18"/>
        </w:rPr>
        <w:t xml:space="preserve">/ 11 </w:t>
      </w:r>
      <w:r w:rsidRPr="00781E2F">
        <w:rPr>
          <w:rFonts w:ascii="Times New Roman" w:hAnsi="Times New Roman" w:cs="Times New Roman"/>
          <w:sz w:val="18"/>
          <w:szCs w:val="18"/>
        </w:rPr>
        <w:t>of September 27, 2011 already introduced additional forms of collateral</w:t>
      </w:r>
      <w:r>
        <w:rPr>
          <w:rFonts w:ascii="Times New Roman" w:hAnsi="Times New Roman" w:cs="Times New Roman"/>
          <w:sz w:val="18"/>
          <w:szCs w:val="18"/>
        </w:rPr>
        <w:t xml:space="preserve"> under the rubric of guaranteed loans</w:t>
      </w:r>
      <w:r w:rsidRPr="00781E2F">
        <w:rPr>
          <w:rFonts w:ascii="Times New Roman" w:hAnsi="Times New Roman" w:cs="Times New Roman"/>
          <w:sz w:val="18"/>
          <w:szCs w:val="18"/>
        </w:rPr>
        <w:t>. This includes warrants, letters of credits, pledged movable collateral and guarantee funds.</w:t>
      </w:r>
      <w:r>
        <w:t xml:space="preserve"> </w:t>
      </w:r>
    </w:p>
  </w:footnote>
  <w:footnote w:id="65">
    <w:p w:rsidR="00A55383" w:rsidRPr="00B85837" w:rsidRDefault="00A55383" w:rsidP="004F0E23">
      <w:pPr>
        <w:pStyle w:val="FootnoteText"/>
        <w:jc w:val="both"/>
        <w:rPr>
          <w:rFonts w:ascii="Times New Roman" w:hAnsi="Times New Roman" w:cs="Times New Roman"/>
          <w:sz w:val="18"/>
          <w:szCs w:val="18"/>
        </w:rPr>
      </w:pPr>
      <w:r w:rsidRPr="003857DE">
        <w:rPr>
          <w:rStyle w:val="FootnoteReference"/>
          <w:rFonts w:ascii="Times New Roman" w:hAnsi="Times New Roman" w:cs="Times New Roman"/>
          <w:sz w:val="18"/>
          <w:szCs w:val="18"/>
        </w:rPr>
        <w:footnoteRef/>
      </w:r>
      <w:r w:rsidRPr="003857DE">
        <w:rPr>
          <w:rFonts w:ascii="Times New Roman" w:hAnsi="Times New Roman" w:cs="Times New Roman"/>
          <w:sz w:val="18"/>
          <w:szCs w:val="18"/>
        </w:rPr>
        <w:t xml:space="preserve"> The list of information required on a regular basis from the various financial entities is long, and in some instances appears to be excessive. Regulated entities have to submit information on daily, weekly, monthly and annual basis. The requested data allows ASFI to develop a substantive picture of the financial health of each financial institution, and thus helps ASFI to fulfill its mandate of financial supervision. However, ASFI might want to reconsider whether the depth, wealth and frequency of requested information is commensurate with the risk to stability posed by smaller financial institutions such as newly regulated closed </w:t>
      </w:r>
      <w:r w:rsidRPr="00B85837">
        <w:rPr>
          <w:rFonts w:ascii="Times New Roman" w:hAnsi="Times New Roman" w:cs="Times New Roman"/>
          <w:sz w:val="18"/>
          <w:szCs w:val="18"/>
        </w:rPr>
        <w:t xml:space="preserve">cooperatives and </w:t>
      </w:r>
      <w:r>
        <w:rPr>
          <w:rFonts w:ascii="Times New Roman" w:hAnsi="Times New Roman" w:cs="Times New Roman"/>
          <w:sz w:val="18"/>
          <w:szCs w:val="18"/>
        </w:rPr>
        <w:t>IFDs</w:t>
      </w:r>
      <w:r w:rsidRPr="00B85837">
        <w:rPr>
          <w:rFonts w:ascii="Times New Roman" w:hAnsi="Times New Roman" w:cs="Times New Roman"/>
          <w:sz w:val="18"/>
          <w:szCs w:val="18"/>
        </w:rPr>
        <w:t>.</w:t>
      </w:r>
    </w:p>
  </w:footnote>
  <w:footnote w:id="66">
    <w:p w:rsidR="00A55383" w:rsidRPr="000A3985" w:rsidRDefault="00A55383" w:rsidP="004F0E23">
      <w:pPr>
        <w:pStyle w:val="FootnoteText"/>
        <w:jc w:val="both"/>
        <w:rPr>
          <w:rFonts w:ascii="Times New Roman" w:hAnsi="Times New Roman" w:cs="Times New Roman"/>
          <w:sz w:val="16"/>
          <w:szCs w:val="16"/>
        </w:rPr>
      </w:pPr>
      <w:r w:rsidRPr="00B85837">
        <w:rPr>
          <w:rStyle w:val="FootnoteReference"/>
          <w:rFonts w:ascii="Times New Roman" w:hAnsi="Times New Roman" w:cs="Times New Roman"/>
          <w:sz w:val="18"/>
          <w:szCs w:val="16"/>
        </w:rPr>
        <w:footnoteRef/>
      </w:r>
      <w:r w:rsidRPr="00B85837">
        <w:rPr>
          <w:rFonts w:ascii="Times New Roman" w:hAnsi="Times New Roman" w:cs="Times New Roman"/>
          <w:sz w:val="18"/>
          <w:szCs w:val="16"/>
        </w:rPr>
        <w:t xml:space="preserve"> Unless concern based on the provided financial soundness indicators warrant a more frequent supervision of an individual institution.</w:t>
      </w:r>
      <w:r>
        <w:rPr>
          <w:rFonts w:ascii="Times New Roman" w:hAnsi="Times New Roman" w:cs="Times New Roman"/>
          <w:sz w:val="18"/>
          <w:szCs w:val="16"/>
        </w:rPr>
        <w:t xml:space="preserve"> </w:t>
      </w:r>
    </w:p>
  </w:footnote>
  <w:footnote w:id="67">
    <w:p w:rsidR="00A55383" w:rsidRPr="00C77730" w:rsidRDefault="00A55383" w:rsidP="00EC5E43">
      <w:pPr>
        <w:spacing w:after="0"/>
        <w:jc w:val="both"/>
        <w:rPr>
          <w:rFonts w:ascii="Times New Roman" w:hAnsi="Times New Roman" w:cs="Times New Roman"/>
          <w:sz w:val="18"/>
          <w:szCs w:val="18"/>
        </w:rPr>
      </w:pPr>
      <w:r w:rsidRPr="00C77730">
        <w:rPr>
          <w:rStyle w:val="FootnoteReference"/>
          <w:rFonts w:ascii="Times New Roman" w:hAnsi="Times New Roman" w:cs="Times New Roman"/>
          <w:sz w:val="18"/>
          <w:szCs w:val="18"/>
        </w:rPr>
        <w:footnoteRef/>
      </w:r>
      <w:r w:rsidRPr="00C77730">
        <w:rPr>
          <w:rFonts w:ascii="Times New Roman" w:hAnsi="Times New Roman" w:cs="Times New Roman"/>
          <w:sz w:val="18"/>
          <w:szCs w:val="18"/>
        </w:rPr>
        <w:t xml:space="preserve"> Bolivia does not have a consistent definition of what is “rural”. The statistics office INE uses a comparatively narrow approach and defines as rural any locality with less than 2</w:t>
      </w:r>
      <w:r>
        <w:rPr>
          <w:rFonts w:ascii="Times New Roman" w:hAnsi="Times New Roman" w:cs="Times New Roman"/>
          <w:sz w:val="18"/>
          <w:szCs w:val="18"/>
        </w:rPr>
        <w:t>,</w:t>
      </w:r>
      <w:r w:rsidRPr="00C77730">
        <w:rPr>
          <w:rFonts w:ascii="Times New Roman" w:hAnsi="Times New Roman" w:cs="Times New Roman"/>
          <w:sz w:val="18"/>
          <w:szCs w:val="18"/>
        </w:rPr>
        <w:t>000 inhabitants leading to Bolivia reporting a comparatively low share of rural population (37 percent, compared to 58 percent for the region). ASFI itself does not yet have a formal definition of what constitutes rural, while</w:t>
      </w:r>
      <w:r>
        <w:rPr>
          <w:rFonts w:ascii="Times New Roman" w:hAnsi="Times New Roman" w:cs="Times New Roman"/>
          <w:sz w:val="18"/>
          <w:szCs w:val="18"/>
        </w:rPr>
        <w:t xml:space="preserve"> FINRURAL or ASOFIN</w:t>
      </w:r>
      <w:r w:rsidRPr="00C77730">
        <w:rPr>
          <w:rFonts w:ascii="Times New Roman" w:hAnsi="Times New Roman" w:cs="Times New Roman"/>
          <w:sz w:val="18"/>
          <w:szCs w:val="18"/>
        </w:rPr>
        <w:t xml:space="preserve"> each have a distinct agreement within their membership regarding which</w:t>
      </w:r>
      <w:r>
        <w:rPr>
          <w:rFonts w:ascii="Times New Roman" w:hAnsi="Times New Roman" w:cs="Times New Roman"/>
          <w:sz w:val="18"/>
          <w:szCs w:val="18"/>
        </w:rPr>
        <w:t xml:space="preserve"> localities to label as rural. </w:t>
      </w:r>
      <w:r w:rsidRPr="00C77730">
        <w:rPr>
          <w:rFonts w:ascii="Times New Roman" w:hAnsi="Times New Roman" w:cs="Times New Roman"/>
          <w:sz w:val="18"/>
          <w:szCs w:val="18"/>
        </w:rPr>
        <w:t xml:space="preserve">Others classify anything outside of the 9 departmental capitals or the 4 largest cities as “rural”, or only consider those households that live outside of any settlement. As there is no consistency in the data on the rural sector, interpreting the data from various data sources has to be done with care. </w:t>
      </w:r>
    </w:p>
  </w:footnote>
  <w:footnote w:id="68">
    <w:p w:rsidR="00A55383" w:rsidRPr="00B42F0E" w:rsidRDefault="00A55383" w:rsidP="00EC5E43">
      <w:pPr>
        <w:pStyle w:val="FootnoteText"/>
        <w:jc w:val="both"/>
        <w:rPr>
          <w:sz w:val="18"/>
          <w:szCs w:val="18"/>
        </w:rPr>
      </w:pPr>
      <w:r w:rsidRPr="00C77730">
        <w:rPr>
          <w:rStyle w:val="FootnoteReference"/>
          <w:rFonts w:ascii="Times New Roman" w:hAnsi="Times New Roman" w:cs="Times New Roman"/>
          <w:sz w:val="18"/>
          <w:szCs w:val="18"/>
        </w:rPr>
        <w:footnoteRef/>
      </w:r>
      <w:r w:rsidRPr="00C77730">
        <w:rPr>
          <w:rFonts w:ascii="Times New Roman" w:hAnsi="Times New Roman" w:cs="Times New Roman"/>
          <w:sz w:val="18"/>
          <w:szCs w:val="18"/>
        </w:rPr>
        <w:t xml:space="preserve"> The share of the rural population depending on agriculture declined slightly over the last years from 84 percent in 1999 to currently 77 percent, reflecting emerging employment opportunities in industrial manufacturing, construction and commercial activity in rural areas.</w:t>
      </w:r>
    </w:p>
  </w:footnote>
  <w:footnote w:id="69">
    <w:p w:rsidR="00A55383" w:rsidRPr="00297563" w:rsidRDefault="00A55383" w:rsidP="00EC5E43">
      <w:pPr>
        <w:pStyle w:val="FootnoteText"/>
        <w:jc w:val="both"/>
        <w:rPr>
          <w:rFonts w:ascii="Times New Roman" w:hAnsi="Times New Roman" w:cs="Times New Roman"/>
          <w:sz w:val="18"/>
          <w:szCs w:val="18"/>
        </w:rPr>
      </w:pPr>
      <w:r w:rsidRPr="00AE7CBF">
        <w:rPr>
          <w:rStyle w:val="FootnoteReference"/>
          <w:rFonts w:ascii="Times New Roman" w:hAnsi="Times New Roman" w:cs="Times New Roman"/>
          <w:sz w:val="18"/>
          <w:szCs w:val="18"/>
        </w:rPr>
        <w:footnoteRef/>
      </w:r>
      <w:r w:rsidRPr="00AE7CBF">
        <w:rPr>
          <w:rFonts w:ascii="Times New Roman" w:hAnsi="Times New Roman" w:cs="Times New Roman"/>
          <w:sz w:val="18"/>
          <w:szCs w:val="18"/>
        </w:rPr>
        <w:t xml:space="preserve"> </w:t>
      </w:r>
      <w:proofErr w:type="gramStart"/>
      <w:r w:rsidRPr="00297563">
        <w:rPr>
          <w:rFonts w:ascii="Times New Roman" w:hAnsi="Times New Roman" w:cs="Times New Roman"/>
          <w:sz w:val="18"/>
          <w:szCs w:val="18"/>
        </w:rPr>
        <w:t xml:space="preserve">Based on </w:t>
      </w:r>
      <w:r>
        <w:rPr>
          <w:rFonts w:ascii="Times New Roman" w:hAnsi="Times New Roman" w:cs="Times New Roman"/>
          <w:sz w:val="18"/>
          <w:szCs w:val="18"/>
        </w:rPr>
        <w:t>World Bank</w:t>
      </w:r>
      <w:r w:rsidRPr="00297563">
        <w:rPr>
          <w:rFonts w:ascii="Times New Roman" w:hAnsi="Times New Roman" w:cs="Times New Roman"/>
          <w:sz w:val="18"/>
          <w:szCs w:val="18"/>
        </w:rPr>
        <w:t xml:space="preserve"> data.</w:t>
      </w:r>
      <w:proofErr w:type="gramEnd"/>
      <w:r w:rsidRPr="00297563">
        <w:rPr>
          <w:rFonts w:ascii="Times New Roman" w:hAnsi="Times New Roman" w:cs="Times New Roman"/>
          <w:sz w:val="18"/>
          <w:szCs w:val="18"/>
        </w:rPr>
        <w:t xml:space="preserve"> Some of the gap has in the meantime been bridged. ENTEL for example reports that around 70 percent of the population now is covered by some form of telecommunication network, but problems continue to be reported with the reliability of the service coverage, including in the larger cities.</w:t>
      </w:r>
    </w:p>
  </w:footnote>
  <w:footnote w:id="70">
    <w:p w:rsidR="00A55383" w:rsidRPr="00297563" w:rsidRDefault="00A55383" w:rsidP="00EC5E43">
      <w:pPr>
        <w:pStyle w:val="FootnoteText"/>
        <w:jc w:val="both"/>
        <w:rPr>
          <w:rFonts w:ascii="Times New Roman" w:hAnsi="Times New Roman" w:cs="Times New Roman"/>
          <w:sz w:val="18"/>
          <w:szCs w:val="18"/>
        </w:rPr>
      </w:pPr>
      <w:r w:rsidRPr="00297563">
        <w:rPr>
          <w:rStyle w:val="FootnoteReference"/>
          <w:rFonts w:ascii="Times New Roman" w:hAnsi="Times New Roman" w:cs="Times New Roman"/>
          <w:sz w:val="18"/>
          <w:szCs w:val="18"/>
        </w:rPr>
        <w:footnoteRef/>
      </w:r>
      <w:r w:rsidRPr="00297563">
        <w:rPr>
          <w:rFonts w:ascii="Times New Roman" w:hAnsi="Times New Roman" w:cs="Times New Roman"/>
          <w:sz w:val="18"/>
          <w:szCs w:val="18"/>
        </w:rPr>
        <w:t xml:space="preserve"> According to information received during the mission, the installation of a satellite dish costs between USD 600-1,200, and the monthly fees for its operation around USD 250 - 300.</w:t>
      </w:r>
    </w:p>
  </w:footnote>
  <w:footnote w:id="71">
    <w:p w:rsidR="00A55383" w:rsidRPr="00297563" w:rsidRDefault="00A55383" w:rsidP="00EC5E43">
      <w:pPr>
        <w:pStyle w:val="FootnoteText"/>
        <w:jc w:val="both"/>
        <w:rPr>
          <w:rFonts w:ascii="Times New Roman" w:hAnsi="Times New Roman" w:cs="Times New Roman"/>
          <w:sz w:val="18"/>
          <w:szCs w:val="18"/>
        </w:rPr>
      </w:pPr>
      <w:r w:rsidRPr="00297563">
        <w:rPr>
          <w:rStyle w:val="FootnoteReference"/>
          <w:rFonts w:ascii="Times New Roman" w:hAnsi="Times New Roman" w:cs="Times New Roman"/>
          <w:sz w:val="18"/>
          <w:szCs w:val="18"/>
        </w:rPr>
        <w:footnoteRef/>
      </w:r>
      <w:r w:rsidRPr="00297563">
        <w:rPr>
          <w:rFonts w:ascii="Times New Roman" w:hAnsi="Times New Roman" w:cs="Times New Roman"/>
          <w:sz w:val="18"/>
          <w:szCs w:val="18"/>
        </w:rPr>
        <w:t xml:space="preserve"> The data up to 2011 confirms this trend, but was not provided in sufficient granularity to do the more detailed assessment. Furthermore, with the transformation of the </w:t>
      </w:r>
      <w:proofErr w:type="spellStart"/>
      <w:r w:rsidRPr="00297563">
        <w:rPr>
          <w:rFonts w:ascii="Times New Roman" w:hAnsi="Times New Roman" w:cs="Times New Roman"/>
          <w:i/>
          <w:sz w:val="18"/>
          <w:szCs w:val="18"/>
        </w:rPr>
        <w:t>Fondo</w:t>
      </w:r>
      <w:proofErr w:type="spellEnd"/>
      <w:r w:rsidRPr="00297563">
        <w:rPr>
          <w:rFonts w:ascii="Times New Roman" w:hAnsi="Times New Roman" w:cs="Times New Roman"/>
          <w:i/>
          <w:sz w:val="18"/>
          <w:szCs w:val="18"/>
        </w:rPr>
        <w:t xml:space="preserve"> </w:t>
      </w:r>
      <w:proofErr w:type="spellStart"/>
      <w:r w:rsidRPr="00297563">
        <w:rPr>
          <w:rFonts w:ascii="Times New Roman" w:hAnsi="Times New Roman" w:cs="Times New Roman"/>
          <w:i/>
          <w:sz w:val="18"/>
          <w:szCs w:val="18"/>
        </w:rPr>
        <w:t>Financier</w:t>
      </w:r>
      <w:r>
        <w:rPr>
          <w:rFonts w:ascii="Times New Roman" w:hAnsi="Times New Roman" w:cs="Times New Roman"/>
          <w:i/>
          <w:sz w:val="18"/>
          <w:szCs w:val="18"/>
        </w:rPr>
        <w:t>o</w:t>
      </w:r>
      <w:proofErr w:type="spellEnd"/>
      <w:r w:rsidRPr="00297563">
        <w:rPr>
          <w:rFonts w:ascii="Times New Roman" w:hAnsi="Times New Roman" w:cs="Times New Roman"/>
          <w:i/>
          <w:sz w:val="18"/>
          <w:szCs w:val="18"/>
        </w:rPr>
        <w:t xml:space="preserve"> FIE</w:t>
      </w:r>
      <w:r w:rsidRPr="00297563">
        <w:rPr>
          <w:rFonts w:ascii="Times New Roman" w:hAnsi="Times New Roman" w:cs="Times New Roman"/>
          <w:sz w:val="18"/>
          <w:szCs w:val="18"/>
        </w:rPr>
        <w:t xml:space="preserve"> into a microfinance bank, the data on the outreach in between 2010 and 2011 would show significant swings between banks and </w:t>
      </w:r>
      <w:r>
        <w:rPr>
          <w:rFonts w:ascii="Times New Roman" w:hAnsi="Times New Roman" w:cs="Times New Roman"/>
          <w:sz w:val="18"/>
          <w:szCs w:val="18"/>
        </w:rPr>
        <w:t>f</w:t>
      </w:r>
      <w:r w:rsidRPr="00297563">
        <w:rPr>
          <w:rFonts w:ascii="Times New Roman" w:hAnsi="Times New Roman" w:cs="Times New Roman"/>
          <w:sz w:val="18"/>
          <w:szCs w:val="18"/>
        </w:rPr>
        <w:t xml:space="preserve">inance </w:t>
      </w:r>
      <w:r>
        <w:rPr>
          <w:rFonts w:ascii="Times New Roman" w:hAnsi="Times New Roman" w:cs="Times New Roman"/>
          <w:sz w:val="18"/>
          <w:szCs w:val="18"/>
        </w:rPr>
        <w:t>c</w:t>
      </w:r>
      <w:r w:rsidRPr="00297563">
        <w:rPr>
          <w:rFonts w:ascii="Times New Roman" w:hAnsi="Times New Roman" w:cs="Times New Roman"/>
          <w:sz w:val="18"/>
          <w:szCs w:val="18"/>
        </w:rPr>
        <w:t xml:space="preserve">ompanies, and thus would not reflect correctly the trend. </w:t>
      </w:r>
    </w:p>
  </w:footnote>
  <w:footnote w:id="72">
    <w:p w:rsidR="00A55383" w:rsidRPr="00AE7CBF" w:rsidRDefault="00A55383" w:rsidP="00EC5E43">
      <w:pPr>
        <w:pStyle w:val="FootnoteText"/>
        <w:jc w:val="both"/>
        <w:rPr>
          <w:rFonts w:ascii="Times New Roman" w:hAnsi="Times New Roman" w:cs="Times New Roman"/>
          <w:sz w:val="18"/>
          <w:szCs w:val="18"/>
        </w:rPr>
      </w:pPr>
      <w:r w:rsidRPr="00297563">
        <w:rPr>
          <w:rStyle w:val="FootnoteReference"/>
          <w:rFonts w:ascii="Times New Roman" w:hAnsi="Times New Roman" w:cs="Times New Roman"/>
          <w:sz w:val="18"/>
          <w:szCs w:val="18"/>
        </w:rPr>
        <w:footnoteRef/>
      </w:r>
      <w:r w:rsidRPr="00297563">
        <w:rPr>
          <w:rFonts w:ascii="Times New Roman" w:hAnsi="Times New Roman" w:cs="Times New Roman"/>
          <w:sz w:val="18"/>
          <w:szCs w:val="18"/>
        </w:rPr>
        <w:t xml:space="preserve"> Based on the regulatory framework, “</w:t>
      </w:r>
      <w:proofErr w:type="spellStart"/>
      <w:r w:rsidRPr="00297563">
        <w:rPr>
          <w:rFonts w:ascii="Times New Roman" w:hAnsi="Times New Roman" w:cs="Times New Roman"/>
          <w:i/>
          <w:sz w:val="18"/>
          <w:szCs w:val="18"/>
        </w:rPr>
        <w:t>Agencia</w:t>
      </w:r>
      <w:proofErr w:type="spellEnd"/>
      <w:r w:rsidRPr="00297563">
        <w:rPr>
          <w:rFonts w:ascii="Times New Roman" w:hAnsi="Times New Roman" w:cs="Times New Roman"/>
          <w:i/>
          <w:sz w:val="18"/>
          <w:szCs w:val="18"/>
        </w:rPr>
        <w:t xml:space="preserve"> </w:t>
      </w:r>
      <w:proofErr w:type="spellStart"/>
      <w:r w:rsidRPr="00297563">
        <w:rPr>
          <w:rFonts w:ascii="Times New Roman" w:hAnsi="Times New Roman" w:cs="Times New Roman"/>
          <w:i/>
          <w:sz w:val="18"/>
          <w:szCs w:val="18"/>
        </w:rPr>
        <w:t>fijas</w:t>
      </w:r>
      <w:proofErr w:type="spellEnd"/>
      <w:r w:rsidRPr="00297563">
        <w:rPr>
          <w:rFonts w:ascii="Times New Roman" w:hAnsi="Times New Roman" w:cs="Times New Roman"/>
          <w:sz w:val="18"/>
          <w:szCs w:val="18"/>
        </w:rPr>
        <w:t>” are mini-branches installed in a separate location that report and depend on either the headquarter</w:t>
      </w:r>
      <w:r>
        <w:rPr>
          <w:rFonts w:ascii="Times New Roman" w:hAnsi="Times New Roman" w:cs="Times New Roman"/>
          <w:sz w:val="18"/>
          <w:szCs w:val="18"/>
        </w:rPr>
        <w:t>s</w:t>
      </w:r>
      <w:r w:rsidRPr="00297563">
        <w:rPr>
          <w:rFonts w:ascii="Times New Roman" w:hAnsi="Times New Roman" w:cs="Times New Roman"/>
          <w:sz w:val="18"/>
          <w:szCs w:val="18"/>
        </w:rPr>
        <w:t xml:space="preserve"> or regional branch of a financial entity and that need prior authorization from ASFI. They can offer the full range of services. “</w:t>
      </w:r>
      <w:proofErr w:type="spellStart"/>
      <w:r w:rsidRPr="00297563">
        <w:rPr>
          <w:rFonts w:ascii="Times New Roman" w:hAnsi="Times New Roman" w:cs="Times New Roman"/>
          <w:i/>
          <w:sz w:val="18"/>
          <w:szCs w:val="18"/>
        </w:rPr>
        <w:t>Cajas</w:t>
      </w:r>
      <w:proofErr w:type="spellEnd"/>
      <w:r w:rsidRPr="00297563">
        <w:rPr>
          <w:rFonts w:ascii="Times New Roman" w:hAnsi="Times New Roman" w:cs="Times New Roman"/>
          <w:i/>
          <w:sz w:val="18"/>
          <w:szCs w:val="18"/>
        </w:rPr>
        <w:t xml:space="preserve"> </w:t>
      </w:r>
      <w:proofErr w:type="spellStart"/>
      <w:r w:rsidRPr="00297563">
        <w:rPr>
          <w:rFonts w:ascii="Times New Roman" w:hAnsi="Times New Roman" w:cs="Times New Roman"/>
          <w:i/>
          <w:sz w:val="18"/>
          <w:szCs w:val="18"/>
        </w:rPr>
        <w:t>externas</w:t>
      </w:r>
      <w:proofErr w:type="spellEnd"/>
      <w:r w:rsidRPr="00297563">
        <w:rPr>
          <w:rFonts w:ascii="Times New Roman" w:hAnsi="Times New Roman" w:cs="Times New Roman"/>
          <w:sz w:val="18"/>
          <w:szCs w:val="18"/>
        </w:rPr>
        <w:t>” and “</w:t>
      </w:r>
      <w:proofErr w:type="spellStart"/>
      <w:r w:rsidRPr="00297563">
        <w:rPr>
          <w:rFonts w:ascii="Times New Roman" w:hAnsi="Times New Roman" w:cs="Times New Roman"/>
          <w:i/>
          <w:sz w:val="18"/>
          <w:szCs w:val="18"/>
        </w:rPr>
        <w:t>ventanillas</w:t>
      </w:r>
      <w:proofErr w:type="spellEnd"/>
      <w:r w:rsidRPr="00297563">
        <w:rPr>
          <w:rFonts w:ascii="Times New Roman" w:hAnsi="Times New Roman" w:cs="Times New Roman"/>
          <w:sz w:val="18"/>
          <w:szCs w:val="18"/>
        </w:rPr>
        <w:t>” are service points that are housed inside a third party location, and can only</w:t>
      </w:r>
      <w:r w:rsidRPr="00AE7CBF">
        <w:rPr>
          <w:rFonts w:ascii="Times New Roman" w:hAnsi="Times New Roman" w:cs="Times New Roman"/>
          <w:sz w:val="18"/>
          <w:szCs w:val="18"/>
        </w:rPr>
        <w:t xml:space="preserve"> offer transactional services related to credit, savings and bill payments, or only bill payment in the case of a </w:t>
      </w:r>
      <w:r>
        <w:rPr>
          <w:rFonts w:ascii="Times New Roman" w:hAnsi="Times New Roman" w:cs="Times New Roman"/>
          <w:sz w:val="18"/>
          <w:szCs w:val="18"/>
        </w:rPr>
        <w:t>“</w:t>
      </w:r>
      <w:proofErr w:type="spellStart"/>
      <w:r w:rsidRPr="00AE7CBF">
        <w:rPr>
          <w:rFonts w:ascii="Times New Roman" w:hAnsi="Times New Roman" w:cs="Times New Roman"/>
          <w:i/>
          <w:sz w:val="18"/>
          <w:szCs w:val="18"/>
        </w:rPr>
        <w:t>ventanilla</w:t>
      </w:r>
      <w:proofErr w:type="spellEnd"/>
      <w:r>
        <w:rPr>
          <w:rFonts w:ascii="Times New Roman" w:hAnsi="Times New Roman" w:cs="Times New Roman"/>
          <w:i/>
          <w:sz w:val="18"/>
          <w:szCs w:val="18"/>
        </w:rPr>
        <w:t>”</w:t>
      </w:r>
      <w:r w:rsidRPr="00AE7CBF">
        <w:rPr>
          <w:rFonts w:ascii="Times New Roman" w:hAnsi="Times New Roman" w:cs="Times New Roman"/>
          <w:sz w:val="18"/>
          <w:szCs w:val="18"/>
        </w:rPr>
        <w:t>. “</w:t>
      </w:r>
      <w:proofErr w:type="spellStart"/>
      <w:r w:rsidRPr="00AE7CBF">
        <w:rPr>
          <w:rFonts w:ascii="Times New Roman" w:hAnsi="Times New Roman" w:cs="Times New Roman"/>
          <w:i/>
          <w:sz w:val="18"/>
          <w:szCs w:val="18"/>
        </w:rPr>
        <w:t>Cajas</w:t>
      </w:r>
      <w:proofErr w:type="spellEnd"/>
      <w:r w:rsidRPr="00AE7CBF">
        <w:rPr>
          <w:rFonts w:ascii="Times New Roman" w:hAnsi="Times New Roman" w:cs="Times New Roman"/>
          <w:i/>
          <w:sz w:val="18"/>
          <w:szCs w:val="18"/>
        </w:rPr>
        <w:t xml:space="preserve"> </w:t>
      </w:r>
      <w:proofErr w:type="spellStart"/>
      <w:r w:rsidRPr="00AE7CBF">
        <w:rPr>
          <w:rFonts w:ascii="Times New Roman" w:hAnsi="Times New Roman" w:cs="Times New Roman"/>
          <w:i/>
          <w:sz w:val="18"/>
          <w:szCs w:val="18"/>
        </w:rPr>
        <w:t>externas</w:t>
      </w:r>
      <w:proofErr w:type="spellEnd"/>
      <w:r w:rsidRPr="00AE7CBF">
        <w:rPr>
          <w:rFonts w:ascii="Times New Roman" w:hAnsi="Times New Roman" w:cs="Times New Roman"/>
          <w:sz w:val="18"/>
          <w:szCs w:val="18"/>
        </w:rPr>
        <w:t>” and “</w:t>
      </w:r>
      <w:proofErr w:type="spellStart"/>
      <w:r w:rsidRPr="00AE7CBF">
        <w:rPr>
          <w:rFonts w:ascii="Times New Roman" w:hAnsi="Times New Roman" w:cs="Times New Roman"/>
          <w:i/>
          <w:sz w:val="18"/>
          <w:szCs w:val="18"/>
        </w:rPr>
        <w:t>ventanillas</w:t>
      </w:r>
      <w:proofErr w:type="spellEnd"/>
      <w:r w:rsidRPr="00AE7CBF">
        <w:rPr>
          <w:rFonts w:ascii="Times New Roman" w:hAnsi="Times New Roman" w:cs="Times New Roman"/>
          <w:sz w:val="18"/>
          <w:szCs w:val="18"/>
        </w:rPr>
        <w:t>” do not need prior authorization from the authorities.</w:t>
      </w:r>
      <w:r>
        <w:rPr>
          <w:rFonts w:ascii="Times New Roman" w:hAnsi="Times New Roman" w:cs="Times New Roman"/>
          <w:sz w:val="18"/>
          <w:szCs w:val="18"/>
        </w:rPr>
        <w:t xml:space="preserve"> </w:t>
      </w:r>
    </w:p>
  </w:footnote>
  <w:footnote w:id="73">
    <w:p w:rsidR="00A55383" w:rsidRPr="00F11901" w:rsidRDefault="00A55383" w:rsidP="00EC5E43">
      <w:pPr>
        <w:pStyle w:val="FootnoteText"/>
        <w:jc w:val="both"/>
        <w:rPr>
          <w:sz w:val="18"/>
          <w:szCs w:val="18"/>
        </w:rPr>
      </w:pPr>
      <w:r w:rsidRPr="00AE7CBF">
        <w:rPr>
          <w:rStyle w:val="FootnoteReference"/>
          <w:rFonts w:ascii="Times New Roman" w:hAnsi="Times New Roman" w:cs="Times New Roman"/>
          <w:sz w:val="18"/>
          <w:szCs w:val="18"/>
        </w:rPr>
        <w:footnoteRef/>
      </w:r>
      <w:r w:rsidRPr="00AE7CBF">
        <w:rPr>
          <w:rFonts w:ascii="Times New Roman" w:hAnsi="Times New Roman" w:cs="Times New Roman"/>
          <w:sz w:val="18"/>
          <w:szCs w:val="18"/>
        </w:rPr>
        <w:t xml:space="preserve"> The increased number of service points in the financial system lead to some bundling of service points in selected areas, such as for example observed in </w:t>
      </w:r>
      <w:proofErr w:type="spellStart"/>
      <w:r w:rsidRPr="00AE7CBF">
        <w:rPr>
          <w:rFonts w:ascii="Times New Roman" w:hAnsi="Times New Roman" w:cs="Times New Roman"/>
          <w:i/>
          <w:sz w:val="18"/>
          <w:szCs w:val="18"/>
        </w:rPr>
        <w:t>Punata</w:t>
      </w:r>
      <w:proofErr w:type="spellEnd"/>
      <w:r w:rsidRPr="00AE7CBF">
        <w:rPr>
          <w:rFonts w:ascii="Times New Roman" w:hAnsi="Times New Roman" w:cs="Times New Roman"/>
          <w:sz w:val="18"/>
          <w:szCs w:val="18"/>
        </w:rPr>
        <w:t xml:space="preserve">, at one of the cross-roads in </w:t>
      </w:r>
      <w:r w:rsidRPr="00AE7CBF">
        <w:rPr>
          <w:rFonts w:ascii="Times New Roman" w:hAnsi="Times New Roman" w:cs="Times New Roman"/>
          <w:i/>
          <w:sz w:val="18"/>
          <w:szCs w:val="18"/>
        </w:rPr>
        <w:t>El Alto</w:t>
      </w:r>
      <w:r w:rsidRPr="00AE7CBF">
        <w:rPr>
          <w:rFonts w:ascii="Times New Roman" w:hAnsi="Times New Roman" w:cs="Times New Roman"/>
          <w:sz w:val="18"/>
          <w:szCs w:val="18"/>
        </w:rPr>
        <w:t xml:space="preserve">, in </w:t>
      </w:r>
      <w:proofErr w:type="spellStart"/>
      <w:r w:rsidRPr="00AE7CBF">
        <w:rPr>
          <w:rFonts w:ascii="Times New Roman" w:hAnsi="Times New Roman" w:cs="Times New Roman"/>
          <w:i/>
          <w:sz w:val="18"/>
          <w:szCs w:val="18"/>
        </w:rPr>
        <w:t>Quillacollo</w:t>
      </w:r>
      <w:proofErr w:type="spellEnd"/>
      <w:r w:rsidRPr="00AE7CBF">
        <w:rPr>
          <w:rFonts w:ascii="Times New Roman" w:hAnsi="Times New Roman" w:cs="Times New Roman"/>
          <w:sz w:val="18"/>
          <w:szCs w:val="18"/>
        </w:rPr>
        <w:t xml:space="preserve"> and in </w:t>
      </w:r>
      <w:r w:rsidRPr="00AE7CBF">
        <w:rPr>
          <w:rFonts w:ascii="Times New Roman" w:hAnsi="Times New Roman" w:cs="Times New Roman"/>
          <w:i/>
          <w:sz w:val="18"/>
          <w:szCs w:val="18"/>
        </w:rPr>
        <w:t>Copacabana</w:t>
      </w:r>
      <w:r w:rsidRPr="00AE7CBF">
        <w:rPr>
          <w:rFonts w:ascii="Times New Roman" w:hAnsi="Times New Roman" w:cs="Times New Roman"/>
          <w:sz w:val="18"/>
          <w:szCs w:val="18"/>
        </w:rPr>
        <w:t>. The study on the access to finance in Bolivia carried out by ASFI in 2009 also confirms some saturation in selected cities.</w:t>
      </w:r>
      <w:r>
        <w:rPr>
          <w:sz w:val="18"/>
          <w:szCs w:val="18"/>
        </w:rPr>
        <w:t xml:space="preserve"> </w:t>
      </w:r>
    </w:p>
  </w:footnote>
  <w:footnote w:id="74">
    <w:p w:rsidR="00A55383" w:rsidRPr="001F0A6C" w:rsidRDefault="00A55383" w:rsidP="00464623">
      <w:pPr>
        <w:pStyle w:val="FootnoteText"/>
        <w:jc w:val="both"/>
        <w:rPr>
          <w:rFonts w:ascii="Times New Roman" w:hAnsi="Times New Roman" w:cs="Times New Roman"/>
          <w:i/>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The regulatory framework i.e. imposes that mobile branches need to receive prior authorization from ASFI, be an armored vehicle and equipped with “sufficient” prior communication technology, a safe, security installations such as video systems and two security guards.</w:t>
      </w:r>
    </w:p>
  </w:footnote>
  <w:footnote w:id="75">
    <w:p w:rsidR="00A55383" w:rsidRPr="00217616" w:rsidRDefault="00A55383" w:rsidP="00217616">
      <w:pPr>
        <w:pStyle w:val="FootnoteText"/>
        <w:jc w:val="both"/>
        <w:rPr>
          <w:rFonts w:ascii="Times New Roman" w:hAnsi="Times New Roman" w:cs="Times New Roman"/>
          <w:sz w:val="18"/>
          <w:szCs w:val="18"/>
        </w:rPr>
      </w:pPr>
      <w:r w:rsidRPr="00217616">
        <w:rPr>
          <w:rStyle w:val="FootnoteReference"/>
          <w:rFonts w:ascii="Times New Roman" w:hAnsi="Times New Roman" w:cs="Times New Roman"/>
          <w:sz w:val="18"/>
          <w:szCs w:val="18"/>
        </w:rPr>
        <w:footnoteRef/>
      </w:r>
      <w:r w:rsidRPr="00217616">
        <w:rPr>
          <w:rFonts w:ascii="Times New Roman" w:hAnsi="Times New Roman" w:cs="Times New Roman"/>
          <w:sz w:val="18"/>
          <w:szCs w:val="18"/>
        </w:rPr>
        <w:t xml:space="preserve"> The reduction of direct costs for the client would however not be relevant in Bolivia, as the regulation eliminates these commissions.</w:t>
      </w:r>
    </w:p>
  </w:footnote>
  <w:footnote w:id="76">
    <w:p w:rsidR="00A55383" w:rsidRPr="00B005A5" w:rsidRDefault="00A55383" w:rsidP="00EC5E43">
      <w:pPr>
        <w:pStyle w:val="FootnoteText"/>
        <w:jc w:val="both"/>
        <w:rPr>
          <w:rFonts w:ascii="Times New Roman" w:hAnsi="Times New Roman" w:cs="Times New Roman"/>
          <w:sz w:val="18"/>
          <w:szCs w:val="18"/>
        </w:rPr>
      </w:pPr>
      <w:r w:rsidRPr="00B005A5">
        <w:rPr>
          <w:rStyle w:val="FootnoteReference"/>
          <w:rFonts w:ascii="Times New Roman" w:hAnsi="Times New Roman" w:cs="Times New Roman"/>
          <w:sz w:val="18"/>
          <w:szCs w:val="18"/>
        </w:rPr>
        <w:footnoteRef/>
      </w:r>
      <w:r w:rsidRPr="00B005A5">
        <w:rPr>
          <w:rFonts w:ascii="Times New Roman" w:hAnsi="Times New Roman" w:cs="Times New Roman"/>
          <w:sz w:val="18"/>
          <w:szCs w:val="18"/>
        </w:rPr>
        <w:t xml:space="preserve"> Resolution ASFI 141/2011 was passed in February 2011</w:t>
      </w:r>
      <w:r>
        <w:rPr>
          <w:rFonts w:ascii="Times New Roman" w:hAnsi="Times New Roman" w:cs="Times New Roman"/>
          <w:sz w:val="18"/>
          <w:szCs w:val="18"/>
        </w:rPr>
        <w:t>.</w:t>
      </w:r>
      <w:r w:rsidRPr="00B005A5">
        <w:rPr>
          <w:rFonts w:ascii="Times New Roman" w:hAnsi="Times New Roman" w:cs="Times New Roman"/>
          <w:sz w:val="18"/>
          <w:szCs w:val="18"/>
        </w:rPr>
        <w:t xml:space="preserve"> </w:t>
      </w:r>
    </w:p>
  </w:footnote>
  <w:footnote w:id="77">
    <w:p w:rsidR="00A55383" w:rsidRPr="00B005A5" w:rsidRDefault="00A55383" w:rsidP="00EC5E43">
      <w:pPr>
        <w:pStyle w:val="FootnoteText"/>
        <w:jc w:val="both"/>
        <w:rPr>
          <w:rFonts w:ascii="Times New Roman" w:hAnsi="Times New Roman" w:cs="Times New Roman"/>
          <w:sz w:val="18"/>
          <w:szCs w:val="18"/>
        </w:rPr>
      </w:pPr>
      <w:r w:rsidRPr="00B005A5">
        <w:rPr>
          <w:rStyle w:val="FootnoteReference"/>
          <w:rFonts w:ascii="Times New Roman" w:hAnsi="Times New Roman" w:cs="Times New Roman"/>
          <w:sz w:val="18"/>
          <w:szCs w:val="18"/>
        </w:rPr>
        <w:footnoteRef/>
      </w:r>
      <w:r w:rsidRPr="00B005A5">
        <w:rPr>
          <w:rFonts w:ascii="Times New Roman" w:hAnsi="Times New Roman" w:cs="Times New Roman"/>
          <w:sz w:val="18"/>
          <w:szCs w:val="18"/>
        </w:rPr>
        <w:t xml:space="preserve"> The RTGS was initially only open to banks</w:t>
      </w:r>
      <w:r>
        <w:rPr>
          <w:rFonts w:ascii="Times New Roman" w:hAnsi="Times New Roman" w:cs="Times New Roman"/>
          <w:sz w:val="18"/>
          <w:szCs w:val="18"/>
        </w:rPr>
        <w:t xml:space="preserve"> and the 2 biggest SLAs</w:t>
      </w:r>
      <w:r w:rsidRPr="00B005A5">
        <w:rPr>
          <w:rFonts w:ascii="Times New Roman" w:hAnsi="Times New Roman" w:cs="Times New Roman"/>
          <w:sz w:val="18"/>
          <w:szCs w:val="18"/>
        </w:rPr>
        <w:t>, but with resolution RD 109/2007 is now also open to financial entities supervised by ASFI (</w:t>
      </w:r>
      <w:r>
        <w:rPr>
          <w:rFonts w:ascii="Times New Roman" w:hAnsi="Times New Roman" w:cs="Times New Roman"/>
          <w:sz w:val="18"/>
          <w:szCs w:val="18"/>
        </w:rPr>
        <w:t xml:space="preserve">formerly </w:t>
      </w:r>
      <w:r w:rsidRPr="00B005A5">
        <w:rPr>
          <w:rFonts w:ascii="Times New Roman" w:hAnsi="Times New Roman" w:cs="Times New Roman"/>
          <w:sz w:val="18"/>
          <w:szCs w:val="18"/>
        </w:rPr>
        <w:t>SBEF). However, only a limited number of non-banks have actually installed the necessary technical requirements, as those can be costly and given the limited demand for electronic payment options by the population might outweigh the costs with maintaining the current system of going through banks. Only those with access to the RTGS can receive cash at the 3 Central Bank windows in the country.</w:t>
      </w:r>
    </w:p>
  </w:footnote>
  <w:footnote w:id="78">
    <w:p w:rsidR="00A55383" w:rsidRPr="00B005A5" w:rsidRDefault="00A55383" w:rsidP="00EC5E43">
      <w:pPr>
        <w:pStyle w:val="FootnoteText"/>
        <w:jc w:val="both"/>
        <w:rPr>
          <w:rFonts w:ascii="Times New Roman" w:hAnsi="Times New Roman" w:cs="Times New Roman"/>
          <w:sz w:val="18"/>
          <w:szCs w:val="18"/>
        </w:rPr>
      </w:pPr>
      <w:r w:rsidRPr="00B005A5">
        <w:rPr>
          <w:rStyle w:val="FootnoteReference"/>
          <w:rFonts w:ascii="Times New Roman" w:hAnsi="Times New Roman" w:cs="Times New Roman"/>
          <w:sz w:val="18"/>
          <w:szCs w:val="18"/>
        </w:rPr>
        <w:footnoteRef/>
      </w:r>
      <w:r w:rsidRPr="00B005A5">
        <w:rPr>
          <w:rFonts w:ascii="Times New Roman" w:hAnsi="Times New Roman" w:cs="Times New Roman"/>
          <w:sz w:val="18"/>
          <w:szCs w:val="18"/>
        </w:rPr>
        <w:t xml:space="preserve"> The settlement of the balances for the network provider is done through a centralizing bank</w:t>
      </w:r>
      <w:r>
        <w:rPr>
          <w:rFonts w:ascii="Times New Roman" w:hAnsi="Times New Roman" w:cs="Times New Roman"/>
          <w:sz w:val="18"/>
          <w:szCs w:val="18"/>
        </w:rPr>
        <w:t>.</w:t>
      </w:r>
    </w:p>
  </w:footnote>
  <w:footnote w:id="79">
    <w:p w:rsidR="00A55383" w:rsidRPr="00C51265" w:rsidRDefault="00A55383" w:rsidP="00EC5E43">
      <w:pPr>
        <w:pStyle w:val="FootnoteText"/>
        <w:jc w:val="both"/>
        <w:rPr>
          <w:sz w:val="18"/>
          <w:szCs w:val="18"/>
        </w:rPr>
      </w:pPr>
      <w:r w:rsidRPr="00B005A5">
        <w:rPr>
          <w:rStyle w:val="FootnoteReference"/>
          <w:rFonts w:ascii="Times New Roman" w:hAnsi="Times New Roman" w:cs="Times New Roman"/>
          <w:sz w:val="18"/>
          <w:szCs w:val="18"/>
        </w:rPr>
        <w:footnoteRef/>
      </w:r>
      <w:r w:rsidRPr="00B005A5">
        <w:rPr>
          <w:rFonts w:ascii="Times New Roman" w:hAnsi="Times New Roman" w:cs="Times New Roman"/>
          <w:sz w:val="18"/>
          <w:szCs w:val="18"/>
        </w:rPr>
        <w:t xml:space="preserve"> Only entities that have access to the RTGS can receive cash at the 3 Central Bank locations throughout the country, and interbank transfers and liquidity support cannot be directly and in real time be provided.</w:t>
      </w:r>
      <w:r w:rsidRPr="00C51265">
        <w:rPr>
          <w:sz w:val="18"/>
          <w:szCs w:val="18"/>
        </w:rPr>
        <w:t xml:space="preserve"> </w:t>
      </w:r>
    </w:p>
  </w:footnote>
  <w:footnote w:id="80">
    <w:p w:rsidR="00A55383" w:rsidRPr="00B005A5" w:rsidRDefault="00A55383" w:rsidP="00EC5E43">
      <w:pPr>
        <w:pStyle w:val="FootnoteText"/>
        <w:jc w:val="both"/>
        <w:rPr>
          <w:rFonts w:ascii="Times New Roman" w:hAnsi="Times New Roman" w:cs="Times New Roman"/>
          <w:sz w:val="18"/>
          <w:szCs w:val="18"/>
        </w:rPr>
      </w:pPr>
      <w:r w:rsidRPr="00B005A5">
        <w:rPr>
          <w:rStyle w:val="FootnoteReference"/>
          <w:rFonts w:ascii="Times New Roman" w:hAnsi="Times New Roman" w:cs="Times New Roman"/>
          <w:sz w:val="18"/>
          <w:szCs w:val="18"/>
        </w:rPr>
        <w:footnoteRef/>
      </w:r>
      <w:r w:rsidRPr="00B005A5">
        <w:rPr>
          <w:rFonts w:ascii="Times New Roman" w:hAnsi="Times New Roman" w:cs="Times New Roman"/>
          <w:sz w:val="18"/>
          <w:szCs w:val="18"/>
        </w:rPr>
        <w:t xml:space="preserve"> One cooperative for example reported costs for the issuance of debit cards through a bank of USD 3.50, annual fees of USD 5, and transaction costs charged by the corresponding bank between USD </w:t>
      </w:r>
      <w:r>
        <w:rPr>
          <w:rFonts w:ascii="Times New Roman" w:hAnsi="Times New Roman" w:cs="Times New Roman"/>
          <w:sz w:val="18"/>
          <w:szCs w:val="18"/>
        </w:rPr>
        <w:t>0.</w:t>
      </w:r>
      <w:r w:rsidRPr="00B005A5">
        <w:rPr>
          <w:rFonts w:ascii="Times New Roman" w:hAnsi="Times New Roman" w:cs="Times New Roman"/>
          <w:sz w:val="18"/>
          <w:szCs w:val="18"/>
        </w:rPr>
        <w:t>14 to</w:t>
      </w:r>
      <w:r>
        <w:rPr>
          <w:rFonts w:ascii="Times New Roman" w:hAnsi="Times New Roman" w:cs="Times New Roman"/>
          <w:sz w:val="18"/>
          <w:szCs w:val="18"/>
        </w:rPr>
        <w:t xml:space="preserve"> </w:t>
      </w:r>
      <w:r w:rsidRPr="00B005A5">
        <w:rPr>
          <w:rFonts w:ascii="Times New Roman" w:hAnsi="Times New Roman" w:cs="Times New Roman"/>
          <w:sz w:val="18"/>
          <w:szCs w:val="18"/>
        </w:rPr>
        <w:t>USD 1. These fees provide an interesting additional income for banks, but levy costs on the cooperative which due to the regulation on commissions cannot be passed on to the client and thus discourages the provision of debit cards to clients.</w:t>
      </w:r>
      <w:r>
        <w:rPr>
          <w:rFonts w:ascii="Times New Roman" w:hAnsi="Times New Roman" w:cs="Times New Roman"/>
          <w:sz w:val="18"/>
          <w:szCs w:val="18"/>
        </w:rPr>
        <w:t xml:space="preserve"> </w:t>
      </w:r>
    </w:p>
  </w:footnote>
  <w:footnote w:id="81">
    <w:p w:rsidR="00A55383" w:rsidRPr="0020121F" w:rsidRDefault="00A55383" w:rsidP="00EC5E43">
      <w:pPr>
        <w:pStyle w:val="FootnoteText"/>
        <w:jc w:val="both"/>
        <w:rPr>
          <w:sz w:val="18"/>
          <w:szCs w:val="18"/>
        </w:rPr>
      </w:pPr>
      <w:r w:rsidRPr="00B005A5">
        <w:rPr>
          <w:rStyle w:val="FootnoteReference"/>
          <w:rFonts w:ascii="Times New Roman" w:hAnsi="Times New Roman" w:cs="Times New Roman"/>
          <w:sz w:val="18"/>
          <w:szCs w:val="18"/>
        </w:rPr>
        <w:footnoteRef/>
      </w:r>
      <w:r w:rsidRPr="00B005A5">
        <w:rPr>
          <w:rFonts w:ascii="Times New Roman" w:hAnsi="Times New Roman" w:cs="Times New Roman"/>
          <w:sz w:val="18"/>
          <w:szCs w:val="18"/>
        </w:rPr>
        <w:t xml:space="preserve"> It is estimated that the new system will incur costs per card of USD 1.5, compared to 5 under the current system.</w:t>
      </w:r>
      <w:r w:rsidRPr="0020121F">
        <w:rPr>
          <w:sz w:val="18"/>
          <w:szCs w:val="18"/>
        </w:rPr>
        <w:t xml:space="preserve"> </w:t>
      </w:r>
    </w:p>
  </w:footnote>
  <w:footnote w:id="82">
    <w:p w:rsidR="00A55383" w:rsidRPr="00AF20D8" w:rsidRDefault="00A55383" w:rsidP="00AF20D8">
      <w:pPr>
        <w:pStyle w:val="FootnoteText"/>
        <w:jc w:val="both"/>
        <w:rPr>
          <w:rFonts w:ascii="Times New Roman" w:hAnsi="Times New Roman" w:cs="Times New Roman"/>
          <w:sz w:val="18"/>
          <w:szCs w:val="18"/>
        </w:rPr>
      </w:pPr>
      <w:r w:rsidRPr="00AF20D8">
        <w:rPr>
          <w:rStyle w:val="FootnoteReference"/>
          <w:rFonts w:ascii="Times New Roman" w:hAnsi="Times New Roman" w:cs="Times New Roman"/>
          <w:sz w:val="18"/>
          <w:szCs w:val="18"/>
        </w:rPr>
        <w:footnoteRef/>
      </w:r>
      <w:r w:rsidRPr="00AF20D8">
        <w:rPr>
          <w:rFonts w:ascii="Times New Roman" w:hAnsi="Times New Roman" w:cs="Times New Roman"/>
          <w:sz w:val="18"/>
          <w:szCs w:val="18"/>
        </w:rPr>
        <w:t xml:space="preserve"> Most remittances are being sent from Argentina, USA and Spain. Money transfer providers such as Western Union have not direct representation in Bolivia, but much rather use existing infrastructure and financial institutions to cater to the market.</w:t>
      </w:r>
    </w:p>
  </w:footnote>
  <w:footnote w:id="83">
    <w:p w:rsidR="00A55383" w:rsidRPr="00307DDA" w:rsidRDefault="00A55383" w:rsidP="00AF20D8">
      <w:pPr>
        <w:pStyle w:val="FootnoteText"/>
        <w:jc w:val="both"/>
        <w:rPr>
          <w:rFonts w:ascii="Times New Roman" w:hAnsi="Times New Roman" w:cs="Times New Roman"/>
          <w:sz w:val="18"/>
          <w:szCs w:val="18"/>
        </w:rPr>
      </w:pPr>
      <w:r w:rsidRPr="00AF20D8">
        <w:rPr>
          <w:rStyle w:val="FootnoteReference"/>
          <w:rFonts w:ascii="Times New Roman" w:hAnsi="Times New Roman" w:cs="Times New Roman"/>
          <w:sz w:val="18"/>
          <w:szCs w:val="18"/>
        </w:rPr>
        <w:footnoteRef/>
      </w:r>
      <w:r w:rsidRPr="00AF20D8">
        <w:rPr>
          <w:rFonts w:ascii="Times New Roman" w:hAnsi="Times New Roman" w:cs="Times New Roman"/>
          <w:sz w:val="18"/>
          <w:szCs w:val="18"/>
        </w:rPr>
        <w:t xml:space="preserve"> For example, several persons interviewed indicated that they pay their employees in cash, and also go to their financial institution in person to pay in cash for their utility bills. They maintain significant cash at home for the various upcoming financial needs, and only deposit extra funds, which they plan to save for the longer term, into their account at a financial entity.</w:t>
      </w:r>
      <w:r w:rsidRPr="00307DDA">
        <w:rPr>
          <w:rFonts w:ascii="Times New Roman" w:hAnsi="Times New Roman" w:cs="Times New Roman"/>
          <w:sz w:val="18"/>
          <w:szCs w:val="18"/>
        </w:rPr>
        <w:t xml:space="preserve"> </w:t>
      </w:r>
    </w:p>
  </w:footnote>
  <w:footnote w:id="84">
    <w:p w:rsidR="00A55383" w:rsidRPr="00307DDA" w:rsidRDefault="00A55383" w:rsidP="00EC5E43">
      <w:pPr>
        <w:pStyle w:val="FootnoteText"/>
        <w:jc w:val="both"/>
        <w:rPr>
          <w:rFonts w:ascii="Times New Roman" w:hAnsi="Times New Roman" w:cs="Times New Roman"/>
          <w:sz w:val="18"/>
          <w:szCs w:val="18"/>
        </w:rPr>
      </w:pPr>
      <w:r w:rsidRPr="00307DDA">
        <w:rPr>
          <w:rStyle w:val="FootnoteReference"/>
          <w:rFonts w:ascii="Times New Roman" w:hAnsi="Times New Roman" w:cs="Times New Roman"/>
          <w:sz w:val="18"/>
          <w:szCs w:val="18"/>
        </w:rPr>
        <w:footnoteRef/>
      </w:r>
      <w:r w:rsidRPr="00307DDA">
        <w:rPr>
          <w:rFonts w:ascii="Times New Roman" w:hAnsi="Times New Roman" w:cs="Times New Roman"/>
          <w:sz w:val="18"/>
          <w:szCs w:val="18"/>
        </w:rPr>
        <w:t xml:space="preserve"> Other examples show that hiring someone from the same locality to work in the new branch can help establish trust in the community. </w:t>
      </w:r>
    </w:p>
  </w:footnote>
  <w:footnote w:id="85">
    <w:p w:rsidR="00A55383" w:rsidRDefault="00A55383" w:rsidP="00EC5E43">
      <w:pPr>
        <w:pStyle w:val="FootnoteText"/>
        <w:jc w:val="both"/>
      </w:pPr>
      <w:r w:rsidRPr="00307DDA">
        <w:rPr>
          <w:rStyle w:val="FootnoteReference"/>
          <w:rFonts w:ascii="Times New Roman" w:hAnsi="Times New Roman" w:cs="Times New Roman"/>
          <w:sz w:val="18"/>
          <w:szCs w:val="18"/>
        </w:rPr>
        <w:footnoteRef/>
      </w:r>
      <w:r w:rsidRPr="00307DDA">
        <w:rPr>
          <w:rFonts w:ascii="Times New Roman" w:hAnsi="Times New Roman" w:cs="Times New Roman"/>
          <w:sz w:val="18"/>
          <w:szCs w:val="18"/>
        </w:rPr>
        <w:t xml:space="preserve"> For example, the requirements to be able to service clients within a certain time limit, to have a consumer protection trained agent in every agency, to eliminate any commissions on regular financial service provision and to condition the opening of an urban branch to the opening of a rural branch can in its totality </w:t>
      </w:r>
      <w:r>
        <w:rPr>
          <w:rFonts w:ascii="Times New Roman" w:hAnsi="Times New Roman" w:cs="Times New Roman"/>
          <w:sz w:val="18"/>
          <w:szCs w:val="18"/>
        </w:rPr>
        <w:t>discourage</w:t>
      </w:r>
      <w:r w:rsidRPr="00307DDA">
        <w:rPr>
          <w:rFonts w:ascii="Times New Roman" w:hAnsi="Times New Roman" w:cs="Times New Roman"/>
          <w:sz w:val="18"/>
          <w:szCs w:val="18"/>
        </w:rPr>
        <w:t xml:space="preserve"> financial entities to expand their coverage or test new approaches to service delivery. Furthermore, the stringent regulatory framework can pose a hurdle for the transition of closed cooperatives and </w:t>
      </w:r>
      <w:r>
        <w:rPr>
          <w:rFonts w:ascii="Times New Roman" w:hAnsi="Times New Roman" w:cs="Times New Roman"/>
          <w:sz w:val="18"/>
          <w:szCs w:val="18"/>
        </w:rPr>
        <w:t>IFDs</w:t>
      </w:r>
      <w:r w:rsidRPr="00307DDA">
        <w:rPr>
          <w:rFonts w:ascii="Times New Roman" w:hAnsi="Times New Roman" w:cs="Times New Roman"/>
          <w:sz w:val="18"/>
          <w:szCs w:val="18"/>
        </w:rPr>
        <w:t xml:space="preserve"> into regulatory agencies, as most of those entities do not yet fulfill any of the mandated security</w:t>
      </w:r>
      <w:r w:rsidRPr="00F16894">
        <w:rPr>
          <w:sz w:val="18"/>
          <w:szCs w:val="18"/>
        </w:rPr>
        <w:t xml:space="preserve"> </w:t>
      </w:r>
      <w:r w:rsidRPr="00307DDA">
        <w:rPr>
          <w:rFonts w:ascii="Times New Roman" w:hAnsi="Times New Roman" w:cs="Times New Roman"/>
          <w:sz w:val="18"/>
          <w:szCs w:val="18"/>
        </w:rPr>
        <w:t>requirements and consumer protection requirements</w:t>
      </w:r>
      <w:r>
        <w:rPr>
          <w:rFonts w:ascii="Times New Roman" w:hAnsi="Times New Roman" w:cs="Times New Roman"/>
          <w:sz w:val="18"/>
          <w:szCs w:val="18"/>
        </w:rPr>
        <w:t xml:space="preserve"> for branches</w:t>
      </w:r>
      <w:r w:rsidRPr="00307DDA">
        <w:rPr>
          <w:rFonts w:ascii="Times New Roman" w:hAnsi="Times New Roman" w:cs="Times New Roman"/>
          <w:sz w:val="18"/>
          <w:szCs w:val="18"/>
        </w:rPr>
        <w:t>. Without “easing” and sequencing of the transition, this can lead to closing of service points instead of enhancing the service delivery.</w:t>
      </w:r>
      <w:r>
        <w:t xml:space="preserve"> </w:t>
      </w:r>
    </w:p>
  </w:footnote>
  <w:footnote w:id="86">
    <w:p w:rsidR="00A55383" w:rsidRPr="003D41E7" w:rsidRDefault="00A55383" w:rsidP="00EC5E43">
      <w:pPr>
        <w:autoSpaceDE w:val="0"/>
        <w:autoSpaceDN w:val="0"/>
        <w:adjustRightInd w:val="0"/>
        <w:spacing w:after="0" w:line="240" w:lineRule="auto"/>
        <w:jc w:val="both"/>
        <w:rPr>
          <w:rFonts w:ascii="Times New Roman" w:hAnsi="Times New Roman" w:cs="Times New Roman"/>
          <w:sz w:val="18"/>
          <w:szCs w:val="18"/>
        </w:rPr>
      </w:pPr>
      <w:r w:rsidRPr="003D41E7">
        <w:rPr>
          <w:rStyle w:val="FootnoteReference"/>
          <w:rFonts w:ascii="Times New Roman" w:hAnsi="Times New Roman" w:cs="Times New Roman"/>
          <w:sz w:val="18"/>
          <w:szCs w:val="18"/>
        </w:rPr>
        <w:footnoteRef/>
      </w:r>
      <w:r w:rsidRPr="003D41E7">
        <w:rPr>
          <w:rFonts w:ascii="Times New Roman" w:hAnsi="Times New Roman" w:cs="Times New Roman"/>
          <w:sz w:val="18"/>
          <w:szCs w:val="18"/>
        </w:rPr>
        <w:t xml:space="preserve"> As of February 2011, the government mandates that all purchases above the equivalent to USD 7</w:t>
      </w:r>
      <w:r>
        <w:rPr>
          <w:rFonts w:ascii="Times New Roman" w:hAnsi="Times New Roman" w:cs="Times New Roman"/>
          <w:sz w:val="18"/>
          <w:szCs w:val="18"/>
        </w:rPr>
        <w:t>,</w:t>
      </w:r>
      <w:r w:rsidRPr="003D41E7">
        <w:rPr>
          <w:rFonts w:ascii="Times New Roman" w:hAnsi="Times New Roman" w:cs="Times New Roman"/>
          <w:sz w:val="18"/>
          <w:szCs w:val="18"/>
        </w:rPr>
        <w:t>000 should be paid with a payment instrument (che</w:t>
      </w:r>
      <w:r>
        <w:rPr>
          <w:rFonts w:ascii="Times New Roman" w:hAnsi="Times New Roman" w:cs="Times New Roman"/>
          <w:sz w:val="18"/>
          <w:szCs w:val="18"/>
        </w:rPr>
        <w:t>ck</w:t>
      </w:r>
      <w:r w:rsidRPr="003D41E7">
        <w:rPr>
          <w:rFonts w:ascii="Times New Roman" w:hAnsi="Times New Roman" w:cs="Times New Roman"/>
          <w:sz w:val="18"/>
          <w:szCs w:val="18"/>
        </w:rPr>
        <w:t xml:space="preserve"> or debit / credit card) authorized by ASFI. While this regulation is in the first place geared towards eliminating tax evasion and </w:t>
      </w:r>
      <w:r>
        <w:rPr>
          <w:rFonts w:ascii="Times New Roman" w:hAnsi="Times New Roman" w:cs="Times New Roman"/>
          <w:sz w:val="18"/>
          <w:szCs w:val="18"/>
        </w:rPr>
        <w:t xml:space="preserve">unfortunately </w:t>
      </w:r>
      <w:r w:rsidRPr="003D41E7">
        <w:rPr>
          <w:rFonts w:ascii="Times New Roman" w:hAnsi="Times New Roman" w:cs="Times New Roman"/>
          <w:sz w:val="18"/>
          <w:szCs w:val="18"/>
        </w:rPr>
        <w:t>implies that banks will have to open their books to tax authorities for the purpose of tracking income and transactions, regulations of this kind could contribute to lower the cash dependency of the economy and familiarize the population with more modern means of payment.</w:t>
      </w:r>
      <w:r>
        <w:rPr>
          <w:rFonts w:ascii="Times New Roman" w:hAnsi="Times New Roman" w:cs="Times New Roman"/>
          <w:sz w:val="18"/>
          <w:szCs w:val="18"/>
        </w:rPr>
        <w:t xml:space="preserve"> Using these forms of regulations should however only be done in very limited circumstances.</w:t>
      </w:r>
    </w:p>
  </w:footnote>
  <w:footnote w:id="87">
    <w:p w:rsidR="00A55383" w:rsidRDefault="00A55383" w:rsidP="00EC5E43">
      <w:pPr>
        <w:pStyle w:val="FootnoteText"/>
        <w:jc w:val="both"/>
      </w:pPr>
      <w:r w:rsidRPr="003D41E7">
        <w:rPr>
          <w:rStyle w:val="FootnoteReference"/>
          <w:rFonts w:ascii="Times New Roman" w:hAnsi="Times New Roman" w:cs="Times New Roman"/>
          <w:sz w:val="18"/>
          <w:szCs w:val="18"/>
        </w:rPr>
        <w:footnoteRef/>
      </w:r>
      <w:r w:rsidRPr="003D41E7">
        <w:rPr>
          <w:rFonts w:ascii="Times New Roman" w:hAnsi="Times New Roman" w:cs="Times New Roman"/>
          <w:sz w:val="18"/>
          <w:szCs w:val="18"/>
        </w:rPr>
        <w:t xml:space="preserve"> Initially public employees had the option to have their salaries deposited at three commercial banks. As of March 2011</w:t>
      </w:r>
      <w:r>
        <w:rPr>
          <w:rFonts w:ascii="Times New Roman" w:hAnsi="Times New Roman" w:cs="Times New Roman"/>
          <w:sz w:val="18"/>
          <w:szCs w:val="18"/>
        </w:rPr>
        <w:t>,</w:t>
      </w:r>
      <w:r w:rsidRPr="003D41E7">
        <w:rPr>
          <w:rFonts w:ascii="Times New Roman" w:hAnsi="Times New Roman" w:cs="Times New Roman"/>
          <w:sz w:val="18"/>
          <w:szCs w:val="18"/>
        </w:rPr>
        <w:t xml:space="preserve"> the options were reduced, with </w:t>
      </w:r>
      <w:r w:rsidRPr="003D41E7">
        <w:rPr>
          <w:rFonts w:ascii="Times New Roman" w:hAnsi="Times New Roman" w:cs="Times New Roman"/>
          <w:i/>
          <w:sz w:val="18"/>
          <w:szCs w:val="18"/>
        </w:rPr>
        <w:t>Banco Union</w:t>
      </w:r>
      <w:r w:rsidRPr="003D41E7">
        <w:rPr>
          <w:rFonts w:ascii="Times New Roman" w:hAnsi="Times New Roman" w:cs="Times New Roman"/>
          <w:sz w:val="18"/>
          <w:szCs w:val="18"/>
        </w:rPr>
        <w:t xml:space="preserve"> as the only entity allowed opening payroll accounts for public employees.</w:t>
      </w:r>
      <w:r>
        <w:rPr>
          <w:sz w:val="18"/>
          <w:szCs w:val="18"/>
        </w:rPr>
        <w:t xml:space="preserve"> </w:t>
      </w:r>
    </w:p>
  </w:footnote>
  <w:footnote w:id="88">
    <w:p w:rsidR="00A55383" w:rsidRPr="003D41E7" w:rsidRDefault="00A55383" w:rsidP="00EC5E43">
      <w:pPr>
        <w:pStyle w:val="FootnoteText"/>
        <w:rPr>
          <w:rFonts w:ascii="Times New Roman" w:hAnsi="Times New Roman" w:cs="Times New Roman"/>
          <w:sz w:val="18"/>
          <w:szCs w:val="18"/>
        </w:rPr>
      </w:pPr>
      <w:r w:rsidRPr="003D41E7">
        <w:rPr>
          <w:rStyle w:val="FootnoteReference"/>
          <w:rFonts w:ascii="Times New Roman" w:hAnsi="Times New Roman" w:cs="Times New Roman"/>
          <w:sz w:val="18"/>
          <w:szCs w:val="18"/>
        </w:rPr>
        <w:footnoteRef/>
      </w:r>
      <w:r w:rsidRPr="003D41E7">
        <w:rPr>
          <w:rFonts w:ascii="Times New Roman" w:hAnsi="Times New Roman" w:cs="Times New Roman"/>
          <w:sz w:val="18"/>
          <w:szCs w:val="18"/>
        </w:rPr>
        <w:t xml:space="preserve"> An unregulated closed cooperatives visited did for example not count with most of the suggested security requirements by the regulation, and still enjoyed the trust and business from the village. Similar experiences are reported from other countries where particularly in societies with a strong culture of trust financial institutions are “protected” through the population itself.</w:t>
      </w:r>
      <w:r>
        <w:rPr>
          <w:rFonts w:ascii="Times New Roman" w:hAnsi="Times New Roman" w:cs="Times New Roman"/>
          <w:sz w:val="18"/>
          <w:szCs w:val="18"/>
        </w:rPr>
        <w:t xml:space="preserve"> </w:t>
      </w:r>
    </w:p>
  </w:footnote>
  <w:footnote w:id="89">
    <w:p w:rsidR="00A55383" w:rsidRDefault="00A55383">
      <w:pPr>
        <w:pStyle w:val="FootnoteText"/>
      </w:pPr>
      <w:r w:rsidRPr="00F25889">
        <w:rPr>
          <w:rStyle w:val="FootnoteReference"/>
          <w:rFonts w:ascii="Times New Roman" w:hAnsi="Times New Roman" w:cs="Times New Roman"/>
          <w:sz w:val="18"/>
          <w:szCs w:val="18"/>
        </w:rPr>
        <w:footnoteRef/>
      </w:r>
      <w:r w:rsidRPr="00F25889">
        <w:rPr>
          <w:rStyle w:val="FootnoteReference"/>
          <w:rFonts w:ascii="Times New Roman" w:hAnsi="Times New Roman" w:cs="Times New Roman"/>
          <w:sz w:val="18"/>
          <w:szCs w:val="18"/>
        </w:rPr>
        <w:t xml:space="preserve"> </w:t>
      </w:r>
      <w:r w:rsidRPr="00F25889">
        <w:rPr>
          <w:rFonts w:ascii="Times New Roman" w:hAnsi="Times New Roman" w:cs="Times New Roman"/>
          <w:sz w:val="18"/>
          <w:szCs w:val="18"/>
        </w:rPr>
        <w:t>Prior to publication of the report, a first set of regulations of this nature have been issued by the Central Bank and ASFI.</w:t>
      </w:r>
      <w:r>
        <w:t xml:space="preserve"> </w:t>
      </w:r>
    </w:p>
  </w:footnote>
  <w:footnote w:id="90">
    <w:p w:rsidR="00A55383" w:rsidRPr="00217616" w:rsidRDefault="00A55383" w:rsidP="00995758">
      <w:pPr>
        <w:pStyle w:val="FootnoteText"/>
        <w:jc w:val="both"/>
        <w:rPr>
          <w:sz w:val="18"/>
          <w:szCs w:val="18"/>
        </w:rPr>
      </w:pPr>
      <w:r w:rsidRPr="00217616">
        <w:rPr>
          <w:rStyle w:val="FootnoteReference"/>
          <w:rFonts w:ascii="Times New Roman" w:hAnsi="Times New Roman" w:cs="Times New Roman"/>
          <w:sz w:val="18"/>
          <w:szCs w:val="18"/>
        </w:rPr>
        <w:footnoteRef/>
      </w:r>
      <w:r w:rsidRPr="00217616">
        <w:rPr>
          <w:rFonts w:ascii="Times New Roman" w:hAnsi="Times New Roman" w:cs="Times New Roman"/>
          <w:sz w:val="18"/>
          <w:szCs w:val="18"/>
        </w:rPr>
        <w:t xml:space="preserve"> The agricultural survey in 2008 for example includes a question on whether the agricultural firm has access to financing, and if so whether from a bank, cooperative, NGO or other sources. The compiled data published on the web however do not include the information.</w:t>
      </w:r>
    </w:p>
  </w:footnote>
  <w:footnote w:id="91">
    <w:p w:rsidR="00A55383" w:rsidRPr="005A47B7" w:rsidRDefault="00A55383" w:rsidP="005A47B7">
      <w:pPr>
        <w:pStyle w:val="FootnoteText"/>
        <w:jc w:val="both"/>
        <w:rPr>
          <w:rFonts w:ascii="Times New Roman" w:hAnsi="Times New Roman" w:cs="Times New Roman"/>
          <w:sz w:val="18"/>
          <w:szCs w:val="18"/>
        </w:rPr>
      </w:pPr>
      <w:r w:rsidRPr="005A47B7">
        <w:rPr>
          <w:rStyle w:val="FootnoteReference"/>
          <w:rFonts w:ascii="Times New Roman" w:hAnsi="Times New Roman" w:cs="Times New Roman"/>
          <w:sz w:val="18"/>
          <w:szCs w:val="18"/>
        </w:rPr>
        <w:footnoteRef/>
      </w:r>
      <w:r w:rsidRPr="005A47B7">
        <w:rPr>
          <w:rFonts w:ascii="Times New Roman" w:hAnsi="Times New Roman" w:cs="Times New Roman"/>
          <w:sz w:val="18"/>
          <w:szCs w:val="18"/>
        </w:rPr>
        <w:t xml:space="preserve"> See Article 334 of the new constitution, which however does not yet clearly define which are to be the core sectors in which the government is to become active.</w:t>
      </w:r>
    </w:p>
  </w:footnote>
  <w:footnote w:id="92">
    <w:p w:rsidR="00A55383" w:rsidRPr="005A47B7" w:rsidRDefault="00A55383" w:rsidP="005A47B7">
      <w:pPr>
        <w:pStyle w:val="FootnoteText"/>
        <w:jc w:val="both"/>
        <w:rPr>
          <w:rFonts w:ascii="Times New Roman" w:hAnsi="Times New Roman" w:cs="Times New Roman"/>
          <w:sz w:val="18"/>
          <w:szCs w:val="18"/>
        </w:rPr>
      </w:pPr>
      <w:r w:rsidRPr="005A47B7">
        <w:rPr>
          <w:rStyle w:val="FootnoteReference"/>
          <w:rFonts w:ascii="Times New Roman" w:hAnsi="Times New Roman" w:cs="Times New Roman"/>
          <w:sz w:val="18"/>
          <w:szCs w:val="18"/>
        </w:rPr>
        <w:footnoteRef/>
      </w:r>
      <w:r w:rsidRPr="005A47B7">
        <w:rPr>
          <w:rFonts w:ascii="Times New Roman" w:hAnsi="Times New Roman" w:cs="Times New Roman"/>
          <w:sz w:val="18"/>
          <w:szCs w:val="18"/>
        </w:rPr>
        <w:t xml:space="preserve"> An evaluation of strategic alliances, conducted as part of the Bank’s non-lending technical assistance (NLTA) program for Bolivia highlighted, that enterprises in the textile industry reported lower and more volatile sales in part due to the expiration of the Andean Trade Promotion and Drug Eradication Act but also due to the impact of the economic crisis in major industrialized countries. Other </w:t>
      </w:r>
      <w:r w:rsidRPr="009E7F3E">
        <w:rPr>
          <w:rFonts w:ascii="Times New Roman" w:hAnsi="Times New Roman" w:cs="Times New Roman"/>
          <w:sz w:val="18"/>
          <w:szCs w:val="18"/>
        </w:rPr>
        <w:t xml:space="preserve">sectors such </w:t>
      </w:r>
      <w:r w:rsidRPr="00781E2F">
        <w:rPr>
          <w:rFonts w:ascii="Times New Roman" w:hAnsi="Times New Roman" w:cs="Times New Roman"/>
          <w:sz w:val="18"/>
          <w:szCs w:val="18"/>
        </w:rPr>
        <w:t>as</w:t>
      </w:r>
      <w:r w:rsidRPr="009E7F3E">
        <w:rPr>
          <w:rFonts w:ascii="Times New Roman" w:hAnsi="Times New Roman" w:cs="Times New Roman"/>
          <w:sz w:val="18"/>
          <w:szCs w:val="18"/>
        </w:rPr>
        <w:t xml:space="preserve"> </w:t>
      </w:r>
      <w:r w:rsidRPr="00781E2F">
        <w:rPr>
          <w:rFonts w:ascii="Times New Roman" w:hAnsi="Times New Roman" w:cs="Times New Roman"/>
          <w:sz w:val="18"/>
          <w:szCs w:val="18"/>
        </w:rPr>
        <w:t>manufacturing also</w:t>
      </w:r>
      <w:r w:rsidRPr="009E7F3E">
        <w:rPr>
          <w:rFonts w:ascii="Times New Roman" w:hAnsi="Times New Roman" w:cs="Times New Roman"/>
          <w:sz w:val="18"/>
          <w:szCs w:val="18"/>
        </w:rPr>
        <w:t xml:space="preserve"> reported underutilized capacity, strong foreign competition and high costs for inputs. Finally, rigid</w:t>
      </w:r>
      <w:r w:rsidRPr="005A47B7">
        <w:rPr>
          <w:rFonts w:ascii="Times New Roman" w:hAnsi="Times New Roman" w:cs="Times New Roman"/>
          <w:sz w:val="18"/>
          <w:szCs w:val="18"/>
        </w:rPr>
        <w:t xml:space="preserve"> labor market regulations and competition from the large informal sector also impact the profitability of companies and reduce demand for credit. This lack of internal demand for credit mirrors the data on investment, with national private investment only accounting for 13 percent of overall investment, compared to 53 and 34 percent for foreign direct and public investment respectively.</w:t>
      </w:r>
    </w:p>
  </w:footnote>
  <w:footnote w:id="93">
    <w:p w:rsidR="00A55383" w:rsidRDefault="00A55383" w:rsidP="005A47B7">
      <w:pPr>
        <w:pStyle w:val="FootnoteText"/>
        <w:jc w:val="both"/>
      </w:pPr>
      <w:r w:rsidRPr="005A47B7">
        <w:rPr>
          <w:rStyle w:val="FootnoteReference"/>
          <w:rFonts w:ascii="Times New Roman" w:hAnsi="Times New Roman" w:cs="Times New Roman"/>
          <w:sz w:val="18"/>
          <w:szCs w:val="18"/>
        </w:rPr>
        <w:footnoteRef/>
      </w:r>
      <w:r w:rsidRPr="005A47B7">
        <w:rPr>
          <w:rFonts w:ascii="Times New Roman" w:hAnsi="Times New Roman" w:cs="Times New Roman"/>
          <w:sz w:val="18"/>
          <w:szCs w:val="18"/>
        </w:rPr>
        <w:t xml:space="preserve"> </w:t>
      </w:r>
      <w:proofErr w:type="gramStart"/>
      <w:r w:rsidRPr="005A47B7">
        <w:rPr>
          <w:rFonts w:ascii="Times New Roman" w:hAnsi="Times New Roman" w:cs="Times New Roman"/>
          <w:sz w:val="18"/>
          <w:szCs w:val="18"/>
        </w:rPr>
        <w:t>World Bank Data.</w:t>
      </w:r>
      <w:proofErr w:type="gramEnd"/>
      <w:r>
        <w:rPr>
          <w:rFonts w:ascii="Times New Roman" w:hAnsi="Times New Roman" w:cs="Times New Roman"/>
          <w:sz w:val="18"/>
          <w:szCs w:val="18"/>
        </w:rPr>
        <w:t xml:space="preserve"> </w:t>
      </w:r>
    </w:p>
  </w:footnote>
  <w:footnote w:id="94">
    <w:p w:rsidR="00A55383" w:rsidRPr="001F0A6C" w:rsidRDefault="00A55383" w:rsidP="00995758">
      <w:pPr>
        <w:pStyle w:val="FootnoteText"/>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Accordingly, the number of borrowers with micro-loans (below USD 1,000 and less) dropped in absolute terms over the last few years</w:t>
      </w:r>
      <w:r>
        <w:rPr>
          <w:rFonts w:ascii="Times New Roman" w:hAnsi="Times New Roman" w:cs="Times New Roman"/>
          <w:sz w:val="18"/>
          <w:szCs w:val="18"/>
        </w:rPr>
        <w:t>.</w:t>
      </w:r>
    </w:p>
  </w:footnote>
  <w:footnote w:id="95">
    <w:p w:rsidR="00A55383" w:rsidRDefault="00A55383">
      <w:pPr>
        <w:pStyle w:val="FootnoteText"/>
      </w:pPr>
      <w:r w:rsidRPr="00781E2F">
        <w:rPr>
          <w:rStyle w:val="FootnoteReference"/>
          <w:rFonts w:ascii="Times New Roman" w:hAnsi="Times New Roman" w:cs="Times New Roman"/>
          <w:sz w:val="18"/>
          <w:szCs w:val="18"/>
        </w:rPr>
        <w:footnoteRef/>
      </w:r>
      <w:r>
        <w:t xml:space="preserve"> </w:t>
      </w:r>
      <w:r w:rsidRPr="00781E2F">
        <w:rPr>
          <w:rFonts w:ascii="Times New Roman" w:hAnsi="Times New Roman" w:cs="Times New Roman"/>
          <w:sz w:val="18"/>
          <w:szCs w:val="18"/>
        </w:rPr>
        <w:t>Since finalization of the report, ASFI has issued new regulations pertaining to micro, small and medium sized credits.</w:t>
      </w:r>
      <w:r>
        <w:t xml:space="preserve"> </w:t>
      </w:r>
    </w:p>
  </w:footnote>
  <w:footnote w:id="96">
    <w:p w:rsidR="00A55383" w:rsidRPr="001F0A6C" w:rsidRDefault="00A55383" w:rsidP="00991D4C">
      <w:pPr>
        <w:pStyle w:val="FootnoteText"/>
        <w:jc w:val="both"/>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It should be noted that the data on credit by sector includes consumer and housing loans for non-commercial purposes, as the entire loan portfolio is classified by economic sectors and not as is usual first by type of loan (i.e. commercial, mortgage etc) and then by sector for commercial credit only. This makes an assessment of the data less meaningful, and likely overstates the share of the credit that is being used for productive purposes. The supervisory agency should consider changing the publicly reported sectoral classification of credit into the internationally used four broad categories of commercial, mortgage, consumer and micro-credit, and only subdividing th</w:t>
      </w:r>
      <w:r>
        <w:rPr>
          <w:rFonts w:ascii="Times New Roman" w:hAnsi="Times New Roman" w:cs="Times New Roman"/>
          <w:sz w:val="18"/>
          <w:szCs w:val="18"/>
        </w:rPr>
        <w:t>e data for commercial and micro</w:t>
      </w:r>
      <w:r w:rsidRPr="001F0A6C">
        <w:rPr>
          <w:rFonts w:ascii="Times New Roman" w:hAnsi="Times New Roman" w:cs="Times New Roman"/>
          <w:sz w:val="18"/>
          <w:szCs w:val="18"/>
        </w:rPr>
        <w:t>credit further along the lines of the sectoral classifications used in the national statistics.</w:t>
      </w:r>
    </w:p>
  </w:footnote>
  <w:footnote w:id="97">
    <w:p w:rsidR="00A55383" w:rsidRPr="001F0A6C" w:rsidRDefault="00A55383" w:rsidP="001439F6">
      <w:pPr>
        <w:pStyle w:val="FootnoteText"/>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INE, </w:t>
      </w:r>
      <w:r w:rsidRPr="001F0A6C">
        <w:rPr>
          <w:rFonts w:ascii="Times New Roman" w:hAnsi="Times New Roman" w:cs="Times New Roman"/>
          <w:i/>
          <w:sz w:val="18"/>
          <w:szCs w:val="18"/>
        </w:rPr>
        <w:t>Estadisticas Nacionales</w:t>
      </w:r>
      <w:r w:rsidRPr="001F0A6C">
        <w:rPr>
          <w:rFonts w:ascii="Times New Roman" w:hAnsi="Times New Roman" w:cs="Times New Roman"/>
          <w:sz w:val="18"/>
          <w:szCs w:val="18"/>
        </w:rPr>
        <w:t>.</w:t>
      </w:r>
    </w:p>
  </w:footnote>
  <w:footnote w:id="98">
    <w:p w:rsidR="00A55383" w:rsidRPr="001F0A6C" w:rsidRDefault="00A55383" w:rsidP="001439F6">
      <w:pPr>
        <w:pStyle w:val="FootnoteText"/>
        <w:jc w:val="both"/>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According to the statistics institute INE, the classification of microenterprises is done by number of employees, with below 5 being considered a micro enterprise, between 5-14 a small, between 15-40 a medium and above 40 a large enterprise. This definition is not uncommon in other countries, although many countries use for micro-enterprises the definition of up 10 employees, or also include information on sales volumes in the definition.</w:t>
      </w:r>
    </w:p>
  </w:footnote>
  <w:footnote w:id="99">
    <w:p w:rsidR="00A55383" w:rsidRPr="009E402E" w:rsidRDefault="00A55383" w:rsidP="001439F6">
      <w:pPr>
        <w:pStyle w:val="FootnoteText"/>
        <w:jc w:val="both"/>
        <w:rPr>
          <w:rFonts w:ascii="Times New Roman" w:hAnsi="Times New Roman" w:cs="Times New Roman"/>
          <w:sz w:val="18"/>
          <w:szCs w:val="18"/>
        </w:rPr>
      </w:pPr>
      <w:r w:rsidRPr="001F0A6C">
        <w:rPr>
          <w:rStyle w:val="FootnoteReference"/>
          <w:rFonts w:ascii="Times New Roman" w:hAnsi="Times New Roman" w:cs="Times New Roman"/>
          <w:sz w:val="18"/>
          <w:szCs w:val="18"/>
        </w:rPr>
        <w:footnoteRef/>
      </w:r>
      <w:r w:rsidRPr="001F0A6C">
        <w:rPr>
          <w:rFonts w:ascii="Times New Roman" w:hAnsi="Times New Roman" w:cs="Times New Roman"/>
          <w:sz w:val="18"/>
          <w:szCs w:val="18"/>
        </w:rPr>
        <w:t xml:space="preserve"> Defined here as agriculture, extractive industries, industry (manufacturing).</w:t>
      </w:r>
    </w:p>
  </w:footnote>
  <w:footnote w:id="100">
    <w:p w:rsidR="00A55383" w:rsidRPr="00B74995" w:rsidRDefault="00A55383" w:rsidP="001439F6">
      <w:pPr>
        <w:pStyle w:val="FootnoteText"/>
        <w:jc w:val="both"/>
        <w:rPr>
          <w:rFonts w:ascii="Times New Roman" w:hAnsi="Times New Roman" w:cs="Times New Roman"/>
          <w:sz w:val="18"/>
          <w:szCs w:val="18"/>
          <w:lang w:val="es-BO"/>
        </w:rPr>
      </w:pPr>
      <w:r w:rsidRPr="00A05F77">
        <w:rPr>
          <w:rStyle w:val="FootnoteReference"/>
          <w:rFonts w:ascii="Times New Roman" w:hAnsi="Times New Roman" w:cs="Times New Roman"/>
          <w:sz w:val="18"/>
          <w:szCs w:val="18"/>
        </w:rPr>
        <w:footnoteRef/>
      </w:r>
      <w:r w:rsidRPr="00B74995">
        <w:rPr>
          <w:rFonts w:ascii="Times New Roman" w:hAnsi="Times New Roman" w:cs="Times New Roman"/>
          <w:sz w:val="18"/>
          <w:szCs w:val="18"/>
          <w:lang w:val="es-BO"/>
        </w:rPr>
        <w:t xml:space="preserve"> See Saavedr</w:t>
      </w:r>
      <w:r>
        <w:rPr>
          <w:rFonts w:ascii="Times New Roman" w:hAnsi="Times New Roman" w:cs="Times New Roman"/>
          <w:sz w:val="18"/>
          <w:szCs w:val="18"/>
          <w:lang w:val="es-BO"/>
        </w:rPr>
        <w:t>a Garcí</w:t>
      </w:r>
      <w:r w:rsidRPr="00B74995">
        <w:rPr>
          <w:rFonts w:ascii="Times New Roman" w:hAnsi="Times New Roman" w:cs="Times New Roman"/>
          <w:sz w:val="18"/>
          <w:szCs w:val="18"/>
          <w:lang w:val="es-BO"/>
        </w:rPr>
        <w:t>a, Moreno Uribe, Hernández Callejas (2008).</w:t>
      </w:r>
    </w:p>
  </w:footnote>
  <w:footnote w:id="101">
    <w:p w:rsidR="00A55383" w:rsidRPr="00A05F77" w:rsidRDefault="00A55383" w:rsidP="001439F6">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The number of enterprises listed in </w:t>
      </w:r>
      <w:r w:rsidRPr="00A05F77">
        <w:rPr>
          <w:rFonts w:ascii="Times New Roman" w:hAnsi="Times New Roman" w:cs="Times New Roman"/>
          <w:i/>
          <w:sz w:val="18"/>
          <w:szCs w:val="18"/>
        </w:rPr>
        <w:t>Fundempresa</w:t>
      </w:r>
      <w:r w:rsidRPr="00A05F77">
        <w:rPr>
          <w:rFonts w:ascii="Times New Roman" w:hAnsi="Times New Roman" w:cs="Times New Roman"/>
          <w:sz w:val="18"/>
          <w:szCs w:val="18"/>
        </w:rPr>
        <w:t xml:space="preserve"> almost doubled between 2006 and January 2011. </w:t>
      </w:r>
    </w:p>
  </w:footnote>
  <w:footnote w:id="102">
    <w:p w:rsidR="00A55383" w:rsidRPr="00A05F77" w:rsidRDefault="00A55383" w:rsidP="001439F6">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Inconsistencies exist for example in the definition what constitutes a micro-enterprise. While INE uses the number of employees to determine the size of enterprises, banks until recently used for example the size of loans to classify the borrower, while other agencies use a mixture of sales, employees and other indicators to determine the size of an enterprise. ASFI recently</w:t>
      </w:r>
      <w:r w:rsidRPr="00A05F77">
        <w:rPr>
          <w:sz w:val="18"/>
          <w:szCs w:val="18"/>
        </w:rPr>
        <w:t xml:space="preserve"> </w:t>
      </w:r>
      <w:r w:rsidRPr="00A05F77">
        <w:rPr>
          <w:rFonts w:ascii="Times New Roman" w:hAnsi="Times New Roman" w:cs="Times New Roman"/>
          <w:sz w:val="18"/>
          <w:szCs w:val="18"/>
        </w:rPr>
        <w:t xml:space="preserve">worked on harmonizing the definition used for the various sizes of entities, so that the data should at least be homogenous within the financial sector since September 2010. </w:t>
      </w:r>
    </w:p>
  </w:footnote>
  <w:footnote w:id="103">
    <w:p w:rsidR="00A55383" w:rsidRPr="00A05F77" w:rsidRDefault="00A55383" w:rsidP="001439F6">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Schneider (2004) “</w:t>
      </w:r>
      <w:r w:rsidRPr="00A05F77">
        <w:rPr>
          <w:rFonts w:ascii="Times New Roman" w:hAnsi="Times New Roman" w:cs="Times New Roman"/>
          <w:i/>
          <w:sz w:val="18"/>
          <w:szCs w:val="18"/>
        </w:rPr>
        <w:t>The Size of the Shadow Economies of 145 Countries all over the World: First Results over the Period 1999 to 2003.</w:t>
      </w:r>
      <w:r w:rsidRPr="00A05F77">
        <w:rPr>
          <w:rFonts w:ascii="Times New Roman" w:hAnsi="Times New Roman" w:cs="Times New Roman"/>
          <w:sz w:val="18"/>
          <w:szCs w:val="18"/>
        </w:rPr>
        <w:t xml:space="preserve"> Discussion Paper Series. Institute for the Study of Labor. Discussion Paper No. 1431. Diciembre 2004.</w:t>
      </w:r>
    </w:p>
  </w:footnote>
  <w:footnote w:id="104">
    <w:p w:rsidR="00A55383" w:rsidRPr="00A05F77" w:rsidRDefault="00A55383" w:rsidP="001439F6">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See for a more detailed discussion of informality World Bank (2007), with some international comparison based on data provided by Gasparini y Tornarolli (2007)</w:t>
      </w:r>
      <w:r>
        <w:rPr>
          <w:rFonts w:ascii="Times New Roman" w:hAnsi="Times New Roman" w:cs="Times New Roman"/>
          <w:sz w:val="18"/>
          <w:szCs w:val="18"/>
        </w:rPr>
        <w:t>.</w:t>
      </w:r>
    </w:p>
  </w:footnote>
  <w:footnote w:id="105">
    <w:p w:rsidR="00A55383" w:rsidRDefault="00A55383" w:rsidP="001439F6">
      <w:pPr>
        <w:pStyle w:val="FootnoteText"/>
        <w:jc w:val="both"/>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An analysis by the IADB (2006) shows that the level of informality is particularly high in the productive sectors, with 88 percent of the agricultural enterprises and 85 percent of the industrial sector not having a RUC.</w:t>
      </w:r>
      <w:r w:rsidRPr="009D0C88">
        <w:rPr>
          <w:sz w:val="18"/>
          <w:szCs w:val="18"/>
        </w:rPr>
        <w:t xml:space="preserve"> </w:t>
      </w:r>
    </w:p>
  </w:footnote>
  <w:footnote w:id="106">
    <w:p w:rsidR="00A55383" w:rsidRPr="00A05F77" w:rsidRDefault="00A55383" w:rsidP="001439F6">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See World Bank (</w:t>
      </w:r>
      <w:proofErr w:type="gramStart"/>
      <w:r w:rsidRPr="00A05F77">
        <w:rPr>
          <w:rFonts w:ascii="Times New Roman" w:hAnsi="Times New Roman" w:cs="Times New Roman"/>
          <w:sz w:val="18"/>
          <w:szCs w:val="18"/>
        </w:rPr>
        <w:t>2007),</w:t>
      </w:r>
      <w:proofErr w:type="gramEnd"/>
      <w:r w:rsidRPr="00A05F77">
        <w:rPr>
          <w:rFonts w:ascii="Times New Roman" w:hAnsi="Times New Roman" w:cs="Times New Roman"/>
          <w:sz w:val="18"/>
          <w:szCs w:val="18"/>
        </w:rPr>
        <w:t xml:space="preserve"> and IADB (2006). The study of the IADB for example suggests that the average productivity was </w:t>
      </w:r>
      <w:r>
        <w:rPr>
          <w:rFonts w:ascii="Times New Roman" w:hAnsi="Times New Roman" w:cs="Times New Roman"/>
          <w:sz w:val="18"/>
          <w:szCs w:val="18"/>
        </w:rPr>
        <w:t xml:space="preserve">Bs. </w:t>
      </w:r>
      <w:r w:rsidRPr="00A05F77">
        <w:rPr>
          <w:rFonts w:ascii="Times New Roman" w:hAnsi="Times New Roman" w:cs="Times New Roman"/>
          <w:sz w:val="18"/>
          <w:szCs w:val="18"/>
        </w:rPr>
        <w:t xml:space="preserve">699 in 2001, compared to over </w:t>
      </w:r>
      <w:r>
        <w:rPr>
          <w:rFonts w:ascii="Times New Roman" w:hAnsi="Times New Roman" w:cs="Times New Roman"/>
          <w:sz w:val="18"/>
          <w:szCs w:val="18"/>
        </w:rPr>
        <w:t xml:space="preserve">Bs. </w:t>
      </w:r>
      <w:r w:rsidRPr="00A05F77">
        <w:rPr>
          <w:rFonts w:ascii="Times New Roman" w:hAnsi="Times New Roman" w:cs="Times New Roman"/>
          <w:sz w:val="18"/>
          <w:szCs w:val="18"/>
        </w:rPr>
        <w:t xml:space="preserve">17,000 for large enterprises. </w:t>
      </w:r>
    </w:p>
  </w:footnote>
  <w:footnote w:id="107">
    <w:p w:rsidR="00A55383" w:rsidRPr="00452B81" w:rsidRDefault="00A55383" w:rsidP="00C42014">
      <w:pPr>
        <w:pStyle w:val="FootnoteText"/>
        <w:jc w:val="both"/>
        <w:rPr>
          <w:rFonts w:ascii="Times New Roman" w:hAnsi="Times New Roman" w:cs="Times New Roman"/>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See IFC (2006), page 2 and 7.</w:t>
      </w:r>
    </w:p>
  </w:footnote>
  <w:footnote w:id="108">
    <w:p w:rsidR="00A55383" w:rsidRPr="005E4032" w:rsidRDefault="00A55383" w:rsidP="005E4032">
      <w:pPr>
        <w:pStyle w:val="FootnoteText"/>
        <w:jc w:val="both"/>
        <w:rPr>
          <w:rFonts w:ascii="Times New Roman" w:hAnsi="Times New Roman" w:cs="Times New Roman"/>
          <w:sz w:val="18"/>
          <w:szCs w:val="18"/>
        </w:rPr>
      </w:pPr>
      <w:r w:rsidRPr="005E4032">
        <w:rPr>
          <w:rStyle w:val="FootnoteReference"/>
          <w:rFonts w:ascii="Times New Roman" w:hAnsi="Times New Roman" w:cs="Times New Roman"/>
          <w:sz w:val="18"/>
          <w:szCs w:val="18"/>
        </w:rPr>
        <w:footnoteRef/>
      </w:r>
      <w:r w:rsidRPr="005E4032">
        <w:rPr>
          <w:rFonts w:ascii="Times New Roman" w:hAnsi="Times New Roman" w:cs="Times New Roman"/>
          <w:sz w:val="18"/>
          <w:szCs w:val="18"/>
        </w:rPr>
        <w:t xml:space="preserve"> Or the immovable collateral is too small to justify the frequently larger costs for registering immovable collateral.</w:t>
      </w:r>
    </w:p>
  </w:footnote>
  <w:footnote w:id="109">
    <w:p w:rsidR="00A55383" w:rsidRPr="005E4032" w:rsidRDefault="00A55383" w:rsidP="005E4032">
      <w:pPr>
        <w:pStyle w:val="FootnoteText"/>
        <w:jc w:val="both"/>
        <w:rPr>
          <w:rFonts w:ascii="Times New Roman" w:hAnsi="Times New Roman" w:cs="Times New Roman"/>
          <w:sz w:val="18"/>
          <w:szCs w:val="18"/>
        </w:rPr>
      </w:pPr>
      <w:r w:rsidRPr="005E4032">
        <w:rPr>
          <w:rStyle w:val="FootnoteReference"/>
          <w:rFonts w:ascii="Times New Roman" w:hAnsi="Times New Roman" w:cs="Times New Roman"/>
          <w:sz w:val="18"/>
          <w:szCs w:val="18"/>
        </w:rPr>
        <w:footnoteRef/>
      </w:r>
      <w:r w:rsidRPr="005E4032">
        <w:rPr>
          <w:rFonts w:ascii="Times New Roman" w:hAnsi="Times New Roman" w:cs="Times New Roman"/>
          <w:sz w:val="18"/>
          <w:szCs w:val="18"/>
        </w:rPr>
        <w:t xml:space="preserve"> Some research shows that countries with a solid secured transaction infrastructure have on average credit to GDP ratio of 60 percent, compared to 30 percent for countries that lack the infrastructure. Furthermore, borrowers in industrial countries tend to get 9 times larger loans, with 11 times longer maturities.</w:t>
      </w:r>
    </w:p>
  </w:footnote>
  <w:footnote w:id="110">
    <w:p w:rsidR="00A55383" w:rsidRPr="00651ACC" w:rsidRDefault="00A55383" w:rsidP="005E4032">
      <w:pPr>
        <w:pStyle w:val="FootnoteText"/>
        <w:jc w:val="both"/>
        <w:rPr>
          <w:rFonts w:ascii="Times New Roman" w:hAnsi="Times New Roman" w:cs="Times New Roman"/>
        </w:rPr>
      </w:pPr>
      <w:r w:rsidRPr="00153E77">
        <w:rPr>
          <w:rStyle w:val="FootnoteReference"/>
          <w:rFonts w:ascii="Times New Roman" w:hAnsi="Times New Roman" w:cs="Times New Roman"/>
          <w:sz w:val="18"/>
          <w:szCs w:val="18"/>
        </w:rPr>
        <w:footnoteRef/>
      </w:r>
      <w:r w:rsidRPr="00153E77">
        <w:rPr>
          <w:rFonts w:ascii="Times New Roman" w:hAnsi="Times New Roman" w:cs="Times New Roman"/>
          <w:sz w:val="18"/>
          <w:szCs w:val="18"/>
        </w:rPr>
        <w:t xml:space="preserve"> </w:t>
      </w:r>
      <w:r>
        <w:rPr>
          <w:rFonts w:ascii="Times New Roman" w:hAnsi="Times New Roman" w:cs="Times New Roman"/>
          <w:sz w:val="18"/>
          <w:szCs w:val="18"/>
        </w:rPr>
        <w:t>Until recently, the limits f</w:t>
      </w:r>
      <w:r w:rsidRPr="00153E77">
        <w:rPr>
          <w:rFonts w:ascii="Times New Roman" w:hAnsi="Times New Roman" w:cs="Times New Roman"/>
          <w:sz w:val="18"/>
          <w:szCs w:val="18"/>
        </w:rPr>
        <w:t xml:space="preserve">or group guarantees </w:t>
      </w:r>
      <w:proofErr w:type="gramStart"/>
      <w:r>
        <w:rPr>
          <w:rFonts w:ascii="Times New Roman" w:hAnsi="Times New Roman" w:cs="Times New Roman"/>
          <w:sz w:val="18"/>
          <w:szCs w:val="18"/>
        </w:rPr>
        <w:t xml:space="preserve">were </w:t>
      </w:r>
      <w:r w:rsidRPr="00153E77">
        <w:rPr>
          <w:rFonts w:ascii="Times New Roman" w:hAnsi="Times New Roman" w:cs="Times New Roman"/>
          <w:sz w:val="18"/>
          <w:szCs w:val="18"/>
        </w:rPr>
        <w:t xml:space="preserve"> BS</w:t>
      </w:r>
      <w:proofErr w:type="gramEnd"/>
      <w:r w:rsidRPr="00153E77">
        <w:rPr>
          <w:rFonts w:ascii="Times New Roman" w:hAnsi="Times New Roman" w:cs="Times New Roman"/>
          <w:sz w:val="18"/>
          <w:szCs w:val="18"/>
        </w:rPr>
        <w:t xml:space="preserve"> 84,000 (~ USD 12.000) and BS 54,000 (~USD 8,000) for unregistered movable collateral. </w:t>
      </w:r>
      <w:r>
        <w:rPr>
          <w:rFonts w:ascii="Times New Roman" w:hAnsi="Times New Roman" w:cs="Times New Roman"/>
          <w:sz w:val="18"/>
          <w:szCs w:val="18"/>
        </w:rPr>
        <w:t xml:space="preserve">In September 2011, ASFI issued Resolution No 693 which updates these limits, introduced partial credit guarantees, warrants and letters of credit as acceptable guarantees, and includes definition for housing loans. It now allows microcredits to the productive sector to be issue without guarantee for up to BS 112,000. The movable guarantees do not count toward the maximum capital limits established by type of loans for non-guaranteed loans.  </w:t>
      </w:r>
    </w:p>
  </w:footnote>
  <w:footnote w:id="111">
    <w:p w:rsidR="00A55383" w:rsidRPr="00BF34E0" w:rsidRDefault="00A55383" w:rsidP="00C42014">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new C</w:t>
      </w:r>
      <w:r w:rsidRPr="00A05F77">
        <w:rPr>
          <w:rFonts w:ascii="Times New Roman" w:hAnsi="Times New Roman" w:cs="Times New Roman"/>
          <w:sz w:val="18"/>
          <w:szCs w:val="18"/>
        </w:rPr>
        <w:t>onstitution generally confirms the right of the individual to security in property possession. However, Article 397 establishes that the government has the right to repossess land if the owner is not fulfilling its social or social-economic role. Furthermore, Article 396 assigned an explicit role to the government for regulating the land market, in particularly preventing a large land ownership.</w:t>
      </w:r>
      <w:r>
        <w:rPr>
          <w:sz w:val="18"/>
          <w:szCs w:val="18"/>
        </w:rPr>
        <w:t xml:space="preserve"> </w:t>
      </w:r>
    </w:p>
  </w:footnote>
  <w:footnote w:id="112">
    <w:p w:rsidR="00A55383" w:rsidRPr="007022DA" w:rsidRDefault="00A55383" w:rsidP="00E22B37">
      <w:pPr>
        <w:pStyle w:val="FootnoteText"/>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I.e. Micro-entrepreneurs might have to show individual receipts to the loan officer, who then has to construct manually the financial situation and the income stream based on this.</w:t>
      </w:r>
    </w:p>
  </w:footnote>
  <w:footnote w:id="113">
    <w:p w:rsidR="00A55383" w:rsidRPr="00A05F77" w:rsidRDefault="00A55383" w:rsidP="00E22B37">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This section benefits from an in-depth assessment of the credit bureau infrastructure in October 2010, which was arranged and financially supported through this Economic and Sector Work in combination with additional F</w:t>
      </w:r>
      <w:r>
        <w:rPr>
          <w:rFonts w:ascii="Times New Roman" w:hAnsi="Times New Roman" w:cs="Times New Roman"/>
          <w:sz w:val="18"/>
          <w:szCs w:val="18"/>
        </w:rPr>
        <w:t>inancial Sector Reform and Strengthening Initiative (F</w:t>
      </w:r>
      <w:r w:rsidRPr="00A05F77">
        <w:rPr>
          <w:rFonts w:ascii="Times New Roman" w:hAnsi="Times New Roman" w:cs="Times New Roman"/>
          <w:sz w:val="18"/>
          <w:szCs w:val="18"/>
        </w:rPr>
        <w:t>IRST</w:t>
      </w:r>
      <w:r>
        <w:rPr>
          <w:rFonts w:ascii="Times New Roman" w:hAnsi="Times New Roman" w:cs="Times New Roman"/>
          <w:sz w:val="18"/>
          <w:szCs w:val="18"/>
        </w:rPr>
        <w:t>)</w:t>
      </w:r>
      <w:r w:rsidRPr="00A05F77">
        <w:rPr>
          <w:rFonts w:ascii="Times New Roman" w:hAnsi="Times New Roman" w:cs="Times New Roman"/>
          <w:sz w:val="18"/>
          <w:szCs w:val="18"/>
        </w:rPr>
        <w:t xml:space="preserve"> funding. </w:t>
      </w:r>
    </w:p>
  </w:footnote>
  <w:footnote w:id="114">
    <w:p w:rsidR="00A55383" w:rsidRPr="00A05F77" w:rsidRDefault="00A55383" w:rsidP="00E22B37">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This has not yet led to the development of more sophisticated stress-tests to determine the robustness of individual financial entities to macro-economic shocks and the resulting deterioration of the quality of the credit portfolio. </w:t>
      </w:r>
    </w:p>
  </w:footnote>
  <w:footnote w:id="115">
    <w:p w:rsidR="00A55383" w:rsidRPr="00891F74" w:rsidRDefault="00A55383" w:rsidP="00E22B37">
      <w:pPr>
        <w:pStyle w:val="FootnoteText"/>
        <w:jc w:val="both"/>
        <w:rPr>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INFOCRED and ENSERBIC.</w:t>
      </w:r>
    </w:p>
  </w:footnote>
  <w:footnote w:id="116">
    <w:p w:rsidR="00A55383" w:rsidRDefault="00A55383">
      <w:pPr>
        <w:pStyle w:val="FootnoteText"/>
      </w:pPr>
      <w:r w:rsidRPr="00781E2F">
        <w:rPr>
          <w:rStyle w:val="FootnoteReference"/>
          <w:rFonts w:ascii="Times New Roman" w:hAnsi="Times New Roman" w:cs="Times New Roman"/>
          <w:sz w:val="18"/>
          <w:szCs w:val="18"/>
        </w:rPr>
        <w:footnoteRef/>
      </w:r>
      <w:r>
        <w:t xml:space="preserve"> </w:t>
      </w:r>
      <w:r>
        <w:rPr>
          <w:rFonts w:ascii="Times New Roman" w:hAnsi="Times New Roman" w:cs="Times New Roman"/>
          <w:sz w:val="18"/>
          <w:szCs w:val="18"/>
        </w:rPr>
        <w:t>T</w:t>
      </w:r>
      <w:r w:rsidRPr="00BF34E0">
        <w:rPr>
          <w:rFonts w:ascii="Times New Roman" w:hAnsi="Times New Roman" w:cs="Times New Roman"/>
          <w:sz w:val="18"/>
          <w:szCs w:val="18"/>
        </w:rPr>
        <w:t xml:space="preserve">he law 144 on the communitarian productive agricultural revolution </w:t>
      </w:r>
      <w:r>
        <w:rPr>
          <w:rFonts w:ascii="Times New Roman" w:hAnsi="Times New Roman" w:cs="Times New Roman"/>
          <w:sz w:val="18"/>
          <w:szCs w:val="18"/>
        </w:rPr>
        <w:t xml:space="preserve">already provides </w:t>
      </w:r>
      <w:r w:rsidRPr="00BF34E0">
        <w:rPr>
          <w:rFonts w:ascii="Times New Roman" w:hAnsi="Times New Roman" w:cs="Times New Roman"/>
          <w:sz w:val="18"/>
          <w:szCs w:val="18"/>
        </w:rPr>
        <w:t>for the establishment of a guarantee fund for the sector and dedicated agricultural insurance products.</w:t>
      </w:r>
    </w:p>
  </w:footnote>
  <w:footnote w:id="117">
    <w:p w:rsidR="00A55383" w:rsidRPr="00A05F77" w:rsidRDefault="00A55383" w:rsidP="00E22B37">
      <w:pPr>
        <w:pStyle w:val="FootnoteText"/>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Banks had reportedly used leasing mostly to restructure their non-performing loans. </w:t>
      </w:r>
    </w:p>
  </w:footnote>
  <w:footnote w:id="118">
    <w:p w:rsidR="00A55383" w:rsidRPr="003C15FB" w:rsidRDefault="00A55383">
      <w:pPr>
        <w:pStyle w:val="FootnoteText"/>
        <w:rPr>
          <w:rFonts w:ascii="Times New Roman" w:hAnsi="Times New Roman" w:cs="Times New Roman"/>
          <w:sz w:val="18"/>
          <w:szCs w:val="18"/>
        </w:rPr>
      </w:pPr>
      <w:r w:rsidRPr="004D1238">
        <w:rPr>
          <w:rStyle w:val="FootnoteReference"/>
          <w:rFonts w:ascii="Times New Roman" w:hAnsi="Times New Roman" w:cs="Times New Roman"/>
          <w:sz w:val="18"/>
          <w:szCs w:val="18"/>
        </w:rPr>
        <w:footnoteRef/>
      </w:r>
      <w:r w:rsidRPr="004D1238">
        <w:rPr>
          <w:rFonts w:ascii="Times New Roman" w:hAnsi="Times New Roman" w:cs="Times New Roman"/>
        </w:rPr>
        <w:t xml:space="preserve"> </w:t>
      </w:r>
      <w:r w:rsidRPr="003C15FB">
        <w:rPr>
          <w:rFonts w:ascii="Times New Roman" w:hAnsi="Times New Roman" w:cs="Times New Roman"/>
          <w:sz w:val="18"/>
          <w:szCs w:val="18"/>
        </w:rPr>
        <w:t>The findings on partial credit guarantees are largely based on a technical assistance provided on the topic by the World Bank in 2009</w:t>
      </w:r>
      <w:r>
        <w:rPr>
          <w:rFonts w:ascii="Times New Roman" w:hAnsi="Times New Roman" w:cs="Times New Roman"/>
          <w:sz w:val="18"/>
          <w:szCs w:val="18"/>
        </w:rPr>
        <w:t xml:space="preserve"> (see report from A Bozzo, 2009).</w:t>
      </w:r>
    </w:p>
  </w:footnote>
  <w:footnote w:id="119">
    <w:p w:rsidR="00A55383" w:rsidRPr="00ED2AE9" w:rsidRDefault="00A55383" w:rsidP="00E22B37">
      <w:pPr>
        <w:pStyle w:val="FootnoteText"/>
        <w:jc w:val="both"/>
        <w:rPr>
          <w:rFonts w:ascii="Times New Roman" w:hAnsi="Times New Roman" w:cs="Times New Roman"/>
          <w:sz w:val="18"/>
          <w:szCs w:val="18"/>
        </w:rPr>
      </w:pPr>
      <w:r w:rsidRPr="00ED2AE9">
        <w:rPr>
          <w:rStyle w:val="FootnoteReference"/>
          <w:rFonts w:ascii="Times New Roman" w:hAnsi="Times New Roman" w:cs="Times New Roman"/>
          <w:sz w:val="18"/>
          <w:szCs w:val="18"/>
        </w:rPr>
        <w:footnoteRef/>
      </w:r>
      <w:r w:rsidRPr="00ED2AE9">
        <w:rPr>
          <w:rFonts w:ascii="Times New Roman" w:hAnsi="Times New Roman" w:cs="Times New Roman"/>
          <w:sz w:val="18"/>
          <w:szCs w:val="18"/>
        </w:rPr>
        <w:t xml:space="preserve"> This does not hold for </w:t>
      </w:r>
      <w:r>
        <w:rPr>
          <w:rFonts w:ascii="Times New Roman" w:hAnsi="Times New Roman" w:cs="Times New Roman"/>
          <w:sz w:val="18"/>
          <w:szCs w:val="18"/>
        </w:rPr>
        <w:t>IFDs</w:t>
      </w:r>
      <w:r w:rsidRPr="00ED2AE9">
        <w:rPr>
          <w:rFonts w:ascii="Times New Roman" w:hAnsi="Times New Roman" w:cs="Times New Roman"/>
          <w:sz w:val="18"/>
          <w:szCs w:val="18"/>
        </w:rPr>
        <w:t xml:space="preserve">, which currently are not authorized to take deposits, and thus hinge for their growth on the available funding from donors, financial institutions and other sources. </w:t>
      </w:r>
    </w:p>
  </w:footnote>
  <w:footnote w:id="120">
    <w:p w:rsidR="00A55383" w:rsidRPr="00550F57" w:rsidRDefault="00A55383" w:rsidP="00E22B37">
      <w:pPr>
        <w:pStyle w:val="FootnoteText"/>
        <w:jc w:val="both"/>
        <w:rPr>
          <w:rFonts w:ascii="Times New Roman" w:hAnsi="Times New Roman" w:cs="Times New Roman"/>
          <w:sz w:val="18"/>
          <w:szCs w:val="18"/>
        </w:rPr>
      </w:pPr>
      <w:r w:rsidRPr="00ED2AE9">
        <w:rPr>
          <w:rStyle w:val="FootnoteReference"/>
          <w:rFonts w:ascii="Times New Roman" w:hAnsi="Times New Roman" w:cs="Times New Roman"/>
          <w:sz w:val="18"/>
          <w:szCs w:val="18"/>
        </w:rPr>
        <w:footnoteRef/>
      </w:r>
      <w:r w:rsidRPr="00ED2AE9">
        <w:rPr>
          <w:rFonts w:ascii="Times New Roman" w:hAnsi="Times New Roman" w:cs="Times New Roman"/>
          <w:sz w:val="18"/>
          <w:szCs w:val="18"/>
        </w:rPr>
        <w:t xml:space="preserve"> It should be noted that there are some discrepancies with the data on average term structure of assets. Based on calculations from ASFI, the average asset in foreign subsidiaries, commercial banks and the public bank is less than one year, while the average maturity structure for microfinance institutions is slightly higher with around 1 year and 2 month. Average maturity terms did not change significantly over time, but showed a slight downward trend until 2009, and a potential trend reversal in 2010.</w:t>
      </w:r>
    </w:p>
  </w:footnote>
  <w:footnote w:id="121">
    <w:p w:rsidR="00A55383" w:rsidRPr="00A05F77" w:rsidRDefault="00A55383" w:rsidP="00A43D06">
      <w:pPr>
        <w:pStyle w:val="FootnoteText"/>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Article 330 on the financial sector.</w:t>
      </w:r>
    </w:p>
  </w:footnote>
  <w:footnote w:id="122">
    <w:p w:rsidR="00A55383" w:rsidRPr="00A05F77" w:rsidRDefault="00A55383" w:rsidP="00A05F77">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The current banking law does not yet include the definition of a public bank, its status and peculiarities. This will be amended through the new banking law currently under preparation. </w:t>
      </w:r>
      <w:r w:rsidRPr="009B328D">
        <w:rPr>
          <w:rFonts w:ascii="Times New Roman" w:hAnsi="Times New Roman" w:cs="Times New Roman"/>
          <w:i/>
          <w:sz w:val="18"/>
          <w:szCs w:val="18"/>
        </w:rPr>
        <w:t>Banco Union</w:t>
      </w:r>
      <w:r w:rsidRPr="00A05F77">
        <w:rPr>
          <w:rFonts w:ascii="Times New Roman" w:hAnsi="Times New Roman" w:cs="Times New Roman"/>
          <w:sz w:val="18"/>
          <w:szCs w:val="18"/>
        </w:rPr>
        <w:t xml:space="preserve"> reports to the Treasury, as the latter is formally the main shareholder. There is no indication that the controlling ministry will change in the near future, but formalizing its status as a public bank will likely lead to the establishment of a formal public mandate of the bank as well as potentially changes in its governance structure. </w:t>
      </w:r>
      <w:r w:rsidRPr="009B328D">
        <w:rPr>
          <w:rFonts w:ascii="Times New Roman" w:hAnsi="Times New Roman" w:cs="Times New Roman"/>
          <w:i/>
          <w:sz w:val="18"/>
          <w:szCs w:val="18"/>
        </w:rPr>
        <w:t>Banco Union</w:t>
      </w:r>
      <w:r w:rsidRPr="00A05F77">
        <w:rPr>
          <w:rFonts w:ascii="Times New Roman" w:hAnsi="Times New Roman" w:cs="Times New Roman"/>
          <w:sz w:val="18"/>
          <w:szCs w:val="18"/>
        </w:rPr>
        <w:t xml:space="preserve"> is also subject to the full regulatory framework for financial entities, and is supervised by ASFI.</w:t>
      </w:r>
    </w:p>
  </w:footnote>
  <w:footnote w:id="123">
    <w:p w:rsidR="00A55383" w:rsidRPr="00A05F77" w:rsidRDefault="00A55383" w:rsidP="00A43D06">
      <w:pPr>
        <w:pStyle w:val="FootnoteText"/>
        <w:jc w:val="both"/>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In combination with the possibility to use the annual profits for piloting those initiatives</w:t>
      </w:r>
      <w:r>
        <w:rPr>
          <w:rFonts w:ascii="Times New Roman" w:hAnsi="Times New Roman" w:cs="Times New Roman"/>
          <w:sz w:val="18"/>
          <w:szCs w:val="18"/>
        </w:rPr>
        <w:t>.</w:t>
      </w:r>
    </w:p>
  </w:footnote>
  <w:footnote w:id="124">
    <w:p w:rsidR="00A55383" w:rsidRPr="009676C0" w:rsidRDefault="00A55383" w:rsidP="00A43D06">
      <w:pPr>
        <w:pStyle w:val="FootnoteText"/>
        <w:jc w:val="both"/>
        <w:rPr>
          <w:sz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The Trust Fund to support the productive sector, </w:t>
      </w:r>
      <w:r w:rsidRPr="00153E77">
        <w:rPr>
          <w:rFonts w:ascii="Times New Roman" w:hAnsi="Times New Roman" w:cs="Times New Roman"/>
          <w:i/>
          <w:sz w:val="18"/>
          <w:szCs w:val="18"/>
        </w:rPr>
        <w:t>Fideicomiso para el Desarrollo Productivo</w:t>
      </w:r>
      <w:r w:rsidRPr="00153E77">
        <w:rPr>
          <w:rFonts w:ascii="Times New Roman" w:hAnsi="Times New Roman" w:cs="Times New Roman"/>
          <w:sz w:val="18"/>
          <w:szCs w:val="18"/>
        </w:rPr>
        <w:t xml:space="preserve"> (FDP), for example offers credit to the productive sector, in particular tourism, for an annual</w:t>
      </w:r>
      <w:r w:rsidRPr="00A05F77">
        <w:rPr>
          <w:rFonts w:ascii="Times New Roman" w:hAnsi="Times New Roman" w:cs="Times New Roman"/>
          <w:sz w:val="18"/>
          <w:szCs w:val="18"/>
        </w:rPr>
        <w:t xml:space="preserve"> interest rate of 6 percent. Targeting also micro-clients with a need for credit of around USD 10</w:t>
      </w:r>
      <w:r>
        <w:rPr>
          <w:rFonts w:ascii="Times New Roman" w:hAnsi="Times New Roman" w:cs="Times New Roman"/>
          <w:sz w:val="18"/>
          <w:szCs w:val="18"/>
        </w:rPr>
        <w:t>,</w:t>
      </w:r>
      <w:r w:rsidRPr="00A05F77">
        <w:rPr>
          <w:rFonts w:ascii="Times New Roman" w:hAnsi="Times New Roman" w:cs="Times New Roman"/>
          <w:sz w:val="18"/>
          <w:szCs w:val="18"/>
        </w:rPr>
        <w:t>000, these interest rates are significantly lower than the 16-18 percent charged in the private sector, while requiring similar levels of guarantees and offering similar maturities. The same holds for funds intermediated for FONDESIF (PACPUCS) and the Trust fund for Sesame (operated by BDP), which with an interest rate of 10</w:t>
      </w:r>
      <w:r>
        <w:rPr>
          <w:rFonts w:ascii="Times New Roman" w:hAnsi="Times New Roman" w:cs="Times New Roman"/>
          <w:sz w:val="18"/>
          <w:szCs w:val="18"/>
        </w:rPr>
        <w:t xml:space="preserve"> </w:t>
      </w:r>
      <w:r w:rsidRPr="00A05F77">
        <w:rPr>
          <w:rFonts w:ascii="Times New Roman" w:hAnsi="Times New Roman" w:cs="Times New Roman"/>
          <w:sz w:val="18"/>
          <w:szCs w:val="18"/>
        </w:rPr>
        <w:t>and 7-8 percent for loans up to roughly USD 1,000 and 40,000 significantly distort the market.</w:t>
      </w:r>
      <w:r>
        <w:rPr>
          <w:sz w:val="18"/>
        </w:rPr>
        <w:t xml:space="preserve"> </w:t>
      </w:r>
    </w:p>
  </w:footnote>
  <w:footnote w:id="125">
    <w:p w:rsidR="00A55383" w:rsidRPr="00A05F77" w:rsidRDefault="00A55383" w:rsidP="00A43D06">
      <w:pPr>
        <w:pStyle w:val="FootnoteText"/>
        <w:rPr>
          <w:rFonts w:ascii="Times New Roman" w:hAnsi="Times New Roman" w:cs="Times New Roman"/>
          <w:sz w:val="18"/>
          <w:szCs w:val="18"/>
        </w:rPr>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There are no mechanisms in place to determine </w:t>
      </w:r>
      <w:proofErr w:type="gramStart"/>
      <w:r w:rsidRPr="00A05F77">
        <w:rPr>
          <w:rFonts w:ascii="Times New Roman" w:hAnsi="Times New Roman" w:cs="Times New Roman"/>
          <w:sz w:val="18"/>
          <w:szCs w:val="18"/>
        </w:rPr>
        <w:t>a co</w:t>
      </w:r>
      <w:proofErr w:type="gramEnd"/>
      <w:r w:rsidRPr="00A05F77">
        <w:rPr>
          <w:rFonts w:ascii="Times New Roman" w:hAnsi="Times New Roman" w:cs="Times New Roman"/>
          <w:sz w:val="18"/>
          <w:szCs w:val="18"/>
        </w:rPr>
        <w:t>-responsibility and share in carrying the financial loss for the participating financial institutions in the case of non-payment by the borrower.</w:t>
      </w:r>
    </w:p>
  </w:footnote>
  <w:footnote w:id="126">
    <w:p w:rsidR="00A55383" w:rsidRDefault="00A55383" w:rsidP="00A43D06">
      <w:pPr>
        <w:pStyle w:val="FootnoteText"/>
      </w:pPr>
      <w:r w:rsidRPr="00A05F77">
        <w:rPr>
          <w:rStyle w:val="FootnoteReference"/>
          <w:rFonts w:ascii="Times New Roman" w:hAnsi="Times New Roman" w:cs="Times New Roman"/>
          <w:sz w:val="18"/>
          <w:szCs w:val="18"/>
        </w:rPr>
        <w:footnoteRef/>
      </w:r>
      <w:r w:rsidRPr="00A05F77">
        <w:rPr>
          <w:rFonts w:ascii="Times New Roman" w:hAnsi="Times New Roman" w:cs="Times New Roman"/>
          <w:sz w:val="18"/>
          <w:szCs w:val="18"/>
        </w:rPr>
        <w:t xml:space="preserve"> The indicators should be aligned with the public mandate of fostering the development of the market, thus not be focused on adherence to financial soundness indicators.</w:t>
      </w:r>
      <w:r>
        <w:t xml:space="preserve"> </w:t>
      </w:r>
    </w:p>
  </w:footnote>
  <w:footnote w:id="127">
    <w:p w:rsidR="00A55383" w:rsidRPr="00DF6AED" w:rsidRDefault="00A55383" w:rsidP="00155A5F">
      <w:pPr>
        <w:pStyle w:val="FootnoteText"/>
        <w:rPr>
          <w:rFonts w:ascii="Times New Roman" w:hAnsi="Times New Roman" w:cs="Times New Roman"/>
          <w:sz w:val="18"/>
          <w:szCs w:val="18"/>
        </w:rPr>
      </w:pPr>
      <w:r w:rsidRPr="00781E2F">
        <w:rPr>
          <w:rStyle w:val="FootnoteReference"/>
          <w:rFonts w:ascii="Times New Roman" w:hAnsi="Times New Roman" w:cs="Times New Roman"/>
          <w:sz w:val="18"/>
          <w:szCs w:val="18"/>
        </w:rPr>
        <w:footnoteRef/>
      </w:r>
      <w:r w:rsidRPr="00DF6AED">
        <w:rPr>
          <w:rFonts w:ascii="Times New Roman" w:hAnsi="Times New Roman" w:cs="Times New Roman"/>
          <w:sz w:val="18"/>
          <w:szCs w:val="18"/>
        </w:rPr>
        <w:t xml:space="preserve"> Ideally using the categorization established by ASFI for this purpose.</w:t>
      </w:r>
    </w:p>
  </w:footnote>
  <w:footnote w:id="128">
    <w:p w:rsidR="00A55383" w:rsidRDefault="00A55383">
      <w:pPr>
        <w:pStyle w:val="FootnoteText"/>
      </w:pPr>
      <w:r w:rsidRPr="003823C2">
        <w:rPr>
          <w:rStyle w:val="FootnoteReference"/>
          <w:rFonts w:ascii="Times New Roman" w:hAnsi="Times New Roman" w:cs="Times New Roman"/>
          <w:sz w:val="18"/>
          <w:szCs w:val="18"/>
        </w:rPr>
        <w:footnoteRef/>
      </w:r>
      <w:r w:rsidRPr="003823C2">
        <w:t xml:space="preserve"> </w:t>
      </w:r>
      <w:r w:rsidRPr="003823C2">
        <w:rPr>
          <w:rFonts w:ascii="Times New Roman" w:hAnsi="Times New Roman" w:cs="Times New Roman"/>
          <w:sz w:val="18"/>
          <w:szCs w:val="18"/>
        </w:rPr>
        <w:t>The resolution No 693/11 from ASFI recently also introduced the requirement that financial institutions need to verify the tax declaration of SMEs for credit applications. This has the potential to significantly curtail the supply of credit to SMEs who are currently operating in the informal sector, and should come with a sufficient transition period to allow enterprises to become formalized.</w:t>
      </w:r>
    </w:p>
  </w:footnote>
  <w:footnote w:id="129">
    <w:p w:rsidR="00A55383" w:rsidRPr="009459A4" w:rsidRDefault="00A55383" w:rsidP="009D2A43">
      <w:pPr>
        <w:pStyle w:val="FootnoteText"/>
        <w:jc w:val="both"/>
        <w:rPr>
          <w:rFonts w:ascii="Times New Roman" w:hAnsi="Times New Roman" w:cs="Times New Roman"/>
          <w:sz w:val="18"/>
          <w:szCs w:val="18"/>
        </w:rPr>
      </w:pPr>
      <w:r w:rsidRPr="009459A4">
        <w:rPr>
          <w:rStyle w:val="FootnoteReference"/>
          <w:rFonts w:ascii="Times New Roman" w:hAnsi="Times New Roman" w:cs="Times New Roman"/>
          <w:sz w:val="18"/>
          <w:szCs w:val="18"/>
        </w:rPr>
        <w:footnoteRef/>
      </w:r>
      <w:r w:rsidRPr="009459A4">
        <w:rPr>
          <w:rFonts w:ascii="Times New Roman" w:hAnsi="Times New Roman" w:cs="Times New Roman"/>
          <w:sz w:val="18"/>
          <w:szCs w:val="18"/>
        </w:rPr>
        <w:t xml:space="preserve"> See for example Rudolph (2010), “State Financial Institutions – can they be relied upon to kickstart lending?” World Bank Crisis Note N</w:t>
      </w:r>
      <w:r w:rsidRPr="009459A4">
        <w:rPr>
          <w:rFonts w:ascii="Times New Roman" w:hAnsi="Times New Roman" w:cs="Times New Roman"/>
          <w:sz w:val="18"/>
          <w:szCs w:val="18"/>
          <w:vertAlign w:val="superscript"/>
        </w:rPr>
        <w:t>o</w:t>
      </w:r>
      <w:r w:rsidRPr="009459A4">
        <w:rPr>
          <w:rFonts w:ascii="Times New Roman" w:hAnsi="Times New Roman" w:cs="Times New Roman"/>
          <w:sz w:val="18"/>
          <w:szCs w:val="18"/>
        </w:rPr>
        <w:t xml:space="preserve"> 12.</w:t>
      </w:r>
      <w:r>
        <w:rPr>
          <w:rFonts w:ascii="Times New Roman" w:hAnsi="Times New Roman" w:cs="Times New Roman"/>
          <w:sz w:val="18"/>
          <w:szCs w:val="18"/>
        </w:rPr>
        <w:t xml:space="preserve"> Washington DC, or Smallville / Olloqui (2011), “A Health Diagnostic Tool for Public Development Banks”, IADB Institutions Capacity and Financial Sector Technical Capacity Notes, January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383" w:rsidRDefault="00CD27AA">
    <w:pPr>
      <w:pStyle w:val="Header"/>
      <w:jc w:val="right"/>
    </w:pPr>
    <w:r>
      <w:tab/>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6.2pt;height:24.15pt" fillcolor="black [3213]">
          <v:stroke r:id="rId1" o:title=""/>
          <v:shadow color="#868686"/>
          <v:textpath style="font-family:&quot;Arial&quot;;font-size:20pt;v-text-kern:t" trim="t" fitpath="t" string="70465"/>
        </v:shape>
      </w:pict>
    </w:r>
  </w:p>
  <w:p w:rsidR="00A55383" w:rsidRDefault="00A553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CC8F64"/>
    <w:lvl w:ilvl="0">
      <w:start w:val="1"/>
      <w:numFmt w:val="decimal"/>
      <w:lvlText w:val="%1."/>
      <w:lvlJc w:val="left"/>
      <w:pPr>
        <w:tabs>
          <w:tab w:val="num" w:pos="1800"/>
        </w:tabs>
        <w:ind w:left="1800" w:hanging="360"/>
      </w:pPr>
    </w:lvl>
  </w:abstractNum>
  <w:abstractNum w:abstractNumId="1">
    <w:nsid w:val="FFFFFF7D"/>
    <w:multiLevelType w:val="singleLevel"/>
    <w:tmpl w:val="EFF679E0"/>
    <w:lvl w:ilvl="0">
      <w:start w:val="1"/>
      <w:numFmt w:val="decimal"/>
      <w:lvlText w:val="%1."/>
      <w:lvlJc w:val="left"/>
      <w:pPr>
        <w:tabs>
          <w:tab w:val="num" w:pos="1440"/>
        </w:tabs>
        <w:ind w:left="1440" w:hanging="360"/>
      </w:pPr>
    </w:lvl>
  </w:abstractNum>
  <w:abstractNum w:abstractNumId="2">
    <w:nsid w:val="FFFFFF7E"/>
    <w:multiLevelType w:val="singleLevel"/>
    <w:tmpl w:val="BB2AAC84"/>
    <w:lvl w:ilvl="0">
      <w:start w:val="1"/>
      <w:numFmt w:val="decimal"/>
      <w:lvlText w:val="%1."/>
      <w:lvlJc w:val="left"/>
      <w:pPr>
        <w:tabs>
          <w:tab w:val="num" w:pos="1080"/>
        </w:tabs>
        <w:ind w:left="1080" w:hanging="360"/>
      </w:pPr>
    </w:lvl>
  </w:abstractNum>
  <w:abstractNum w:abstractNumId="3">
    <w:nsid w:val="FFFFFF7F"/>
    <w:multiLevelType w:val="singleLevel"/>
    <w:tmpl w:val="08C23DE4"/>
    <w:lvl w:ilvl="0">
      <w:start w:val="1"/>
      <w:numFmt w:val="decimal"/>
      <w:lvlText w:val="%1."/>
      <w:lvlJc w:val="left"/>
      <w:pPr>
        <w:tabs>
          <w:tab w:val="num" w:pos="720"/>
        </w:tabs>
        <w:ind w:left="720" w:hanging="360"/>
      </w:pPr>
    </w:lvl>
  </w:abstractNum>
  <w:abstractNum w:abstractNumId="4">
    <w:nsid w:val="FFFFFF80"/>
    <w:multiLevelType w:val="singleLevel"/>
    <w:tmpl w:val="C4CEB1E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4B45BA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034B4B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CC5B2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06120"/>
    <w:lvl w:ilvl="0">
      <w:start w:val="1"/>
      <w:numFmt w:val="decimal"/>
      <w:pStyle w:val="ListNumber"/>
      <w:lvlText w:val="%1."/>
      <w:lvlJc w:val="left"/>
      <w:pPr>
        <w:tabs>
          <w:tab w:val="num" w:pos="360"/>
        </w:tabs>
        <w:ind w:left="360" w:hanging="360"/>
      </w:pPr>
    </w:lvl>
  </w:abstractNum>
  <w:abstractNum w:abstractNumId="9">
    <w:nsid w:val="FFFFFF89"/>
    <w:multiLevelType w:val="singleLevel"/>
    <w:tmpl w:val="89B2FE96"/>
    <w:lvl w:ilvl="0">
      <w:start w:val="1"/>
      <w:numFmt w:val="bullet"/>
      <w:pStyle w:val="ListBullet"/>
      <w:lvlText w:val=""/>
      <w:lvlJc w:val="left"/>
      <w:pPr>
        <w:tabs>
          <w:tab w:val="num" w:pos="720"/>
        </w:tabs>
        <w:ind w:left="720" w:hanging="720"/>
      </w:pPr>
      <w:rPr>
        <w:rFonts w:ascii="Symbol" w:hAnsi="Symbol" w:hint="default"/>
      </w:rPr>
    </w:lvl>
  </w:abstractNum>
  <w:abstractNum w:abstractNumId="10">
    <w:nsid w:val="02BC19E3"/>
    <w:multiLevelType w:val="hybridMultilevel"/>
    <w:tmpl w:val="9B50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A2111A"/>
    <w:multiLevelType w:val="hybridMultilevel"/>
    <w:tmpl w:val="6E8C6708"/>
    <w:lvl w:ilvl="0" w:tplc="310E63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105CA9"/>
    <w:multiLevelType w:val="hybridMultilevel"/>
    <w:tmpl w:val="CE22A24A"/>
    <w:lvl w:ilvl="0" w:tplc="606695FC">
      <w:start w:val="1"/>
      <w:numFmt w:val="decimal"/>
      <w:pStyle w:val="ParagraphNumbering"/>
      <w:lvlText w:val="%1.     "/>
      <w:lvlJc w:val="left"/>
      <w:pPr>
        <w:tabs>
          <w:tab w:val="num" w:pos="4680"/>
        </w:tabs>
        <w:ind w:left="3960" w:firstLine="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1D5084"/>
    <w:multiLevelType w:val="hybridMultilevel"/>
    <w:tmpl w:val="8DFEE208"/>
    <w:lvl w:ilvl="0" w:tplc="702255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D86F32"/>
    <w:multiLevelType w:val="multilevel"/>
    <w:tmpl w:val="CAB40878"/>
    <w:lvl w:ilvl="0">
      <w:start w:val="1"/>
      <w:numFmt w:val="decimal"/>
      <w:pStyle w:val="Heading1"/>
      <w:lvlText w:val="Chapter %1"/>
      <w:lvlJc w:val="left"/>
      <w:pPr>
        <w:ind w:left="432" w:hanging="432"/>
      </w:pPr>
      <w:rPr>
        <w:rFonts w:ascii="Times New Roman Bold" w:hAnsi="Times New Roman Bold"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2"/>
      <w:lvlText w:val="%1.%2"/>
      <w:lvlJc w:val="left"/>
      <w:pPr>
        <w:ind w:left="666" w:hanging="57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CA83761"/>
    <w:multiLevelType w:val="hybridMultilevel"/>
    <w:tmpl w:val="A4804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89325E"/>
    <w:multiLevelType w:val="multilevel"/>
    <w:tmpl w:val="1C0A1714"/>
    <w:lvl w:ilvl="0">
      <w:start w:val="1"/>
      <w:numFmt w:val="decimal"/>
      <w:lvlText w:val="Chapter %1."/>
      <w:lvlJc w:val="left"/>
      <w:pPr>
        <w:ind w:left="360" w:hanging="360"/>
      </w:pPr>
      <w:rPr>
        <w:rFonts w:ascii="Times New Roman" w:hAnsi="Times New Roman" w:cs="Times New Roman" w:hint="default"/>
        <w:color w:val="auto"/>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ascii="Times New Roman Bold" w:hAnsi="Times New Roman Bold"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F61132E"/>
    <w:multiLevelType w:val="hybridMultilevel"/>
    <w:tmpl w:val="E49A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B9119E"/>
    <w:multiLevelType w:val="hybridMultilevel"/>
    <w:tmpl w:val="189EE3E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9">
    <w:nsid w:val="5A3B4DFF"/>
    <w:multiLevelType w:val="hybridMultilevel"/>
    <w:tmpl w:val="6C1A8C00"/>
    <w:lvl w:ilvl="0" w:tplc="E8629ACC">
      <w:start w:val="1"/>
      <w:numFmt w:val="decimal"/>
      <w:lvlText w:val="%1."/>
      <w:lvlJc w:val="left"/>
      <w:pPr>
        <w:ind w:left="0" w:firstLine="0"/>
      </w:pPr>
      <w:rPr>
        <w:rFonts w:hint="default"/>
        <w:b w:val="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3A0059A"/>
    <w:multiLevelType w:val="hybridMultilevel"/>
    <w:tmpl w:val="0B9A4C9A"/>
    <w:lvl w:ilvl="0" w:tplc="819E105C">
      <w:start w:val="1"/>
      <w:numFmt w:val="decimal"/>
      <w:pStyle w:val="Heading4"/>
      <w:lvlText w:val="6.2.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16"/>
  </w:num>
  <w:num w:numId="3">
    <w:abstractNumId w:val="12"/>
  </w:num>
  <w:num w:numId="4">
    <w:abstractNumId w:val="9"/>
  </w:num>
  <w:num w:numId="5">
    <w:abstractNumId w:val="8"/>
  </w:num>
  <w:num w:numId="6">
    <w:abstractNumId w:val="11"/>
  </w:num>
  <w:num w:numId="7">
    <w:abstractNumId w:val="13"/>
  </w:num>
  <w:num w:numId="8">
    <w:abstractNumId w:val="19"/>
  </w:num>
  <w:num w:numId="9">
    <w:abstractNumId w:val="15"/>
  </w:num>
  <w:num w:numId="10">
    <w:abstractNumId w:val="18"/>
  </w:num>
  <w:num w:numId="11">
    <w:abstractNumId w:val="17"/>
  </w:num>
  <w:num w:numId="12">
    <w:abstractNumId w:val="10"/>
  </w:num>
  <w:num w:numId="13">
    <w:abstractNumId w:val="14"/>
    <w:lvlOverride w:ilvl="0">
      <w:lvl w:ilvl="0">
        <w:start w:val="1"/>
        <w:numFmt w:val="decimal"/>
        <w:pStyle w:val="Heading1"/>
        <w:lvlText w:val="Chapter %1"/>
        <w:lvlJc w:val="left"/>
        <w:pPr>
          <w:ind w:left="432" w:hanging="432"/>
        </w:pPr>
        <w:rPr>
          <w:rFonts w:ascii="Times New Roman Bold" w:hAnsi="Times New Roman Bold" w:hint="default"/>
          <w:b/>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1">
      <w:lvl w:ilvl="1">
        <w:start w:val="1"/>
        <w:numFmt w:val="decimal"/>
        <w:pStyle w:val="Heading2"/>
        <w:lvlText w:val="%1.%2"/>
        <w:lvlJc w:val="left"/>
        <w:pPr>
          <w:ind w:left="666" w:hanging="576"/>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14">
    <w:abstractNumId w:val="20"/>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drawingGridHorizontalSpacing w:val="110"/>
  <w:displayHorizontalDrawingGridEvery w:val="2"/>
  <w:characterSpacingControl w:val="doNotCompress"/>
  <w:hdrShapeDefaults>
    <o:shapedefaults v:ext="edit" spidmax="9217" style="mso-position-horizontal-relative:margin;mso-position-vertical-relative:margin;mso-height-relative:margin" fillcolor="none [3204]" stroke="f" strokecolor="none [3213]">
      <v:fill color="none [3204]"/>
      <v:stroke color="none [3213]" weight="1.5pt" on="f"/>
      <v:shadow color="none [3209]" opacity=".5" offset="-15pt,0" offset2="-18pt,12pt"/>
      <v:textbox inset="21.6pt,21.6pt,21.6pt,21.6pt"/>
    </o:shapedefaults>
  </w:hdrShapeDefaults>
  <w:footnotePr>
    <w:footnote w:id="-1"/>
    <w:footnote w:id="0"/>
  </w:footnotePr>
  <w:endnotePr>
    <w:endnote w:id="-1"/>
    <w:endnote w:id="0"/>
  </w:endnotePr>
  <w:compat>
    <w:compatSetting w:name="compatibilityMode" w:uri="http://schemas.microsoft.com/office/word" w:val="12"/>
  </w:compat>
  <w:rsids>
    <w:rsidRoot w:val="00736FEF"/>
    <w:rsid w:val="000001F5"/>
    <w:rsid w:val="00005844"/>
    <w:rsid w:val="00011C0C"/>
    <w:rsid w:val="000145C7"/>
    <w:rsid w:val="000202D7"/>
    <w:rsid w:val="00021CE8"/>
    <w:rsid w:val="0002313C"/>
    <w:rsid w:val="00025D09"/>
    <w:rsid w:val="00027085"/>
    <w:rsid w:val="00034529"/>
    <w:rsid w:val="000406A4"/>
    <w:rsid w:val="00044FE4"/>
    <w:rsid w:val="00045D4B"/>
    <w:rsid w:val="00046BEF"/>
    <w:rsid w:val="000478D1"/>
    <w:rsid w:val="00052B74"/>
    <w:rsid w:val="00055F2F"/>
    <w:rsid w:val="000621E4"/>
    <w:rsid w:val="0006280E"/>
    <w:rsid w:val="00063406"/>
    <w:rsid w:val="000639A5"/>
    <w:rsid w:val="00064738"/>
    <w:rsid w:val="00064A1B"/>
    <w:rsid w:val="00066D8E"/>
    <w:rsid w:val="00067427"/>
    <w:rsid w:val="00072908"/>
    <w:rsid w:val="00077FEC"/>
    <w:rsid w:val="0008094E"/>
    <w:rsid w:val="00081F3F"/>
    <w:rsid w:val="000851EA"/>
    <w:rsid w:val="00093707"/>
    <w:rsid w:val="00095D45"/>
    <w:rsid w:val="00095E04"/>
    <w:rsid w:val="00096CB0"/>
    <w:rsid w:val="000A1309"/>
    <w:rsid w:val="000A406C"/>
    <w:rsid w:val="000B0A3C"/>
    <w:rsid w:val="000B56C6"/>
    <w:rsid w:val="000C1331"/>
    <w:rsid w:val="000E0FA4"/>
    <w:rsid w:val="000E19DF"/>
    <w:rsid w:val="000E39A4"/>
    <w:rsid w:val="000E5110"/>
    <w:rsid w:val="000E680D"/>
    <w:rsid w:val="000E6927"/>
    <w:rsid w:val="000F706E"/>
    <w:rsid w:val="00102CEA"/>
    <w:rsid w:val="00102D82"/>
    <w:rsid w:val="00113705"/>
    <w:rsid w:val="00116B6B"/>
    <w:rsid w:val="00123B1A"/>
    <w:rsid w:val="00125CEA"/>
    <w:rsid w:val="00126B85"/>
    <w:rsid w:val="001319F6"/>
    <w:rsid w:val="001439F6"/>
    <w:rsid w:val="001455A6"/>
    <w:rsid w:val="00145B70"/>
    <w:rsid w:val="00147B9E"/>
    <w:rsid w:val="00147F9F"/>
    <w:rsid w:val="00151277"/>
    <w:rsid w:val="00153E77"/>
    <w:rsid w:val="00155A5F"/>
    <w:rsid w:val="001575C8"/>
    <w:rsid w:val="001615B7"/>
    <w:rsid w:val="00166B91"/>
    <w:rsid w:val="00167837"/>
    <w:rsid w:val="00171EFF"/>
    <w:rsid w:val="00173312"/>
    <w:rsid w:val="00176309"/>
    <w:rsid w:val="00176E36"/>
    <w:rsid w:val="00177848"/>
    <w:rsid w:val="001779A7"/>
    <w:rsid w:val="001835FD"/>
    <w:rsid w:val="0018412E"/>
    <w:rsid w:val="00190090"/>
    <w:rsid w:val="001909FC"/>
    <w:rsid w:val="0019428F"/>
    <w:rsid w:val="00194F46"/>
    <w:rsid w:val="0019537F"/>
    <w:rsid w:val="00196511"/>
    <w:rsid w:val="001A11A8"/>
    <w:rsid w:val="001A3322"/>
    <w:rsid w:val="001B4776"/>
    <w:rsid w:val="001B543D"/>
    <w:rsid w:val="001B5D10"/>
    <w:rsid w:val="001C22BF"/>
    <w:rsid w:val="001C7C86"/>
    <w:rsid w:val="001D2EE0"/>
    <w:rsid w:val="001D3343"/>
    <w:rsid w:val="001D37E3"/>
    <w:rsid w:val="001D3DFD"/>
    <w:rsid w:val="001D401D"/>
    <w:rsid w:val="001E1D36"/>
    <w:rsid w:val="001E3733"/>
    <w:rsid w:val="001E6BCA"/>
    <w:rsid w:val="001F0A6C"/>
    <w:rsid w:val="001F0D31"/>
    <w:rsid w:val="001F51E7"/>
    <w:rsid w:val="001F5B9C"/>
    <w:rsid w:val="001F794A"/>
    <w:rsid w:val="00217616"/>
    <w:rsid w:val="00221C61"/>
    <w:rsid w:val="00226D19"/>
    <w:rsid w:val="0023012B"/>
    <w:rsid w:val="00231833"/>
    <w:rsid w:val="00245B24"/>
    <w:rsid w:val="00245B4C"/>
    <w:rsid w:val="00245E6C"/>
    <w:rsid w:val="00246323"/>
    <w:rsid w:val="002514CE"/>
    <w:rsid w:val="002660C5"/>
    <w:rsid w:val="00270B48"/>
    <w:rsid w:val="00270CEB"/>
    <w:rsid w:val="002815C8"/>
    <w:rsid w:val="002911BD"/>
    <w:rsid w:val="002942C8"/>
    <w:rsid w:val="00294CE0"/>
    <w:rsid w:val="002A0FB4"/>
    <w:rsid w:val="002A140A"/>
    <w:rsid w:val="002A5BF9"/>
    <w:rsid w:val="002B2A98"/>
    <w:rsid w:val="002B4876"/>
    <w:rsid w:val="002B6825"/>
    <w:rsid w:val="002C1862"/>
    <w:rsid w:val="002C2D91"/>
    <w:rsid w:val="002C6099"/>
    <w:rsid w:val="002D090E"/>
    <w:rsid w:val="002D18C8"/>
    <w:rsid w:val="002D45E3"/>
    <w:rsid w:val="002D6D26"/>
    <w:rsid w:val="002E1C1D"/>
    <w:rsid w:val="002E49EC"/>
    <w:rsid w:val="002E66FE"/>
    <w:rsid w:val="002F0E21"/>
    <w:rsid w:val="002F129F"/>
    <w:rsid w:val="002F623B"/>
    <w:rsid w:val="002F773B"/>
    <w:rsid w:val="003010CF"/>
    <w:rsid w:val="00301D1A"/>
    <w:rsid w:val="0030215C"/>
    <w:rsid w:val="0030247B"/>
    <w:rsid w:val="00305117"/>
    <w:rsid w:val="0031030A"/>
    <w:rsid w:val="00310556"/>
    <w:rsid w:val="00320A4D"/>
    <w:rsid w:val="00322DE9"/>
    <w:rsid w:val="00324831"/>
    <w:rsid w:val="00324B25"/>
    <w:rsid w:val="00334974"/>
    <w:rsid w:val="00335B15"/>
    <w:rsid w:val="003365EA"/>
    <w:rsid w:val="0033750F"/>
    <w:rsid w:val="0034171E"/>
    <w:rsid w:val="00342F00"/>
    <w:rsid w:val="0034591D"/>
    <w:rsid w:val="0034762B"/>
    <w:rsid w:val="00352224"/>
    <w:rsid w:val="003540DF"/>
    <w:rsid w:val="00356360"/>
    <w:rsid w:val="00356EF8"/>
    <w:rsid w:val="003571FD"/>
    <w:rsid w:val="00361A5D"/>
    <w:rsid w:val="003646BB"/>
    <w:rsid w:val="00372DD1"/>
    <w:rsid w:val="00376BEB"/>
    <w:rsid w:val="00380D4A"/>
    <w:rsid w:val="003823C2"/>
    <w:rsid w:val="00392493"/>
    <w:rsid w:val="003937CF"/>
    <w:rsid w:val="00393CED"/>
    <w:rsid w:val="00397A9B"/>
    <w:rsid w:val="003A1959"/>
    <w:rsid w:val="003A3A4E"/>
    <w:rsid w:val="003A5065"/>
    <w:rsid w:val="003A506A"/>
    <w:rsid w:val="003B1243"/>
    <w:rsid w:val="003B5AC6"/>
    <w:rsid w:val="003C15FB"/>
    <w:rsid w:val="003C6718"/>
    <w:rsid w:val="003D20CB"/>
    <w:rsid w:val="003E2D6B"/>
    <w:rsid w:val="00401260"/>
    <w:rsid w:val="00401F57"/>
    <w:rsid w:val="004025A4"/>
    <w:rsid w:val="00406F47"/>
    <w:rsid w:val="00407729"/>
    <w:rsid w:val="00411760"/>
    <w:rsid w:val="00414CC3"/>
    <w:rsid w:val="00417917"/>
    <w:rsid w:val="0042038F"/>
    <w:rsid w:val="0042062D"/>
    <w:rsid w:val="0042088D"/>
    <w:rsid w:val="0042613B"/>
    <w:rsid w:val="00431277"/>
    <w:rsid w:val="00431FDC"/>
    <w:rsid w:val="004340D4"/>
    <w:rsid w:val="0043478F"/>
    <w:rsid w:val="00436273"/>
    <w:rsid w:val="00442714"/>
    <w:rsid w:val="004445F2"/>
    <w:rsid w:val="00445AEC"/>
    <w:rsid w:val="004466A7"/>
    <w:rsid w:val="00447841"/>
    <w:rsid w:val="00452B81"/>
    <w:rsid w:val="0045392D"/>
    <w:rsid w:val="004607D7"/>
    <w:rsid w:val="004617BE"/>
    <w:rsid w:val="00464623"/>
    <w:rsid w:val="00466185"/>
    <w:rsid w:val="004674A8"/>
    <w:rsid w:val="00474B51"/>
    <w:rsid w:val="004761BD"/>
    <w:rsid w:val="00477E9C"/>
    <w:rsid w:val="00482425"/>
    <w:rsid w:val="00482AC0"/>
    <w:rsid w:val="0048658A"/>
    <w:rsid w:val="00490908"/>
    <w:rsid w:val="00492725"/>
    <w:rsid w:val="0049515F"/>
    <w:rsid w:val="004A061A"/>
    <w:rsid w:val="004A11E2"/>
    <w:rsid w:val="004A4BD3"/>
    <w:rsid w:val="004A71ED"/>
    <w:rsid w:val="004A7B25"/>
    <w:rsid w:val="004B61DC"/>
    <w:rsid w:val="004C39A6"/>
    <w:rsid w:val="004C4A23"/>
    <w:rsid w:val="004C6E2D"/>
    <w:rsid w:val="004D1238"/>
    <w:rsid w:val="004D73B4"/>
    <w:rsid w:val="004E1E46"/>
    <w:rsid w:val="004E65B7"/>
    <w:rsid w:val="004F0E23"/>
    <w:rsid w:val="004F24F4"/>
    <w:rsid w:val="004F3BD0"/>
    <w:rsid w:val="004F4BF3"/>
    <w:rsid w:val="004F57E9"/>
    <w:rsid w:val="00507E70"/>
    <w:rsid w:val="0051056E"/>
    <w:rsid w:val="00517669"/>
    <w:rsid w:val="00521E83"/>
    <w:rsid w:val="00525DAB"/>
    <w:rsid w:val="00525F02"/>
    <w:rsid w:val="0052726A"/>
    <w:rsid w:val="0053117F"/>
    <w:rsid w:val="00533274"/>
    <w:rsid w:val="00533859"/>
    <w:rsid w:val="005365AC"/>
    <w:rsid w:val="005411D5"/>
    <w:rsid w:val="00541512"/>
    <w:rsid w:val="0054407E"/>
    <w:rsid w:val="0054424F"/>
    <w:rsid w:val="00546A99"/>
    <w:rsid w:val="00547119"/>
    <w:rsid w:val="00550F57"/>
    <w:rsid w:val="00552F45"/>
    <w:rsid w:val="00554F17"/>
    <w:rsid w:val="00556BC0"/>
    <w:rsid w:val="00557BE7"/>
    <w:rsid w:val="005610F7"/>
    <w:rsid w:val="005636B8"/>
    <w:rsid w:val="00564044"/>
    <w:rsid w:val="005648A1"/>
    <w:rsid w:val="00573C10"/>
    <w:rsid w:val="005744EE"/>
    <w:rsid w:val="00574625"/>
    <w:rsid w:val="00575B0C"/>
    <w:rsid w:val="005816F5"/>
    <w:rsid w:val="00581AD4"/>
    <w:rsid w:val="0058270C"/>
    <w:rsid w:val="005855C4"/>
    <w:rsid w:val="005919A9"/>
    <w:rsid w:val="005A0387"/>
    <w:rsid w:val="005A0415"/>
    <w:rsid w:val="005A331A"/>
    <w:rsid w:val="005A375E"/>
    <w:rsid w:val="005A47B7"/>
    <w:rsid w:val="005B36D3"/>
    <w:rsid w:val="005C4350"/>
    <w:rsid w:val="005C6EC7"/>
    <w:rsid w:val="005C7066"/>
    <w:rsid w:val="005C7C0C"/>
    <w:rsid w:val="005D0823"/>
    <w:rsid w:val="005D1540"/>
    <w:rsid w:val="005D49F6"/>
    <w:rsid w:val="005D5031"/>
    <w:rsid w:val="005D58F9"/>
    <w:rsid w:val="005D6647"/>
    <w:rsid w:val="005D6878"/>
    <w:rsid w:val="005E2859"/>
    <w:rsid w:val="005E4032"/>
    <w:rsid w:val="005E6646"/>
    <w:rsid w:val="005E725F"/>
    <w:rsid w:val="005E75CC"/>
    <w:rsid w:val="005F2903"/>
    <w:rsid w:val="005F6273"/>
    <w:rsid w:val="006002A6"/>
    <w:rsid w:val="00600410"/>
    <w:rsid w:val="006005C9"/>
    <w:rsid w:val="00602EB8"/>
    <w:rsid w:val="00604D38"/>
    <w:rsid w:val="0060526F"/>
    <w:rsid w:val="00613E2E"/>
    <w:rsid w:val="00613F45"/>
    <w:rsid w:val="00613F9D"/>
    <w:rsid w:val="00614471"/>
    <w:rsid w:val="00615A1E"/>
    <w:rsid w:val="006166DC"/>
    <w:rsid w:val="00620426"/>
    <w:rsid w:val="00624DDA"/>
    <w:rsid w:val="00625A86"/>
    <w:rsid w:val="00627EAD"/>
    <w:rsid w:val="00634572"/>
    <w:rsid w:val="00634D54"/>
    <w:rsid w:val="006356D7"/>
    <w:rsid w:val="00637BDC"/>
    <w:rsid w:val="0064105F"/>
    <w:rsid w:val="00643A80"/>
    <w:rsid w:val="00651ACC"/>
    <w:rsid w:val="00654888"/>
    <w:rsid w:val="00662420"/>
    <w:rsid w:val="00664BF4"/>
    <w:rsid w:val="0067025D"/>
    <w:rsid w:val="00672BBB"/>
    <w:rsid w:val="00673451"/>
    <w:rsid w:val="0068206F"/>
    <w:rsid w:val="00682F0F"/>
    <w:rsid w:val="00683F28"/>
    <w:rsid w:val="006913DC"/>
    <w:rsid w:val="00691558"/>
    <w:rsid w:val="006A2B34"/>
    <w:rsid w:val="006A3BF9"/>
    <w:rsid w:val="006A6491"/>
    <w:rsid w:val="006B324B"/>
    <w:rsid w:val="006B5FE3"/>
    <w:rsid w:val="006C2E7B"/>
    <w:rsid w:val="006D13F4"/>
    <w:rsid w:val="006D2814"/>
    <w:rsid w:val="006D7B28"/>
    <w:rsid w:val="006E0F73"/>
    <w:rsid w:val="006E482A"/>
    <w:rsid w:val="006E6967"/>
    <w:rsid w:val="006E765F"/>
    <w:rsid w:val="006F2FD2"/>
    <w:rsid w:val="006F32F6"/>
    <w:rsid w:val="006F50A4"/>
    <w:rsid w:val="006F5FAF"/>
    <w:rsid w:val="007022DA"/>
    <w:rsid w:val="00704C1A"/>
    <w:rsid w:val="00706E28"/>
    <w:rsid w:val="007157B3"/>
    <w:rsid w:val="007157F7"/>
    <w:rsid w:val="00716F83"/>
    <w:rsid w:val="0072001C"/>
    <w:rsid w:val="00727897"/>
    <w:rsid w:val="00727ACE"/>
    <w:rsid w:val="00733CF1"/>
    <w:rsid w:val="00736FEF"/>
    <w:rsid w:val="00740D19"/>
    <w:rsid w:val="00743DA6"/>
    <w:rsid w:val="007451F5"/>
    <w:rsid w:val="00747A73"/>
    <w:rsid w:val="0075122C"/>
    <w:rsid w:val="00751BE3"/>
    <w:rsid w:val="00765967"/>
    <w:rsid w:val="007671C3"/>
    <w:rsid w:val="007716BE"/>
    <w:rsid w:val="0077444A"/>
    <w:rsid w:val="00781E2F"/>
    <w:rsid w:val="007823AE"/>
    <w:rsid w:val="00791CD3"/>
    <w:rsid w:val="007939A3"/>
    <w:rsid w:val="00795642"/>
    <w:rsid w:val="007A553E"/>
    <w:rsid w:val="007A5B30"/>
    <w:rsid w:val="007A617C"/>
    <w:rsid w:val="007A7605"/>
    <w:rsid w:val="007A7B9C"/>
    <w:rsid w:val="007B0230"/>
    <w:rsid w:val="007B2B25"/>
    <w:rsid w:val="007B2E42"/>
    <w:rsid w:val="007C03BB"/>
    <w:rsid w:val="007C2030"/>
    <w:rsid w:val="007C6547"/>
    <w:rsid w:val="007D0178"/>
    <w:rsid w:val="007D0B31"/>
    <w:rsid w:val="007D1BBC"/>
    <w:rsid w:val="007D2B48"/>
    <w:rsid w:val="007D353B"/>
    <w:rsid w:val="007D5933"/>
    <w:rsid w:val="007D6FFF"/>
    <w:rsid w:val="007E1AF4"/>
    <w:rsid w:val="007E4B22"/>
    <w:rsid w:val="00800EA4"/>
    <w:rsid w:val="00801E58"/>
    <w:rsid w:val="00810650"/>
    <w:rsid w:val="00811B81"/>
    <w:rsid w:val="00813793"/>
    <w:rsid w:val="00813E9B"/>
    <w:rsid w:val="00814036"/>
    <w:rsid w:val="008143A8"/>
    <w:rsid w:val="00816A16"/>
    <w:rsid w:val="008219B3"/>
    <w:rsid w:val="00827D4B"/>
    <w:rsid w:val="008309E5"/>
    <w:rsid w:val="00831FBB"/>
    <w:rsid w:val="00835766"/>
    <w:rsid w:val="00835DAC"/>
    <w:rsid w:val="0083665F"/>
    <w:rsid w:val="00837A44"/>
    <w:rsid w:val="0084218E"/>
    <w:rsid w:val="00844A74"/>
    <w:rsid w:val="00855A5E"/>
    <w:rsid w:val="00873456"/>
    <w:rsid w:val="008738CC"/>
    <w:rsid w:val="00877A16"/>
    <w:rsid w:val="00880D2A"/>
    <w:rsid w:val="00881494"/>
    <w:rsid w:val="00890212"/>
    <w:rsid w:val="0089240E"/>
    <w:rsid w:val="008924F3"/>
    <w:rsid w:val="00893FAF"/>
    <w:rsid w:val="008A356C"/>
    <w:rsid w:val="008A3E6C"/>
    <w:rsid w:val="008A6979"/>
    <w:rsid w:val="008B31D0"/>
    <w:rsid w:val="008B3E84"/>
    <w:rsid w:val="008B67D0"/>
    <w:rsid w:val="008C2105"/>
    <w:rsid w:val="008C3795"/>
    <w:rsid w:val="008D5B02"/>
    <w:rsid w:val="008D7134"/>
    <w:rsid w:val="008E3A3B"/>
    <w:rsid w:val="008E4489"/>
    <w:rsid w:val="008E5D0C"/>
    <w:rsid w:val="008F1D29"/>
    <w:rsid w:val="008F79A9"/>
    <w:rsid w:val="0090496E"/>
    <w:rsid w:val="00904B94"/>
    <w:rsid w:val="00904F6D"/>
    <w:rsid w:val="00912A23"/>
    <w:rsid w:val="00915268"/>
    <w:rsid w:val="0091660D"/>
    <w:rsid w:val="00917643"/>
    <w:rsid w:val="009236F2"/>
    <w:rsid w:val="00924EEB"/>
    <w:rsid w:val="00927878"/>
    <w:rsid w:val="00927D2E"/>
    <w:rsid w:val="0093088C"/>
    <w:rsid w:val="009322D2"/>
    <w:rsid w:val="00932EE0"/>
    <w:rsid w:val="00937858"/>
    <w:rsid w:val="009414AE"/>
    <w:rsid w:val="00942B4C"/>
    <w:rsid w:val="009438EF"/>
    <w:rsid w:val="00944DF6"/>
    <w:rsid w:val="009459A4"/>
    <w:rsid w:val="00947261"/>
    <w:rsid w:val="00953BB9"/>
    <w:rsid w:val="00954B8B"/>
    <w:rsid w:val="00957A88"/>
    <w:rsid w:val="009621E6"/>
    <w:rsid w:val="00962686"/>
    <w:rsid w:val="00965E48"/>
    <w:rsid w:val="00971AB6"/>
    <w:rsid w:val="00973CAC"/>
    <w:rsid w:val="00980068"/>
    <w:rsid w:val="009808F4"/>
    <w:rsid w:val="009839F8"/>
    <w:rsid w:val="00984A48"/>
    <w:rsid w:val="0098603F"/>
    <w:rsid w:val="00986A61"/>
    <w:rsid w:val="00987537"/>
    <w:rsid w:val="00990032"/>
    <w:rsid w:val="0099118D"/>
    <w:rsid w:val="00991D4C"/>
    <w:rsid w:val="009926EA"/>
    <w:rsid w:val="00995758"/>
    <w:rsid w:val="009958C5"/>
    <w:rsid w:val="009961F3"/>
    <w:rsid w:val="0099627C"/>
    <w:rsid w:val="009A1E11"/>
    <w:rsid w:val="009A3811"/>
    <w:rsid w:val="009A463C"/>
    <w:rsid w:val="009A68BF"/>
    <w:rsid w:val="009A78BD"/>
    <w:rsid w:val="009B1423"/>
    <w:rsid w:val="009B328D"/>
    <w:rsid w:val="009B339F"/>
    <w:rsid w:val="009B589F"/>
    <w:rsid w:val="009B7366"/>
    <w:rsid w:val="009C0D03"/>
    <w:rsid w:val="009C1208"/>
    <w:rsid w:val="009C4026"/>
    <w:rsid w:val="009C6D16"/>
    <w:rsid w:val="009D2A43"/>
    <w:rsid w:val="009D7478"/>
    <w:rsid w:val="009E1F73"/>
    <w:rsid w:val="009E39DB"/>
    <w:rsid w:val="009E402E"/>
    <w:rsid w:val="009E70CB"/>
    <w:rsid w:val="009E7F3E"/>
    <w:rsid w:val="009F2548"/>
    <w:rsid w:val="009F3F37"/>
    <w:rsid w:val="009F5F66"/>
    <w:rsid w:val="009F7B18"/>
    <w:rsid w:val="00A03F15"/>
    <w:rsid w:val="00A05F77"/>
    <w:rsid w:val="00A0765F"/>
    <w:rsid w:val="00A07A8D"/>
    <w:rsid w:val="00A11439"/>
    <w:rsid w:val="00A13965"/>
    <w:rsid w:val="00A229CE"/>
    <w:rsid w:val="00A254E5"/>
    <w:rsid w:val="00A329DF"/>
    <w:rsid w:val="00A35ABE"/>
    <w:rsid w:val="00A378FA"/>
    <w:rsid w:val="00A42CF6"/>
    <w:rsid w:val="00A43D06"/>
    <w:rsid w:val="00A44F9D"/>
    <w:rsid w:val="00A50F77"/>
    <w:rsid w:val="00A54D86"/>
    <w:rsid w:val="00A55383"/>
    <w:rsid w:val="00A5755B"/>
    <w:rsid w:val="00A57C67"/>
    <w:rsid w:val="00A741B6"/>
    <w:rsid w:val="00A854C8"/>
    <w:rsid w:val="00A861B0"/>
    <w:rsid w:val="00A90E70"/>
    <w:rsid w:val="00A9215D"/>
    <w:rsid w:val="00A92843"/>
    <w:rsid w:val="00A93916"/>
    <w:rsid w:val="00A94ECE"/>
    <w:rsid w:val="00A96FD5"/>
    <w:rsid w:val="00AA0AF1"/>
    <w:rsid w:val="00AA3DAB"/>
    <w:rsid w:val="00AB361B"/>
    <w:rsid w:val="00AB4DDF"/>
    <w:rsid w:val="00AB4F31"/>
    <w:rsid w:val="00AB6C0F"/>
    <w:rsid w:val="00AB6DAD"/>
    <w:rsid w:val="00AC2F23"/>
    <w:rsid w:val="00AC5911"/>
    <w:rsid w:val="00AC5A5D"/>
    <w:rsid w:val="00AD008F"/>
    <w:rsid w:val="00AD2FC5"/>
    <w:rsid w:val="00AE2A9D"/>
    <w:rsid w:val="00AE59BC"/>
    <w:rsid w:val="00AF1B1B"/>
    <w:rsid w:val="00AF20D8"/>
    <w:rsid w:val="00AF3A4E"/>
    <w:rsid w:val="00AF4592"/>
    <w:rsid w:val="00AF5387"/>
    <w:rsid w:val="00B04D3F"/>
    <w:rsid w:val="00B07DFB"/>
    <w:rsid w:val="00B11BFA"/>
    <w:rsid w:val="00B13171"/>
    <w:rsid w:val="00B17EDA"/>
    <w:rsid w:val="00B27403"/>
    <w:rsid w:val="00B402B2"/>
    <w:rsid w:val="00B41D2B"/>
    <w:rsid w:val="00B41D99"/>
    <w:rsid w:val="00B42446"/>
    <w:rsid w:val="00B50B86"/>
    <w:rsid w:val="00B53B7D"/>
    <w:rsid w:val="00B55897"/>
    <w:rsid w:val="00B55A1A"/>
    <w:rsid w:val="00B57F01"/>
    <w:rsid w:val="00B6219D"/>
    <w:rsid w:val="00B64D09"/>
    <w:rsid w:val="00B66361"/>
    <w:rsid w:val="00B6791F"/>
    <w:rsid w:val="00B700CD"/>
    <w:rsid w:val="00B702D1"/>
    <w:rsid w:val="00B720B6"/>
    <w:rsid w:val="00B74995"/>
    <w:rsid w:val="00B80C55"/>
    <w:rsid w:val="00B85837"/>
    <w:rsid w:val="00B85913"/>
    <w:rsid w:val="00B87449"/>
    <w:rsid w:val="00B90D76"/>
    <w:rsid w:val="00B9174D"/>
    <w:rsid w:val="00B91947"/>
    <w:rsid w:val="00B9509E"/>
    <w:rsid w:val="00B951CC"/>
    <w:rsid w:val="00B96987"/>
    <w:rsid w:val="00BA1C19"/>
    <w:rsid w:val="00BA26E9"/>
    <w:rsid w:val="00BA278F"/>
    <w:rsid w:val="00BA64F5"/>
    <w:rsid w:val="00BA7C2A"/>
    <w:rsid w:val="00BB0334"/>
    <w:rsid w:val="00BB44AA"/>
    <w:rsid w:val="00BB59F6"/>
    <w:rsid w:val="00BB7770"/>
    <w:rsid w:val="00BC1B45"/>
    <w:rsid w:val="00BC2FBF"/>
    <w:rsid w:val="00BD0A8E"/>
    <w:rsid w:val="00BD238B"/>
    <w:rsid w:val="00BD2447"/>
    <w:rsid w:val="00BD2856"/>
    <w:rsid w:val="00BD571A"/>
    <w:rsid w:val="00BD5DB6"/>
    <w:rsid w:val="00BD6E76"/>
    <w:rsid w:val="00BD75E0"/>
    <w:rsid w:val="00BE097B"/>
    <w:rsid w:val="00BE09F0"/>
    <w:rsid w:val="00BE2041"/>
    <w:rsid w:val="00BE2599"/>
    <w:rsid w:val="00BE7DDE"/>
    <w:rsid w:val="00BF0B28"/>
    <w:rsid w:val="00BF15FD"/>
    <w:rsid w:val="00BF34E0"/>
    <w:rsid w:val="00BF5E70"/>
    <w:rsid w:val="00BF70CF"/>
    <w:rsid w:val="00BF7FBB"/>
    <w:rsid w:val="00C076E5"/>
    <w:rsid w:val="00C10035"/>
    <w:rsid w:val="00C13E1B"/>
    <w:rsid w:val="00C143A2"/>
    <w:rsid w:val="00C15D70"/>
    <w:rsid w:val="00C23512"/>
    <w:rsid w:val="00C34FC4"/>
    <w:rsid w:val="00C373EC"/>
    <w:rsid w:val="00C42014"/>
    <w:rsid w:val="00C51964"/>
    <w:rsid w:val="00C51C42"/>
    <w:rsid w:val="00C52639"/>
    <w:rsid w:val="00C5295D"/>
    <w:rsid w:val="00C52BF2"/>
    <w:rsid w:val="00C536ED"/>
    <w:rsid w:val="00C539DF"/>
    <w:rsid w:val="00C54716"/>
    <w:rsid w:val="00C5759E"/>
    <w:rsid w:val="00C61CA1"/>
    <w:rsid w:val="00C628EE"/>
    <w:rsid w:val="00C630EC"/>
    <w:rsid w:val="00C66381"/>
    <w:rsid w:val="00C71D80"/>
    <w:rsid w:val="00C77BF0"/>
    <w:rsid w:val="00C822D3"/>
    <w:rsid w:val="00C865D6"/>
    <w:rsid w:val="00C877E6"/>
    <w:rsid w:val="00C91422"/>
    <w:rsid w:val="00C93B20"/>
    <w:rsid w:val="00C95CDF"/>
    <w:rsid w:val="00C9739D"/>
    <w:rsid w:val="00C97C97"/>
    <w:rsid w:val="00CA07A0"/>
    <w:rsid w:val="00CA190B"/>
    <w:rsid w:val="00CA30C0"/>
    <w:rsid w:val="00CA4D51"/>
    <w:rsid w:val="00CA553E"/>
    <w:rsid w:val="00CB26EC"/>
    <w:rsid w:val="00CB2A8D"/>
    <w:rsid w:val="00CB4452"/>
    <w:rsid w:val="00CC3162"/>
    <w:rsid w:val="00CC3398"/>
    <w:rsid w:val="00CC341B"/>
    <w:rsid w:val="00CC35DB"/>
    <w:rsid w:val="00CC759D"/>
    <w:rsid w:val="00CD27AA"/>
    <w:rsid w:val="00CD31AD"/>
    <w:rsid w:val="00CD5199"/>
    <w:rsid w:val="00CD7ED8"/>
    <w:rsid w:val="00CE1063"/>
    <w:rsid w:val="00CE3853"/>
    <w:rsid w:val="00CE598A"/>
    <w:rsid w:val="00CE6A38"/>
    <w:rsid w:val="00CF131E"/>
    <w:rsid w:val="00CF59E9"/>
    <w:rsid w:val="00CF5E81"/>
    <w:rsid w:val="00CF6717"/>
    <w:rsid w:val="00CF7BD4"/>
    <w:rsid w:val="00D00654"/>
    <w:rsid w:val="00D015BC"/>
    <w:rsid w:val="00D03D1B"/>
    <w:rsid w:val="00D03EE0"/>
    <w:rsid w:val="00D04ABC"/>
    <w:rsid w:val="00D04E20"/>
    <w:rsid w:val="00D12414"/>
    <w:rsid w:val="00D14922"/>
    <w:rsid w:val="00D14FF7"/>
    <w:rsid w:val="00D268B0"/>
    <w:rsid w:val="00D31B35"/>
    <w:rsid w:val="00D32432"/>
    <w:rsid w:val="00D34237"/>
    <w:rsid w:val="00D350F0"/>
    <w:rsid w:val="00D35E9F"/>
    <w:rsid w:val="00D35F37"/>
    <w:rsid w:val="00D36F8D"/>
    <w:rsid w:val="00D41D1A"/>
    <w:rsid w:val="00D43237"/>
    <w:rsid w:val="00D50836"/>
    <w:rsid w:val="00D5127A"/>
    <w:rsid w:val="00D51FB0"/>
    <w:rsid w:val="00D524F0"/>
    <w:rsid w:val="00D56D24"/>
    <w:rsid w:val="00D56D61"/>
    <w:rsid w:val="00D61267"/>
    <w:rsid w:val="00D62A47"/>
    <w:rsid w:val="00D66C66"/>
    <w:rsid w:val="00D73F89"/>
    <w:rsid w:val="00D74C98"/>
    <w:rsid w:val="00D76DE9"/>
    <w:rsid w:val="00D803D0"/>
    <w:rsid w:val="00D80C62"/>
    <w:rsid w:val="00D835C0"/>
    <w:rsid w:val="00D86514"/>
    <w:rsid w:val="00D9347C"/>
    <w:rsid w:val="00D93D28"/>
    <w:rsid w:val="00D978AD"/>
    <w:rsid w:val="00DA19C6"/>
    <w:rsid w:val="00DB5190"/>
    <w:rsid w:val="00DB7D61"/>
    <w:rsid w:val="00DB7F98"/>
    <w:rsid w:val="00DC0619"/>
    <w:rsid w:val="00DC0C6C"/>
    <w:rsid w:val="00DC6FF1"/>
    <w:rsid w:val="00DD1B95"/>
    <w:rsid w:val="00DD2CA8"/>
    <w:rsid w:val="00DD3131"/>
    <w:rsid w:val="00DE406B"/>
    <w:rsid w:val="00DF11FF"/>
    <w:rsid w:val="00DF3B7A"/>
    <w:rsid w:val="00DF5678"/>
    <w:rsid w:val="00DF61BD"/>
    <w:rsid w:val="00DF6AED"/>
    <w:rsid w:val="00E01CDE"/>
    <w:rsid w:val="00E01D76"/>
    <w:rsid w:val="00E04F44"/>
    <w:rsid w:val="00E0564D"/>
    <w:rsid w:val="00E06CC0"/>
    <w:rsid w:val="00E11F12"/>
    <w:rsid w:val="00E139B6"/>
    <w:rsid w:val="00E14A81"/>
    <w:rsid w:val="00E17736"/>
    <w:rsid w:val="00E21FCE"/>
    <w:rsid w:val="00E2283E"/>
    <w:rsid w:val="00E2292F"/>
    <w:rsid w:val="00E22B37"/>
    <w:rsid w:val="00E26BD6"/>
    <w:rsid w:val="00E27A39"/>
    <w:rsid w:val="00E27DE2"/>
    <w:rsid w:val="00E334A5"/>
    <w:rsid w:val="00E377D0"/>
    <w:rsid w:val="00E53F8F"/>
    <w:rsid w:val="00E53FEC"/>
    <w:rsid w:val="00E54276"/>
    <w:rsid w:val="00E56B85"/>
    <w:rsid w:val="00E57E09"/>
    <w:rsid w:val="00E621E5"/>
    <w:rsid w:val="00E6310E"/>
    <w:rsid w:val="00E633BF"/>
    <w:rsid w:val="00E63F9E"/>
    <w:rsid w:val="00E64B3F"/>
    <w:rsid w:val="00E66612"/>
    <w:rsid w:val="00E723FF"/>
    <w:rsid w:val="00E77B33"/>
    <w:rsid w:val="00E81449"/>
    <w:rsid w:val="00E831E7"/>
    <w:rsid w:val="00E8511E"/>
    <w:rsid w:val="00E86EBA"/>
    <w:rsid w:val="00E936C4"/>
    <w:rsid w:val="00E95EF3"/>
    <w:rsid w:val="00EA0847"/>
    <w:rsid w:val="00EA2764"/>
    <w:rsid w:val="00EA4A6E"/>
    <w:rsid w:val="00EA4E47"/>
    <w:rsid w:val="00EA5A70"/>
    <w:rsid w:val="00EA65F2"/>
    <w:rsid w:val="00EB1DF9"/>
    <w:rsid w:val="00EB2F5F"/>
    <w:rsid w:val="00EC404D"/>
    <w:rsid w:val="00EC5E43"/>
    <w:rsid w:val="00EC77F3"/>
    <w:rsid w:val="00ED2AE9"/>
    <w:rsid w:val="00ED5744"/>
    <w:rsid w:val="00EE5465"/>
    <w:rsid w:val="00EF014E"/>
    <w:rsid w:val="00EF10E8"/>
    <w:rsid w:val="00EF369E"/>
    <w:rsid w:val="00EF773C"/>
    <w:rsid w:val="00F01B8D"/>
    <w:rsid w:val="00F03AC0"/>
    <w:rsid w:val="00F11CB0"/>
    <w:rsid w:val="00F1295A"/>
    <w:rsid w:val="00F15655"/>
    <w:rsid w:val="00F15F10"/>
    <w:rsid w:val="00F209AC"/>
    <w:rsid w:val="00F21A55"/>
    <w:rsid w:val="00F21F36"/>
    <w:rsid w:val="00F25889"/>
    <w:rsid w:val="00F31EA5"/>
    <w:rsid w:val="00F36D08"/>
    <w:rsid w:val="00F379F3"/>
    <w:rsid w:val="00F4263B"/>
    <w:rsid w:val="00F43D6E"/>
    <w:rsid w:val="00F55EFE"/>
    <w:rsid w:val="00F60BB4"/>
    <w:rsid w:val="00F65072"/>
    <w:rsid w:val="00F664AB"/>
    <w:rsid w:val="00F73BAA"/>
    <w:rsid w:val="00F76394"/>
    <w:rsid w:val="00F804F1"/>
    <w:rsid w:val="00F85C9F"/>
    <w:rsid w:val="00F92BFA"/>
    <w:rsid w:val="00F93B21"/>
    <w:rsid w:val="00F93C9A"/>
    <w:rsid w:val="00F93F76"/>
    <w:rsid w:val="00F95DF5"/>
    <w:rsid w:val="00FA0AB8"/>
    <w:rsid w:val="00FA0BF6"/>
    <w:rsid w:val="00FB25AD"/>
    <w:rsid w:val="00FB5227"/>
    <w:rsid w:val="00FB5AD8"/>
    <w:rsid w:val="00FB60B4"/>
    <w:rsid w:val="00FB62BD"/>
    <w:rsid w:val="00FB67D0"/>
    <w:rsid w:val="00FC2D4B"/>
    <w:rsid w:val="00FE3DC7"/>
    <w:rsid w:val="00FE409B"/>
    <w:rsid w:val="00FE4539"/>
    <w:rsid w:val="00FE5E4B"/>
    <w:rsid w:val="00FF075F"/>
    <w:rsid w:val="00FF7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style="mso-position-horizontal-relative:margin;mso-position-vertical-relative:margin;mso-height-relative:margin" fillcolor="none [3204]" stroke="f" strokecolor="none [3213]">
      <v:fill color="none [3204]"/>
      <v:stroke color="none [3213]" weight="1.5pt" on="f"/>
      <v:shadow color="none [3209]" opacity=".5" offset="-15pt,0" offset2="-18pt,12pt"/>
      <v:textbox inset="21.6pt,21.6pt,21.6pt,21.6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toc 1" w:uiPriority="39"/>
    <w:lsdException w:name="toc 2" w:uiPriority="39"/>
    <w:lsdException w:name="toc 3" w:uiPriority="39"/>
    <w:lsdException w:name="footnote text" w:uiPriority="99"/>
    <w:lsdException w:name="header" w:uiPriority="99"/>
    <w:lsdException w:name="footer" w:uiPriority="99"/>
    <w:lsdException w:name="table of figures" w:uiPriority="99"/>
    <w:lsdException w:name="footnote reference" w:uiPriority="99"/>
    <w:lsdException w:name="Hyperlink" w:uiPriority="99"/>
    <w:lsdException w:name="List Paragraph" w:uiPriority="34" w:qFormat="1"/>
  </w:latentStyles>
  <w:style w:type="paragraph" w:default="1" w:styleId="Normal">
    <w:name w:val="Normal"/>
    <w:qFormat/>
    <w:rsid w:val="0098603F"/>
  </w:style>
  <w:style w:type="paragraph" w:styleId="Heading1">
    <w:name w:val="heading 1"/>
    <w:basedOn w:val="Normal"/>
    <w:next w:val="Normal"/>
    <w:link w:val="Heading1Char"/>
    <w:uiPriority w:val="9"/>
    <w:qFormat/>
    <w:rsid w:val="00DB7F98"/>
    <w:pPr>
      <w:keepNext/>
      <w:keepLines/>
      <w:numPr>
        <w:numId w:val="1"/>
      </w:numPr>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517669"/>
    <w:pPr>
      <w:keepNext/>
      <w:keepLines/>
      <w:numPr>
        <w:ilvl w:val="1"/>
        <w:numId w:val="1"/>
      </w:numPr>
      <w:spacing w:before="200" w:after="0"/>
      <w:outlineLvl w:val="1"/>
    </w:pPr>
    <w:rPr>
      <w:rFonts w:ascii="Times New Roman" w:eastAsiaTheme="majorEastAsia" w:hAnsi="Times New Roman" w:cstheme="majorBidi"/>
      <w:b/>
      <w:bCs/>
      <w:sz w:val="28"/>
      <w:szCs w:val="26"/>
    </w:rPr>
  </w:style>
  <w:style w:type="paragraph" w:styleId="Heading3">
    <w:name w:val="heading 3"/>
    <w:basedOn w:val="Normal"/>
    <w:next w:val="Normal"/>
    <w:link w:val="Heading3Char"/>
    <w:unhideWhenUsed/>
    <w:qFormat/>
    <w:rsid w:val="007671C3"/>
    <w:pPr>
      <w:keepNext/>
      <w:keepLines/>
      <w:numPr>
        <w:ilvl w:val="2"/>
        <w:numId w:val="1"/>
      </w:numPr>
      <w:spacing w:before="200" w:after="0"/>
      <w:ind w:left="1440"/>
      <w:outlineLvl w:val="2"/>
    </w:pPr>
    <w:rPr>
      <w:rFonts w:ascii="Times New Roman" w:eastAsiaTheme="majorEastAsia" w:hAnsi="Times New Roman" w:cstheme="majorBidi"/>
      <w:b/>
      <w:bCs/>
      <w:sz w:val="28"/>
    </w:rPr>
  </w:style>
  <w:style w:type="paragraph" w:styleId="Heading4">
    <w:name w:val="heading 4"/>
    <w:basedOn w:val="Normal"/>
    <w:next w:val="Normal"/>
    <w:link w:val="Heading4Char"/>
    <w:rsid w:val="008A3E6C"/>
    <w:pPr>
      <w:keepNext/>
      <w:keepLines/>
      <w:numPr>
        <w:numId w:val="14"/>
      </w:numPr>
      <w:spacing w:before="200" w:after="0"/>
      <w:outlineLvl w:val="3"/>
    </w:pPr>
    <w:rPr>
      <w:rFonts w:asciiTheme="majorHAnsi" w:eastAsiaTheme="majorEastAsia" w:hAnsiTheme="majorHAnsi" w:cstheme="majorBidi"/>
      <w:b/>
      <w:bCs/>
      <w:i/>
      <w:iCs/>
      <w:color w:val="000000" w:themeColor="text1"/>
      <w:sz w:val="28"/>
    </w:rPr>
  </w:style>
  <w:style w:type="paragraph" w:styleId="Heading5">
    <w:name w:val="heading 5"/>
    <w:basedOn w:val="Normal"/>
    <w:next w:val="Normal"/>
    <w:link w:val="Heading5Char"/>
    <w:rsid w:val="00741199"/>
    <w:pPr>
      <w:keepNext/>
      <w:keepLines/>
      <w:numPr>
        <w:ilvl w:val="4"/>
        <w:numId w:val="1"/>
      </w:numPr>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rsid w:val="00741199"/>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rsid w:val="0074119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741199"/>
    <w:pPr>
      <w:keepNext/>
      <w:keepLines/>
      <w:numPr>
        <w:ilvl w:val="7"/>
        <w:numId w:val="1"/>
      </w:numPr>
      <w:spacing w:before="200" w:after="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rsid w:val="00741199"/>
    <w:pPr>
      <w:keepNext/>
      <w:keepLines/>
      <w:numPr>
        <w:ilvl w:val="8"/>
        <w:numId w:val="1"/>
      </w:numPr>
      <w:spacing w:before="200" w:after="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F98"/>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517669"/>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rsid w:val="007671C3"/>
    <w:rPr>
      <w:rFonts w:ascii="Times New Roman" w:eastAsiaTheme="majorEastAsia" w:hAnsi="Times New Roman" w:cstheme="majorBidi"/>
      <w:b/>
      <w:bCs/>
      <w:sz w:val="28"/>
    </w:rPr>
  </w:style>
  <w:style w:type="character" w:customStyle="1" w:styleId="Heading4Char">
    <w:name w:val="Heading 4 Char"/>
    <w:basedOn w:val="DefaultParagraphFont"/>
    <w:link w:val="Heading4"/>
    <w:rsid w:val="008A3E6C"/>
    <w:rPr>
      <w:rFonts w:asciiTheme="majorHAnsi" w:eastAsiaTheme="majorEastAsia" w:hAnsiTheme="majorHAnsi" w:cstheme="majorBidi"/>
      <w:b/>
      <w:bCs/>
      <w:i/>
      <w:iCs/>
      <w:color w:val="000000" w:themeColor="text1"/>
      <w:sz w:val="28"/>
    </w:rPr>
  </w:style>
  <w:style w:type="character" w:customStyle="1" w:styleId="Heading5Char">
    <w:name w:val="Heading 5 Char"/>
    <w:basedOn w:val="DefaultParagraphFont"/>
    <w:link w:val="Heading5"/>
    <w:rsid w:val="00741199"/>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rsid w:val="00741199"/>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rsid w:val="0074119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741199"/>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rsid w:val="00741199"/>
    <w:rPr>
      <w:rFonts w:asciiTheme="majorHAnsi" w:eastAsiaTheme="majorEastAsia" w:hAnsiTheme="majorHAnsi" w:cstheme="majorBidi"/>
      <w:i/>
      <w:iCs/>
      <w:color w:val="363636" w:themeColor="text1" w:themeTint="C9"/>
      <w:sz w:val="20"/>
      <w:szCs w:val="20"/>
    </w:rPr>
  </w:style>
  <w:style w:type="paragraph" w:styleId="BalloonText">
    <w:name w:val="Balloon Text"/>
    <w:basedOn w:val="Normal"/>
    <w:link w:val="BalloonTextChar1"/>
    <w:uiPriority w:val="99"/>
    <w:unhideWhenUsed/>
    <w:rsid w:val="00884D75"/>
    <w:pPr>
      <w:spacing w:after="0" w:line="240" w:lineRule="auto"/>
    </w:pPr>
    <w:rPr>
      <w:rFonts w:ascii="Lucida Grande" w:hAnsi="Lucida Grande"/>
      <w:sz w:val="18"/>
      <w:szCs w:val="18"/>
    </w:rPr>
  </w:style>
  <w:style w:type="character" w:customStyle="1" w:styleId="BalloonTextChar1">
    <w:name w:val="Balloon Text Char1"/>
    <w:basedOn w:val="DefaultParagraphFont"/>
    <w:link w:val="BalloonText"/>
    <w:uiPriority w:val="99"/>
    <w:rsid w:val="00884D75"/>
    <w:rPr>
      <w:rFonts w:ascii="Lucida Grande" w:hAnsi="Lucida Grande"/>
      <w:sz w:val="18"/>
      <w:szCs w:val="18"/>
    </w:rPr>
  </w:style>
  <w:style w:type="character" w:customStyle="1" w:styleId="BalloonTextChar">
    <w:name w:val="Balloon Text Char"/>
    <w:basedOn w:val="DefaultParagraphFont"/>
    <w:uiPriority w:val="99"/>
    <w:semiHidden/>
    <w:rsid w:val="002B54AE"/>
    <w:rPr>
      <w:rFonts w:ascii="Lucida Grande" w:hAnsi="Lucida Grande"/>
      <w:sz w:val="18"/>
      <w:szCs w:val="18"/>
    </w:rPr>
  </w:style>
  <w:style w:type="character" w:customStyle="1" w:styleId="BalloonTextChar7">
    <w:name w:val="Balloon Text Char7"/>
    <w:basedOn w:val="DefaultParagraphFont"/>
    <w:uiPriority w:val="99"/>
    <w:semiHidden/>
    <w:rsid w:val="00D07380"/>
    <w:rPr>
      <w:rFonts w:ascii="Lucida Grande" w:hAnsi="Lucida Grande"/>
      <w:sz w:val="18"/>
      <w:szCs w:val="18"/>
    </w:rPr>
  </w:style>
  <w:style w:type="character" w:customStyle="1" w:styleId="BalloonTextChar6">
    <w:name w:val="Balloon Text Char6"/>
    <w:basedOn w:val="DefaultParagraphFont"/>
    <w:uiPriority w:val="99"/>
    <w:semiHidden/>
    <w:rsid w:val="00D07380"/>
    <w:rPr>
      <w:rFonts w:ascii="Lucida Grande" w:hAnsi="Lucida Grande"/>
      <w:sz w:val="18"/>
      <w:szCs w:val="18"/>
    </w:rPr>
  </w:style>
  <w:style w:type="character" w:customStyle="1" w:styleId="BalloonTextChar5">
    <w:name w:val="Balloon Text Char5"/>
    <w:basedOn w:val="DefaultParagraphFont"/>
    <w:uiPriority w:val="99"/>
    <w:semiHidden/>
    <w:rsid w:val="00CF347F"/>
    <w:rPr>
      <w:rFonts w:ascii="Lucida Grande" w:hAnsi="Lucida Grande"/>
      <w:sz w:val="18"/>
      <w:szCs w:val="18"/>
    </w:rPr>
  </w:style>
  <w:style w:type="character" w:customStyle="1" w:styleId="BalloonTextChar4">
    <w:name w:val="Balloon Text Char4"/>
    <w:basedOn w:val="DefaultParagraphFont"/>
    <w:uiPriority w:val="99"/>
    <w:semiHidden/>
    <w:rsid w:val="000946DD"/>
    <w:rPr>
      <w:rFonts w:ascii="Lucida Grande" w:hAnsi="Lucida Grande"/>
      <w:sz w:val="18"/>
      <w:szCs w:val="18"/>
    </w:rPr>
  </w:style>
  <w:style w:type="character" w:customStyle="1" w:styleId="BalloonTextChar3">
    <w:name w:val="Balloon Text Char3"/>
    <w:basedOn w:val="DefaultParagraphFont"/>
    <w:uiPriority w:val="99"/>
    <w:rsid w:val="00D467E1"/>
    <w:rPr>
      <w:rFonts w:ascii="Lucida Grande" w:hAnsi="Lucida Grande"/>
      <w:sz w:val="18"/>
      <w:szCs w:val="18"/>
    </w:rPr>
  </w:style>
  <w:style w:type="character" w:customStyle="1" w:styleId="BalloonTextChar2">
    <w:name w:val="Balloon Text Char2"/>
    <w:basedOn w:val="DefaultParagraphFont"/>
    <w:uiPriority w:val="99"/>
    <w:semiHidden/>
    <w:rsid w:val="00E93969"/>
    <w:rPr>
      <w:rFonts w:ascii="Lucida Grande" w:hAnsi="Lucida Grande"/>
      <w:sz w:val="18"/>
      <w:szCs w:val="18"/>
    </w:rPr>
  </w:style>
  <w:style w:type="paragraph" w:styleId="ListParagraph">
    <w:name w:val="List Paragraph"/>
    <w:basedOn w:val="Normal"/>
    <w:uiPriority w:val="34"/>
    <w:qFormat/>
    <w:rsid w:val="00736FEF"/>
    <w:pPr>
      <w:ind w:left="720"/>
      <w:contextualSpacing/>
    </w:pPr>
  </w:style>
  <w:style w:type="character" w:styleId="CommentReference">
    <w:name w:val="annotation reference"/>
    <w:basedOn w:val="DefaultParagraphFont"/>
    <w:uiPriority w:val="99"/>
    <w:unhideWhenUsed/>
    <w:rsid w:val="00884D75"/>
    <w:rPr>
      <w:sz w:val="18"/>
      <w:szCs w:val="18"/>
    </w:rPr>
  </w:style>
  <w:style w:type="paragraph" w:styleId="CommentText">
    <w:name w:val="annotation text"/>
    <w:basedOn w:val="Normal"/>
    <w:link w:val="CommentTextChar"/>
    <w:uiPriority w:val="99"/>
    <w:unhideWhenUsed/>
    <w:rsid w:val="00884D75"/>
    <w:pPr>
      <w:spacing w:line="240" w:lineRule="auto"/>
    </w:pPr>
    <w:rPr>
      <w:sz w:val="24"/>
      <w:szCs w:val="24"/>
    </w:rPr>
  </w:style>
  <w:style w:type="character" w:customStyle="1" w:styleId="CommentTextChar">
    <w:name w:val="Comment Text Char"/>
    <w:basedOn w:val="DefaultParagraphFont"/>
    <w:link w:val="CommentText"/>
    <w:uiPriority w:val="99"/>
    <w:rsid w:val="00884D75"/>
    <w:rPr>
      <w:sz w:val="24"/>
      <w:szCs w:val="24"/>
    </w:rPr>
  </w:style>
  <w:style w:type="paragraph" w:styleId="CommentSubject">
    <w:name w:val="annotation subject"/>
    <w:basedOn w:val="CommentText"/>
    <w:next w:val="CommentText"/>
    <w:link w:val="CommentSubjectChar"/>
    <w:uiPriority w:val="99"/>
    <w:unhideWhenUsed/>
    <w:rsid w:val="00884D75"/>
    <w:rPr>
      <w:b/>
      <w:bCs/>
      <w:sz w:val="20"/>
      <w:szCs w:val="20"/>
    </w:rPr>
  </w:style>
  <w:style w:type="character" w:customStyle="1" w:styleId="CommentSubjectChar">
    <w:name w:val="Comment Subject Char"/>
    <w:basedOn w:val="CommentTextChar"/>
    <w:link w:val="CommentSubject"/>
    <w:uiPriority w:val="99"/>
    <w:rsid w:val="00884D75"/>
    <w:rPr>
      <w:b/>
      <w:bCs/>
      <w:sz w:val="20"/>
      <w:szCs w:val="20"/>
    </w:rPr>
  </w:style>
  <w:style w:type="paragraph" w:styleId="FootnoteText">
    <w:name w:val="footnote text"/>
    <w:aliases w:val="fn,Footnote,Fußnote,FSR footnote,lábléc,single space,FOOTNOTES,Footnote Text Char Char Char Char Char Char,Footnote Text Char2 Char,Footnote Text Char1 Char Char,Footnote Text Char Char Char Char,Footnote Text Char1,ft,A,text,footnote text"/>
    <w:basedOn w:val="Normal"/>
    <w:link w:val="FootnoteTextChar"/>
    <w:uiPriority w:val="99"/>
    <w:unhideWhenUsed/>
    <w:rsid w:val="00434225"/>
    <w:pPr>
      <w:spacing w:after="0" w:line="240" w:lineRule="auto"/>
    </w:pPr>
    <w:rPr>
      <w:sz w:val="24"/>
      <w:szCs w:val="24"/>
    </w:rPr>
  </w:style>
  <w:style w:type="character" w:customStyle="1" w:styleId="FootnoteTextChar">
    <w:name w:val="Footnote Text Char"/>
    <w:aliases w:val="fn Char,Footnote Char,Fußnote Char,FSR footnote Char,lábléc Char,single space Char,FOOTNOTES Char,Footnote Text Char Char Char Char Char Char Char,Footnote Text Char2 Char Char,Footnote Text Char1 Char Char Char,ft Char,A Char"/>
    <w:basedOn w:val="DefaultParagraphFont"/>
    <w:link w:val="FootnoteText"/>
    <w:uiPriority w:val="99"/>
    <w:rsid w:val="00434225"/>
    <w:rPr>
      <w:sz w:val="24"/>
      <w:szCs w:val="24"/>
    </w:rPr>
  </w:style>
  <w:style w:type="character" w:styleId="FootnoteReference">
    <w:name w:val="footnote reference"/>
    <w:aliases w:val="Footnote Reference Number,Footnote Reference_LVL6,Footnote Reference_LVL61,Footnote Reference_LVL62,Footnote Reference_LVL63,Footnote Reference_LVL64,fr,ftref"/>
    <w:basedOn w:val="DefaultParagraphFont"/>
    <w:uiPriority w:val="99"/>
    <w:unhideWhenUsed/>
    <w:rsid w:val="00434225"/>
    <w:rPr>
      <w:vertAlign w:val="superscript"/>
    </w:rPr>
  </w:style>
  <w:style w:type="table" w:styleId="TableGrid">
    <w:name w:val="Table Grid"/>
    <w:basedOn w:val="TableNormal"/>
    <w:uiPriority w:val="59"/>
    <w:rsid w:val="00172B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3EC8"/>
    <w:rPr>
      <w:color w:val="0000FF" w:themeColor="hyperlink"/>
      <w:u w:val="single"/>
    </w:rPr>
  </w:style>
  <w:style w:type="paragraph" w:styleId="NormalWeb">
    <w:name w:val="Normal (Web)"/>
    <w:basedOn w:val="Normal"/>
    <w:uiPriority w:val="99"/>
    <w:unhideWhenUsed/>
    <w:rsid w:val="00693E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3EC8"/>
    <w:rPr>
      <w:b/>
      <w:bCs/>
    </w:rPr>
  </w:style>
  <w:style w:type="paragraph" w:customStyle="1" w:styleId="Default">
    <w:name w:val="Default"/>
    <w:rsid w:val="00693EC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693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EC8"/>
  </w:style>
  <w:style w:type="paragraph" w:styleId="Footer">
    <w:name w:val="footer"/>
    <w:basedOn w:val="Normal"/>
    <w:link w:val="FooterChar"/>
    <w:uiPriority w:val="99"/>
    <w:unhideWhenUsed/>
    <w:rsid w:val="00693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EC8"/>
  </w:style>
  <w:style w:type="paragraph" w:styleId="TOCHeading">
    <w:name w:val="TOC Heading"/>
    <w:basedOn w:val="Heading1"/>
    <w:next w:val="Normal"/>
    <w:uiPriority w:val="39"/>
    <w:unhideWhenUsed/>
    <w:qFormat/>
    <w:rsid w:val="00693EC8"/>
    <w:pPr>
      <w:numPr>
        <w:numId w:val="0"/>
      </w:numPr>
      <w:outlineLvl w:val="9"/>
    </w:pPr>
  </w:style>
  <w:style w:type="paragraph" w:styleId="TOC1">
    <w:name w:val="toc 1"/>
    <w:basedOn w:val="Normal"/>
    <w:next w:val="Normal"/>
    <w:autoRedefine/>
    <w:uiPriority w:val="39"/>
    <w:unhideWhenUsed/>
    <w:rsid w:val="0098603F"/>
    <w:pPr>
      <w:spacing w:after="0"/>
    </w:pPr>
    <w:rPr>
      <w:rFonts w:ascii="Times New Roman" w:hAnsi="Times New Roman"/>
    </w:rPr>
  </w:style>
  <w:style w:type="paragraph" w:styleId="TOC3">
    <w:name w:val="toc 3"/>
    <w:basedOn w:val="Normal"/>
    <w:next w:val="Normal"/>
    <w:autoRedefine/>
    <w:uiPriority w:val="39"/>
    <w:unhideWhenUsed/>
    <w:rsid w:val="0098603F"/>
    <w:pPr>
      <w:tabs>
        <w:tab w:val="left" w:pos="1320"/>
        <w:tab w:val="right" w:leader="dot" w:pos="9350"/>
      </w:tabs>
      <w:spacing w:after="0"/>
      <w:ind w:left="1296" w:hanging="864"/>
    </w:pPr>
    <w:rPr>
      <w:rFonts w:ascii="Times New Roman" w:hAnsi="Times New Roman"/>
    </w:rPr>
  </w:style>
  <w:style w:type="paragraph" w:styleId="TOC2">
    <w:name w:val="toc 2"/>
    <w:basedOn w:val="Normal"/>
    <w:next w:val="Normal"/>
    <w:autoRedefine/>
    <w:uiPriority w:val="39"/>
    <w:unhideWhenUsed/>
    <w:rsid w:val="0098603F"/>
    <w:pPr>
      <w:tabs>
        <w:tab w:val="left" w:pos="880"/>
        <w:tab w:val="right" w:leader="dot" w:pos="9350"/>
      </w:tabs>
      <w:spacing w:after="0"/>
      <w:ind w:left="216"/>
    </w:pPr>
    <w:rPr>
      <w:rFonts w:ascii="Times New Roman" w:hAnsi="Times New Roman"/>
    </w:rPr>
  </w:style>
  <w:style w:type="paragraph" w:styleId="DocumentMap">
    <w:name w:val="Document Map"/>
    <w:basedOn w:val="Normal"/>
    <w:link w:val="DocumentMapChar"/>
    <w:uiPriority w:val="99"/>
    <w:unhideWhenUsed/>
    <w:rsid w:val="00693EC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693EC8"/>
    <w:rPr>
      <w:rFonts w:ascii="Tahoma" w:hAnsi="Tahoma" w:cs="Tahoma"/>
      <w:sz w:val="16"/>
      <w:szCs w:val="16"/>
    </w:rPr>
  </w:style>
  <w:style w:type="paragraph" w:styleId="BodyText">
    <w:name w:val="Body Text"/>
    <w:basedOn w:val="Normal"/>
    <w:link w:val="BodyTextChar"/>
    <w:uiPriority w:val="99"/>
    <w:unhideWhenUsed/>
    <w:rsid w:val="006F00DB"/>
    <w:pPr>
      <w:spacing w:after="120"/>
    </w:pPr>
    <w:rPr>
      <w:rFonts w:ascii="Calibri" w:eastAsia="Calibri" w:hAnsi="Calibri" w:cs="Times New Roman"/>
      <w:lang w:val="es-ES"/>
    </w:rPr>
  </w:style>
  <w:style w:type="character" w:customStyle="1" w:styleId="BodyTextChar">
    <w:name w:val="Body Text Char"/>
    <w:basedOn w:val="DefaultParagraphFont"/>
    <w:link w:val="BodyText"/>
    <w:uiPriority w:val="99"/>
    <w:rsid w:val="006F00DB"/>
    <w:rPr>
      <w:rFonts w:ascii="Calibri" w:eastAsia="Calibri" w:hAnsi="Calibri" w:cs="Times New Roman"/>
      <w:lang w:val="es-ES"/>
    </w:rPr>
  </w:style>
  <w:style w:type="paragraph" w:customStyle="1" w:styleId="Body">
    <w:name w:val="Body"/>
    <w:basedOn w:val="BodyTextIndent"/>
    <w:link w:val="BodyChar"/>
    <w:uiPriority w:val="99"/>
    <w:rsid w:val="00A00F1E"/>
    <w:pPr>
      <w:widowControl w:val="0"/>
      <w:tabs>
        <w:tab w:val="left" w:pos="0"/>
      </w:tabs>
      <w:suppressAutoHyphens/>
      <w:spacing w:before="120" w:line="240" w:lineRule="auto"/>
      <w:ind w:left="0"/>
      <w:jc w:val="both"/>
    </w:pPr>
    <w:rPr>
      <w:rFonts w:ascii="Times New Roman" w:eastAsia="Times New Roman" w:hAnsi="Times New Roman" w:cs="Times New Roman"/>
      <w:spacing w:val="-3"/>
    </w:rPr>
  </w:style>
  <w:style w:type="paragraph" w:styleId="BodyTextIndent">
    <w:name w:val="Body Text Indent"/>
    <w:basedOn w:val="Normal"/>
    <w:link w:val="BodyTextIndentChar"/>
    <w:rsid w:val="00A00F1E"/>
    <w:pPr>
      <w:spacing w:after="120"/>
      <w:ind w:left="360"/>
    </w:pPr>
  </w:style>
  <w:style w:type="character" w:customStyle="1" w:styleId="BodyTextIndentChar">
    <w:name w:val="Body Text Indent Char"/>
    <w:basedOn w:val="DefaultParagraphFont"/>
    <w:link w:val="BodyTextIndent"/>
    <w:rsid w:val="00A00F1E"/>
  </w:style>
  <w:style w:type="character" w:customStyle="1" w:styleId="BodyChar">
    <w:name w:val="Body Char"/>
    <w:link w:val="Body"/>
    <w:uiPriority w:val="99"/>
    <w:locked/>
    <w:rsid w:val="00A00F1E"/>
    <w:rPr>
      <w:rFonts w:ascii="Times New Roman" w:eastAsia="Times New Roman" w:hAnsi="Times New Roman" w:cs="Times New Roman"/>
      <w:spacing w:val="-3"/>
    </w:rPr>
  </w:style>
  <w:style w:type="paragraph" w:customStyle="1" w:styleId="ParagraphNumbering">
    <w:name w:val="Paragraph Numbering"/>
    <w:basedOn w:val="Normal"/>
    <w:link w:val="ParagraphNumberingChar"/>
    <w:uiPriority w:val="1"/>
    <w:qFormat/>
    <w:rsid w:val="00F73FA1"/>
    <w:pPr>
      <w:numPr>
        <w:numId w:val="3"/>
      </w:numPr>
      <w:tabs>
        <w:tab w:val="clear" w:pos="4680"/>
        <w:tab w:val="num" w:pos="810"/>
      </w:tabs>
      <w:spacing w:after="240" w:line="240" w:lineRule="auto"/>
      <w:ind w:left="90"/>
    </w:pPr>
    <w:rPr>
      <w:rFonts w:ascii="Times New Roman" w:eastAsia="Times New Roman" w:hAnsi="Times New Roman" w:cs="Times New Roman"/>
      <w:sz w:val="24"/>
      <w:szCs w:val="24"/>
    </w:rPr>
  </w:style>
  <w:style w:type="character" w:customStyle="1" w:styleId="ParagraphNumberingChar">
    <w:name w:val="Paragraph Numbering Char"/>
    <w:basedOn w:val="DefaultParagraphFont"/>
    <w:link w:val="ParagraphNumbering"/>
    <w:uiPriority w:val="1"/>
    <w:rsid w:val="00F73FA1"/>
    <w:rPr>
      <w:rFonts w:ascii="Times New Roman" w:eastAsia="Times New Roman" w:hAnsi="Times New Roman" w:cs="Times New Roman"/>
      <w:sz w:val="24"/>
      <w:szCs w:val="24"/>
    </w:rPr>
  </w:style>
  <w:style w:type="paragraph" w:styleId="ListBullet">
    <w:name w:val="List Bullet"/>
    <w:basedOn w:val="Normal"/>
    <w:qFormat/>
    <w:rsid w:val="00B60E88"/>
    <w:pPr>
      <w:numPr>
        <w:numId w:val="4"/>
      </w:numPr>
      <w:spacing w:after="240" w:line="240" w:lineRule="auto"/>
    </w:pPr>
    <w:rPr>
      <w:rFonts w:ascii="Times New Roman" w:eastAsia="Times New Roman" w:hAnsi="Times New Roman" w:cs="Times New Roman"/>
      <w:sz w:val="24"/>
      <w:szCs w:val="24"/>
    </w:rPr>
  </w:style>
  <w:style w:type="paragraph" w:styleId="ListNumber">
    <w:name w:val="List Number"/>
    <w:basedOn w:val="Normal"/>
    <w:uiPriority w:val="8"/>
    <w:rsid w:val="00286E09"/>
    <w:pPr>
      <w:numPr>
        <w:numId w:val="5"/>
      </w:numPr>
      <w:spacing w:after="0" w:line="240" w:lineRule="auto"/>
      <w:contextualSpacing/>
    </w:pPr>
    <w:rPr>
      <w:rFonts w:ascii="Times New Roman" w:eastAsia="Times New Roman" w:hAnsi="Times New Roman" w:cs="Times New Roman"/>
      <w:sz w:val="24"/>
      <w:szCs w:val="24"/>
    </w:rPr>
  </w:style>
  <w:style w:type="paragraph" w:customStyle="1" w:styleId="MainParawithChapter">
    <w:name w:val="Main Para with Chapter#"/>
    <w:basedOn w:val="Normal"/>
    <w:link w:val="MainParawithChapterCharChar"/>
    <w:rsid w:val="00AE37CE"/>
    <w:pPr>
      <w:spacing w:after="240" w:line="240" w:lineRule="auto"/>
      <w:ind w:left="360"/>
      <w:jc w:val="both"/>
      <w:outlineLvl w:val="3"/>
    </w:pPr>
    <w:rPr>
      <w:rFonts w:ascii="Times New Roman" w:eastAsia="Times New Roman" w:hAnsi="Times New Roman" w:cs="Times New Roman"/>
      <w:sz w:val="24"/>
      <w:szCs w:val="24"/>
    </w:rPr>
  </w:style>
  <w:style w:type="character" w:customStyle="1" w:styleId="MainParawithChapterCharChar">
    <w:name w:val="Main Para with Chapter# Char Char"/>
    <w:basedOn w:val="DefaultParagraphFont"/>
    <w:link w:val="MainParawithChapter"/>
    <w:rsid w:val="00AE37CE"/>
    <w:rPr>
      <w:rFonts w:ascii="Times New Roman" w:eastAsia="Times New Roman" w:hAnsi="Times New Roman" w:cs="Times New Roman"/>
      <w:sz w:val="24"/>
      <w:szCs w:val="24"/>
    </w:rPr>
  </w:style>
  <w:style w:type="paragraph" w:styleId="Caption">
    <w:name w:val="caption"/>
    <w:basedOn w:val="Normal"/>
    <w:next w:val="Normal"/>
    <w:rsid w:val="006D6CAA"/>
    <w:pPr>
      <w:spacing w:line="240" w:lineRule="auto"/>
    </w:pPr>
    <w:rPr>
      <w:b/>
      <w:bCs/>
      <w:color w:val="4F81BD" w:themeColor="accent1"/>
      <w:sz w:val="18"/>
      <w:szCs w:val="18"/>
    </w:rPr>
  </w:style>
  <w:style w:type="paragraph" w:styleId="TableofFigures">
    <w:name w:val="table of figures"/>
    <w:basedOn w:val="Normal"/>
    <w:next w:val="Normal"/>
    <w:uiPriority w:val="99"/>
    <w:rsid w:val="0098603F"/>
    <w:pPr>
      <w:spacing w:after="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2326">
      <w:bodyDiv w:val="1"/>
      <w:marLeft w:val="0"/>
      <w:marRight w:val="0"/>
      <w:marTop w:val="0"/>
      <w:marBottom w:val="0"/>
      <w:divBdr>
        <w:top w:val="none" w:sz="0" w:space="0" w:color="auto"/>
        <w:left w:val="none" w:sz="0" w:space="0" w:color="auto"/>
        <w:bottom w:val="none" w:sz="0" w:space="0" w:color="auto"/>
        <w:right w:val="none" w:sz="0" w:space="0" w:color="auto"/>
      </w:divBdr>
      <w:divsChild>
        <w:div w:id="350693122">
          <w:marLeft w:val="0"/>
          <w:marRight w:val="0"/>
          <w:marTop w:val="0"/>
          <w:marBottom w:val="0"/>
          <w:divBdr>
            <w:top w:val="none" w:sz="0" w:space="0" w:color="auto"/>
            <w:left w:val="none" w:sz="0" w:space="0" w:color="auto"/>
            <w:bottom w:val="none" w:sz="0" w:space="0" w:color="auto"/>
            <w:right w:val="none" w:sz="0" w:space="0" w:color="auto"/>
          </w:divBdr>
          <w:divsChild>
            <w:div w:id="1355226645">
              <w:marLeft w:val="0"/>
              <w:marRight w:val="0"/>
              <w:marTop w:val="0"/>
              <w:marBottom w:val="0"/>
              <w:divBdr>
                <w:top w:val="none" w:sz="0" w:space="0" w:color="auto"/>
                <w:left w:val="none" w:sz="0" w:space="0" w:color="auto"/>
                <w:bottom w:val="none" w:sz="0" w:space="0" w:color="auto"/>
                <w:right w:val="none" w:sz="0" w:space="0" w:color="auto"/>
              </w:divBdr>
              <w:divsChild>
                <w:div w:id="1289358159">
                  <w:marLeft w:val="0"/>
                  <w:marRight w:val="0"/>
                  <w:marTop w:val="0"/>
                  <w:marBottom w:val="0"/>
                  <w:divBdr>
                    <w:top w:val="none" w:sz="0" w:space="0" w:color="auto"/>
                    <w:left w:val="none" w:sz="0" w:space="0" w:color="auto"/>
                    <w:bottom w:val="none" w:sz="0" w:space="0" w:color="auto"/>
                    <w:right w:val="none" w:sz="0" w:space="0" w:color="auto"/>
                  </w:divBdr>
                  <w:divsChild>
                    <w:div w:id="1033700027">
                      <w:marLeft w:val="0"/>
                      <w:marRight w:val="0"/>
                      <w:marTop w:val="0"/>
                      <w:marBottom w:val="0"/>
                      <w:divBdr>
                        <w:top w:val="none" w:sz="0" w:space="0" w:color="auto"/>
                        <w:left w:val="none" w:sz="0" w:space="0" w:color="auto"/>
                        <w:bottom w:val="none" w:sz="0" w:space="0" w:color="auto"/>
                        <w:right w:val="none" w:sz="0" w:space="0" w:color="auto"/>
                      </w:divBdr>
                      <w:divsChild>
                        <w:div w:id="1180196709">
                          <w:marLeft w:val="0"/>
                          <w:marRight w:val="0"/>
                          <w:marTop w:val="0"/>
                          <w:marBottom w:val="0"/>
                          <w:divBdr>
                            <w:top w:val="none" w:sz="0" w:space="0" w:color="auto"/>
                            <w:left w:val="none" w:sz="0" w:space="0" w:color="auto"/>
                            <w:bottom w:val="none" w:sz="0" w:space="0" w:color="auto"/>
                            <w:right w:val="none" w:sz="0" w:space="0" w:color="auto"/>
                          </w:divBdr>
                          <w:divsChild>
                            <w:div w:id="571744984">
                              <w:marLeft w:val="0"/>
                              <w:marRight w:val="0"/>
                              <w:marTop w:val="0"/>
                              <w:marBottom w:val="0"/>
                              <w:divBdr>
                                <w:top w:val="none" w:sz="0" w:space="0" w:color="auto"/>
                                <w:left w:val="none" w:sz="0" w:space="0" w:color="auto"/>
                                <w:bottom w:val="none" w:sz="0" w:space="0" w:color="auto"/>
                                <w:right w:val="none" w:sz="0" w:space="0" w:color="auto"/>
                              </w:divBdr>
                              <w:divsChild>
                                <w:div w:id="1174345857">
                                  <w:marLeft w:val="0"/>
                                  <w:marRight w:val="0"/>
                                  <w:marTop w:val="0"/>
                                  <w:marBottom w:val="0"/>
                                  <w:divBdr>
                                    <w:top w:val="none" w:sz="0" w:space="0" w:color="auto"/>
                                    <w:left w:val="none" w:sz="0" w:space="0" w:color="auto"/>
                                    <w:bottom w:val="none" w:sz="0" w:space="0" w:color="auto"/>
                                    <w:right w:val="none" w:sz="0" w:space="0" w:color="auto"/>
                                  </w:divBdr>
                                  <w:divsChild>
                                    <w:div w:id="961620736">
                                      <w:marLeft w:val="0"/>
                                      <w:marRight w:val="0"/>
                                      <w:marTop w:val="0"/>
                                      <w:marBottom w:val="0"/>
                                      <w:divBdr>
                                        <w:top w:val="none" w:sz="0" w:space="0" w:color="auto"/>
                                        <w:left w:val="none" w:sz="0" w:space="0" w:color="auto"/>
                                        <w:bottom w:val="none" w:sz="0" w:space="0" w:color="auto"/>
                                        <w:right w:val="none" w:sz="0" w:space="0" w:color="auto"/>
                                      </w:divBdr>
                                      <w:divsChild>
                                        <w:div w:id="299459305">
                                          <w:marLeft w:val="0"/>
                                          <w:marRight w:val="0"/>
                                          <w:marTop w:val="0"/>
                                          <w:marBottom w:val="0"/>
                                          <w:divBdr>
                                            <w:top w:val="none" w:sz="0" w:space="0" w:color="auto"/>
                                            <w:left w:val="none" w:sz="0" w:space="0" w:color="auto"/>
                                            <w:bottom w:val="none" w:sz="0" w:space="0" w:color="auto"/>
                                            <w:right w:val="none" w:sz="0" w:space="0" w:color="auto"/>
                                          </w:divBdr>
                                          <w:divsChild>
                                            <w:div w:id="53700229">
                                              <w:marLeft w:val="0"/>
                                              <w:marRight w:val="0"/>
                                              <w:marTop w:val="0"/>
                                              <w:marBottom w:val="0"/>
                                              <w:divBdr>
                                                <w:top w:val="none" w:sz="0" w:space="0" w:color="auto"/>
                                                <w:left w:val="none" w:sz="0" w:space="0" w:color="auto"/>
                                                <w:bottom w:val="none" w:sz="0" w:space="0" w:color="auto"/>
                                                <w:right w:val="none" w:sz="0" w:space="0" w:color="auto"/>
                                              </w:divBdr>
                                              <w:divsChild>
                                                <w:div w:id="2119987978">
                                                  <w:marLeft w:val="0"/>
                                                  <w:marRight w:val="0"/>
                                                  <w:marTop w:val="0"/>
                                                  <w:marBottom w:val="0"/>
                                                  <w:divBdr>
                                                    <w:top w:val="none" w:sz="0" w:space="0" w:color="auto"/>
                                                    <w:left w:val="none" w:sz="0" w:space="0" w:color="auto"/>
                                                    <w:bottom w:val="none" w:sz="0" w:space="0" w:color="auto"/>
                                                    <w:right w:val="none" w:sz="0" w:space="0" w:color="auto"/>
                                                  </w:divBdr>
                                                  <w:divsChild>
                                                    <w:div w:id="331221933">
                                                      <w:marLeft w:val="0"/>
                                                      <w:marRight w:val="0"/>
                                                      <w:marTop w:val="0"/>
                                                      <w:marBottom w:val="0"/>
                                                      <w:divBdr>
                                                        <w:top w:val="none" w:sz="0" w:space="0" w:color="auto"/>
                                                        <w:left w:val="none" w:sz="0" w:space="0" w:color="auto"/>
                                                        <w:bottom w:val="none" w:sz="0" w:space="0" w:color="auto"/>
                                                        <w:right w:val="none" w:sz="0" w:space="0" w:color="auto"/>
                                                      </w:divBdr>
                                                      <w:divsChild>
                                                        <w:div w:id="507524887">
                                                          <w:marLeft w:val="0"/>
                                                          <w:marRight w:val="0"/>
                                                          <w:marTop w:val="0"/>
                                                          <w:marBottom w:val="0"/>
                                                          <w:divBdr>
                                                            <w:top w:val="none" w:sz="0" w:space="0" w:color="auto"/>
                                                            <w:left w:val="none" w:sz="0" w:space="0" w:color="auto"/>
                                                            <w:bottom w:val="none" w:sz="0" w:space="0" w:color="auto"/>
                                                            <w:right w:val="none" w:sz="0" w:space="0" w:color="auto"/>
                                                          </w:divBdr>
                                                          <w:divsChild>
                                                            <w:div w:id="2080907607">
                                                              <w:marLeft w:val="0"/>
                                                              <w:marRight w:val="0"/>
                                                              <w:marTop w:val="0"/>
                                                              <w:marBottom w:val="0"/>
                                                              <w:divBdr>
                                                                <w:top w:val="none" w:sz="0" w:space="0" w:color="auto"/>
                                                                <w:left w:val="none" w:sz="0" w:space="0" w:color="auto"/>
                                                                <w:bottom w:val="none" w:sz="0" w:space="0" w:color="auto"/>
                                                                <w:right w:val="none" w:sz="0" w:space="0" w:color="auto"/>
                                                              </w:divBdr>
                                                              <w:divsChild>
                                                                <w:div w:id="1777945645">
                                                                  <w:marLeft w:val="0"/>
                                                                  <w:marRight w:val="0"/>
                                                                  <w:marTop w:val="0"/>
                                                                  <w:marBottom w:val="0"/>
                                                                  <w:divBdr>
                                                                    <w:top w:val="none" w:sz="0" w:space="0" w:color="auto"/>
                                                                    <w:left w:val="none" w:sz="0" w:space="0" w:color="auto"/>
                                                                    <w:bottom w:val="none" w:sz="0" w:space="0" w:color="auto"/>
                                                                    <w:right w:val="none" w:sz="0" w:space="0" w:color="auto"/>
                                                                  </w:divBdr>
                                                                  <w:divsChild>
                                                                    <w:div w:id="1854417285">
                                                                      <w:marLeft w:val="0"/>
                                                                      <w:marRight w:val="0"/>
                                                                      <w:marTop w:val="0"/>
                                                                      <w:marBottom w:val="0"/>
                                                                      <w:divBdr>
                                                                        <w:top w:val="none" w:sz="0" w:space="0" w:color="auto"/>
                                                                        <w:left w:val="none" w:sz="0" w:space="0" w:color="auto"/>
                                                                        <w:bottom w:val="none" w:sz="0" w:space="0" w:color="auto"/>
                                                                        <w:right w:val="none" w:sz="0" w:space="0" w:color="auto"/>
                                                                      </w:divBdr>
                                                                      <w:divsChild>
                                                                        <w:div w:id="1000736918">
                                                                          <w:marLeft w:val="0"/>
                                                                          <w:marRight w:val="0"/>
                                                                          <w:marTop w:val="0"/>
                                                                          <w:marBottom w:val="0"/>
                                                                          <w:divBdr>
                                                                            <w:top w:val="none" w:sz="0" w:space="0" w:color="auto"/>
                                                                            <w:left w:val="none" w:sz="0" w:space="0" w:color="auto"/>
                                                                            <w:bottom w:val="none" w:sz="0" w:space="0" w:color="auto"/>
                                                                            <w:right w:val="none" w:sz="0" w:space="0" w:color="auto"/>
                                                                          </w:divBdr>
                                                                          <w:divsChild>
                                                                            <w:div w:id="1838886209">
                                                                              <w:marLeft w:val="0"/>
                                                                              <w:marRight w:val="0"/>
                                                                              <w:marTop w:val="0"/>
                                                                              <w:marBottom w:val="0"/>
                                                                              <w:divBdr>
                                                                                <w:top w:val="none" w:sz="0" w:space="0" w:color="auto"/>
                                                                                <w:left w:val="none" w:sz="0" w:space="0" w:color="auto"/>
                                                                                <w:bottom w:val="none" w:sz="0" w:space="0" w:color="auto"/>
                                                                                <w:right w:val="none" w:sz="0" w:space="0" w:color="auto"/>
                                                                              </w:divBdr>
                                                                              <w:divsChild>
                                                                                <w:div w:id="1363091031">
                                                                                  <w:marLeft w:val="0"/>
                                                                                  <w:marRight w:val="0"/>
                                                                                  <w:marTop w:val="0"/>
                                                                                  <w:marBottom w:val="0"/>
                                                                                  <w:divBdr>
                                                                                    <w:top w:val="none" w:sz="0" w:space="0" w:color="auto"/>
                                                                                    <w:left w:val="none" w:sz="0" w:space="0" w:color="auto"/>
                                                                                    <w:bottom w:val="none" w:sz="0" w:space="0" w:color="auto"/>
                                                                                    <w:right w:val="none" w:sz="0" w:space="0" w:color="auto"/>
                                                                                  </w:divBdr>
                                                                                  <w:divsChild>
                                                                                    <w:div w:id="1016806099">
                                                                                      <w:marLeft w:val="0"/>
                                                                                      <w:marRight w:val="0"/>
                                                                                      <w:marTop w:val="0"/>
                                                                                      <w:marBottom w:val="0"/>
                                                                                      <w:divBdr>
                                                                                        <w:top w:val="single" w:sz="4" w:space="0" w:color="A7B3BD"/>
                                                                                        <w:left w:val="none" w:sz="0" w:space="0" w:color="auto"/>
                                                                                        <w:bottom w:val="none" w:sz="0" w:space="0" w:color="auto"/>
                                                                                        <w:right w:val="none" w:sz="0" w:space="0" w:color="auto"/>
                                                                                      </w:divBdr>
                                                                                      <w:divsChild>
                                                                                        <w:div w:id="713503479">
                                                                                          <w:marLeft w:val="0"/>
                                                                                          <w:marRight w:val="0"/>
                                                                                          <w:marTop w:val="0"/>
                                                                                          <w:marBottom w:val="0"/>
                                                                                          <w:divBdr>
                                                                                            <w:top w:val="none" w:sz="0" w:space="0" w:color="auto"/>
                                                                                            <w:left w:val="none" w:sz="0" w:space="0" w:color="auto"/>
                                                                                            <w:bottom w:val="none" w:sz="0" w:space="0" w:color="auto"/>
                                                                                            <w:right w:val="none" w:sz="0" w:space="0" w:color="auto"/>
                                                                                          </w:divBdr>
                                                                                          <w:divsChild>
                                                                                            <w:div w:id="2133282679">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13862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766447">
      <w:bodyDiv w:val="1"/>
      <w:marLeft w:val="0"/>
      <w:marRight w:val="0"/>
      <w:marTop w:val="0"/>
      <w:marBottom w:val="0"/>
      <w:divBdr>
        <w:top w:val="none" w:sz="0" w:space="0" w:color="auto"/>
        <w:left w:val="none" w:sz="0" w:space="0" w:color="auto"/>
        <w:bottom w:val="none" w:sz="0" w:space="0" w:color="auto"/>
        <w:right w:val="none" w:sz="0" w:space="0" w:color="auto"/>
      </w:divBdr>
    </w:div>
    <w:div w:id="167336304">
      <w:bodyDiv w:val="1"/>
      <w:marLeft w:val="0"/>
      <w:marRight w:val="0"/>
      <w:marTop w:val="0"/>
      <w:marBottom w:val="0"/>
      <w:divBdr>
        <w:top w:val="none" w:sz="0" w:space="0" w:color="auto"/>
        <w:left w:val="none" w:sz="0" w:space="0" w:color="auto"/>
        <w:bottom w:val="none" w:sz="0" w:space="0" w:color="auto"/>
        <w:right w:val="none" w:sz="0" w:space="0" w:color="auto"/>
      </w:divBdr>
    </w:div>
    <w:div w:id="172375506">
      <w:bodyDiv w:val="1"/>
      <w:marLeft w:val="0"/>
      <w:marRight w:val="0"/>
      <w:marTop w:val="0"/>
      <w:marBottom w:val="0"/>
      <w:divBdr>
        <w:top w:val="none" w:sz="0" w:space="0" w:color="auto"/>
        <w:left w:val="none" w:sz="0" w:space="0" w:color="auto"/>
        <w:bottom w:val="none" w:sz="0" w:space="0" w:color="auto"/>
        <w:right w:val="none" w:sz="0" w:space="0" w:color="auto"/>
      </w:divBdr>
    </w:div>
    <w:div w:id="229467968">
      <w:bodyDiv w:val="1"/>
      <w:marLeft w:val="0"/>
      <w:marRight w:val="0"/>
      <w:marTop w:val="0"/>
      <w:marBottom w:val="0"/>
      <w:divBdr>
        <w:top w:val="none" w:sz="0" w:space="0" w:color="auto"/>
        <w:left w:val="none" w:sz="0" w:space="0" w:color="auto"/>
        <w:bottom w:val="none" w:sz="0" w:space="0" w:color="auto"/>
        <w:right w:val="none" w:sz="0" w:space="0" w:color="auto"/>
      </w:divBdr>
      <w:divsChild>
        <w:div w:id="572156162">
          <w:marLeft w:val="0"/>
          <w:marRight w:val="0"/>
          <w:marTop w:val="0"/>
          <w:marBottom w:val="0"/>
          <w:divBdr>
            <w:top w:val="none" w:sz="0" w:space="0" w:color="auto"/>
            <w:left w:val="none" w:sz="0" w:space="0" w:color="auto"/>
            <w:bottom w:val="none" w:sz="0" w:space="0" w:color="auto"/>
            <w:right w:val="none" w:sz="0" w:space="0" w:color="auto"/>
          </w:divBdr>
          <w:divsChild>
            <w:div w:id="1090346305">
              <w:marLeft w:val="0"/>
              <w:marRight w:val="0"/>
              <w:marTop w:val="0"/>
              <w:marBottom w:val="0"/>
              <w:divBdr>
                <w:top w:val="none" w:sz="0" w:space="0" w:color="auto"/>
                <w:left w:val="none" w:sz="0" w:space="0" w:color="auto"/>
                <w:bottom w:val="none" w:sz="0" w:space="0" w:color="auto"/>
                <w:right w:val="none" w:sz="0" w:space="0" w:color="auto"/>
              </w:divBdr>
              <w:divsChild>
                <w:div w:id="1142188775">
                  <w:marLeft w:val="0"/>
                  <w:marRight w:val="0"/>
                  <w:marTop w:val="0"/>
                  <w:marBottom w:val="0"/>
                  <w:divBdr>
                    <w:top w:val="none" w:sz="0" w:space="0" w:color="auto"/>
                    <w:left w:val="none" w:sz="0" w:space="0" w:color="auto"/>
                    <w:bottom w:val="none" w:sz="0" w:space="0" w:color="auto"/>
                    <w:right w:val="none" w:sz="0" w:space="0" w:color="auto"/>
                  </w:divBdr>
                  <w:divsChild>
                    <w:div w:id="1294480479">
                      <w:marLeft w:val="0"/>
                      <w:marRight w:val="0"/>
                      <w:marTop w:val="0"/>
                      <w:marBottom w:val="0"/>
                      <w:divBdr>
                        <w:top w:val="none" w:sz="0" w:space="0" w:color="auto"/>
                        <w:left w:val="none" w:sz="0" w:space="0" w:color="auto"/>
                        <w:bottom w:val="none" w:sz="0" w:space="0" w:color="auto"/>
                        <w:right w:val="none" w:sz="0" w:space="0" w:color="auto"/>
                      </w:divBdr>
                      <w:divsChild>
                        <w:div w:id="1077942949">
                          <w:marLeft w:val="0"/>
                          <w:marRight w:val="0"/>
                          <w:marTop w:val="0"/>
                          <w:marBottom w:val="0"/>
                          <w:divBdr>
                            <w:top w:val="none" w:sz="0" w:space="0" w:color="auto"/>
                            <w:left w:val="none" w:sz="0" w:space="0" w:color="auto"/>
                            <w:bottom w:val="none" w:sz="0" w:space="0" w:color="auto"/>
                            <w:right w:val="none" w:sz="0" w:space="0" w:color="auto"/>
                          </w:divBdr>
                          <w:divsChild>
                            <w:div w:id="11688354">
                              <w:marLeft w:val="0"/>
                              <w:marRight w:val="0"/>
                              <w:marTop w:val="0"/>
                              <w:marBottom w:val="0"/>
                              <w:divBdr>
                                <w:top w:val="none" w:sz="0" w:space="0" w:color="auto"/>
                                <w:left w:val="none" w:sz="0" w:space="0" w:color="auto"/>
                                <w:bottom w:val="none" w:sz="0" w:space="0" w:color="auto"/>
                                <w:right w:val="none" w:sz="0" w:space="0" w:color="auto"/>
                              </w:divBdr>
                              <w:divsChild>
                                <w:div w:id="134836856">
                                  <w:marLeft w:val="0"/>
                                  <w:marRight w:val="0"/>
                                  <w:marTop w:val="0"/>
                                  <w:marBottom w:val="0"/>
                                  <w:divBdr>
                                    <w:top w:val="none" w:sz="0" w:space="0" w:color="auto"/>
                                    <w:left w:val="none" w:sz="0" w:space="0" w:color="auto"/>
                                    <w:bottom w:val="none" w:sz="0" w:space="0" w:color="auto"/>
                                    <w:right w:val="none" w:sz="0" w:space="0" w:color="auto"/>
                                  </w:divBdr>
                                  <w:divsChild>
                                    <w:div w:id="1163399136">
                                      <w:marLeft w:val="0"/>
                                      <w:marRight w:val="0"/>
                                      <w:marTop w:val="0"/>
                                      <w:marBottom w:val="0"/>
                                      <w:divBdr>
                                        <w:top w:val="none" w:sz="0" w:space="0" w:color="auto"/>
                                        <w:left w:val="none" w:sz="0" w:space="0" w:color="auto"/>
                                        <w:bottom w:val="none" w:sz="0" w:space="0" w:color="auto"/>
                                        <w:right w:val="none" w:sz="0" w:space="0" w:color="auto"/>
                                      </w:divBdr>
                                      <w:divsChild>
                                        <w:div w:id="1575621181">
                                          <w:marLeft w:val="0"/>
                                          <w:marRight w:val="0"/>
                                          <w:marTop w:val="0"/>
                                          <w:marBottom w:val="0"/>
                                          <w:divBdr>
                                            <w:top w:val="none" w:sz="0" w:space="0" w:color="auto"/>
                                            <w:left w:val="none" w:sz="0" w:space="0" w:color="auto"/>
                                            <w:bottom w:val="none" w:sz="0" w:space="0" w:color="auto"/>
                                            <w:right w:val="none" w:sz="0" w:space="0" w:color="auto"/>
                                          </w:divBdr>
                                          <w:divsChild>
                                            <w:div w:id="1577277195">
                                              <w:marLeft w:val="0"/>
                                              <w:marRight w:val="0"/>
                                              <w:marTop w:val="0"/>
                                              <w:marBottom w:val="0"/>
                                              <w:divBdr>
                                                <w:top w:val="none" w:sz="0" w:space="0" w:color="auto"/>
                                                <w:left w:val="none" w:sz="0" w:space="0" w:color="auto"/>
                                                <w:bottom w:val="none" w:sz="0" w:space="0" w:color="auto"/>
                                                <w:right w:val="none" w:sz="0" w:space="0" w:color="auto"/>
                                              </w:divBdr>
                                              <w:divsChild>
                                                <w:div w:id="594242593">
                                                  <w:marLeft w:val="0"/>
                                                  <w:marRight w:val="0"/>
                                                  <w:marTop w:val="0"/>
                                                  <w:marBottom w:val="0"/>
                                                  <w:divBdr>
                                                    <w:top w:val="none" w:sz="0" w:space="0" w:color="auto"/>
                                                    <w:left w:val="none" w:sz="0" w:space="0" w:color="auto"/>
                                                    <w:bottom w:val="none" w:sz="0" w:space="0" w:color="auto"/>
                                                    <w:right w:val="none" w:sz="0" w:space="0" w:color="auto"/>
                                                  </w:divBdr>
                                                  <w:divsChild>
                                                    <w:div w:id="1273365385">
                                                      <w:marLeft w:val="0"/>
                                                      <w:marRight w:val="0"/>
                                                      <w:marTop w:val="0"/>
                                                      <w:marBottom w:val="0"/>
                                                      <w:divBdr>
                                                        <w:top w:val="none" w:sz="0" w:space="0" w:color="auto"/>
                                                        <w:left w:val="none" w:sz="0" w:space="0" w:color="auto"/>
                                                        <w:bottom w:val="none" w:sz="0" w:space="0" w:color="auto"/>
                                                        <w:right w:val="none" w:sz="0" w:space="0" w:color="auto"/>
                                                      </w:divBdr>
                                                      <w:divsChild>
                                                        <w:div w:id="378744714">
                                                          <w:marLeft w:val="0"/>
                                                          <w:marRight w:val="0"/>
                                                          <w:marTop w:val="0"/>
                                                          <w:marBottom w:val="0"/>
                                                          <w:divBdr>
                                                            <w:top w:val="none" w:sz="0" w:space="0" w:color="auto"/>
                                                            <w:left w:val="none" w:sz="0" w:space="0" w:color="auto"/>
                                                            <w:bottom w:val="none" w:sz="0" w:space="0" w:color="auto"/>
                                                            <w:right w:val="none" w:sz="0" w:space="0" w:color="auto"/>
                                                          </w:divBdr>
                                                          <w:divsChild>
                                                            <w:div w:id="82652334">
                                                              <w:marLeft w:val="0"/>
                                                              <w:marRight w:val="0"/>
                                                              <w:marTop w:val="0"/>
                                                              <w:marBottom w:val="0"/>
                                                              <w:divBdr>
                                                                <w:top w:val="none" w:sz="0" w:space="0" w:color="auto"/>
                                                                <w:left w:val="none" w:sz="0" w:space="0" w:color="auto"/>
                                                                <w:bottom w:val="none" w:sz="0" w:space="0" w:color="auto"/>
                                                                <w:right w:val="none" w:sz="0" w:space="0" w:color="auto"/>
                                                              </w:divBdr>
                                                              <w:divsChild>
                                                                <w:div w:id="836533470">
                                                                  <w:marLeft w:val="0"/>
                                                                  <w:marRight w:val="0"/>
                                                                  <w:marTop w:val="0"/>
                                                                  <w:marBottom w:val="0"/>
                                                                  <w:divBdr>
                                                                    <w:top w:val="none" w:sz="0" w:space="0" w:color="auto"/>
                                                                    <w:left w:val="none" w:sz="0" w:space="0" w:color="auto"/>
                                                                    <w:bottom w:val="none" w:sz="0" w:space="0" w:color="auto"/>
                                                                    <w:right w:val="none" w:sz="0" w:space="0" w:color="auto"/>
                                                                  </w:divBdr>
                                                                  <w:divsChild>
                                                                    <w:div w:id="1011880786">
                                                                      <w:marLeft w:val="0"/>
                                                                      <w:marRight w:val="0"/>
                                                                      <w:marTop w:val="0"/>
                                                                      <w:marBottom w:val="0"/>
                                                                      <w:divBdr>
                                                                        <w:top w:val="none" w:sz="0" w:space="0" w:color="auto"/>
                                                                        <w:left w:val="none" w:sz="0" w:space="0" w:color="auto"/>
                                                                        <w:bottom w:val="none" w:sz="0" w:space="0" w:color="auto"/>
                                                                        <w:right w:val="none" w:sz="0" w:space="0" w:color="auto"/>
                                                                      </w:divBdr>
                                                                      <w:divsChild>
                                                                        <w:div w:id="803931565">
                                                                          <w:marLeft w:val="0"/>
                                                                          <w:marRight w:val="0"/>
                                                                          <w:marTop w:val="0"/>
                                                                          <w:marBottom w:val="0"/>
                                                                          <w:divBdr>
                                                                            <w:top w:val="none" w:sz="0" w:space="0" w:color="auto"/>
                                                                            <w:left w:val="none" w:sz="0" w:space="0" w:color="auto"/>
                                                                            <w:bottom w:val="none" w:sz="0" w:space="0" w:color="auto"/>
                                                                            <w:right w:val="none" w:sz="0" w:space="0" w:color="auto"/>
                                                                          </w:divBdr>
                                                                          <w:divsChild>
                                                                            <w:div w:id="1655916287">
                                                                              <w:marLeft w:val="0"/>
                                                                              <w:marRight w:val="0"/>
                                                                              <w:marTop w:val="0"/>
                                                                              <w:marBottom w:val="0"/>
                                                                              <w:divBdr>
                                                                                <w:top w:val="none" w:sz="0" w:space="0" w:color="auto"/>
                                                                                <w:left w:val="none" w:sz="0" w:space="0" w:color="auto"/>
                                                                                <w:bottom w:val="none" w:sz="0" w:space="0" w:color="auto"/>
                                                                                <w:right w:val="none" w:sz="0" w:space="0" w:color="auto"/>
                                                                              </w:divBdr>
                                                                              <w:divsChild>
                                                                                <w:div w:id="1098721035">
                                                                                  <w:marLeft w:val="0"/>
                                                                                  <w:marRight w:val="0"/>
                                                                                  <w:marTop w:val="0"/>
                                                                                  <w:marBottom w:val="0"/>
                                                                                  <w:divBdr>
                                                                                    <w:top w:val="none" w:sz="0" w:space="0" w:color="auto"/>
                                                                                    <w:left w:val="none" w:sz="0" w:space="0" w:color="auto"/>
                                                                                    <w:bottom w:val="none" w:sz="0" w:space="0" w:color="auto"/>
                                                                                    <w:right w:val="none" w:sz="0" w:space="0" w:color="auto"/>
                                                                                  </w:divBdr>
                                                                                  <w:divsChild>
                                                                                    <w:div w:id="423111698">
                                                                                      <w:marLeft w:val="0"/>
                                                                                      <w:marRight w:val="0"/>
                                                                                      <w:marTop w:val="0"/>
                                                                                      <w:marBottom w:val="0"/>
                                                                                      <w:divBdr>
                                                                                        <w:top w:val="single" w:sz="6" w:space="0" w:color="A7B3BD"/>
                                                                                        <w:left w:val="none" w:sz="0" w:space="0" w:color="auto"/>
                                                                                        <w:bottom w:val="none" w:sz="0" w:space="0" w:color="auto"/>
                                                                                        <w:right w:val="none" w:sz="0" w:space="0" w:color="auto"/>
                                                                                      </w:divBdr>
                                                                                      <w:divsChild>
                                                                                        <w:div w:id="2092770154">
                                                                                          <w:marLeft w:val="0"/>
                                                                                          <w:marRight w:val="0"/>
                                                                                          <w:marTop w:val="0"/>
                                                                                          <w:marBottom w:val="0"/>
                                                                                          <w:divBdr>
                                                                                            <w:top w:val="none" w:sz="0" w:space="0" w:color="auto"/>
                                                                                            <w:left w:val="none" w:sz="0" w:space="0" w:color="auto"/>
                                                                                            <w:bottom w:val="none" w:sz="0" w:space="0" w:color="auto"/>
                                                                                            <w:right w:val="none" w:sz="0" w:space="0" w:color="auto"/>
                                                                                          </w:divBdr>
                                                                                          <w:divsChild>
                                                                                            <w:div w:id="142626960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547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4409534">
      <w:bodyDiv w:val="1"/>
      <w:marLeft w:val="0"/>
      <w:marRight w:val="0"/>
      <w:marTop w:val="0"/>
      <w:marBottom w:val="0"/>
      <w:divBdr>
        <w:top w:val="none" w:sz="0" w:space="0" w:color="auto"/>
        <w:left w:val="none" w:sz="0" w:space="0" w:color="auto"/>
        <w:bottom w:val="none" w:sz="0" w:space="0" w:color="auto"/>
        <w:right w:val="none" w:sz="0" w:space="0" w:color="auto"/>
      </w:divBdr>
    </w:div>
    <w:div w:id="287249957">
      <w:bodyDiv w:val="1"/>
      <w:marLeft w:val="0"/>
      <w:marRight w:val="0"/>
      <w:marTop w:val="0"/>
      <w:marBottom w:val="0"/>
      <w:divBdr>
        <w:top w:val="none" w:sz="0" w:space="0" w:color="auto"/>
        <w:left w:val="none" w:sz="0" w:space="0" w:color="auto"/>
        <w:bottom w:val="none" w:sz="0" w:space="0" w:color="auto"/>
        <w:right w:val="none" w:sz="0" w:space="0" w:color="auto"/>
      </w:divBdr>
      <w:divsChild>
        <w:div w:id="6446534">
          <w:marLeft w:val="0"/>
          <w:marRight w:val="0"/>
          <w:marTop w:val="0"/>
          <w:marBottom w:val="0"/>
          <w:divBdr>
            <w:top w:val="none" w:sz="0" w:space="0" w:color="auto"/>
            <w:left w:val="none" w:sz="0" w:space="0" w:color="auto"/>
            <w:bottom w:val="none" w:sz="0" w:space="0" w:color="auto"/>
            <w:right w:val="none" w:sz="0" w:space="0" w:color="auto"/>
          </w:divBdr>
          <w:divsChild>
            <w:div w:id="1519586131">
              <w:marLeft w:val="0"/>
              <w:marRight w:val="0"/>
              <w:marTop w:val="0"/>
              <w:marBottom w:val="0"/>
              <w:divBdr>
                <w:top w:val="none" w:sz="0" w:space="0" w:color="auto"/>
                <w:left w:val="none" w:sz="0" w:space="0" w:color="auto"/>
                <w:bottom w:val="none" w:sz="0" w:space="0" w:color="auto"/>
                <w:right w:val="none" w:sz="0" w:space="0" w:color="auto"/>
              </w:divBdr>
              <w:divsChild>
                <w:div w:id="226840604">
                  <w:marLeft w:val="0"/>
                  <w:marRight w:val="0"/>
                  <w:marTop w:val="0"/>
                  <w:marBottom w:val="0"/>
                  <w:divBdr>
                    <w:top w:val="none" w:sz="0" w:space="0" w:color="auto"/>
                    <w:left w:val="none" w:sz="0" w:space="0" w:color="auto"/>
                    <w:bottom w:val="none" w:sz="0" w:space="0" w:color="auto"/>
                    <w:right w:val="none" w:sz="0" w:space="0" w:color="auto"/>
                  </w:divBdr>
                  <w:divsChild>
                    <w:div w:id="1376393491">
                      <w:marLeft w:val="0"/>
                      <w:marRight w:val="0"/>
                      <w:marTop w:val="0"/>
                      <w:marBottom w:val="0"/>
                      <w:divBdr>
                        <w:top w:val="none" w:sz="0" w:space="0" w:color="auto"/>
                        <w:left w:val="none" w:sz="0" w:space="0" w:color="auto"/>
                        <w:bottom w:val="none" w:sz="0" w:space="0" w:color="auto"/>
                        <w:right w:val="none" w:sz="0" w:space="0" w:color="auto"/>
                      </w:divBdr>
                      <w:divsChild>
                        <w:div w:id="927495248">
                          <w:marLeft w:val="0"/>
                          <w:marRight w:val="0"/>
                          <w:marTop w:val="0"/>
                          <w:marBottom w:val="0"/>
                          <w:divBdr>
                            <w:top w:val="none" w:sz="0" w:space="0" w:color="auto"/>
                            <w:left w:val="none" w:sz="0" w:space="0" w:color="auto"/>
                            <w:bottom w:val="none" w:sz="0" w:space="0" w:color="auto"/>
                            <w:right w:val="none" w:sz="0" w:space="0" w:color="auto"/>
                          </w:divBdr>
                          <w:divsChild>
                            <w:div w:id="135534328">
                              <w:marLeft w:val="0"/>
                              <w:marRight w:val="0"/>
                              <w:marTop w:val="0"/>
                              <w:marBottom w:val="0"/>
                              <w:divBdr>
                                <w:top w:val="none" w:sz="0" w:space="0" w:color="auto"/>
                                <w:left w:val="none" w:sz="0" w:space="0" w:color="auto"/>
                                <w:bottom w:val="none" w:sz="0" w:space="0" w:color="auto"/>
                                <w:right w:val="none" w:sz="0" w:space="0" w:color="auto"/>
                              </w:divBdr>
                              <w:divsChild>
                                <w:div w:id="1165361693">
                                  <w:marLeft w:val="0"/>
                                  <w:marRight w:val="0"/>
                                  <w:marTop w:val="0"/>
                                  <w:marBottom w:val="0"/>
                                  <w:divBdr>
                                    <w:top w:val="none" w:sz="0" w:space="0" w:color="auto"/>
                                    <w:left w:val="none" w:sz="0" w:space="0" w:color="auto"/>
                                    <w:bottom w:val="none" w:sz="0" w:space="0" w:color="auto"/>
                                    <w:right w:val="none" w:sz="0" w:space="0" w:color="auto"/>
                                  </w:divBdr>
                                  <w:divsChild>
                                    <w:div w:id="1585843840">
                                      <w:marLeft w:val="0"/>
                                      <w:marRight w:val="0"/>
                                      <w:marTop w:val="0"/>
                                      <w:marBottom w:val="0"/>
                                      <w:divBdr>
                                        <w:top w:val="none" w:sz="0" w:space="0" w:color="auto"/>
                                        <w:left w:val="none" w:sz="0" w:space="0" w:color="auto"/>
                                        <w:bottom w:val="none" w:sz="0" w:space="0" w:color="auto"/>
                                        <w:right w:val="none" w:sz="0" w:space="0" w:color="auto"/>
                                      </w:divBdr>
                                      <w:divsChild>
                                        <w:div w:id="439228690">
                                          <w:marLeft w:val="0"/>
                                          <w:marRight w:val="0"/>
                                          <w:marTop w:val="0"/>
                                          <w:marBottom w:val="0"/>
                                          <w:divBdr>
                                            <w:top w:val="none" w:sz="0" w:space="0" w:color="auto"/>
                                            <w:left w:val="none" w:sz="0" w:space="0" w:color="auto"/>
                                            <w:bottom w:val="none" w:sz="0" w:space="0" w:color="auto"/>
                                            <w:right w:val="none" w:sz="0" w:space="0" w:color="auto"/>
                                          </w:divBdr>
                                          <w:divsChild>
                                            <w:div w:id="844058457">
                                              <w:marLeft w:val="0"/>
                                              <w:marRight w:val="0"/>
                                              <w:marTop w:val="0"/>
                                              <w:marBottom w:val="0"/>
                                              <w:divBdr>
                                                <w:top w:val="none" w:sz="0" w:space="0" w:color="auto"/>
                                                <w:left w:val="none" w:sz="0" w:space="0" w:color="auto"/>
                                                <w:bottom w:val="none" w:sz="0" w:space="0" w:color="auto"/>
                                                <w:right w:val="none" w:sz="0" w:space="0" w:color="auto"/>
                                              </w:divBdr>
                                              <w:divsChild>
                                                <w:div w:id="1929192328">
                                                  <w:marLeft w:val="0"/>
                                                  <w:marRight w:val="0"/>
                                                  <w:marTop w:val="0"/>
                                                  <w:marBottom w:val="0"/>
                                                  <w:divBdr>
                                                    <w:top w:val="none" w:sz="0" w:space="0" w:color="auto"/>
                                                    <w:left w:val="none" w:sz="0" w:space="0" w:color="auto"/>
                                                    <w:bottom w:val="none" w:sz="0" w:space="0" w:color="auto"/>
                                                    <w:right w:val="none" w:sz="0" w:space="0" w:color="auto"/>
                                                  </w:divBdr>
                                                  <w:divsChild>
                                                    <w:div w:id="471872018">
                                                      <w:marLeft w:val="0"/>
                                                      <w:marRight w:val="0"/>
                                                      <w:marTop w:val="0"/>
                                                      <w:marBottom w:val="0"/>
                                                      <w:divBdr>
                                                        <w:top w:val="none" w:sz="0" w:space="0" w:color="auto"/>
                                                        <w:left w:val="none" w:sz="0" w:space="0" w:color="auto"/>
                                                        <w:bottom w:val="none" w:sz="0" w:space="0" w:color="auto"/>
                                                        <w:right w:val="none" w:sz="0" w:space="0" w:color="auto"/>
                                                      </w:divBdr>
                                                      <w:divsChild>
                                                        <w:div w:id="906037136">
                                                          <w:marLeft w:val="0"/>
                                                          <w:marRight w:val="0"/>
                                                          <w:marTop w:val="0"/>
                                                          <w:marBottom w:val="0"/>
                                                          <w:divBdr>
                                                            <w:top w:val="none" w:sz="0" w:space="0" w:color="auto"/>
                                                            <w:left w:val="none" w:sz="0" w:space="0" w:color="auto"/>
                                                            <w:bottom w:val="none" w:sz="0" w:space="0" w:color="auto"/>
                                                            <w:right w:val="none" w:sz="0" w:space="0" w:color="auto"/>
                                                          </w:divBdr>
                                                          <w:divsChild>
                                                            <w:div w:id="2076466621">
                                                              <w:marLeft w:val="0"/>
                                                              <w:marRight w:val="0"/>
                                                              <w:marTop w:val="0"/>
                                                              <w:marBottom w:val="0"/>
                                                              <w:divBdr>
                                                                <w:top w:val="none" w:sz="0" w:space="0" w:color="auto"/>
                                                                <w:left w:val="none" w:sz="0" w:space="0" w:color="auto"/>
                                                                <w:bottom w:val="none" w:sz="0" w:space="0" w:color="auto"/>
                                                                <w:right w:val="none" w:sz="0" w:space="0" w:color="auto"/>
                                                              </w:divBdr>
                                                              <w:divsChild>
                                                                <w:div w:id="124005742">
                                                                  <w:marLeft w:val="0"/>
                                                                  <w:marRight w:val="0"/>
                                                                  <w:marTop w:val="0"/>
                                                                  <w:marBottom w:val="0"/>
                                                                  <w:divBdr>
                                                                    <w:top w:val="none" w:sz="0" w:space="0" w:color="auto"/>
                                                                    <w:left w:val="none" w:sz="0" w:space="0" w:color="auto"/>
                                                                    <w:bottom w:val="none" w:sz="0" w:space="0" w:color="auto"/>
                                                                    <w:right w:val="none" w:sz="0" w:space="0" w:color="auto"/>
                                                                  </w:divBdr>
                                                                  <w:divsChild>
                                                                    <w:div w:id="1131828100">
                                                                      <w:marLeft w:val="0"/>
                                                                      <w:marRight w:val="0"/>
                                                                      <w:marTop w:val="0"/>
                                                                      <w:marBottom w:val="0"/>
                                                                      <w:divBdr>
                                                                        <w:top w:val="none" w:sz="0" w:space="0" w:color="auto"/>
                                                                        <w:left w:val="none" w:sz="0" w:space="0" w:color="auto"/>
                                                                        <w:bottom w:val="none" w:sz="0" w:space="0" w:color="auto"/>
                                                                        <w:right w:val="none" w:sz="0" w:space="0" w:color="auto"/>
                                                                      </w:divBdr>
                                                                      <w:divsChild>
                                                                        <w:div w:id="471680363">
                                                                          <w:marLeft w:val="0"/>
                                                                          <w:marRight w:val="0"/>
                                                                          <w:marTop w:val="0"/>
                                                                          <w:marBottom w:val="0"/>
                                                                          <w:divBdr>
                                                                            <w:top w:val="none" w:sz="0" w:space="0" w:color="auto"/>
                                                                            <w:left w:val="none" w:sz="0" w:space="0" w:color="auto"/>
                                                                            <w:bottom w:val="none" w:sz="0" w:space="0" w:color="auto"/>
                                                                            <w:right w:val="none" w:sz="0" w:space="0" w:color="auto"/>
                                                                          </w:divBdr>
                                                                          <w:divsChild>
                                                                            <w:div w:id="861551574">
                                                                              <w:marLeft w:val="0"/>
                                                                              <w:marRight w:val="0"/>
                                                                              <w:marTop w:val="0"/>
                                                                              <w:marBottom w:val="0"/>
                                                                              <w:divBdr>
                                                                                <w:top w:val="none" w:sz="0" w:space="0" w:color="auto"/>
                                                                                <w:left w:val="none" w:sz="0" w:space="0" w:color="auto"/>
                                                                                <w:bottom w:val="none" w:sz="0" w:space="0" w:color="auto"/>
                                                                                <w:right w:val="none" w:sz="0" w:space="0" w:color="auto"/>
                                                                              </w:divBdr>
                                                                              <w:divsChild>
                                                                                <w:div w:id="1997806348">
                                                                                  <w:marLeft w:val="0"/>
                                                                                  <w:marRight w:val="0"/>
                                                                                  <w:marTop w:val="0"/>
                                                                                  <w:marBottom w:val="0"/>
                                                                                  <w:divBdr>
                                                                                    <w:top w:val="none" w:sz="0" w:space="0" w:color="auto"/>
                                                                                    <w:left w:val="none" w:sz="0" w:space="0" w:color="auto"/>
                                                                                    <w:bottom w:val="none" w:sz="0" w:space="0" w:color="auto"/>
                                                                                    <w:right w:val="none" w:sz="0" w:space="0" w:color="auto"/>
                                                                                  </w:divBdr>
                                                                                  <w:divsChild>
                                                                                    <w:div w:id="682710082">
                                                                                      <w:marLeft w:val="0"/>
                                                                                      <w:marRight w:val="0"/>
                                                                                      <w:marTop w:val="0"/>
                                                                                      <w:marBottom w:val="0"/>
                                                                                      <w:divBdr>
                                                                                        <w:top w:val="single" w:sz="4" w:space="0" w:color="A7B3BD"/>
                                                                                        <w:left w:val="none" w:sz="0" w:space="0" w:color="auto"/>
                                                                                        <w:bottom w:val="none" w:sz="0" w:space="0" w:color="auto"/>
                                                                                        <w:right w:val="none" w:sz="0" w:space="0" w:color="auto"/>
                                                                                      </w:divBdr>
                                                                                      <w:divsChild>
                                                                                        <w:div w:id="85854710">
                                                                                          <w:marLeft w:val="0"/>
                                                                                          <w:marRight w:val="0"/>
                                                                                          <w:marTop w:val="0"/>
                                                                                          <w:marBottom w:val="0"/>
                                                                                          <w:divBdr>
                                                                                            <w:top w:val="none" w:sz="0" w:space="0" w:color="auto"/>
                                                                                            <w:left w:val="none" w:sz="0" w:space="0" w:color="auto"/>
                                                                                            <w:bottom w:val="none" w:sz="0" w:space="0" w:color="auto"/>
                                                                                            <w:right w:val="none" w:sz="0" w:space="0" w:color="auto"/>
                                                                                          </w:divBdr>
                                                                                          <w:divsChild>
                                                                                            <w:div w:id="151265486">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5639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0789576">
      <w:bodyDiv w:val="1"/>
      <w:marLeft w:val="0"/>
      <w:marRight w:val="0"/>
      <w:marTop w:val="0"/>
      <w:marBottom w:val="0"/>
      <w:divBdr>
        <w:top w:val="none" w:sz="0" w:space="0" w:color="auto"/>
        <w:left w:val="none" w:sz="0" w:space="0" w:color="auto"/>
        <w:bottom w:val="none" w:sz="0" w:space="0" w:color="auto"/>
        <w:right w:val="none" w:sz="0" w:space="0" w:color="auto"/>
      </w:divBdr>
    </w:div>
    <w:div w:id="295188345">
      <w:bodyDiv w:val="1"/>
      <w:marLeft w:val="0"/>
      <w:marRight w:val="0"/>
      <w:marTop w:val="0"/>
      <w:marBottom w:val="0"/>
      <w:divBdr>
        <w:top w:val="none" w:sz="0" w:space="0" w:color="auto"/>
        <w:left w:val="none" w:sz="0" w:space="0" w:color="auto"/>
        <w:bottom w:val="none" w:sz="0" w:space="0" w:color="auto"/>
        <w:right w:val="none" w:sz="0" w:space="0" w:color="auto"/>
      </w:divBdr>
    </w:div>
    <w:div w:id="302738316">
      <w:bodyDiv w:val="1"/>
      <w:marLeft w:val="0"/>
      <w:marRight w:val="0"/>
      <w:marTop w:val="0"/>
      <w:marBottom w:val="0"/>
      <w:divBdr>
        <w:top w:val="none" w:sz="0" w:space="0" w:color="auto"/>
        <w:left w:val="none" w:sz="0" w:space="0" w:color="auto"/>
        <w:bottom w:val="none" w:sz="0" w:space="0" w:color="auto"/>
        <w:right w:val="none" w:sz="0" w:space="0" w:color="auto"/>
      </w:divBdr>
    </w:div>
    <w:div w:id="345984779">
      <w:bodyDiv w:val="1"/>
      <w:marLeft w:val="0"/>
      <w:marRight w:val="0"/>
      <w:marTop w:val="0"/>
      <w:marBottom w:val="0"/>
      <w:divBdr>
        <w:top w:val="none" w:sz="0" w:space="0" w:color="auto"/>
        <w:left w:val="none" w:sz="0" w:space="0" w:color="auto"/>
        <w:bottom w:val="none" w:sz="0" w:space="0" w:color="auto"/>
        <w:right w:val="none" w:sz="0" w:space="0" w:color="auto"/>
      </w:divBdr>
    </w:div>
    <w:div w:id="371461072">
      <w:bodyDiv w:val="1"/>
      <w:marLeft w:val="0"/>
      <w:marRight w:val="0"/>
      <w:marTop w:val="0"/>
      <w:marBottom w:val="0"/>
      <w:divBdr>
        <w:top w:val="none" w:sz="0" w:space="0" w:color="auto"/>
        <w:left w:val="none" w:sz="0" w:space="0" w:color="auto"/>
        <w:bottom w:val="none" w:sz="0" w:space="0" w:color="auto"/>
        <w:right w:val="none" w:sz="0" w:space="0" w:color="auto"/>
      </w:divBdr>
    </w:div>
    <w:div w:id="609044159">
      <w:bodyDiv w:val="1"/>
      <w:marLeft w:val="0"/>
      <w:marRight w:val="0"/>
      <w:marTop w:val="0"/>
      <w:marBottom w:val="0"/>
      <w:divBdr>
        <w:top w:val="none" w:sz="0" w:space="0" w:color="auto"/>
        <w:left w:val="none" w:sz="0" w:space="0" w:color="auto"/>
        <w:bottom w:val="none" w:sz="0" w:space="0" w:color="auto"/>
        <w:right w:val="none" w:sz="0" w:space="0" w:color="auto"/>
      </w:divBdr>
    </w:div>
    <w:div w:id="643042824">
      <w:bodyDiv w:val="1"/>
      <w:marLeft w:val="0"/>
      <w:marRight w:val="0"/>
      <w:marTop w:val="0"/>
      <w:marBottom w:val="0"/>
      <w:divBdr>
        <w:top w:val="none" w:sz="0" w:space="0" w:color="auto"/>
        <w:left w:val="none" w:sz="0" w:space="0" w:color="auto"/>
        <w:bottom w:val="none" w:sz="0" w:space="0" w:color="auto"/>
        <w:right w:val="none" w:sz="0" w:space="0" w:color="auto"/>
      </w:divBdr>
    </w:div>
    <w:div w:id="652567605">
      <w:bodyDiv w:val="1"/>
      <w:marLeft w:val="0"/>
      <w:marRight w:val="0"/>
      <w:marTop w:val="0"/>
      <w:marBottom w:val="0"/>
      <w:divBdr>
        <w:top w:val="none" w:sz="0" w:space="0" w:color="auto"/>
        <w:left w:val="none" w:sz="0" w:space="0" w:color="auto"/>
        <w:bottom w:val="none" w:sz="0" w:space="0" w:color="auto"/>
        <w:right w:val="none" w:sz="0" w:space="0" w:color="auto"/>
      </w:divBdr>
    </w:div>
    <w:div w:id="877008877">
      <w:bodyDiv w:val="1"/>
      <w:marLeft w:val="0"/>
      <w:marRight w:val="0"/>
      <w:marTop w:val="0"/>
      <w:marBottom w:val="0"/>
      <w:divBdr>
        <w:top w:val="none" w:sz="0" w:space="0" w:color="auto"/>
        <w:left w:val="none" w:sz="0" w:space="0" w:color="auto"/>
        <w:bottom w:val="none" w:sz="0" w:space="0" w:color="auto"/>
        <w:right w:val="none" w:sz="0" w:space="0" w:color="auto"/>
      </w:divBdr>
    </w:div>
    <w:div w:id="939528878">
      <w:bodyDiv w:val="1"/>
      <w:marLeft w:val="0"/>
      <w:marRight w:val="0"/>
      <w:marTop w:val="0"/>
      <w:marBottom w:val="0"/>
      <w:divBdr>
        <w:top w:val="none" w:sz="0" w:space="0" w:color="auto"/>
        <w:left w:val="none" w:sz="0" w:space="0" w:color="auto"/>
        <w:bottom w:val="none" w:sz="0" w:space="0" w:color="auto"/>
        <w:right w:val="none" w:sz="0" w:space="0" w:color="auto"/>
      </w:divBdr>
    </w:div>
    <w:div w:id="987976539">
      <w:bodyDiv w:val="1"/>
      <w:marLeft w:val="0"/>
      <w:marRight w:val="0"/>
      <w:marTop w:val="0"/>
      <w:marBottom w:val="0"/>
      <w:divBdr>
        <w:top w:val="none" w:sz="0" w:space="0" w:color="auto"/>
        <w:left w:val="none" w:sz="0" w:space="0" w:color="auto"/>
        <w:bottom w:val="none" w:sz="0" w:space="0" w:color="auto"/>
        <w:right w:val="none" w:sz="0" w:space="0" w:color="auto"/>
      </w:divBdr>
    </w:div>
    <w:div w:id="993029087">
      <w:bodyDiv w:val="1"/>
      <w:marLeft w:val="0"/>
      <w:marRight w:val="0"/>
      <w:marTop w:val="0"/>
      <w:marBottom w:val="0"/>
      <w:divBdr>
        <w:top w:val="none" w:sz="0" w:space="0" w:color="auto"/>
        <w:left w:val="none" w:sz="0" w:space="0" w:color="auto"/>
        <w:bottom w:val="none" w:sz="0" w:space="0" w:color="auto"/>
        <w:right w:val="none" w:sz="0" w:space="0" w:color="auto"/>
      </w:divBdr>
    </w:div>
    <w:div w:id="1000736271">
      <w:bodyDiv w:val="1"/>
      <w:marLeft w:val="0"/>
      <w:marRight w:val="0"/>
      <w:marTop w:val="0"/>
      <w:marBottom w:val="0"/>
      <w:divBdr>
        <w:top w:val="none" w:sz="0" w:space="0" w:color="auto"/>
        <w:left w:val="none" w:sz="0" w:space="0" w:color="auto"/>
        <w:bottom w:val="none" w:sz="0" w:space="0" w:color="auto"/>
        <w:right w:val="none" w:sz="0" w:space="0" w:color="auto"/>
      </w:divBdr>
    </w:div>
    <w:div w:id="1122304679">
      <w:bodyDiv w:val="1"/>
      <w:marLeft w:val="0"/>
      <w:marRight w:val="0"/>
      <w:marTop w:val="0"/>
      <w:marBottom w:val="0"/>
      <w:divBdr>
        <w:top w:val="none" w:sz="0" w:space="0" w:color="auto"/>
        <w:left w:val="none" w:sz="0" w:space="0" w:color="auto"/>
        <w:bottom w:val="none" w:sz="0" w:space="0" w:color="auto"/>
        <w:right w:val="none" w:sz="0" w:space="0" w:color="auto"/>
      </w:divBdr>
    </w:div>
    <w:div w:id="1128819265">
      <w:bodyDiv w:val="1"/>
      <w:marLeft w:val="0"/>
      <w:marRight w:val="0"/>
      <w:marTop w:val="0"/>
      <w:marBottom w:val="0"/>
      <w:divBdr>
        <w:top w:val="none" w:sz="0" w:space="0" w:color="auto"/>
        <w:left w:val="none" w:sz="0" w:space="0" w:color="auto"/>
        <w:bottom w:val="none" w:sz="0" w:space="0" w:color="auto"/>
        <w:right w:val="none" w:sz="0" w:space="0" w:color="auto"/>
      </w:divBdr>
    </w:div>
    <w:div w:id="1215434930">
      <w:bodyDiv w:val="1"/>
      <w:marLeft w:val="0"/>
      <w:marRight w:val="0"/>
      <w:marTop w:val="0"/>
      <w:marBottom w:val="0"/>
      <w:divBdr>
        <w:top w:val="none" w:sz="0" w:space="0" w:color="auto"/>
        <w:left w:val="none" w:sz="0" w:space="0" w:color="auto"/>
        <w:bottom w:val="none" w:sz="0" w:space="0" w:color="auto"/>
        <w:right w:val="none" w:sz="0" w:space="0" w:color="auto"/>
      </w:divBdr>
    </w:div>
    <w:div w:id="1278096080">
      <w:bodyDiv w:val="1"/>
      <w:marLeft w:val="0"/>
      <w:marRight w:val="0"/>
      <w:marTop w:val="0"/>
      <w:marBottom w:val="0"/>
      <w:divBdr>
        <w:top w:val="none" w:sz="0" w:space="0" w:color="auto"/>
        <w:left w:val="none" w:sz="0" w:space="0" w:color="auto"/>
        <w:bottom w:val="none" w:sz="0" w:space="0" w:color="auto"/>
        <w:right w:val="none" w:sz="0" w:space="0" w:color="auto"/>
      </w:divBdr>
    </w:div>
    <w:div w:id="1346974806">
      <w:bodyDiv w:val="1"/>
      <w:marLeft w:val="0"/>
      <w:marRight w:val="0"/>
      <w:marTop w:val="0"/>
      <w:marBottom w:val="0"/>
      <w:divBdr>
        <w:top w:val="none" w:sz="0" w:space="0" w:color="auto"/>
        <w:left w:val="none" w:sz="0" w:space="0" w:color="auto"/>
        <w:bottom w:val="none" w:sz="0" w:space="0" w:color="auto"/>
        <w:right w:val="none" w:sz="0" w:space="0" w:color="auto"/>
      </w:divBdr>
    </w:div>
    <w:div w:id="1411735475">
      <w:bodyDiv w:val="1"/>
      <w:marLeft w:val="0"/>
      <w:marRight w:val="0"/>
      <w:marTop w:val="0"/>
      <w:marBottom w:val="0"/>
      <w:divBdr>
        <w:top w:val="none" w:sz="0" w:space="0" w:color="auto"/>
        <w:left w:val="none" w:sz="0" w:space="0" w:color="auto"/>
        <w:bottom w:val="none" w:sz="0" w:space="0" w:color="auto"/>
        <w:right w:val="none" w:sz="0" w:space="0" w:color="auto"/>
      </w:divBdr>
    </w:div>
    <w:div w:id="1450777442">
      <w:bodyDiv w:val="1"/>
      <w:marLeft w:val="0"/>
      <w:marRight w:val="0"/>
      <w:marTop w:val="0"/>
      <w:marBottom w:val="0"/>
      <w:divBdr>
        <w:top w:val="none" w:sz="0" w:space="0" w:color="auto"/>
        <w:left w:val="none" w:sz="0" w:space="0" w:color="auto"/>
        <w:bottom w:val="none" w:sz="0" w:space="0" w:color="auto"/>
        <w:right w:val="none" w:sz="0" w:space="0" w:color="auto"/>
      </w:divBdr>
      <w:divsChild>
        <w:div w:id="677082433">
          <w:marLeft w:val="0"/>
          <w:marRight w:val="0"/>
          <w:marTop w:val="0"/>
          <w:marBottom w:val="0"/>
          <w:divBdr>
            <w:top w:val="none" w:sz="0" w:space="0" w:color="auto"/>
            <w:left w:val="none" w:sz="0" w:space="0" w:color="auto"/>
            <w:bottom w:val="none" w:sz="0" w:space="0" w:color="auto"/>
            <w:right w:val="none" w:sz="0" w:space="0" w:color="auto"/>
          </w:divBdr>
          <w:divsChild>
            <w:div w:id="1345087413">
              <w:marLeft w:val="0"/>
              <w:marRight w:val="0"/>
              <w:marTop w:val="0"/>
              <w:marBottom w:val="0"/>
              <w:divBdr>
                <w:top w:val="none" w:sz="0" w:space="0" w:color="auto"/>
                <w:left w:val="none" w:sz="0" w:space="0" w:color="auto"/>
                <w:bottom w:val="none" w:sz="0" w:space="0" w:color="auto"/>
                <w:right w:val="none" w:sz="0" w:space="0" w:color="auto"/>
              </w:divBdr>
              <w:divsChild>
                <w:div w:id="95177308">
                  <w:marLeft w:val="0"/>
                  <w:marRight w:val="0"/>
                  <w:marTop w:val="0"/>
                  <w:marBottom w:val="0"/>
                  <w:divBdr>
                    <w:top w:val="none" w:sz="0" w:space="0" w:color="auto"/>
                    <w:left w:val="none" w:sz="0" w:space="0" w:color="auto"/>
                    <w:bottom w:val="none" w:sz="0" w:space="0" w:color="auto"/>
                    <w:right w:val="none" w:sz="0" w:space="0" w:color="auto"/>
                  </w:divBdr>
                  <w:divsChild>
                    <w:div w:id="1830368423">
                      <w:marLeft w:val="0"/>
                      <w:marRight w:val="0"/>
                      <w:marTop w:val="0"/>
                      <w:marBottom w:val="0"/>
                      <w:divBdr>
                        <w:top w:val="none" w:sz="0" w:space="0" w:color="auto"/>
                        <w:left w:val="none" w:sz="0" w:space="0" w:color="auto"/>
                        <w:bottom w:val="none" w:sz="0" w:space="0" w:color="auto"/>
                        <w:right w:val="none" w:sz="0" w:space="0" w:color="auto"/>
                      </w:divBdr>
                      <w:divsChild>
                        <w:div w:id="491335656">
                          <w:marLeft w:val="0"/>
                          <w:marRight w:val="0"/>
                          <w:marTop w:val="0"/>
                          <w:marBottom w:val="0"/>
                          <w:divBdr>
                            <w:top w:val="none" w:sz="0" w:space="0" w:color="auto"/>
                            <w:left w:val="none" w:sz="0" w:space="0" w:color="auto"/>
                            <w:bottom w:val="none" w:sz="0" w:space="0" w:color="auto"/>
                            <w:right w:val="none" w:sz="0" w:space="0" w:color="auto"/>
                          </w:divBdr>
                          <w:divsChild>
                            <w:div w:id="291062472">
                              <w:marLeft w:val="0"/>
                              <w:marRight w:val="0"/>
                              <w:marTop w:val="0"/>
                              <w:marBottom w:val="0"/>
                              <w:divBdr>
                                <w:top w:val="none" w:sz="0" w:space="0" w:color="auto"/>
                                <w:left w:val="none" w:sz="0" w:space="0" w:color="auto"/>
                                <w:bottom w:val="none" w:sz="0" w:space="0" w:color="auto"/>
                                <w:right w:val="none" w:sz="0" w:space="0" w:color="auto"/>
                              </w:divBdr>
                              <w:divsChild>
                                <w:div w:id="375348464">
                                  <w:marLeft w:val="0"/>
                                  <w:marRight w:val="0"/>
                                  <w:marTop w:val="0"/>
                                  <w:marBottom w:val="0"/>
                                  <w:divBdr>
                                    <w:top w:val="none" w:sz="0" w:space="0" w:color="auto"/>
                                    <w:left w:val="none" w:sz="0" w:space="0" w:color="auto"/>
                                    <w:bottom w:val="none" w:sz="0" w:space="0" w:color="auto"/>
                                    <w:right w:val="none" w:sz="0" w:space="0" w:color="auto"/>
                                  </w:divBdr>
                                  <w:divsChild>
                                    <w:div w:id="573318344">
                                      <w:marLeft w:val="0"/>
                                      <w:marRight w:val="0"/>
                                      <w:marTop w:val="0"/>
                                      <w:marBottom w:val="0"/>
                                      <w:divBdr>
                                        <w:top w:val="none" w:sz="0" w:space="0" w:color="auto"/>
                                        <w:left w:val="none" w:sz="0" w:space="0" w:color="auto"/>
                                        <w:bottom w:val="none" w:sz="0" w:space="0" w:color="auto"/>
                                        <w:right w:val="none" w:sz="0" w:space="0" w:color="auto"/>
                                      </w:divBdr>
                                      <w:divsChild>
                                        <w:div w:id="1455438242">
                                          <w:marLeft w:val="0"/>
                                          <w:marRight w:val="0"/>
                                          <w:marTop w:val="0"/>
                                          <w:marBottom w:val="0"/>
                                          <w:divBdr>
                                            <w:top w:val="none" w:sz="0" w:space="0" w:color="auto"/>
                                            <w:left w:val="none" w:sz="0" w:space="0" w:color="auto"/>
                                            <w:bottom w:val="none" w:sz="0" w:space="0" w:color="auto"/>
                                            <w:right w:val="none" w:sz="0" w:space="0" w:color="auto"/>
                                          </w:divBdr>
                                          <w:divsChild>
                                            <w:div w:id="1739597208">
                                              <w:marLeft w:val="0"/>
                                              <w:marRight w:val="0"/>
                                              <w:marTop w:val="0"/>
                                              <w:marBottom w:val="0"/>
                                              <w:divBdr>
                                                <w:top w:val="none" w:sz="0" w:space="0" w:color="auto"/>
                                                <w:left w:val="none" w:sz="0" w:space="0" w:color="auto"/>
                                                <w:bottom w:val="none" w:sz="0" w:space="0" w:color="auto"/>
                                                <w:right w:val="none" w:sz="0" w:space="0" w:color="auto"/>
                                              </w:divBdr>
                                              <w:divsChild>
                                                <w:div w:id="68425505">
                                                  <w:marLeft w:val="0"/>
                                                  <w:marRight w:val="0"/>
                                                  <w:marTop w:val="0"/>
                                                  <w:marBottom w:val="0"/>
                                                  <w:divBdr>
                                                    <w:top w:val="none" w:sz="0" w:space="0" w:color="auto"/>
                                                    <w:left w:val="none" w:sz="0" w:space="0" w:color="auto"/>
                                                    <w:bottom w:val="none" w:sz="0" w:space="0" w:color="auto"/>
                                                    <w:right w:val="none" w:sz="0" w:space="0" w:color="auto"/>
                                                  </w:divBdr>
                                                  <w:divsChild>
                                                    <w:div w:id="1639265354">
                                                      <w:marLeft w:val="0"/>
                                                      <w:marRight w:val="0"/>
                                                      <w:marTop w:val="0"/>
                                                      <w:marBottom w:val="0"/>
                                                      <w:divBdr>
                                                        <w:top w:val="none" w:sz="0" w:space="0" w:color="auto"/>
                                                        <w:left w:val="none" w:sz="0" w:space="0" w:color="auto"/>
                                                        <w:bottom w:val="none" w:sz="0" w:space="0" w:color="auto"/>
                                                        <w:right w:val="none" w:sz="0" w:space="0" w:color="auto"/>
                                                      </w:divBdr>
                                                      <w:divsChild>
                                                        <w:div w:id="997659368">
                                                          <w:marLeft w:val="0"/>
                                                          <w:marRight w:val="0"/>
                                                          <w:marTop w:val="0"/>
                                                          <w:marBottom w:val="0"/>
                                                          <w:divBdr>
                                                            <w:top w:val="none" w:sz="0" w:space="0" w:color="auto"/>
                                                            <w:left w:val="none" w:sz="0" w:space="0" w:color="auto"/>
                                                            <w:bottom w:val="none" w:sz="0" w:space="0" w:color="auto"/>
                                                            <w:right w:val="none" w:sz="0" w:space="0" w:color="auto"/>
                                                          </w:divBdr>
                                                          <w:divsChild>
                                                            <w:div w:id="6568258">
                                                              <w:marLeft w:val="0"/>
                                                              <w:marRight w:val="0"/>
                                                              <w:marTop w:val="0"/>
                                                              <w:marBottom w:val="0"/>
                                                              <w:divBdr>
                                                                <w:top w:val="none" w:sz="0" w:space="0" w:color="auto"/>
                                                                <w:left w:val="none" w:sz="0" w:space="0" w:color="auto"/>
                                                                <w:bottom w:val="none" w:sz="0" w:space="0" w:color="auto"/>
                                                                <w:right w:val="none" w:sz="0" w:space="0" w:color="auto"/>
                                                              </w:divBdr>
                                                              <w:divsChild>
                                                                <w:div w:id="1843276706">
                                                                  <w:marLeft w:val="0"/>
                                                                  <w:marRight w:val="0"/>
                                                                  <w:marTop w:val="0"/>
                                                                  <w:marBottom w:val="0"/>
                                                                  <w:divBdr>
                                                                    <w:top w:val="none" w:sz="0" w:space="0" w:color="auto"/>
                                                                    <w:left w:val="none" w:sz="0" w:space="0" w:color="auto"/>
                                                                    <w:bottom w:val="none" w:sz="0" w:space="0" w:color="auto"/>
                                                                    <w:right w:val="none" w:sz="0" w:space="0" w:color="auto"/>
                                                                  </w:divBdr>
                                                                  <w:divsChild>
                                                                    <w:div w:id="252127538">
                                                                      <w:marLeft w:val="0"/>
                                                                      <w:marRight w:val="0"/>
                                                                      <w:marTop w:val="0"/>
                                                                      <w:marBottom w:val="0"/>
                                                                      <w:divBdr>
                                                                        <w:top w:val="none" w:sz="0" w:space="0" w:color="auto"/>
                                                                        <w:left w:val="none" w:sz="0" w:space="0" w:color="auto"/>
                                                                        <w:bottom w:val="none" w:sz="0" w:space="0" w:color="auto"/>
                                                                        <w:right w:val="none" w:sz="0" w:space="0" w:color="auto"/>
                                                                      </w:divBdr>
                                                                      <w:divsChild>
                                                                        <w:div w:id="1383212472">
                                                                          <w:marLeft w:val="0"/>
                                                                          <w:marRight w:val="0"/>
                                                                          <w:marTop w:val="0"/>
                                                                          <w:marBottom w:val="0"/>
                                                                          <w:divBdr>
                                                                            <w:top w:val="none" w:sz="0" w:space="0" w:color="auto"/>
                                                                            <w:left w:val="none" w:sz="0" w:space="0" w:color="auto"/>
                                                                            <w:bottom w:val="none" w:sz="0" w:space="0" w:color="auto"/>
                                                                            <w:right w:val="none" w:sz="0" w:space="0" w:color="auto"/>
                                                                          </w:divBdr>
                                                                          <w:divsChild>
                                                                            <w:div w:id="239291703">
                                                                              <w:marLeft w:val="0"/>
                                                                              <w:marRight w:val="0"/>
                                                                              <w:marTop w:val="0"/>
                                                                              <w:marBottom w:val="0"/>
                                                                              <w:divBdr>
                                                                                <w:top w:val="none" w:sz="0" w:space="0" w:color="auto"/>
                                                                                <w:left w:val="none" w:sz="0" w:space="0" w:color="auto"/>
                                                                                <w:bottom w:val="none" w:sz="0" w:space="0" w:color="auto"/>
                                                                                <w:right w:val="none" w:sz="0" w:space="0" w:color="auto"/>
                                                                              </w:divBdr>
                                                                              <w:divsChild>
                                                                                <w:div w:id="1350139319">
                                                                                  <w:marLeft w:val="0"/>
                                                                                  <w:marRight w:val="0"/>
                                                                                  <w:marTop w:val="0"/>
                                                                                  <w:marBottom w:val="0"/>
                                                                                  <w:divBdr>
                                                                                    <w:top w:val="none" w:sz="0" w:space="0" w:color="auto"/>
                                                                                    <w:left w:val="none" w:sz="0" w:space="0" w:color="auto"/>
                                                                                    <w:bottom w:val="none" w:sz="0" w:space="0" w:color="auto"/>
                                                                                    <w:right w:val="none" w:sz="0" w:space="0" w:color="auto"/>
                                                                                  </w:divBdr>
                                                                                  <w:divsChild>
                                                                                    <w:div w:id="40447915">
                                                                                      <w:marLeft w:val="0"/>
                                                                                      <w:marRight w:val="0"/>
                                                                                      <w:marTop w:val="0"/>
                                                                                      <w:marBottom w:val="0"/>
                                                                                      <w:divBdr>
                                                                                        <w:top w:val="single" w:sz="6" w:space="0" w:color="A7B3BD"/>
                                                                                        <w:left w:val="none" w:sz="0" w:space="0" w:color="auto"/>
                                                                                        <w:bottom w:val="none" w:sz="0" w:space="0" w:color="auto"/>
                                                                                        <w:right w:val="none" w:sz="0" w:space="0" w:color="auto"/>
                                                                                      </w:divBdr>
                                                                                      <w:divsChild>
                                                                                        <w:div w:id="1256790785">
                                                                                          <w:marLeft w:val="0"/>
                                                                                          <w:marRight w:val="0"/>
                                                                                          <w:marTop w:val="0"/>
                                                                                          <w:marBottom w:val="0"/>
                                                                                          <w:divBdr>
                                                                                            <w:top w:val="none" w:sz="0" w:space="0" w:color="auto"/>
                                                                                            <w:left w:val="none" w:sz="0" w:space="0" w:color="auto"/>
                                                                                            <w:bottom w:val="none" w:sz="0" w:space="0" w:color="auto"/>
                                                                                            <w:right w:val="none" w:sz="0" w:space="0" w:color="auto"/>
                                                                                          </w:divBdr>
                                                                                          <w:divsChild>
                                                                                            <w:div w:id="146318512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926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242569">
      <w:bodyDiv w:val="1"/>
      <w:marLeft w:val="0"/>
      <w:marRight w:val="0"/>
      <w:marTop w:val="0"/>
      <w:marBottom w:val="0"/>
      <w:divBdr>
        <w:top w:val="none" w:sz="0" w:space="0" w:color="auto"/>
        <w:left w:val="none" w:sz="0" w:space="0" w:color="auto"/>
        <w:bottom w:val="none" w:sz="0" w:space="0" w:color="auto"/>
        <w:right w:val="none" w:sz="0" w:space="0" w:color="auto"/>
      </w:divBdr>
    </w:div>
    <w:div w:id="1564101290">
      <w:bodyDiv w:val="1"/>
      <w:marLeft w:val="0"/>
      <w:marRight w:val="0"/>
      <w:marTop w:val="0"/>
      <w:marBottom w:val="0"/>
      <w:divBdr>
        <w:top w:val="none" w:sz="0" w:space="0" w:color="auto"/>
        <w:left w:val="none" w:sz="0" w:space="0" w:color="auto"/>
        <w:bottom w:val="none" w:sz="0" w:space="0" w:color="auto"/>
        <w:right w:val="none" w:sz="0" w:space="0" w:color="auto"/>
      </w:divBdr>
    </w:div>
    <w:div w:id="1650400729">
      <w:bodyDiv w:val="1"/>
      <w:marLeft w:val="0"/>
      <w:marRight w:val="0"/>
      <w:marTop w:val="0"/>
      <w:marBottom w:val="0"/>
      <w:divBdr>
        <w:top w:val="none" w:sz="0" w:space="0" w:color="auto"/>
        <w:left w:val="none" w:sz="0" w:space="0" w:color="auto"/>
        <w:bottom w:val="none" w:sz="0" w:space="0" w:color="auto"/>
        <w:right w:val="none" w:sz="0" w:space="0" w:color="auto"/>
      </w:divBdr>
    </w:div>
    <w:div w:id="1883009480">
      <w:bodyDiv w:val="1"/>
      <w:marLeft w:val="0"/>
      <w:marRight w:val="0"/>
      <w:marTop w:val="0"/>
      <w:marBottom w:val="0"/>
      <w:divBdr>
        <w:top w:val="none" w:sz="0" w:space="0" w:color="auto"/>
        <w:left w:val="none" w:sz="0" w:space="0" w:color="auto"/>
        <w:bottom w:val="none" w:sz="0" w:space="0" w:color="auto"/>
        <w:right w:val="none" w:sz="0" w:space="0" w:color="auto"/>
      </w:divBdr>
    </w:div>
    <w:div w:id="1934127815">
      <w:bodyDiv w:val="1"/>
      <w:marLeft w:val="0"/>
      <w:marRight w:val="0"/>
      <w:marTop w:val="0"/>
      <w:marBottom w:val="0"/>
      <w:divBdr>
        <w:top w:val="none" w:sz="0" w:space="0" w:color="auto"/>
        <w:left w:val="none" w:sz="0" w:space="0" w:color="auto"/>
        <w:bottom w:val="none" w:sz="0" w:space="0" w:color="auto"/>
        <w:right w:val="none" w:sz="0" w:space="0" w:color="auto"/>
      </w:divBdr>
    </w:div>
    <w:div w:id="1946308307">
      <w:bodyDiv w:val="1"/>
      <w:marLeft w:val="0"/>
      <w:marRight w:val="0"/>
      <w:marTop w:val="0"/>
      <w:marBottom w:val="0"/>
      <w:divBdr>
        <w:top w:val="none" w:sz="0" w:space="0" w:color="auto"/>
        <w:left w:val="none" w:sz="0" w:space="0" w:color="auto"/>
        <w:bottom w:val="none" w:sz="0" w:space="0" w:color="auto"/>
        <w:right w:val="none" w:sz="0" w:space="0" w:color="auto"/>
      </w:divBdr>
    </w:div>
    <w:div w:id="1954749591">
      <w:bodyDiv w:val="1"/>
      <w:marLeft w:val="0"/>
      <w:marRight w:val="0"/>
      <w:marTop w:val="0"/>
      <w:marBottom w:val="0"/>
      <w:divBdr>
        <w:top w:val="none" w:sz="0" w:space="0" w:color="auto"/>
        <w:left w:val="none" w:sz="0" w:space="0" w:color="auto"/>
        <w:bottom w:val="none" w:sz="0" w:space="0" w:color="auto"/>
        <w:right w:val="none" w:sz="0" w:space="0" w:color="auto"/>
      </w:divBdr>
    </w:div>
    <w:div w:id="1994987040">
      <w:bodyDiv w:val="1"/>
      <w:marLeft w:val="0"/>
      <w:marRight w:val="0"/>
      <w:marTop w:val="0"/>
      <w:marBottom w:val="0"/>
      <w:divBdr>
        <w:top w:val="none" w:sz="0" w:space="0" w:color="auto"/>
        <w:left w:val="none" w:sz="0" w:space="0" w:color="auto"/>
        <w:bottom w:val="none" w:sz="0" w:space="0" w:color="auto"/>
        <w:right w:val="none" w:sz="0" w:space="0" w:color="auto"/>
      </w:divBdr>
    </w:div>
    <w:div w:id="208799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8C4B0-4D8A-43F8-B8A6-4B1C169CE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97</Pages>
  <Words>35872</Words>
  <Characters>204474</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239867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wb254127</dc:creator>
  <cp:lastModifiedBy>Lakendra Simone Kea</cp:lastModifiedBy>
  <cp:revision>3</cp:revision>
  <cp:lastPrinted>2011-12-14T21:57:00Z</cp:lastPrinted>
  <dcterms:created xsi:type="dcterms:W3CDTF">2011-12-22T19:10:00Z</dcterms:created>
  <dcterms:modified xsi:type="dcterms:W3CDTF">2013-10-15T21:01:00Z</dcterms:modified>
</cp:coreProperties>
</file>