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847D" w14:textId="77777777" w:rsidR="00C0697C" w:rsidRDefault="00C0697C" w:rsidP="00C0697C">
      <w:pPr>
        <w:widowControl/>
        <w:autoSpaceDE/>
        <w:autoSpaceDN/>
        <w:adjustRightInd/>
        <w:spacing w:after="240"/>
        <w:jc w:val="center"/>
        <w:rPr>
          <w:rFonts w:asciiTheme="minorHAnsi" w:eastAsia="Calibri" w:hAnsiTheme="minorHAnsi" w:cstheme="minorHAnsi"/>
          <w:b/>
          <w:sz w:val="22"/>
          <w:szCs w:val="22"/>
        </w:rPr>
      </w:pPr>
      <w:r>
        <w:rPr>
          <w:rFonts w:asciiTheme="minorHAnsi" w:eastAsia="Calibri" w:hAnsiTheme="minorHAnsi" w:cstheme="minorHAnsi"/>
          <w:b/>
          <w:sz w:val="22"/>
          <w:szCs w:val="22"/>
        </w:rPr>
        <w:t>Technical Assessment - Addendum</w:t>
      </w:r>
    </w:p>
    <w:p w14:paraId="070C82F6" w14:textId="77777777" w:rsidR="00C0697C" w:rsidRPr="00FC0532" w:rsidRDefault="00C0697C" w:rsidP="00C0697C">
      <w:pPr>
        <w:widowControl/>
        <w:numPr>
          <w:ilvl w:val="0"/>
          <w:numId w:val="3"/>
        </w:numPr>
        <w:autoSpaceDE/>
        <w:autoSpaceDN/>
        <w:adjustRightInd/>
        <w:spacing w:after="240"/>
        <w:ind w:left="0" w:firstLine="0"/>
        <w:rPr>
          <w:rFonts w:asciiTheme="minorHAnsi" w:eastAsia="Calibri" w:hAnsiTheme="minorHAnsi" w:cstheme="minorHAnsi"/>
          <w:b/>
          <w:sz w:val="22"/>
          <w:szCs w:val="22"/>
        </w:rPr>
      </w:pPr>
      <w:r w:rsidRPr="00FC0532">
        <w:rPr>
          <w:rFonts w:asciiTheme="minorHAnsi" w:eastAsia="Calibri" w:hAnsiTheme="minorHAnsi" w:cstheme="minorHAnsi"/>
          <w:b/>
          <w:sz w:val="22"/>
          <w:szCs w:val="22"/>
        </w:rPr>
        <w:t>Assessment of Program Strategic Relevance and Technical Soundness</w:t>
      </w:r>
    </w:p>
    <w:p w14:paraId="0608B8CA" w14:textId="77777777" w:rsidR="00C0697C" w:rsidRPr="00FC0532" w:rsidRDefault="00C0697C" w:rsidP="00C0697C">
      <w:pPr>
        <w:keepNext/>
        <w:keepLines/>
        <w:widowControl/>
        <w:numPr>
          <w:ilvl w:val="0"/>
          <w:numId w:val="1"/>
        </w:numPr>
        <w:autoSpaceDE/>
        <w:autoSpaceDN/>
        <w:adjustRightInd/>
        <w:spacing w:after="240"/>
        <w:ind w:left="0" w:firstLine="0"/>
        <w:rPr>
          <w:rFonts w:asciiTheme="minorHAnsi" w:eastAsia="Calibri" w:hAnsiTheme="minorHAnsi" w:cstheme="minorHAnsi"/>
          <w:b/>
          <w:sz w:val="22"/>
          <w:szCs w:val="22"/>
        </w:rPr>
      </w:pPr>
      <w:r w:rsidRPr="00FC0532">
        <w:rPr>
          <w:rFonts w:asciiTheme="minorHAnsi" w:eastAsia="Calibri" w:hAnsiTheme="minorHAnsi" w:cstheme="minorHAnsi"/>
          <w:b/>
          <w:sz w:val="22"/>
          <w:szCs w:val="22"/>
        </w:rPr>
        <w:t>Strategic Relevance</w:t>
      </w:r>
    </w:p>
    <w:p w14:paraId="17A5D150"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b/>
          <w:sz w:val="22"/>
          <w:szCs w:val="22"/>
        </w:rPr>
      </w:pPr>
      <w:r w:rsidRPr="00FC0532">
        <w:rPr>
          <w:rFonts w:asciiTheme="minorHAnsi" w:eastAsia="Calibri" w:hAnsiTheme="minorHAnsi" w:cstheme="minorHAnsi"/>
          <w:sz w:val="22"/>
          <w:szCs w:val="22"/>
        </w:rPr>
        <w:t>The Government’s Development Strategy 2030 aspires to have Nepal achieve SDGs and become a middle-income country by 2030.</w:t>
      </w:r>
      <w:r w:rsidRPr="00FC0532">
        <w:rPr>
          <w:rFonts w:asciiTheme="minorHAnsi" w:eastAsia="Calibri" w:hAnsiTheme="minorHAnsi" w:cstheme="minorHAnsi"/>
          <w:b/>
          <w:sz w:val="22"/>
          <w:szCs w:val="22"/>
        </w:rPr>
        <w:t xml:space="preserve"> </w:t>
      </w:r>
      <w:r w:rsidRPr="00FC0532">
        <w:rPr>
          <w:rFonts w:asciiTheme="minorHAnsi" w:eastAsia="Calibri" w:hAnsiTheme="minorHAnsi" w:cstheme="minorHAnsi"/>
          <w:sz w:val="22"/>
          <w:szCs w:val="22"/>
        </w:rPr>
        <w:t>The recently adopted constitution has guaranteed free education up to secondary level. Through the 14</w:t>
      </w:r>
      <w:bookmarkStart w:id="0" w:name="_GoBack"/>
      <w:bookmarkEnd w:id="0"/>
      <w:r w:rsidRPr="00FC0532">
        <w:rPr>
          <w:rFonts w:asciiTheme="minorHAnsi" w:eastAsia="Calibri" w:hAnsiTheme="minorHAnsi" w:cstheme="minorHAnsi"/>
          <w:sz w:val="22"/>
          <w:szCs w:val="22"/>
        </w:rPr>
        <w:t xml:space="preserve">th plan (FY2016/17–FY2018/19), the Government aims to elevate access to secondary education, improve quality of education and efficacy of the education system to produce skilled manpower, and create a conducive environment for transformational development by focusing on expansion of infrastructures and power. It is within this framework that the Government has launched a seven-year SSDP, which focuses on enhancing quality. </w:t>
      </w:r>
    </w:p>
    <w:p w14:paraId="4F5B98D1"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b/>
          <w:sz w:val="22"/>
          <w:szCs w:val="22"/>
        </w:rPr>
      </w:pPr>
      <w:r w:rsidRPr="00FC0532">
        <w:rPr>
          <w:rFonts w:asciiTheme="minorHAnsi" w:eastAsia="Calibri" w:hAnsiTheme="minorHAnsi" w:cstheme="minorHAnsi"/>
          <w:sz w:val="22"/>
          <w:szCs w:val="22"/>
        </w:rPr>
        <w:t>The parent IDA program, Nepal School Sector Development Program (SSDP, P160748, US$185 million), supports a five-year time slice of the Government’s SSDP. It was approved by the Board on March 24, 2017; became effective on September 19, 2017; and is scheduled to close on July 15, 2021. The proposed additional grant is in response to a request from the GON with an indicative GPE allocation for the next round of funding. The World Bank has been selected as the GA for processing the proposed grant and supervising the implementation phase of the grant through a mutual consensus of the GON and the LEG.</w:t>
      </w:r>
    </w:p>
    <w:p w14:paraId="080270F5"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 xml:space="preserve">The proposed additional grant would be for a three-year operation (2018–2021) and comprise two parts: (a) a fixed part (60 percent of the total grant) based on the country’s compliance with the three eligibility requirements—having a credible education sector plan, commitment to financing the sector plan, and availability of critical data for sector monitoring and analysis—and (b) a variable part (40 percent of the total grant) conditional on achieving the targets for three preidentified ‘stretch’ indicators associated with equity, quality, and efficiency in the education sector. The proposed GPE AF grant would maintain the LEG’s support for the Government’s SSDP and be used to (a) help the GON reduce its financing gap; (b) support crucial SSDP activities most aligned with the GPE strategic goals of promoting quality, equity, and efficiency, and (c) maximize the Program’s development impact during the ongoing federal transition. </w:t>
      </w:r>
    </w:p>
    <w:p w14:paraId="60B4111D"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 xml:space="preserve">Nepal is going through a demographic transition where there is a youth bulge (more than 50 percent of population under 25) in the country and youth today are, on average, more educated than in the past. This is because Nepal has significantly expanded access to education, leading to a deepening of its human capital. This human capital presents a powerful resource to accelerate economic growth and reduce poverty. However, Nepal’s youth bulge remains a hugely underutilized resource because of low levels of learning outcomes and skills attainment and inadequate domestic labor market opportunities. The SSDP’s focus on quality improvements through strategic interventions (for example, school, teacher, and student-level incentives and accountability schemes) and system strengthening (for example, curriculum and examinations reforms) is expected to provide young people with relevant cognitive and noncognitive skills for further education, labor market or other livelihoods. Therefore, investment in quality education is key to successfully unleashing the true potential of Nepal’s young people and the economy. </w:t>
      </w:r>
    </w:p>
    <w:p w14:paraId="77016285"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 xml:space="preserve">The GON has developed the follow-on SSDP, (2016–2023) in line with Nepal’s vision to become a middle-income country by 2030. This plan aligns with Nepal’s international commitment toward the SDGs, which were ratified by the United Nations General Assembly in September 2015. It covers all levels of </w:t>
      </w:r>
      <w:r w:rsidRPr="00FC0532">
        <w:rPr>
          <w:rFonts w:asciiTheme="minorHAnsi" w:eastAsia="Calibri" w:hAnsiTheme="minorHAnsi" w:cstheme="minorHAnsi"/>
          <w:sz w:val="22"/>
          <w:szCs w:val="22"/>
        </w:rPr>
        <w:lastRenderedPageBreak/>
        <w:t xml:space="preserve">school education and non-formal education (NFE) programs (excluding teacher pension). The program would be supported by </w:t>
      </w:r>
      <w:proofErr w:type="gramStart"/>
      <w:r w:rsidRPr="00FC0532">
        <w:rPr>
          <w:rFonts w:asciiTheme="minorHAnsi" w:eastAsia="Calibri" w:hAnsiTheme="minorHAnsi" w:cstheme="minorHAnsi"/>
          <w:sz w:val="22"/>
          <w:szCs w:val="22"/>
        </w:rPr>
        <w:t>a number of</w:t>
      </w:r>
      <w:proofErr w:type="gramEnd"/>
      <w:r w:rsidRPr="00FC0532">
        <w:rPr>
          <w:rFonts w:asciiTheme="minorHAnsi" w:eastAsia="Calibri" w:hAnsiTheme="minorHAnsi" w:cstheme="minorHAnsi"/>
          <w:sz w:val="22"/>
          <w:szCs w:val="22"/>
        </w:rPr>
        <w:t xml:space="preserve"> DPs including the World Bank through </w:t>
      </w:r>
      <w:proofErr w:type="spellStart"/>
      <w:r w:rsidRPr="00FC0532">
        <w:rPr>
          <w:rFonts w:asciiTheme="minorHAnsi" w:eastAsia="Calibri" w:hAnsiTheme="minorHAnsi" w:cstheme="minorHAnsi"/>
          <w:sz w:val="22"/>
          <w:szCs w:val="22"/>
        </w:rPr>
        <w:t>SWAp</w:t>
      </w:r>
      <w:proofErr w:type="spellEnd"/>
      <w:r w:rsidRPr="00FC0532">
        <w:rPr>
          <w:rFonts w:asciiTheme="minorHAnsi" w:eastAsia="Calibri" w:hAnsiTheme="minorHAnsi" w:cstheme="minorHAnsi"/>
          <w:sz w:val="22"/>
          <w:szCs w:val="22"/>
        </w:rPr>
        <w:t xml:space="preserve"> modality. Building on the lessons learned and the gains made in the sector under the earlier EFA and SSRP programs, the SSDP is designed to enable the school education sector to consolidate the achievement made during the last 12 years, achieve the unfinished agenda items, and introduce new initiatives to address the emerging needs of the country and people’s aspirations. The Constitution of Nepal (2015) demands a thorough reorientation of the education system through structural and functional reforms including the policy and regulatory frameworks. The approval of the Education Act Eighth Amendment (2016) provides the legal framework to carry out reforms envisaged in SSDP. </w:t>
      </w:r>
    </w:p>
    <w:p w14:paraId="0B2D721E" w14:textId="77777777" w:rsidR="00C0697C" w:rsidRPr="00FC0532" w:rsidRDefault="00C0697C" w:rsidP="00C0697C">
      <w:pPr>
        <w:keepNext/>
        <w:keepLines/>
        <w:widowControl/>
        <w:numPr>
          <w:ilvl w:val="0"/>
          <w:numId w:val="1"/>
        </w:numPr>
        <w:autoSpaceDE/>
        <w:autoSpaceDN/>
        <w:adjustRightInd/>
        <w:spacing w:after="240"/>
        <w:ind w:left="0" w:firstLine="0"/>
        <w:rPr>
          <w:rFonts w:asciiTheme="minorHAnsi" w:eastAsia="Calibri" w:hAnsiTheme="minorHAnsi" w:cstheme="minorHAnsi"/>
          <w:b/>
          <w:sz w:val="22"/>
          <w:szCs w:val="22"/>
        </w:rPr>
      </w:pPr>
      <w:r w:rsidRPr="00FC0532">
        <w:rPr>
          <w:rFonts w:asciiTheme="minorHAnsi" w:eastAsia="Calibri" w:hAnsiTheme="minorHAnsi" w:cstheme="minorHAnsi"/>
          <w:b/>
          <w:sz w:val="22"/>
          <w:szCs w:val="22"/>
        </w:rPr>
        <w:t>Technical Soundness</w:t>
      </w:r>
    </w:p>
    <w:p w14:paraId="697FAEA8" w14:textId="77777777" w:rsidR="00C0697C" w:rsidRPr="007B5992" w:rsidRDefault="00C0697C" w:rsidP="00C0697C">
      <w:pPr>
        <w:pStyle w:val="BankNormal"/>
        <w:numPr>
          <w:ilvl w:val="0"/>
          <w:numId w:val="2"/>
        </w:numPr>
        <w:tabs>
          <w:tab w:val="clear" w:pos="2520"/>
        </w:tabs>
        <w:ind w:left="0" w:firstLine="0"/>
        <w:jc w:val="both"/>
        <w:rPr>
          <w:rFonts w:asciiTheme="minorHAnsi" w:eastAsia="Calibri" w:hAnsiTheme="minorHAnsi" w:cstheme="minorHAnsi"/>
          <w:b/>
          <w:i/>
          <w:sz w:val="22"/>
          <w:szCs w:val="22"/>
        </w:rPr>
      </w:pPr>
      <w:r w:rsidRPr="007B5992">
        <w:rPr>
          <w:rFonts w:asciiTheme="minorHAnsi" w:eastAsia="Calibri" w:hAnsiTheme="minorHAnsi" w:cstheme="minorHAnsi"/>
          <w:b/>
          <w:sz w:val="22"/>
          <w:szCs w:val="22"/>
        </w:rPr>
        <w:t>The parent IDA program and the proposed AF are technically sound as they are underpinned by a robust results chain (see Annex 1).</w:t>
      </w:r>
      <w:r w:rsidRPr="007B5992">
        <w:rPr>
          <w:rFonts w:asciiTheme="minorHAnsi" w:eastAsia="Calibri" w:hAnsiTheme="minorHAnsi" w:cstheme="minorHAnsi"/>
          <w:sz w:val="22"/>
          <w:szCs w:val="22"/>
        </w:rPr>
        <w:t xml:space="preserve"> The AF design covers all three results areas of the Program. Different results areas are intended to work in complementary ways to improve student learning and </w:t>
      </w:r>
      <w:proofErr w:type="gramStart"/>
      <w:r w:rsidRPr="007B5992">
        <w:rPr>
          <w:rFonts w:asciiTheme="minorHAnsi" w:eastAsia="Calibri" w:hAnsiTheme="minorHAnsi" w:cstheme="minorHAnsi"/>
          <w:sz w:val="22"/>
          <w:szCs w:val="22"/>
        </w:rPr>
        <w:t>access, and</w:t>
      </w:r>
      <w:proofErr w:type="gramEnd"/>
      <w:r w:rsidRPr="007B5992">
        <w:rPr>
          <w:rFonts w:asciiTheme="minorHAnsi" w:eastAsia="Calibri" w:hAnsiTheme="minorHAnsi" w:cstheme="minorHAnsi"/>
          <w:sz w:val="22"/>
          <w:szCs w:val="22"/>
        </w:rPr>
        <w:t xml:space="preserve"> strengthen the education system at all levels. This results chain uses both local and global evidence as well as contextual guidance derived from extensive consultations with education service providers, government stakeholders, and other DPs. </w:t>
      </w:r>
      <w:r w:rsidRPr="007B5992">
        <w:rPr>
          <w:rFonts w:asciiTheme="minorHAnsi" w:hAnsiTheme="minorHAnsi" w:cstheme="minorHAnsi"/>
          <w:sz w:val="22"/>
          <w:szCs w:val="22"/>
        </w:rPr>
        <w:t>Initiatives that logically tackle one problem may be undermined by other problems that are harder to address. It therefore makes sense to tackle various key problems at once and the program design does so. Additionally, the AF design draws from local evidence from a World Bank-funded scoping study that suggests a need for strengthening support in areas of equitable access, improved learning, and greater transparency in the context of the federal transition</w:t>
      </w:r>
      <w:r w:rsidRPr="007B5992">
        <w:rPr>
          <w:rFonts w:asciiTheme="minorHAnsi" w:eastAsia="Calibri" w:hAnsiTheme="minorHAnsi" w:cstheme="minorHAnsi"/>
          <w:sz w:val="22"/>
          <w:szCs w:val="22"/>
        </w:rPr>
        <w:t xml:space="preserve">. </w:t>
      </w:r>
    </w:p>
    <w:p w14:paraId="625C40FD" w14:textId="77777777" w:rsidR="00C0697C" w:rsidRPr="007B5992" w:rsidRDefault="00C0697C" w:rsidP="00C0697C">
      <w:pPr>
        <w:pStyle w:val="BankNormal"/>
        <w:numPr>
          <w:ilvl w:val="0"/>
          <w:numId w:val="2"/>
        </w:numPr>
        <w:tabs>
          <w:tab w:val="clear" w:pos="2520"/>
        </w:tabs>
        <w:ind w:left="0" w:firstLine="0"/>
        <w:jc w:val="both"/>
        <w:rPr>
          <w:rFonts w:asciiTheme="minorHAnsi" w:eastAsia="Calibri" w:hAnsiTheme="minorHAnsi" w:cstheme="minorHAnsi"/>
          <w:b/>
          <w:i/>
          <w:sz w:val="22"/>
          <w:szCs w:val="22"/>
        </w:rPr>
      </w:pPr>
      <w:r w:rsidRPr="007B5992">
        <w:rPr>
          <w:rFonts w:asciiTheme="minorHAnsi" w:eastAsia="Calibri" w:hAnsiTheme="minorHAnsi" w:cstheme="minorHAnsi"/>
          <w:b/>
          <w:sz w:val="22"/>
          <w:szCs w:val="22"/>
        </w:rPr>
        <w:t>A Program Results Framework with measurable, actionable, and realistic targets was developed based on the results chain.</w:t>
      </w:r>
      <w:r w:rsidRPr="007B5992">
        <w:rPr>
          <w:rFonts w:asciiTheme="minorHAnsi" w:eastAsia="Calibri" w:hAnsiTheme="minorHAnsi" w:cstheme="minorHAnsi"/>
          <w:sz w:val="22"/>
          <w:szCs w:val="22"/>
        </w:rPr>
        <w:t xml:space="preserve"> The activities in the SSDP are clearly defined and are implementable in the practical sense. The parent IDA program as well as the AF activities were designed in view of the existing implementation structures and decision processes. This is particularly important given the uncertainty around LGs’ capacity to plan and implement crucial education activities in the face of rapid decentralization. (See Annex </w:t>
      </w:r>
      <w:r>
        <w:rPr>
          <w:rFonts w:asciiTheme="minorHAnsi" w:eastAsia="Calibri" w:hAnsiTheme="minorHAnsi" w:cstheme="minorHAnsi"/>
          <w:sz w:val="22"/>
          <w:szCs w:val="22"/>
        </w:rPr>
        <w:t>2</w:t>
      </w:r>
      <w:r w:rsidRPr="007B5992">
        <w:rPr>
          <w:rFonts w:asciiTheme="minorHAnsi" w:eastAsia="Calibri" w:hAnsiTheme="minorHAnsi" w:cstheme="minorHAnsi"/>
          <w:sz w:val="22"/>
          <w:szCs w:val="22"/>
        </w:rPr>
        <w:t xml:space="preserve"> for detailed explanation of how proposed DLI/DLR targets are actionable) Moreover, the DLRs associated with the AF are a logical and balanced mix of process indicators, outputs, and outcomes across all three results areas. </w:t>
      </w:r>
    </w:p>
    <w:p w14:paraId="08362193"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bCs/>
          <w:sz w:val="22"/>
          <w:szCs w:val="22"/>
        </w:rPr>
      </w:pPr>
      <w:r w:rsidRPr="00FC0532">
        <w:rPr>
          <w:rFonts w:asciiTheme="minorHAnsi" w:eastAsia="Calibri" w:hAnsiTheme="minorHAnsi" w:cstheme="minorHAnsi"/>
          <w:b/>
          <w:sz w:val="22"/>
          <w:szCs w:val="22"/>
        </w:rPr>
        <w:t>Lessons learned from past operations.</w:t>
      </w:r>
      <w:r w:rsidRPr="00FC0532">
        <w:rPr>
          <w:rFonts w:asciiTheme="minorHAnsi" w:eastAsia="Calibri" w:hAnsiTheme="minorHAnsi" w:cstheme="minorHAnsi"/>
          <w:sz w:val="22"/>
          <w:szCs w:val="22"/>
        </w:rPr>
        <w:t xml:space="preserve"> Nepal has a good policy (and tradition) of involving communities in the management of schools and higher education institutions. This decentralization policy, started in 2001 and supported by the World Bank, has been a powerful instrument in expanding access in school and higher education. In addition, demand side interventions including per capita financing (PCF) and targeted scholarships have helped un-served children particularly from marginalized communities. However, the same policies have not had any meaningful impact on quality improvements in large part due to the inability of community-elected SMCs to effectively manage centrally recruited teachers and the shortcomings of the PCF design (absence of performance-based component) and scholarships (not sufficiently poverty-targeted). Based on these lessons and analytical work, the World Bank’s support for the SSDP continues to use DLI-based (focus on results rather than inputs) reforms in key areas including teacher management and accountability across all education subsectors, system strengthening including enhancement of data reliability and transparency, fiduciary arrangements, and phased implementation of innovative quality enhancing interventions under transition of federalism. It should be noted that focus on accountability and incentives for schools and teachers is based on global evidence on the use of performance-based incentives to promote student outcomes. Given that many of the strategic interventions incentivized through the World Bank’s DLIs are still new to the country, it is critical to keep the design flexible with good monitoring systems and implementation support to maximize the achievement of agreed results or DLIs. </w:t>
      </w:r>
    </w:p>
    <w:p w14:paraId="1FB2BAF4"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bCs/>
          <w:sz w:val="22"/>
          <w:szCs w:val="22"/>
        </w:rPr>
      </w:pPr>
      <w:r w:rsidRPr="00FC0532">
        <w:rPr>
          <w:rFonts w:asciiTheme="minorHAnsi" w:eastAsia="Calibri" w:hAnsiTheme="minorHAnsi" w:cstheme="minorHAnsi"/>
          <w:b/>
          <w:sz w:val="22"/>
          <w:szCs w:val="22"/>
        </w:rPr>
        <w:t>Partnerships.</w:t>
      </w:r>
      <w:r w:rsidRPr="00FC0532">
        <w:rPr>
          <w:rFonts w:asciiTheme="minorHAnsi" w:eastAsia="Calibri" w:hAnsiTheme="minorHAnsi" w:cstheme="minorHAnsi"/>
          <w:sz w:val="22"/>
          <w:szCs w:val="22"/>
        </w:rPr>
        <w:t xml:space="preserve"> Nepal’s school education sector has been based on a strong partnership between the Government and DPs. The World Bank, as in the past, will continue to play a critical role in collaborating with the partners in strengthening and using the country systems. The World Bank will work as the GA for processing the proposed grant and supervising the implementation phase of the grant through a mutual consensus of the GON and the LEG.</w:t>
      </w:r>
      <w:r w:rsidRPr="00FC0532">
        <w:rPr>
          <w:rFonts w:asciiTheme="minorHAnsi" w:eastAsia="Calibri" w:hAnsiTheme="minorHAnsi" w:cstheme="minorHAnsi"/>
          <w:bCs/>
          <w:sz w:val="22"/>
          <w:szCs w:val="22"/>
        </w:rPr>
        <w:t xml:space="preserve"> </w:t>
      </w:r>
    </w:p>
    <w:p w14:paraId="26BADF1C" w14:textId="77777777" w:rsidR="00C0697C" w:rsidRPr="00FC0532" w:rsidRDefault="00C0697C" w:rsidP="00C0697C">
      <w:pPr>
        <w:widowControl/>
        <w:numPr>
          <w:ilvl w:val="0"/>
          <w:numId w:val="3"/>
        </w:numPr>
        <w:autoSpaceDE/>
        <w:autoSpaceDN/>
        <w:adjustRightInd/>
        <w:spacing w:after="240"/>
        <w:ind w:left="0" w:firstLine="0"/>
        <w:rPr>
          <w:rFonts w:asciiTheme="minorHAnsi" w:eastAsia="Calibri" w:hAnsiTheme="minorHAnsi" w:cstheme="minorHAnsi"/>
          <w:b/>
          <w:sz w:val="22"/>
          <w:szCs w:val="22"/>
        </w:rPr>
      </w:pPr>
      <w:r w:rsidRPr="00FC0532">
        <w:rPr>
          <w:rFonts w:asciiTheme="minorHAnsi" w:eastAsia="Calibri" w:hAnsiTheme="minorHAnsi" w:cstheme="minorHAnsi"/>
          <w:b/>
          <w:sz w:val="22"/>
          <w:szCs w:val="22"/>
        </w:rPr>
        <w:t>Assessment of Program Expenditure Framework</w:t>
      </w:r>
    </w:p>
    <w:p w14:paraId="6A0DFF0D"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b/>
          <w:sz w:val="22"/>
          <w:szCs w:val="22"/>
        </w:rPr>
        <w:t>Funding predictability and program financing.</w:t>
      </w:r>
      <w:r w:rsidRPr="00FC0532">
        <w:rPr>
          <w:rFonts w:asciiTheme="minorHAnsi" w:eastAsia="Calibri" w:hAnsiTheme="minorHAnsi" w:cstheme="minorHAnsi"/>
          <w:sz w:val="22"/>
          <w:szCs w:val="22"/>
        </w:rPr>
        <w:t xml:space="preserve"> The GON’s continuing commitment to the education sector is reflected in its budget. Annual budget allocations to education has remained around 4 percent of GDP in the past couple of years. The commitment to education as share of the total federal government budget in recent years has been around 10 percent.</w:t>
      </w:r>
      <w:r>
        <w:rPr>
          <w:rFonts w:asciiTheme="minorHAnsi" w:eastAsia="Calibri" w:hAnsiTheme="minorHAnsi" w:cstheme="minorHAnsi"/>
          <w:sz w:val="22"/>
          <w:szCs w:val="22"/>
          <w:vertAlign w:val="superscript"/>
        </w:rPr>
        <w:footnoteReference w:id="1"/>
      </w:r>
      <w:r w:rsidRPr="00FC0532">
        <w:rPr>
          <w:rFonts w:asciiTheme="minorHAnsi" w:eastAsia="Calibri" w:hAnsiTheme="minorHAnsi" w:cstheme="minorHAnsi"/>
          <w:sz w:val="22"/>
          <w:szCs w:val="22"/>
        </w:rPr>
        <w:t xml:space="preserve"> While this is a slight decline from the 12 percent allocated in previous years, the decline is attributed mainly to two sources: (a) significant but temporary increase in the national budget to address recovery needs from the 2015 earthquakes and (b) budget increase to facilitate transition to the federal structure. </w:t>
      </w:r>
    </w:p>
    <w:p w14:paraId="35FE734F"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 xml:space="preserve">Under the federal structure, LGs are also entitled to raise their own budgets and determine allocation to the education sector in addition to the federal allocation. The federal government plans to offer four types of grants to provincial and local governments including fiscal equalization grants </w:t>
      </w:r>
      <w:proofErr w:type="gramStart"/>
      <w:r w:rsidRPr="00FC0532">
        <w:rPr>
          <w:rFonts w:asciiTheme="minorHAnsi" w:eastAsia="Calibri" w:hAnsiTheme="minorHAnsi" w:cstheme="minorHAnsi"/>
          <w:sz w:val="22"/>
          <w:szCs w:val="22"/>
        </w:rPr>
        <w:t>on the basis of</w:t>
      </w:r>
      <w:proofErr w:type="gramEnd"/>
      <w:r w:rsidRPr="00FC0532">
        <w:rPr>
          <w:rFonts w:asciiTheme="minorHAnsi" w:eastAsia="Calibri" w:hAnsiTheme="minorHAnsi" w:cstheme="minorHAnsi"/>
          <w:sz w:val="22"/>
          <w:szCs w:val="22"/>
        </w:rPr>
        <w:t xml:space="preserve"> fund requirements and ability to generate revenue. In addition, the MOF is also expected to extend special grants to provide basic services such as education and health in marginalized communities. However, the budget share that LGs allocate to education remains uncertain. </w:t>
      </w:r>
    </w:p>
    <w:p w14:paraId="7D9A7284"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 xml:space="preserve">External DPs have been providing support to ensure continued priority for education sector investments. Nine JFPs—ADB, EU, Finland, GPE, JICA, Norway, REACH MDTF, UNICEF, and the World Bank—continue to cooperate in a </w:t>
      </w:r>
      <w:proofErr w:type="spellStart"/>
      <w:r w:rsidRPr="00FC0532">
        <w:rPr>
          <w:rFonts w:asciiTheme="minorHAnsi" w:eastAsia="Calibri" w:hAnsiTheme="minorHAnsi" w:cstheme="minorHAnsi"/>
          <w:sz w:val="22"/>
          <w:szCs w:val="22"/>
        </w:rPr>
        <w:t>SWAp</w:t>
      </w:r>
      <w:proofErr w:type="spellEnd"/>
      <w:r w:rsidRPr="00FC0532">
        <w:rPr>
          <w:rFonts w:asciiTheme="minorHAnsi" w:eastAsia="Calibri" w:hAnsiTheme="minorHAnsi" w:cstheme="minorHAnsi"/>
          <w:sz w:val="22"/>
          <w:szCs w:val="22"/>
        </w:rPr>
        <w:t xml:space="preserve"> under a JFA, an overarching document to harmonize support for the SSDP, including during the federal transition. Australia’s departure from SSDP support as a JFP increased the SSDP financing gap, albeit a small amount. The proposed GPE AF of US$24.2 million would compensate the resulting decrease in committed funds as well as help the GON meet its financing gap. DPs’ share in the SSDP financing plan is 7.4 percent (accounting for Australia’s departure) (see table </w:t>
      </w:r>
      <w:r>
        <w:rPr>
          <w:rFonts w:asciiTheme="minorHAnsi" w:eastAsia="Calibri" w:hAnsiTheme="minorHAnsi" w:cstheme="minorHAnsi"/>
          <w:sz w:val="22"/>
          <w:szCs w:val="22"/>
        </w:rPr>
        <w:t>4</w:t>
      </w:r>
      <w:r w:rsidRPr="00FC0532">
        <w:rPr>
          <w:rFonts w:asciiTheme="minorHAnsi" w:eastAsia="Calibri" w:hAnsiTheme="minorHAnsi" w:cstheme="minorHAnsi"/>
          <w:sz w:val="22"/>
          <w:szCs w:val="22"/>
        </w:rPr>
        <w:t>.1).</w:t>
      </w:r>
    </w:p>
    <w:p w14:paraId="29282379" w14:textId="77777777" w:rsidR="00C0697C" w:rsidRPr="00FC0532" w:rsidRDefault="00C0697C" w:rsidP="00C0697C">
      <w:pPr>
        <w:pStyle w:val="Caption1"/>
        <w:rPr>
          <w:rFonts w:asciiTheme="minorHAnsi" w:eastAsia="Calibri" w:hAnsiTheme="minorHAnsi" w:cstheme="minorHAnsi"/>
        </w:rPr>
      </w:pPr>
      <w:r w:rsidRPr="00FC0532">
        <w:rPr>
          <w:rFonts w:asciiTheme="minorHAnsi" w:hAnsiTheme="minorHAnsi" w:cstheme="minorHAnsi"/>
        </w:rPr>
        <w:t xml:space="preserve">Table </w:t>
      </w:r>
      <w:r>
        <w:rPr>
          <w:rFonts w:asciiTheme="minorHAnsi" w:hAnsiTheme="minorHAnsi" w:cstheme="minorHAnsi"/>
        </w:rPr>
        <w:t>4</w:t>
      </w:r>
      <w:r w:rsidRPr="00FC0532">
        <w:rPr>
          <w:rFonts w:asciiTheme="minorHAnsi" w:hAnsiTheme="minorHAnsi" w:cstheme="minorHAnsi"/>
        </w:rPr>
        <w:t>.</w:t>
      </w:r>
      <w:r w:rsidRPr="00FC0532">
        <w:rPr>
          <w:rFonts w:asciiTheme="minorHAnsi" w:hAnsiTheme="minorHAnsi" w:cstheme="minorHAnsi"/>
          <w:noProof/>
        </w:rPr>
        <w:fldChar w:fldCharType="begin"/>
      </w:r>
      <w:r w:rsidRPr="00FC0532">
        <w:rPr>
          <w:rFonts w:asciiTheme="minorHAnsi" w:hAnsiTheme="minorHAnsi" w:cstheme="minorHAnsi"/>
          <w:noProof/>
        </w:rPr>
        <w:instrText xml:space="preserve"> SEQ Table_6. \* ARABIC </w:instrText>
      </w:r>
      <w:r w:rsidRPr="00FC0532">
        <w:rPr>
          <w:rFonts w:asciiTheme="minorHAnsi" w:hAnsiTheme="minorHAnsi" w:cstheme="minorHAnsi"/>
          <w:noProof/>
        </w:rPr>
        <w:fldChar w:fldCharType="separate"/>
      </w:r>
      <w:r>
        <w:rPr>
          <w:rFonts w:asciiTheme="minorHAnsi" w:hAnsiTheme="minorHAnsi" w:cstheme="minorHAnsi"/>
          <w:noProof/>
        </w:rPr>
        <w:t>1</w:t>
      </w:r>
      <w:r w:rsidRPr="00FC0532">
        <w:rPr>
          <w:rFonts w:asciiTheme="minorHAnsi" w:hAnsiTheme="minorHAnsi" w:cstheme="minorHAnsi"/>
          <w:noProof/>
        </w:rPr>
        <w:fldChar w:fldCharType="end"/>
      </w:r>
      <w:r w:rsidRPr="00FC0532">
        <w:rPr>
          <w:rFonts w:asciiTheme="minorHAnsi" w:eastAsia="Calibri" w:hAnsiTheme="minorHAnsi" w:cstheme="minorHAnsi"/>
        </w:rPr>
        <w:t>. School Sector Development Program (2016–2021) - Estimated Financing Plan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207"/>
        <w:gridCol w:w="3811"/>
        <w:gridCol w:w="2332"/>
      </w:tblGrid>
      <w:tr w:rsidR="00C0697C" w14:paraId="6F7AC53B" w14:textId="77777777" w:rsidTr="000C6035">
        <w:trPr>
          <w:cantSplit/>
          <w:trHeight w:val="20"/>
          <w:tblHeader/>
          <w:jc w:val="center"/>
        </w:trPr>
        <w:tc>
          <w:tcPr>
            <w:tcW w:w="1715" w:type="pct"/>
            <w:shd w:val="clear" w:color="auto" w:fill="auto"/>
            <w:noWrap/>
            <w:vAlign w:val="center"/>
          </w:tcPr>
          <w:p w14:paraId="03E593A1" w14:textId="77777777" w:rsidR="00C0697C" w:rsidRPr="00FC0532" w:rsidRDefault="00C0697C" w:rsidP="000C6035">
            <w:pPr>
              <w:ind w:left="150" w:hanging="90"/>
              <w:jc w:val="center"/>
              <w:rPr>
                <w:rFonts w:asciiTheme="minorHAnsi" w:eastAsia="Calibri" w:hAnsiTheme="minorHAnsi" w:cstheme="minorHAnsi"/>
                <w:b/>
                <w:sz w:val="20"/>
                <w:szCs w:val="20"/>
              </w:rPr>
            </w:pPr>
            <w:r w:rsidRPr="00FC0532">
              <w:rPr>
                <w:rFonts w:asciiTheme="minorHAnsi" w:eastAsia="Calibri" w:hAnsiTheme="minorHAnsi" w:cstheme="minorHAnsi"/>
                <w:b/>
                <w:sz w:val="20"/>
                <w:szCs w:val="20"/>
              </w:rPr>
              <w:t>Source</w:t>
            </w:r>
          </w:p>
        </w:tc>
        <w:tc>
          <w:tcPr>
            <w:tcW w:w="2038" w:type="pct"/>
            <w:shd w:val="clear" w:color="auto" w:fill="auto"/>
            <w:noWrap/>
            <w:vAlign w:val="center"/>
          </w:tcPr>
          <w:p w14:paraId="195D4395" w14:textId="77777777" w:rsidR="00C0697C" w:rsidRPr="00FC0532" w:rsidRDefault="00C0697C" w:rsidP="000C6035">
            <w:pPr>
              <w:jc w:val="center"/>
              <w:rPr>
                <w:rFonts w:asciiTheme="minorHAnsi" w:eastAsia="Calibri" w:hAnsiTheme="minorHAnsi" w:cstheme="minorHAnsi"/>
                <w:b/>
                <w:sz w:val="20"/>
                <w:szCs w:val="20"/>
              </w:rPr>
            </w:pPr>
            <w:r w:rsidRPr="00FC0532">
              <w:rPr>
                <w:rFonts w:asciiTheme="minorHAnsi" w:eastAsia="Calibri" w:hAnsiTheme="minorHAnsi" w:cstheme="minorHAnsi"/>
                <w:b/>
                <w:sz w:val="20"/>
                <w:szCs w:val="20"/>
              </w:rPr>
              <w:t>Amount (US$, millions)</w:t>
            </w:r>
          </w:p>
        </w:tc>
        <w:tc>
          <w:tcPr>
            <w:tcW w:w="1247" w:type="pct"/>
            <w:shd w:val="clear" w:color="auto" w:fill="auto"/>
            <w:noWrap/>
            <w:vAlign w:val="center"/>
          </w:tcPr>
          <w:p w14:paraId="29F67888" w14:textId="77777777" w:rsidR="00C0697C" w:rsidRPr="00FC0532" w:rsidRDefault="00C0697C" w:rsidP="000C6035">
            <w:pPr>
              <w:jc w:val="center"/>
              <w:rPr>
                <w:rFonts w:asciiTheme="minorHAnsi" w:eastAsia="Calibri" w:hAnsiTheme="minorHAnsi" w:cstheme="minorHAnsi"/>
                <w:b/>
                <w:sz w:val="20"/>
                <w:szCs w:val="20"/>
              </w:rPr>
            </w:pPr>
            <w:r w:rsidRPr="00FC0532">
              <w:rPr>
                <w:rFonts w:asciiTheme="minorHAnsi" w:eastAsia="Calibri" w:hAnsiTheme="minorHAnsi" w:cstheme="minorHAnsi"/>
                <w:b/>
                <w:sz w:val="20"/>
                <w:szCs w:val="20"/>
              </w:rPr>
              <w:t>Share of Total (%)</w:t>
            </w:r>
          </w:p>
        </w:tc>
      </w:tr>
      <w:tr w:rsidR="00C0697C" w14:paraId="14C23606" w14:textId="77777777" w:rsidTr="000C6035">
        <w:trPr>
          <w:cantSplit/>
          <w:trHeight w:val="20"/>
          <w:jc w:val="center"/>
        </w:trPr>
        <w:tc>
          <w:tcPr>
            <w:tcW w:w="1715" w:type="pct"/>
            <w:shd w:val="clear" w:color="auto" w:fill="auto"/>
            <w:noWrap/>
          </w:tcPr>
          <w:p w14:paraId="53ED61BE" w14:textId="77777777" w:rsidR="00C0697C" w:rsidRPr="00FC0532" w:rsidRDefault="00C0697C" w:rsidP="000C6035">
            <w:pPr>
              <w:rPr>
                <w:rFonts w:asciiTheme="minorHAnsi" w:eastAsia="Calibri" w:hAnsiTheme="minorHAnsi" w:cstheme="minorHAnsi"/>
                <w:sz w:val="20"/>
                <w:szCs w:val="20"/>
              </w:rPr>
            </w:pPr>
            <w:r w:rsidRPr="00FC0532">
              <w:rPr>
                <w:rFonts w:asciiTheme="minorHAnsi" w:eastAsia="Calibri" w:hAnsiTheme="minorHAnsi" w:cstheme="minorHAnsi"/>
                <w:sz w:val="20"/>
                <w:szCs w:val="20"/>
              </w:rPr>
              <w:t>Government</w:t>
            </w:r>
          </w:p>
        </w:tc>
        <w:tc>
          <w:tcPr>
            <w:tcW w:w="2038" w:type="pct"/>
            <w:shd w:val="clear" w:color="auto" w:fill="auto"/>
            <w:noWrap/>
            <w:vAlign w:val="bottom"/>
          </w:tcPr>
          <w:p w14:paraId="54CB92DC" w14:textId="77777777" w:rsidR="00C0697C" w:rsidRPr="00FC0532" w:rsidRDefault="00C0697C" w:rsidP="000C6035">
            <w:pPr>
              <w:jc w:val="center"/>
              <w:rPr>
                <w:rFonts w:asciiTheme="minorHAnsi" w:eastAsia="Calibri" w:hAnsiTheme="minorHAnsi" w:cstheme="minorHAnsi"/>
                <w:sz w:val="20"/>
                <w:szCs w:val="20"/>
              </w:rPr>
            </w:pPr>
            <w:r w:rsidRPr="00FC0532">
              <w:rPr>
                <w:rFonts w:asciiTheme="minorHAnsi" w:eastAsia="Calibri" w:hAnsiTheme="minorHAnsi" w:cstheme="minorHAnsi"/>
                <w:sz w:val="20"/>
                <w:szCs w:val="20"/>
                <w:lang w:val="en-GB"/>
              </w:rPr>
              <w:t>5,739</w:t>
            </w:r>
          </w:p>
        </w:tc>
        <w:tc>
          <w:tcPr>
            <w:tcW w:w="1247" w:type="pct"/>
            <w:shd w:val="clear" w:color="auto" w:fill="auto"/>
            <w:noWrap/>
            <w:vAlign w:val="bottom"/>
          </w:tcPr>
          <w:p w14:paraId="20CDDDC9" w14:textId="77777777" w:rsidR="00C0697C" w:rsidRPr="00FC0532" w:rsidRDefault="00C0697C" w:rsidP="000C6035">
            <w:pPr>
              <w:tabs>
                <w:tab w:val="decimal" w:pos="959"/>
              </w:tabs>
              <w:rPr>
                <w:rFonts w:asciiTheme="minorHAnsi" w:eastAsia="Calibri" w:hAnsiTheme="minorHAnsi" w:cstheme="minorHAnsi"/>
                <w:sz w:val="20"/>
                <w:szCs w:val="20"/>
              </w:rPr>
            </w:pPr>
            <w:r w:rsidRPr="00FC0532">
              <w:rPr>
                <w:rFonts w:asciiTheme="minorHAnsi" w:eastAsia="Calibri" w:hAnsiTheme="minorHAnsi" w:cstheme="minorHAnsi"/>
                <w:sz w:val="20"/>
                <w:szCs w:val="20"/>
                <w:lang w:val="en-GB"/>
              </w:rPr>
              <w:t>88.8</w:t>
            </w:r>
          </w:p>
        </w:tc>
      </w:tr>
      <w:tr w:rsidR="00C0697C" w14:paraId="6DA98AF3" w14:textId="77777777" w:rsidTr="000C6035">
        <w:trPr>
          <w:cantSplit/>
          <w:trHeight w:val="20"/>
          <w:jc w:val="center"/>
        </w:trPr>
        <w:tc>
          <w:tcPr>
            <w:tcW w:w="1715" w:type="pct"/>
            <w:shd w:val="clear" w:color="auto" w:fill="auto"/>
            <w:noWrap/>
            <w:hideMark/>
          </w:tcPr>
          <w:p w14:paraId="799F3B06" w14:textId="77777777" w:rsidR="00C0697C" w:rsidRPr="00FC0532" w:rsidRDefault="00C0697C" w:rsidP="000C6035">
            <w:pPr>
              <w:rPr>
                <w:rFonts w:asciiTheme="minorHAnsi" w:hAnsiTheme="minorHAnsi" w:cstheme="minorHAnsi"/>
                <w:sz w:val="20"/>
                <w:szCs w:val="20"/>
              </w:rPr>
            </w:pPr>
            <w:r w:rsidRPr="00FC0532">
              <w:rPr>
                <w:rFonts w:asciiTheme="minorHAnsi" w:hAnsiTheme="minorHAnsi" w:cstheme="minorHAnsi"/>
                <w:sz w:val="20"/>
                <w:szCs w:val="20"/>
              </w:rPr>
              <w:t xml:space="preserve">IDA/World Bank </w:t>
            </w:r>
          </w:p>
        </w:tc>
        <w:tc>
          <w:tcPr>
            <w:tcW w:w="2038" w:type="pct"/>
            <w:shd w:val="clear" w:color="auto" w:fill="auto"/>
            <w:noWrap/>
            <w:vAlign w:val="bottom"/>
            <w:hideMark/>
          </w:tcPr>
          <w:p w14:paraId="6CA853E2" w14:textId="77777777" w:rsidR="00C0697C" w:rsidRPr="00FC0532" w:rsidRDefault="00C0697C" w:rsidP="000C6035">
            <w:pPr>
              <w:jc w:val="center"/>
              <w:rPr>
                <w:rFonts w:asciiTheme="minorHAnsi" w:eastAsia="Calibri" w:hAnsiTheme="minorHAnsi" w:cstheme="minorHAnsi"/>
                <w:sz w:val="20"/>
                <w:szCs w:val="20"/>
              </w:rPr>
            </w:pPr>
            <w:r w:rsidRPr="00FC0532">
              <w:rPr>
                <w:rFonts w:asciiTheme="minorHAnsi" w:eastAsia="Calibri" w:hAnsiTheme="minorHAnsi" w:cstheme="minorHAnsi"/>
                <w:sz w:val="20"/>
                <w:szCs w:val="20"/>
                <w:lang w:val="en-GB"/>
              </w:rPr>
              <w:t>185</w:t>
            </w:r>
          </w:p>
        </w:tc>
        <w:tc>
          <w:tcPr>
            <w:tcW w:w="1247" w:type="pct"/>
            <w:shd w:val="clear" w:color="auto" w:fill="auto"/>
            <w:noWrap/>
            <w:vAlign w:val="bottom"/>
            <w:hideMark/>
          </w:tcPr>
          <w:p w14:paraId="10A6E4F0" w14:textId="77777777" w:rsidR="00C0697C" w:rsidRPr="00FC0532" w:rsidRDefault="00C0697C" w:rsidP="000C6035">
            <w:pPr>
              <w:tabs>
                <w:tab w:val="decimal" w:pos="959"/>
              </w:tabs>
              <w:rPr>
                <w:rFonts w:asciiTheme="minorHAnsi" w:eastAsia="Calibri" w:hAnsiTheme="minorHAnsi" w:cstheme="minorHAnsi"/>
                <w:sz w:val="20"/>
                <w:szCs w:val="20"/>
              </w:rPr>
            </w:pPr>
            <w:r w:rsidRPr="00FC0532">
              <w:rPr>
                <w:rFonts w:asciiTheme="minorHAnsi" w:eastAsia="Calibri" w:hAnsiTheme="minorHAnsi" w:cstheme="minorHAnsi"/>
                <w:sz w:val="20"/>
                <w:szCs w:val="20"/>
                <w:lang w:val="en-GB"/>
              </w:rPr>
              <w:t>2.9</w:t>
            </w:r>
          </w:p>
        </w:tc>
      </w:tr>
      <w:tr w:rsidR="00C0697C" w14:paraId="0F81E9C9" w14:textId="77777777" w:rsidTr="000C6035">
        <w:trPr>
          <w:cantSplit/>
          <w:trHeight w:val="20"/>
          <w:jc w:val="center"/>
        </w:trPr>
        <w:tc>
          <w:tcPr>
            <w:tcW w:w="1715" w:type="pct"/>
            <w:shd w:val="clear" w:color="auto" w:fill="auto"/>
            <w:noWrap/>
            <w:hideMark/>
          </w:tcPr>
          <w:p w14:paraId="1C447C39" w14:textId="77777777" w:rsidR="00C0697C" w:rsidRPr="00FC0532" w:rsidRDefault="00C0697C" w:rsidP="000C6035">
            <w:pPr>
              <w:rPr>
                <w:rFonts w:asciiTheme="minorHAnsi" w:hAnsiTheme="minorHAnsi" w:cstheme="minorHAnsi"/>
                <w:sz w:val="20"/>
                <w:szCs w:val="20"/>
              </w:rPr>
            </w:pPr>
            <w:r w:rsidRPr="00FC0532">
              <w:rPr>
                <w:rFonts w:asciiTheme="minorHAnsi" w:hAnsiTheme="minorHAnsi" w:cstheme="minorHAnsi"/>
                <w:sz w:val="20"/>
                <w:szCs w:val="20"/>
              </w:rPr>
              <w:t xml:space="preserve">Other JFP/Non-JFP </w:t>
            </w:r>
          </w:p>
        </w:tc>
        <w:tc>
          <w:tcPr>
            <w:tcW w:w="2038" w:type="pct"/>
            <w:shd w:val="clear" w:color="auto" w:fill="auto"/>
            <w:noWrap/>
            <w:vAlign w:val="bottom"/>
            <w:hideMark/>
          </w:tcPr>
          <w:p w14:paraId="0A5E5893" w14:textId="77777777" w:rsidR="00C0697C" w:rsidRPr="00FC0532" w:rsidRDefault="00C0697C" w:rsidP="000C6035">
            <w:pPr>
              <w:jc w:val="center"/>
              <w:rPr>
                <w:rFonts w:asciiTheme="minorHAnsi" w:eastAsia="Calibri" w:hAnsiTheme="minorHAnsi" w:cstheme="minorHAnsi"/>
                <w:sz w:val="20"/>
                <w:szCs w:val="20"/>
              </w:rPr>
            </w:pPr>
            <w:r w:rsidRPr="00FC0532">
              <w:rPr>
                <w:rFonts w:asciiTheme="minorHAnsi" w:eastAsia="Calibri" w:hAnsiTheme="minorHAnsi" w:cstheme="minorHAnsi"/>
                <w:sz w:val="20"/>
                <w:szCs w:val="20"/>
                <w:lang w:val="en-GB"/>
              </w:rPr>
              <w:t>290</w:t>
            </w:r>
          </w:p>
        </w:tc>
        <w:tc>
          <w:tcPr>
            <w:tcW w:w="1247" w:type="pct"/>
            <w:shd w:val="clear" w:color="auto" w:fill="auto"/>
            <w:noWrap/>
            <w:vAlign w:val="bottom"/>
            <w:hideMark/>
          </w:tcPr>
          <w:p w14:paraId="6078A5EA" w14:textId="77777777" w:rsidR="00C0697C" w:rsidRPr="00FC0532" w:rsidRDefault="00C0697C" w:rsidP="000C6035">
            <w:pPr>
              <w:tabs>
                <w:tab w:val="decimal" w:pos="959"/>
              </w:tabs>
              <w:rPr>
                <w:rFonts w:asciiTheme="minorHAnsi" w:eastAsia="Calibri" w:hAnsiTheme="minorHAnsi" w:cstheme="minorHAnsi"/>
                <w:sz w:val="20"/>
                <w:szCs w:val="20"/>
              </w:rPr>
            </w:pPr>
            <w:r w:rsidRPr="00FC0532">
              <w:rPr>
                <w:rFonts w:asciiTheme="minorHAnsi" w:eastAsia="Calibri" w:hAnsiTheme="minorHAnsi" w:cstheme="minorHAnsi"/>
                <w:sz w:val="20"/>
                <w:szCs w:val="20"/>
              </w:rPr>
              <w:t>4.5</w:t>
            </w:r>
          </w:p>
        </w:tc>
      </w:tr>
      <w:tr w:rsidR="00C0697C" w14:paraId="1949947E" w14:textId="77777777" w:rsidTr="000C6035">
        <w:trPr>
          <w:cantSplit/>
          <w:trHeight w:val="20"/>
          <w:jc w:val="center"/>
        </w:trPr>
        <w:tc>
          <w:tcPr>
            <w:tcW w:w="1715" w:type="pct"/>
            <w:shd w:val="clear" w:color="auto" w:fill="auto"/>
            <w:noWrap/>
            <w:hideMark/>
          </w:tcPr>
          <w:p w14:paraId="05F28D74" w14:textId="77777777" w:rsidR="00C0697C" w:rsidRPr="00FC0532" w:rsidRDefault="00C0697C" w:rsidP="000C6035">
            <w:pPr>
              <w:rPr>
                <w:rFonts w:asciiTheme="minorHAnsi" w:hAnsiTheme="minorHAnsi" w:cstheme="minorHAnsi"/>
                <w:sz w:val="20"/>
                <w:szCs w:val="20"/>
              </w:rPr>
            </w:pPr>
            <w:r w:rsidRPr="00FC0532">
              <w:rPr>
                <w:rFonts w:asciiTheme="minorHAnsi" w:hAnsiTheme="minorHAnsi" w:cstheme="minorHAnsi"/>
                <w:sz w:val="20"/>
                <w:szCs w:val="20"/>
              </w:rPr>
              <w:t>Financing gap</w:t>
            </w:r>
          </w:p>
        </w:tc>
        <w:tc>
          <w:tcPr>
            <w:tcW w:w="2038" w:type="pct"/>
            <w:shd w:val="clear" w:color="auto" w:fill="auto"/>
            <w:noWrap/>
            <w:vAlign w:val="bottom"/>
            <w:hideMark/>
          </w:tcPr>
          <w:p w14:paraId="45294EEB" w14:textId="77777777" w:rsidR="00C0697C" w:rsidRPr="00FC0532" w:rsidRDefault="00C0697C" w:rsidP="000C6035">
            <w:pPr>
              <w:jc w:val="center"/>
              <w:rPr>
                <w:rFonts w:asciiTheme="minorHAnsi" w:eastAsia="Calibri" w:hAnsiTheme="minorHAnsi" w:cstheme="minorHAnsi"/>
                <w:sz w:val="20"/>
                <w:szCs w:val="20"/>
                <w:highlight w:val="yellow"/>
              </w:rPr>
            </w:pPr>
            <w:r w:rsidRPr="00FC0532">
              <w:rPr>
                <w:rFonts w:asciiTheme="minorHAnsi" w:eastAsia="Calibri" w:hAnsiTheme="minorHAnsi" w:cstheme="minorHAnsi"/>
                <w:sz w:val="20"/>
                <w:szCs w:val="20"/>
                <w:lang w:val="en-GB"/>
              </w:rPr>
              <w:t>247</w:t>
            </w:r>
          </w:p>
        </w:tc>
        <w:tc>
          <w:tcPr>
            <w:tcW w:w="1247" w:type="pct"/>
            <w:shd w:val="clear" w:color="auto" w:fill="auto"/>
            <w:noWrap/>
            <w:vAlign w:val="bottom"/>
            <w:hideMark/>
          </w:tcPr>
          <w:p w14:paraId="5CC5548D" w14:textId="77777777" w:rsidR="00C0697C" w:rsidRPr="00FC0532" w:rsidRDefault="00C0697C" w:rsidP="000C6035">
            <w:pPr>
              <w:tabs>
                <w:tab w:val="decimal" w:pos="959"/>
              </w:tabs>
              <w:rPr>
                <w:rFonts w:asciiTheme="minorHAnsi" w:eastAsia="Calibri" w:hAnsiTheme="minorHAnsi" w:cstheme="minorHAnsi"/>
                <w:sz w:val="20"/>
                <w:szCs w:val="20"/>
                <w:highlight w:val="yellow"/>
              </w:rPr>
            </w:pPr>
            <w:r w:rsidRPr="00FC0532">
              <w:rPr>
                <w:rFonts w:asciiTheme="minorHAnsi" w:eastAsia="Calibri" w:hAnsiTheme="minorHAnsi" w:cstheme="minorHAnsi"/>
                <w:sz w:val="20"/>
                <w:szCs w:val="20"/>
              </w:rPr>
              <w:t>3.8</w:t>
            </w:r>
          </w:p>
        </w:tc>
      </w:tr>
      <w:tr w:rsidR="00C0697C" w14:paraId="2925164B" w14:textId="77777777" w:rsidTr="000C6035">
        <w:trPr>
          <w:cantSplit/>
          <w:trHeight w:val="20"/>
          <w:jc w:val="center"/>
        </w:trPr>
        <w:tc>
          <w:tcPr>
            <w:tcW w:w="1715" w:type="pct"/>
            <w:shd w:val="clear" w:color="auto" w:fill="auto"/>
            <w:noWrap/>
          </w:tcPr>
          <w:p w14:paraId="36D2757F" w14:textId="77777777" w:rsidR="00C0697C" w:rsidRPr="00FC0532" w:rsidRDefault="00C0697C" w:rsidP="000C6035">
            <w:pPr>
              <w:rPr>
                <w:rFonts w:asciiTheme="minorHAnsi" w:hAnsiTheme="minorHAnsi" w:cstheme="minorHAnsi"/>
                <w:sz w:val="20"/>
                <w:szCs w:val="20"/>
              </w:rPr>
            </w:pPr>
            <w:r w:rsidRPr="00FC0532">
              <w:rPr>
                <w:rFonts w:asciiTheme="minorHAnsi" w:eastAsia="Calibri" w:hAnsiTheme="minorHAnsi" w:cstheme="minorHAnsi"/>
                <w:b/>
                <w:bCs/>
                <w:sz w:val="20"/>
                <w:szCs w:val="20"/>
              </w:rPr>
              <w:t xml:space="preserve">Total </w:t>
            </w:r>
          </w:p>
        </w:tc>
        <w:tc>
          <w:tcPr>
            <w:tcW w:w="2038" w:type="pct"/>
            <w:shd w:val="clear" w:color="auto" w:fill="auto"/>
            <w:noWrap/>
          </w:tcPr>
          <w:p w14:paraId="42F26D2B" w14:textId="77777777" w:rsidR="00C0697C" w:rsidRPr="00FC0532" w:rsidRDefault="00C0697C" w:rsidP="000C6035">
            <w:pPr>
              <w:jc w:val="center"/>
              <w:rPr>
                <w:rFonts w:asciiTheme="minorHAnsi" w:eastAsia="Calibri" w:hAnsiTheme="minorHAnsi" w:cstheme="minorHAnsi"/>
                <w:sz w:val="20"/>
                <w:szCs w:val="20"/>
              </w:rPr>
            </w:pPr>
            <w:r w:rsidRPr="00FC0532">
              <w:rPr>
                <w:rFonts w:asciiTheme="minorHAnsi" w:eastAsia="Calibri" w:hAnsiTheme="minorHAnsi" w:cstheme="minorHAnsi"/>
                <w:b/>
                <w:bCs/>
                <w:sz w:val="20"/>
                <w:szCs w:val="20"/>
              </w:rPr>
              <w:t>6,461</w:t>
            </w:r>
          </w:p>
        </w:tc>
        <w:tc>
          <w:tcPr>
            <w:tcW w:w="1247" w:type="pct"/>
            <w:shd w:val="clear" w:color="auto" w:fill="auto"/>
            <w:noWrap/>
          </w:tcPr>
          <w:p w14:paraId="6952D0E7" w14:textId="77777777" w:rsidR="00C0697C" w:rsidRPr="00FC0532" w:rsidRDefault="00C0697C" w:rsidP="000C6035">
            <w:pPr>
              <w:tabs>
                <w:tab w:val="decimal" w:pos="959"/>
              </w:tabs>
              <w:rPr>
                <w:rFonts w:asciiTheme="minorHAnsi" w:eastAsia="Calibri" w:hAnsiTheme="minorHAnsi" w:cstheme="minorHAnsi"/>
                <w:sz w:val="20"/>
                <w:szCs w:val="20"/>
              </w:rPr>
            </w:pPr>
            <w:r w:rsidRPr="00FC0532">
              <w:rPr>
                <w:rFonts w:asciiTheme="minorHAnsi" w:eastAsia="Calibri" w:hAnsiTheme="minorHAnsi" w:cstheme="minorHAnsi"/>
                <w:b/>
                <w:bCs/>
                <w:sz w:val="20"/>
                <w:szCs w:val="20"/>
              </w:rPr>
              <w:t>100.0</w:t>
            </w:r>
          </w:p>
        </w:tc>
      </w:tr>
    </w:tbl>
    <w:p w14:paraId="0ED51610" w14:textId="77777777" w:rsidR="00C0697C" w:rsidRPr="00FC0532" w:rsidRDefault="00C0697C" w:rsidP="00C0697C">
      <w:pPr>
        <w:ind w:hanging="11"/>
        <w:rPr>
          <w:rFonts w:asciiTheme="minorHAnsi" w:eastAsia="Yu Mincho" w:hAnsiTheme="minorHAnsi" w:cstheme="minorHAnsi"/>
          <w:i/>
          <w:sz w:val="18"/>
          <w:szCs w:val="18"/>
          <w:lang w:eastAsia="ja-JP"/>
        </w:rPr>
      </w:pPr>
      <w:r w:rsidRPr="00FC0532">
        <w:rPr>
          <w:rFonts w:asciiTheme="minorHAnsi" w:eastAsia="Yu Mincho" w:hAnsiTheme="minorHAnsi" w:cstheme="minorHAnsi"/>
          <w:i/>
          <w:sz w:val="18"/>
          <w:szCs w:val="18"/>
          <w:lang w:eastAsia="ja-JP"/>
        </w:rPr>
        <w:t xml:space="preserve">Source: SSDP PAD  </w:t>
      </w:r>
    </w:p>
    <w:p w14:paraId="1FBC1CFC" w14:textId="77777777" w:rsidR="00C0697C" w:rsidRPr="00FC0532" w:rsidRDefault="00C0697C" w:rsidP="00C0697C">
      <w:pPr>
        <w:ind w:hanging="11"/>
        <w:rPr>
          <w:rFonts w:asciiTheme="minorHAnsi" w:eastAsia="Yu Mincho" w:hAnsiTheme="minorHAnsi" w:cstheme="minorHAnsi"/>
          <w:sz w:val="18"/>
          <w:szCs w:val="18"/>
          <w:lang w:eastAsia="ja-JP"/>
        </w:rPr>
      </w:pPr>
      <w:r w:rsidRPr="00FC0532">
        <w:rPr>
          <w:rFonts w:asciiTheme="minorHAnsi" w:eastAsia="Yu Mincho" w:hAnsiTheme="minorHAnsi" w:cstheme="minorHAnsi"/>
          <w:i/>
          <w:sz w:val="18"/>
          <w:szCs w:val="18"/>
          <w:lang w:eastAsia="ja-JP"/>
        </w:rPr>
        <w:t>Note:</w:t>
      </w:r>
      <w:r w:rsidRPr="00FC0532">
        <w:rPr>
          <w:rFonts w:asciiTheme="minorHAnsi" w:eastAsia="Yu Mincho" w:hAnsiTheme="minorHAnsi" w:cstheme="minorHAnsi"/>
          <w:sz w:val="18"/>
          <w:szCs w:val="18"/>
          <w:lang w:eastAsia="ja-JP"/>
        </w:rPr>
        <w:t xml:space="preserve"> DPs’ financing is estimated based on commitments indicated so far: ADB (US$120 million), EU (US$72 million), Finland (US$23 million), GPE and REACH MDTF (US$22 million), Norway (US$21 million), UNICEF (US$3 million), JICA (US$15 million), and non-JFPs (US$14 million).</w:t>
      </w:r>
    </w:p>
    <w:p w14:paraId="0EB0B9BB" w14:textId="77777777" w:rsidR="00C0697C" w:rsidRPr="00FC0532" w:rsidRDefault="00C0697C" w:rsidP="00C0697C">
      <w:pPr>
        <w:widowControl/>
        <w:numPr>
          <w:ilvl w:val="0"/>
          <w:numId w:val="2"/>
        </w:numPr>
        <w:tabs>
          <w:tab w:val="clear" w:pos="2520"/>
        </w:tabs>
        <w:autoSpaceDE/>
        <w:autoSpaceDN/>
        <w:adjustRightInd/>
        <w:spacing w:before="240"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The SSDP’s proposed share in the total education sector budget is 69.09 percent for FY2018/19. The total education sector budget ceiling for FY2018 is NPR 134.50 billion (US$1,281 million)</w:t>
      </w:r>
      <w:r>
        <w:rPr>
          <w:rFonts w:asciiTheme="minorHAnsi" w:eastAsia="Calibri" w:hAnsiTheme="minorHAnsi" w:cstheme="minorHAnsi"/>
          <w:sz w:val="22"/>
          <w:szCs w:val="22"/>
          <w:vertAlign w:val="superscript"/>
        </w:rPr>
        <w:footnoteReference w:id="2"/>
      </w:r>
      <w:r w:rsidRPr="00FC0532">
        <w:rPr>
          <w:rFonts w:asciiTheme="minorHAnsi" w:eastAsia="Calibri" w:hAnsiTheme="minorHAnsi" w:cstheme="minorHAnsi"/>
          <w:sz w:val="22"/>
          <w:szCs w:val="22"/>
        </w:rPr>
        <w:t xml:space="preserve"> of which NPR 93.13 billion (US$887.0 million) is proposed for the SSDP.</w:t>
      </w:r>
      <w:r>
        <w:rPr>
          <w:rFonts w:asciiTheme="minorHAnsi" w:eastAsia="Calibri" w:hAnsiTheme="minorHAnsi" w:cstheme="minorHAnsi"/>
          <w:sz w:val="22"/>
          <w:szCs w:val="22"/>
          <w:vertAlign w:val="superscript"/>
        </w:rPr>
        <w:footnoteReference w:id="3"/>
      </w:r>
      <w:r w:rsidRPr="00FC0532">
        <w:rPr>
          <w:rFonts w:asciiTheme="minorHAnsi" w:eastAsia="Calibri" w:hAnsiTheme="minorHAnsi" w:cstheme="minorHAnsi"/>
          <w:sz w:val="22"/>
          <w:szCs w:val="22"/>
        </w:rPr>
        <w:t xml:space="preserve"> For FY2018/19, 91.6 percent of the proposed SSDP budget will go to LGs while 0.3 percent will be transferred to provincial governments (see table </w:t>
      </w:r>
      <w:r>
        <w:rPr>
          <w:rFonts w:asciiTheme="minorHAnsi" w:eastAsia="Calibri" w:hAnsiTheme="minorHAnsi" w:cstheme="minorHAnsi"/>
          <w:sz w:val="22"/>
          <w:szCs w:val="22"/>
        </w:rPr>
        <w:t>4</w:t>
      </w:r>
      <w:r w:rsidRPr="00FC0532">
        <w:rPr>
          <w:rFonts w:asciiTheme="minorHAnsi" w:eastAsia="Calibri" w:hAnsiTheme="minorHAnsi" w:cstheme="minorHAnsi"/>
          <w:sz w:val="22"/>
          <w:szCs w:val="22"/>
        </w:rPr>
        <w:t xml:space="preserve">.2). Recurrent expenditures are transferred to LGs through conditional grants. </w:t>
      </w:r>
    </w:p>
    <w:p w14:paraId="2CD1E7AB" w14:textId="77777777" w:rsidR="00C0697C" w:rsidRPr="00FC0532" w:rsidRDefault="00C0697C" w:rsidP="00C0697C">
      <w:pPr>
        <w:pStyle w:val="Caption1"/>
        <w:rPr>
          <w:rFonts w:asciiTheme="minorHAnsi" w:eastAsia="Calibri" w:hAnsiTheme="minorHAnsi" w:cstheme="minorHAnsi"/>
        </w:rPr>
      </w:pPr>
      <w:r w:rsidRPr="00FC0532">
        <w:rPr>
          <w:rFonts w:asciiTheme="minorHAnsi" w:hAnsiTheme="minorHAnsi" w:cstheme="minorHAnsi"/>
        </w:rPr>
        <w:t xml:space="preserve">Table </w:t>
      </w:r>
      <w:r>
        <w:rPr>
          <w:rFonts w:asciiTheme="minorHAnsi" w:hAnsiTheme="minorHAnsi" w:cstheme="minorHAnsi"/>
        </w:rPr>
        <w:t>4</w:t>
      </w:r>
      <w:r w:rsidRPr="00FC0532">
        <w:rPr>
          <w:rFonts w:asciiTheme="minorHAnsi" w:hAnsiTheme="minorHAnsi" w:cstheme="minorHAnsi"/>
        </w:rPr>
        <w:t>.</w:t>
      </w:r>
      <w:r w:rsidRPr="00FC0532">
        <w:rPr>
          <w:rFonts w:asciiTheme="minorHAnsi" w:hAnsiTheme="minorHAnsi" w:cstheme="minorHAnsi"/>
          <w:noProof/>
        </w:rPr>
        <w:fldChar w:fldCharType="begin"/>
      </w:r>
      <w:r w:rsidRPr="00FC0532">
        <w:rPr>
          <w:rFonts w:asciiTheme="minorHAnsi" w:hAnsiTheme="minorHAnsi" w:cstheme="minorHAnsi"/>
          <w:noProof/>
        </w:rPr>
        <w:instrText xml:space="preserve"> SEQ Table_6. \* ARABIC </w:instrText>
      </w:r>
      <w:r w:rsidRPr="00FC0532">
        <w:rPr>
          <w:rFonts w:asciiTheme="minorHAnsi" w:hAnsiTheme="minorHAnsi" w:cstheme="minorHAnsi"/>
          <w:noProof/>
        </w:rPr>
        <w:fldChar w:fldCharType="separate"/>
      </w:r>
      <w:r>
        <w:rPr>
          <w:rFonts w:asciiTheme="minorHAnsi" w:hAnsiTheme="minorHAnsi" w:cstheme="minorHAnsi"/>
          <w:noProof/>
        </w:rPr>
        <w:t>2</w:t>
      </w:r>
      <w:r w:rsidRPr="00FC0532">
        <w:rPr>
          <w:rFonts w:asciiTheme="minorHAnsi" w:hAnsiTheme="minorHAnsi" w:cstheme="minorHAnsi"/>
          <w:noProof/>
        </w:rPr>
        <w:fldChar w:fldCharType="end"/>
      </w:r>
      <w:r w:rsidRPr="00FC0532">
        <w:rPr>
          <w:rFonts w:asciiTheme="minorHAnsi" w:eastAsia="Calibri" w:hAnsiTheme="minorHAnsi" w:cstheme="minorHAnsi"/>
        </w:rPr>
        <w:t>. Proposed SSDP Budget for FY2018–19, by Government level</w:t>
      </w:r>
    </w:p>
    <w:tbl>
      <w:tblPr>
        <w:tblW w:w="5000" w:type="pct"/>
        <w:jc w:val="center"/>
        <w:tblLook w:val="04A0" w:firstRow="1" w:lastRow="0" w:firstColumn="1" w:lastColumn="0" w:noHBand="0" w:noVBand="1"/>
      </w:tblPr>
      <w:tblGrid>
        <w:gridCol w:w="2991"/>
        <w:gridCol w:w="3575"/>
        <w:gridCol w:w="2784"/>
      </w:tblGrid>
      <w:tr w:rsidR="00C0697C" w14:paraId="33B87A36" w14:textId="77777777" w:rsidTr="000C6035">
        <w:trPr>
          <w:trHeight w:val="152"/>
          <w:jc w:val="center"/>
        </w:trPr>
        <w:tc>
          <w:tcPr>
            <w:tcW w:w="1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14F76" w14:textId="77777777" w:rsidR="00C0697C" w:rsidRPr="00FC0532" w:rsidRDefault="00C0697C" w:rsidP="000C6035">
            <w:pPr>
              <w:jc w:val="center"/>
              <w:rPr>
                <w:rFonts w:asciiTheme="minorHAnsi" w:hAnsiTheme="minorHAnsi" w:cstheme="minorHAnsi"/>
                <w:b/>
                <w:sz w:val="20"/>
                <w:szCs w:val="20"/>
                <w:lang w:eastAsia="ja-JP"/>
              </w:rPr>
            </w:pPr>
            <w:r w:rsidRPr="00FC0532">
              <w:rPr>
                <w:rFonts w:asciiTheme="minorHAnsi" w:hAnsiTheme="minorHAnsi" w:cstheme="minorHAnsi"/>
                <w:b/>
                <w:bCs/>
                <w:iCs/>
                <w:sz w:val="20"/>
                <w:szCs w:val="20"/>
                <w:lang w:val="en-GB" w:eastAsia="ja-JP"/>
              </w:rPr>
              <w:t>Level of Government</w:t>
            </w:r>
          </w:p>
        </w:tc>
        <w:tc>
          <w:tcPr>
            <w:tcW w:w="1912" w:type="pct"/>
            <w:tcBorders>
              <w:top w:val="single" w:sz="4" w:space="0" w:color="auto"/>
              <w:left w:val="nil"/>
              <w:bottom w:val="single" w:sz="4" w:space="0" w:color="auto"/>
              <w:right w:val="single" w:sz="4" w:space="0" w:color="auto"/>
            </w:tcBorders>
            <w:shd w:val="clear" w:color="auto" w:fill="auto"/>
            <w:vAlign w:val="center"/>
            <w:hideMark/>
          </w:tcPr>
          <w:p w14:paraId="2C420828" w14:textId="77777777" w:rsidR="00C0697C" w:rsidRPr="00FC0532" w:rsidRDefault="00C0697C" w:rsidP="000C6035">
            <w:pPr>
              <w:jc w:val="center"/>
              <w:rPr>
                <w:rFonts w:asciiTheme="minorHAnsi" w:hAnsiTheme="minorHAnsi" w:cstheme="minorHAnsi"/>
                <w:b/>
                <w:sz w:val="20"/>
                <w:szCs w:val="20"/>
                <w:lang w:eastAsia="ja-JP"/>
              </w:rPr>
            </w:pPr>
            <w:r w:rsidRPr="00FC0532">
              <w:rPr>
                <w:rFonts w:asciiTheme="minorHAnsi" w:hAnsiTheme="minorHAnsi" w:cstheme="minorHAnsi"/>
                <w:b/>
                <w:bCs/>
                <w:iCs/>
                <w:sz w:val="20"/>
                <w:szCs w:val="20"/>
                <w:lang w:val="en-GB" w:eastAsia="ja-JP"/>
              </w:rPr>
              <w:t>Proposed SSDP budget (NPR, millions)</w:t>
            </w:r>
          </w:p>
        </w:tc>
        <w:tc>
          <w:tcPr>
            <w:tcW w:w="1489" w:type="pct"/>
            <w:tcBorders>
              <w:top w:val="single" w:sz="4" w:space="0" w:color="auto"/>
              <w:left w:val="nil"/>
              <w:bottom w:val="single" w:sz="4" w:space="0" w:color="auto"/>
              <w:right w:val="single" w:sz="4" w:space="0" w:color="auto"/>
            </w:tcBorders>
            <w:shd w:val="clear" w:color="auto" w:fill="auto"/>
            <w:noWrap/>
            <w:vAlign w:val="center"/>
            <w:hideMark/>
          </w:tcPr>
          <w:p w14:paraId="7C3FB966" w14:textId="77777777" w:rsidR="00C0697C" w:rsidRPr="00FC0532" w:rsidRDefault="00C0697C" w:rsidP="000C6035">
            <w:pPr>
              <w:jc w:val="center"/>
              <w:rPr>
                <w:rFonts w:asciiTheme="minorHAnsi" w:hAnsiTheme="minorHAnsi" w:cstheme="minorHAnsi"/>
                <w:b/>
                <w:sz w:val="20"/>
                <w:szCs w:val="20"/>
                <w:lang w:eastAsia="ja-JP"/>
              </w:rPr>
            </w:pPr>
            <w:r w:rsidRPr="00FC0532">
              <w:rPr>
                <w:rFonts w:asciiTheme="minorHAnsi" w:hAnsiTheme="minorHAnsi" w:cstheme="minorHAnsi"/>
                <w:b/>
                <w:sz w:val="20"/>
                <w:szCs w:val="20"/>
                <w:lang w:eastAsia="ja-JP"/>
              </w:rPr>
              <w:t>Percent</w:t>
            </w:r>
          </w:p>
        </w:tc>
      </w:tr>
      <w:tr w:rsidR="00C0697C" w14:paraId="4B5ED2DB" w14:textId="77777777" w:rsidTr="000C6035">
        <w:trPr>
          <w:trHeight w:val="47"/>
          <w:jc w:val="center"/>
        </w:trPr>
        <w:tc>
          <w:tcPr>
            <w:tcW w:w="1599" w:type="pct"/>
            <w:tcBorders>
              <w:top w:val="nil"/>
              <w:left w:val="single" w:sz="4" w:space="0" w:color="auto"/>
              <w:bottom w:val="single" w:sz="4" w:space="0" w:color="auto"/>
              <w:right w:val="single" w:sz="4" w:space="0" w:color="auto"/>
            </w:tcBorders>
            <w:shd w:val="clear" w:color="auto" w:fill="auto"/>
            <w:vAlign w:val="center"/>
            <w:hideMark/>
          </w:tcPr>
          <w:p w14:paraId="473542B5" w14:textId="77777777" w:rsidR="00C0697C" w:rsidRPr="00FC0532" w:rsidRDefault="00C0697C" w:rsidP="000C6035">
            <w:pPr>
              <w:jc w:val="both"/>
              <w:rPr>
                <w:rFonts w:asciiTheme="minorHAnsi" w:hAnsiTheme="minorHAnsi" w:cstheme="minorHAnsi"/>
                <w:sz w:val="20"/>
                <w:szCs w:val="20"/>
                <w:lang w:eastAsia="ja-JP"/>
              </w:rPr>
            </w:pPr>
            <w:r w:rsidRPr="00FC0532">
              <w:rPr>
                <w:rFonts w:asciiTheme="minorHAnsi" w:hAnsiTheme="minorHAnsi" w:cstheme="minorHAnsi"/>
                <w:bCs/>
                <w:iCs/>
                <w:sz w:val="20"/>
                <w:szCs w:val="20"/>
                <w:lang w:val="en-GB" w:eastAsia="ja-JP"/>
              </w:rPr>
              <w:t>Federal</w:t>
            </w:r>
          </w:p>
        </w:tc>
        <w:tc>
          <w:tcPr>
            <w:tcW w:w="1912" w:type="pct"/>
            <w:tcBorders>
              <w:top w:val="single" w:sz="4" w:space="0" w:color="auto"/>
              <w:left w:val="nil"/>
              <w:bottom w:val="single" w:sz="4" w:space="0" w:color="auto"/>
              <w:right w:val="single" w:sz="4" w:space="0" w:color="auto"/>
            </w:tcBorders>
            <w:shd w:val="clear" w:color="auto" w:fill="auto"/>
            <w:vAlign w:val="bottom"/>
            <w:hideMark/>
          </w:tcPr>
          <w:p w14:paraId="614CF278" w14:textId="77777777" w:rsidR="00C0697C" w:rsidRPr="00FC0532" w:rsidRDefault="00C0697C" w:rsidP="000C6035">
            <w:pPr>
              <w:tabs>
                <w:tab w:val="decimal" w:pos="1686"/>
              </w:tabs>
              <w:rPr>
                <w:rFonts w:asciiTheme="minorHAnsi" w:hAnsiTheme="minorHAnsi" w:cstheme="minorHAnsi"/>
                <w:sz w:val="20"/>
                <w:szCs w:val="20"/>
                <w:lang w:eastAsia="ja-JP"/>
              </w:rPr>
            </w:pPr>
            <w:r w:rsidRPr="00FC0532">
              <w:rPr>
                <w:rFonts w:asciiTheme="minorHAnsi" w:hAnsiTheme="minorHAnsi" w:cstheme="minorHAnsi"/>
                <w:sz w:val="20"/>
                <w:szCs w:val="20"/>
              </w:rPr>
              <w:t>7,555.60</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EC1D4" w14:textId="77777777" w:rsidR="00C0697C" w:rsidRPr="00FC0532" w:rsidRDefault="00C0697C" w:rsidP="000C6035">
            <w:pPr>
              <w:tabs>
                <w:tab w:val="decimal" w:pos="1243"/>
              </w:tabs>
              <w:rPr>
                <w:rFonts w:asciiTheme="minorHAnsi" w:hAnsiTheme="minorHAnsi" w:cstheme="minorHAnsi"/>
                <w:sz w:val="20"/>
                <w:szCs w:val="20"/>
                <w:lang w:eastAsia="ja-JP"/>
              </w:rPr>
            </w:pPr>
            <w:r w:rsidRPr="00FC0532">
              <w:rPr>
                <w:rFonts w:asciiTheme="minorHAnsi" w:hAnsiTheme="minorHAnsi" w:cstheme="minorHAnsi"/>
                <w:sz w:val="20"/>
                <w:szCs w:val="20"/>
              </w:rPr>
              <w:t>8.11</w:t>
            </w:r>
          </w:p>
        </w:tc>
      </w:tr>
      <w:tr w:rsidR="00C0697C" w14:paraId="2A030FC6" w14:textId="77777777" w:rsidTr="000C6035">
        <w:trPr>
          <w:trHeight w:val="47"/>
          <w:jc w:val="center"/>
        </w:trPr>
        <w:tc>
          <w:tcPr>
            <w:tcW w:w="1599" w:type="pct"/>
            <w:tcBorders>
              <w:top w:val="nil"/>
              <w:left w:val="single" w:sz="4" w:space="0" w:color="auto"/>
              <w:bottom w:val="single" w:sz="4" w:space="0" w:color="auto"/>
              <w:right w:val="single" w:sz="4" w:space="0" w:color="auto"/>
            </w:tcBorders>
            <w:shd w:val="clear" w:color="auto" w:fill="auto"/>
            <w:vAlign w:val="center"/>
            <w:hideMark/>
          </w:tcPr>
          <w:p w14:paraId="0FCC0A88" w14:textId="77777777" w:rsidR="00C0697C" w:rsidRPr="00FC0532" w:rsidRDefault="00C0697C" w:rsidP="000C6035">
            <w:pPr>
              <w:jc w:val="both"/>
              <w:rPr>
                <w:rFonts w:asciiTheme="minorHAnsi" w:hAnsiTheme="minorHAnsi" w:cstheme="minorHAnsi"/>
                <w:sz w:val="20"/>
                <w:szCs w:val="20"/>
                <w:lang w:eastAsia="ja-JP"/>
              </w:rPr>
            </w:pPr>
            <w:r w:rsidRPr="00FC0532">
              <w:rPr>
                <w:rFonts w:asciiTheme="minorHAnsi" w:hAnsiTheme="minorHAnsi" w:cstheme="minorHAnsi"/>
                <w:bCs/>
                <w:iCs/>
                <w:sz w:val="20"/>
                <w:szCs w:val="20"/>
                <w:lang w:val="en-GB" w:eastAsia="ja-JP"/>
              </w:rPr>
              <w:t>Province</w:t>
            </w:r>
          </w:p>
        </w:tc>
        <w:tc>
          <w:tcPr>
            <w:tcW w:w="1912" w:type="pct"/>
            <w:tcBorders>
              <w:top w:val="single" w:sz="4" w:space="0" w:color="auto"/>
              <w:left w:val="nil"/>
              <w:bottom w:val="single" w:sz="4" w:space="0" w:color="auto"/>
              <w:right w:val="single" w:sz="4" w:space="0" w:color="auto"/>
            </w:tcBorders>
            <w:shd w:val="clear" w:color="auto" w:fill="auto"/>
            <w:vAlign w:val="bottom"/>
            <w:hideMark/>
          </w:tcPr>
          <w:p w14:paraId="21BCB742" w14:textId="77777777" w:rsidR="00C0697C" w:rsidRPr="00FC0532" w:rsidRDefault="00C0697C" w:rsidP="000C6035">
            <w:pPr>
              <w:tabs>
                <w:tab w:val="decimal" w:pos="1686"/>
              </w:tabs>
              <w:rPr>
                <w:rFonts w:asciiTheme="minorHAnsi" w:hAnsiTheme="minorHAnsi" w:cstheme="minorHAnsi"/>
                <w:sz w:val="20"/>
                <w:szCs w:val="20"/>
                <w:lang w:eastAsia="ja-JP"/>
              </w:rPr>
            </w:pPr>
            <w:r w:rsidRPr="00FC0532">
              <w:rPr>
                <w:rFonts w:asciiTheme="minorHAnsi" w:hAnsiTheme="minorHAnsi" w:cstheme="minorHAnsi"/>
                <w:sz w:val="20"/>
                <w:szCs w:val="20"/>
              </w:rPr>
              <w:t>269.15</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2D20" w14:textId="77777777" w:rsidR="00C0697C" w:rsidRPr="00FC0532" w:rsidRDefault="00C0697C" w:rsidP="000C6035">
            <w:pPr>
              <w:tabs>
                <w:tab w:val="decimal" w:pos="1243"/>
              </w:tabs>
              <w:rPr>
                <w:rFonts w:asciiTheme="minorHAnsi" w:hAnsiTheme="minorHAnsi" w:cstheme="minorHAnsi"/>
                <w:sz w:val="20"/>
                <w:szCs w:val="20"/>
                <w:lang w:eastAsia="ja-JP"/>
              </w:rPr>
            </w:pPr>
            <w:r w:rsidRPr="00FC0532">
              <w:rPr>
                <w:rFonts w:asciiTheme="minorHAnsi" w:hAnsiTheme="minorHAnsi" w:cstheme="minorHAnsi"/>
                <w:sz w:val="20"/>
                <w:szCs w:val="20"/>
              </w:rPr>
              <w:t>0.29</w:t>
            </w:r>
          </w:p>
        </w:tc>
      </w:tr>
      <w:tr w:rsidR="00C0697C" w14:paraId="4EAA4516" w14:textId="77777777" w:rsidTr="000C6035">
        <w:trPr>
          <w:trHeight w:val="47"/>
          <w:jc w:val="center"/>
        </w:trPr>
        <w:tc>
          <w:tcPr>
            <w:tcW w:w="1599" w:type="pct"/>
            <w:tcBorders>
              <w:top w:val="nil"/>
              <w:left w:val="single" w:sz="4" w:space="0" w:color="auto"/>
              <w:bottom w:val="single" w:sz="4" w:space="0" w:color="auto"/>
              <w:right w:val="single" w:sz="4" w:space="0" w:color="auto"/>
            </w:tcBorders>
            <w:shd w:val="clear" w:color="auto" w:fill="auto"/>
            <w:vAlign w:val="center"/>
            <w:hideMark/>
          </w:tcPr>
          <w:p w14:paraId="5280EF07" w14:textId="77777777" w:rsidR="00C0697C" w:rsidRPr="00FC0532" w:rsidRDefault="00C0697C" w:rsidP="000C6035">
            <w:pPr>
              <w:jc w:val="both"/>
              <w:rPr>
                <w:rFonts w:asciiTheme="minorHAnsi" w:hAnsiTheme="minorHAnsi" w:cstheme="minorHAnsi"/>
                <w:sz w:val="20"/>
                <w:szCs w:val="20"/>
                <w:lang w:eastAsia="ja-JP"/>
              </w:rPr>
            </w:pPr>
            <w:r w:rsidRPr="00FC0532">
              <w:rPr>
                <w:rFonts w:asciiTheme="minorHAnsi" w:hAnsiTheme="minorHAnsi" w:cstheme="minorHAnsi"/>
                <w:bCs/>
                <w:iCs/>
                <w:sz w:val="20"/>
                <w:szCs w:val="20"/>
                <w:lang w:val="en-GB" w:eastAsia="ja-JP"/>
              </w:rPr>
              <w:t>Local</w:t>
            </w:r>
          </w:p>
        </w:tc>
        <w:tc>
          <w:tcPr>
            <w:tcW w:w="1912" w:type="pct"/>
            <w:tcBorders>
              <w:top w:val="single" w:sz="4" w:space="0" w:color="auto"/>
              <w:left w:val="nil"/>
              <w:bottom w:val="single" w:sz="4" w:space="0" w:color="auto"/>
              <w:right w:val="single" w:sz="4" w:space="0" w:color="auto"/>
            </w:tcBorders>
            <w:shd w:val="clear" w:color="auto" w:fill="auto"/>
            <w:vAlign w:val="bottom"/>
            <w:hideMark/>
          </w:tcPr>
          <w:p w14:paraId="375EC00D" w14:textId="77777777" w:rsidR="00C0697C" w:rsidRPr="00FC0532" w:rsidRDefault="00C0697C" w:rsidP="000C6035">
            <w:pPr>
              <w:tabs>
                <w:tab w:val="decimal" w:pos="1686"/>
              </w:tabs>
              <w:rPr>
                <w:rFonts w:asciiTheme="minorHAnsi" w:hAnsiTheme="minorHAnsi" w:cstheme="minorHAnsi"/>
                <w:sz w:val="20"/>
                <w:szCs w:val="20"/>
                <w:lang w:eastAsia="ja-JP"/>
              </w:rPr>
            </w:pPr>
            <w:r w:rsidRPr="00FC0532">
              <w:rPr>
                <w:rFonts w:asciiTheme="minorHAnsi" w:hAnsiTheme="minorHAnsi" w:cstheme="minorHAnsi"/>
                <w:sz w:val="20"/>
                <w:szCs w:val="20"/>
              </w:rPr>
              <w:t>85,309.47</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A8AC3" w14:textId="77777777" w:rsidR="00C0697C" w:rsidRPr="00FC0532" w:rsidRDefault="00C0697C" w:rsidP="000C6035">
            <w:pPr>
              <w:tabs>
                <w:tab w:val="decimal" w:pos="1243"/>
              </w:tabs>
              <w:rPr>
                <w:rFonts w:asciiTheme="minorHAnsi" w:hAnsiTheme="minorHAnsi" w:cstheme="minorHAnsi"/>
                <w:sz w:val="20"/>
                <w:szCs w:val="20"/>
                <w:lang w:eastAsia="ja-JP"/>
              </w:rPr>
            </w:pPr>
            <w:r w:rsidRPr="00FC0532">
              <w:rPr>
                <w:rFonts w:asciiTheme="minorHAnsi" w:hAnsiTheme="minorHAnsi" w:cstheme="minorHAnsi"/>
                <w:sz w:val="20"/>
                <w:szCs w:val="20"/>
              </w:rPr>
              <w:t>91.60</w:t>
            </w:r>
          </w:p>
        </w:tc>
      </w:tr>
      <w:tr w:rsidR="00C0697C" w14:paraId="3CD39090" w14:textId="77777777" w:rsidTr="000C6035">
        <w:trPr>
          <w:trHeight w:val="47"/>
          <w:jc w:val="center"/>
        </w:trPr>
        <w:tc>
          <w:tcPr>
            <w:tcW w:w="1599" w:type="pct"/>
            <w:tcBorders>
              <w:top w:val="nil"/>
              <w:left w:val="single" w:sz="4" w:space="0" w:color="auto"/>
              <w:bottom w:val="single" w:sz="4" w:space="0" w:color="auto"/>
              <w:right w:val="single" w:sz="4" w:space="0" w:color="auto"/>
            </w:tcBorders>
            <w:shd w:val="clear" w:color="auto" w:fill="auto"/>
            <w:vAlign w:val="center"/>
            <w:hideMark/>
          </w:tcPr>
          <w:p w14:paraId="75294C8F" w14:textId="77777777" w:rsidR="00C0697C" w:rsidRPr="00FC0532" w:rsidRDefault="00C0697C" w:rsidP="000C6035">
            <w:pPr>
              <w:jc w:val="both"/>
              <w:rPr>
                <w:rFonts w:asciiTheme="minorHAnsi" w:hAnsiTheme="minorHAnsi" w:cstheme="minorHAnsi"/>
                <w:sz w:val="20"/>
                <w:szCs w:val="20"/>
                <w:lang w:eastAsia="ja-JP"/>
              </w:rPr>
            </w:pPr>
            <w:r w:rsidRPr="00FC0532">
              <w:rPr>
                <w:rFonts w:asciiTheme="minorHAnsi" w:hAnsiTheme="minorHAnsi" w:cstheme="minorHAnsi"/>
                <w:bCs/>
                <w:iCs/>
                <w:sz w:val="20"/>
                <w:szCs w:val="20"/>
                <w:lang w:val="en-GB" w:eastAsia="ja-JP"/>
              </w:rPr>
              <w:t>Total</w:t>
            </w:r>
          </w:p>
        </w:tc>
        <w:tc>
          <w:tcPr>
            <w:tcW w:w="1912" w:type="pct"/>
            <w:tcBorders>
              <w:top w:val="single" w:sz="4" w:space="0" w:color="auto"/>
              <w:left w:val="nil"/>
              <w:bottom w:val="single" w:sz="4" w:space="0" w:color="auto"/>
              <w:right w:val="single" w:sz="4" w:space="0" w:color="auto"/>
            </w:tcBorders>
            <w:shd w:val="clear" w:color="auto" w:fill="auto"/>
            <w:vAlign w:val="bottom"/>
            <w:hideMark/>
          </w:tcPr>
          <w:p w14:paraId="4C6AF58C" w14:textId="77777777" w:rsidR="00C0697C" w:rsidRPr="00FC0532" w:rsidRDefault="00C0697C" w:rsidP="000C6035">
            <w:pPr>
              <w:tabs>
                <w:tab w:val="decimal" w:pos="1686"/>
              </w:tabs>
              <w:rPr>
                <w:rFonts w:asciiTheme="minorHAnsi" w:hAnsiTheme="minorHAnsi" w:cstheme="minorHAnsi"/>
                <w:sz w:val="20"/>
                <w:szCs w:val="20"/>
                <w:lang w:eastAsia="ja-JP"/>
              </w:rPr>
            </w:pPr>
            <w:r w:rsidRPr="00FC0532">
              <w:rPr>
                <w:rFonts w:asciiTheme="minorHAnsi" w:hAnsiTheme="minorHAnsi" w:cstheme="minorHAnsi"/>
                <w:sz w:val="20"/>
                <w:szCs w:val="20"/>
              </w:rPr>
              <w:t>93,134.22</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ACF68" w14:textId="77777777" w:rsidR="00C0697C" w:rsidRPr="00FC0532" w:rsidRDefault="00C0697C" w:rsidP="000C6035">
            <w:pPr>
              <w:tabs>
                <w:tab w:val="decimal" w:pos="1243"/>
              </w:tabs>
              <w:rPr>
                <w:rFonts w:asciiTheme="minorHAnsi" w:hAnsiTheme="minorHAnsi" w:cstheme="minorHAnsi"/>
                <w:sz w:val="20"/>
                <w:szCs w:val="20"/>
                <w:lang w:eastAsia="ja-JP"/>
              </w:rPr>
            </w:pPr>
            <w:r w:rsidRPr="00FC0532">
              <w:rPr>
                <w:rFonts w:asciiTheme="minorHAnsi" w:hAnsiTheme="minorHAnsi" w:cstheme="minorHAnsi"/>
                <w:sz w:val="20"/>
                <w:szCs w:val="20"/>
              </w:rPr>
              <w:t>100.00</w:t>
            </w:r>
          </w:p>
        </w:tc>
      </w:tr>
    </w:tbl>
    <w:p w14:paraId="1B5DBE9B" w14:textId="77777777" w:rsidR="00C0697C" w:rsidRPr="00FC0532" w:rsidRDefault="00C0697C" w:rsidP="00C0697C">
      <w:pPr>
        <w:rPr>
          <w:rFonts w:asciiTheme="minorHAnsi" w:eastAsia="Calibri" w:hAnsiTheme="minorHAnsi" w:cstheme="minorHAnsi"/>
          <w:i/>
          <w:sz w:val="18"/>
          <w:szCs w:val="18"/>
        </w:rPr>
      </w:pPr>
      <w:r w:rsidRPr="00FC0532">
        <w:rPr>
          <w:rFonts w:asciiTheme="minorHAnsi" w:eastAsia="Calibri" w:hAnsiTheme="minorHAnsi" w:cstheme="minorHAnsi"/>
          <w:i/>
          <w:sz w:val="18"/>
          <w:szCs w:val="18"/>
        </w:rPr>
        <w:t xml:space="preserve">Source: </w:t>
      </w:r>
      <w:r w:rsidRPr="00FC0532">
        <w:rPr>
          <w:rFonts w:asciiTheme="minorHAnsi" w:eastAsia="Calibri" w:hAnsiTheme="minorHAnsi" w:cstheme="minorHAnsi"/>
          <w:sz w:val="18"/>
          <w:szCs w:val="18"/>
        </w:rPr>
        <w:t>MOEST.</w:t>
      </w:r>
    </w:p>
    <w:p w14:paraId="7665EF10" w14:textId="77777777" w:rsidR="00C0697C" w:rsidRPr="00FC0532" w:rsidRDefault="00C0697C" w:rsidP="00C0697C">
      <w:pPr>
        <w:widowControl/>
        <w:numPr>
          <w:ilvl w:val="0"/>
          <w:numId w:val="2"/>
        </w:numPr>
        <w:tabs>
          <w:tab w:val="clear" w:pos="2520"/>
        </w:tabs>
        <w:autoSpaceDE/>
        <w:autoSpaceDN/>
        <w:adjustRightInd/>
        <w:spacing w:before="240"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b/>
          <w:sz w:val="22"/>
          <w:szCs w:val="22"/>
        </w:rPr>
        <w:t>Fiscal affordability and sustainability.</w:t>
      </w:r>
      <w:r w:rsidRPr="00FC0532">
        <w:rPr>
          <w:rFonts w:asciiTheme="minorHAnsi" w:eastAsia="Calibri" w:hAnsiTheme="minorHAnsi" w:cstheme="minorHAnsi"/>
          <w:sz w:val="22"/>
          <w:szCs w:val="22"/>
        </w:rPr>
        <w:t xml:space="preserve"> The SSDP expenditure framework falls within the estimated school sector resource envelope. Despite changes in the federal budget structure, the MOF has committed to continue funding the SSDP in line with the projected fiscal envelope. The five-year SSDP expenditure framework (2016–2021) is estimated at US$6.461 million and was constructed based on detailed cost estimates by the MOEST for achieving Program results. Given that there is no Program restructuring associated with the proposed AF, the expenditure framework is unlikely to change. </w:t>
      </w:r>
    </w:p>
    <w:p w14:paraId="3F911FD7"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The resource envelope for the SSDP</w:t>
      </w:r>
      <w:r>
        <w:rPr>
          <w:rFonts w:asciiTheme="minorHAnsi" w:eastAsia="Calibri" w:hAnsiTheme="minorHAnsi" w:cstheme="minorHAnsi"/>
          <w:sz w:val="22"/>
          <w:szCs w:val="22"/>
          <w:vertAlign w:val="superscript"/>
        </w:rPr>
        <w:footnoteReference w:id="4"/>
      </w:r>
      <w:r w:rsidRPr="00FC0532">
        <w:rPr>
          <w:rFonts w:asciiTheme="minorHAnsi" w:eastAsia="Calibri" w:hAnsiTheme="minorHAnsi" w:cstheme="minorHAnsi"/>
          <w:sz w:val="22"/>
          <w:szCs w:val="22"/>
        </w:rPr>
        <w:t xml:space="preserve"> was estimated by assuming a plausible scenario of future allocations based on current trends of real GDP growth, inflation rate, share of education in GDP, and share of the school sector in the total education budget.</w:t>
      </w:r>
      <w:r>
        <w:rPr>
          <w:rFonts w:asciiTheme="minorHAnsi" w:eastAsia="Calibri" w:hAnsiTheme="minorHAnsi" w:cstheme="minorHAnsi"/>
          <w:sz w:val="22"/>
          <w:szCs w:val="22"/>
          <w:vertAlign w:val="superscript"/>
        </w:rPr>
        <w:footnoteReference w:id="5"/>
      </w:r>
      <w:r w:rsidRPr="00FC0532">
        <w:rPr>
          <w:rFonts w:asciiTheme="minorHAnsi" w:eastAsia="Calibri" w:hAnsiTheme="minorHAnsi" w:cstheme="minorHAnsi"/>
          <w:sz w:val="22"/>
          <w:szCs w:val="22"/>
        </w:rPr>
        <w:t xml:space="preserve"> The school sector resource envelope for 5 years (2016–2021) is estimated at US$7,213 million. For the </w:t>
      </w:r>
      <w:r>
        <w:rPr>
          <w:rFonts w:asciiTheme="minorHAnsi" w:eastAsia="Calibri" w:hAnsiTheme="minorHAnsi" w:cstheme="minorHAnsi"/>
          <w:sz w:val="22"/>
          <w:szCs w:val="22"/>
        </w:rPr>
        <w:t>IDA program</w:t>
      </w:r>
      <w:r w:rsidRPr="00FC0532">
        <w:rPr>
          <w:rFonts w:asciiTheme="minorHAnsi" w:eastAsia="Calibri" w:hAnsiTheme="minorHAnsi" w:cstheme="minorHAnsi"/>
          <w:sz w:val="22"/>
          <w:szCs w:val="22"/>
        </w:rPr>
        <w:t xml:space="preserve">, this framework excludes US$715 million (2016–2021) estimated envelope and expenditures because this portion is directly managed by the National Reconstruction Authority and not by the MOEST. Therefore, the school sector resource envelope 5 years (2016–2021) is estimated at US$6,498 million (table </w:t>
      </w:r>
      <w:r>
        <w:rPr>
          <w:rFonts w:asciiTheme="minorHAnsi" w:eastAsia="Calibri" w:hAnsiTheme="minorHAnsi" w:cstheme="minorHAnsi"/>
          <w:sz w:val="22"/>
          <w:szCs w:val="22"/>
        </w:rPr>
        <w:t>4</w:t>
      </w:r>
      <w:r w:rsidRPr="00FC0532">
        <w:rPr>
          <w:rFonts w:asciiTheme="minorHAnsi" w:eastAsia="Calibri" w:hAnsiTheme="minorHAnsi" w:cstheme="minorHAnsi"/>
          <w:sz w:val="22"/>
          <w:szCs w:val="22"/>
        </w:rPr>
        <w:t xml:space="preserve">.3). </w:t>
      </w:r>
    </w:p>
    <w:p w14:paraId="3D7F4BA7" w14:textId="77777777" w:rsidR="00C0697C" w:rsidRPr="00FC0532" w:rsidRDefault="00C0697C" w:rsidP="00C0697C">
      <w:pPr>
        <w:pStyle w:val="Caption1"/>
        <w:rPr>
          <w:rFonts w:asciiTheme="minorHAnsi" w:eastAsia="Calibri" w:hAnsiTheme="minorHAnsi" w:cstheme="minorHAnsi"/>
        </w:rPr>
      </w:pPr>
      <w:r w:rsidRPr="00FC0532">
        <w:rPr>
          <w:rFonts w:asciiTheme="minorHAnsi" w:hAnsiTheme="minorHAnsi" w:cstheme="minorHAnsi"/>
        </w:rPr>
        <w:t xml:space="preserve">Table </w:t>
      </w:r>
      <w:r>
        <w:rPr>
          <w:rFonts w:asciiTheme="minorHAnsi" w:hAnsiTheme="minorHAnsi" w:cstheme="minorHAnsi"/>
        </w:rPr>
        <w:t>4</w:t>
      </w:r>
      <w:r w:rsidRPr="00FC0532">
        <w:rPr>
          <w:rFonts w:asciiTheme="minorHAnsi" w:hAnsiTheme="minorHAnsi" w:cstheme="minorHAnsi"/>
        </w:rPr>
        <w:t>.</w:t>
      </w:r>
      <w:r w:rsidRPr="00FC0532">
        <w:rPr>
          <w:rFonts w:asciiTheme="minorHAnsi" w:hAnsiTheme="minorHAnsi" w:cstheme="minorHAnsi"/>
          <w:noProof/>
        </w:rPr>
        <w:fldChar w:fldCharType="begin"/>
      </w:r>
      <w:r w:rsidRPr="00FC0532">
        <w:rPr>
          <w:rFonts w:asciiTheme="minorHAnsi" w:hAnsiTheme="minorHAnsi" w:cstheme="minorHAnsi"/>
          <w:noProof/>
        </w:rPr>
        <w:instrText xml:space="preserve"> SEQ Table_6. \* ARABIC </w:instrText>
      </w:r>
      <w:r w:rsidRPr="00FC0532">
        <w:rPr>
          <w:rFonts w:asciiTheme="minorHAnsi" w:hAnsiTheme="minorHAnsi" w:cstheme="minorHAnsi"/>
          <w:noProof/>
        </w:rPr>
        <w:fldChar w:fldCharType="separate"/>
      </w:r>
      <w:r>
        <w:rPr>
          <w:rFonts w:asciiTheme="minorHAnsi" w:hAnsiTheme="minorHAnsi" w:cstheme="minorHAnsi"/>
          <w:noProof/>
        </w:rPr>
        <w:t>3</w:t>
      </w:r>
      <w:r w:rsidRPr="00FC0532">
        <w:rPr>
          <w:rFonts w:asciiTheme="minorHAnsi" w:hAnsiTheme="minorHAnsi" w:cstheme="minorHAnsi"/>
          <w:noProof/>
        </w:rPr>
        <w:fldChar w:fldCharType="end"/>
      </w:r>
      <w:r w:rsidRPr="00FC0532">
        <w:rPr>
          <w:rFonts w:asciiTheme="minorHAnsi" w:eastAsia="Calibri" w:hAnsiTheme="minorHAnsi" w:cstheme="minorHAnsi"/>
        </w:rPr>
        <w:t>. SSDP - Resource Envelope and Expenditure Estimate (Plausible Scenario, Current Prices)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6"/>
        <w:gridCol w:w="1376"/>
        <w:gridCol w:w="1378"/>
      </w:tblGrid>
      <w:tr w:rsidR="00C0697C" w14:paraId="46861B2F" w14:textId="77777777" w:rsidTr="000C6035">
        <w:trPr>
          <w:trHeight w:val="197"/>
          <w:tblHeader/>
          <w:jc w:val="center"/>
        </w:trPr>
        <w:tc>
          <w:tcPr>
            <w:tcW w:w="3527" w:type="pct"/>
            <w:vMerge w:val="restart"/>
            <w:shd w:val="clear" w:color="auto" w:fill="auto"/>
            <w:noWrap/>
            <w:vAlign w:val="center"/>
          </w:tcPr>
          <w:p w14:paraId="5786299F" w14:textId="77777777" w:rsidR="00C0697C" w:rsidRPr="00FC0532" w:rsidRDefault="00C0697C" w:rsidP="000C6035">
            <w:pPr>
              <w:jc w:val="center"/>
              <w:rPr>
                <w:rFonts w:asciiTheme="minorHAnsi" w:eastAsia="Yu Mincho" w:hAnsiTheme="minorHAnsi" w:cstheme="minorHAnsi"/>
                <w:b/>
                <w:sz w:val="20"/>
                <w:szCs w:val="20"/>
                <w:lang w:eastAsia="ja-JP"/>
              </w:rPr>
            </w:pPr>
            <w:r w:rsidRPr="00FC0532">
              <w:rPr>
                <w:rFonts w:asciiTheme="minorHAnsi" w:eastAsia="Yu Mincho" w:hAnsiTheme="minorHAnsi" w:cstheme="minorHAnsi"/>
                <w:b/>
                <w:sz w:val="20"/>
                <w:szCs w:val="20"/>
                <w:lang w:eastAsia="ja-JP"/>
              </w:rPr>
              <w:t>Item</w:t>
            </w:r>
          </w:p>
        </w:tc>
        <w:tc>
          <w:tcPr>
            <w:tcW w:w="1473" w:type="pct"/>
            <w:gridSpan w:val="2"/>
            <w:shd w:val="clear" w:color="auto" w:fill="auto"/>
            <w:vAlign w:val="center"/>
          </w:tcPr>
          <w:p w14:paraId="50F79E70" w14:textId="77777777" w:rsidR="00C0697C" w:rsidRPr="00FC0532" w:rsidRDefault="00C0697C" w:rsidP="000C6035">
            <w:pPr>
              <w:jc w:val="center"/>
              <w:rPr>
                <w:rFonts w:asciiTheme="minorHAnsi" w:eastAsia="Yu Mincho" w:hAnsiTheme="minorHAnsi" w:cstheme="minorHAnsi"/>
                <w:b/>
                <w:sz w:val="20"/>
                <w:szCs w:val="20"/>
                <w:lang w:eastAsia="ja-JP"/>
              </w:rPr>
            </w:pPr>
            <w:r w:rsidRPr="00FC0532">
              <w:rPr>
                <w:rFonts w:asciiTheme="minorHAnsi" w:eastAsia="Yu Mincho" w:hAnsiTheme="minorHAnsi" w:cstheme="minorHAnsi"/>
                <w:b/>
                <w:sz w:val="20"/>
                <w:szCs w:val="20"/>
                <w:lang w:eastAsia="ja-JP"/>
              </w:rPr>
              <w:t>SSDP (2016–2021)</w:t>
            </w:r>
          </w:p>
        </w:tc>
      </w:tr>
      <w:tr w:rsidR="00C0697C" w14:paraId="100110DF" w14:textId="77777777" w:rsidTr="000C6035">
        <w:trPr>
          <w:trHeight w:val="215"/>
          <w:tblHeader/>
          <w:jc w:val="center"/>
        </w:trPr>
        <w:tc>
          <w:tcPr>
            <w:tcW w:w="3527" w:type="pct"/>
            <w:vMerge/>
            <w:shd w:val="clear" w:color="auto" w:fill="auto"/>
            <w:noWrap/>
            <w:vAlign w:val="center"/>
          </w:tcPr>
          <w:p w14:paraId="21CDB484" w14:textId="77777777" w:rsidR="00C0697C" w:rsidRPr="00FC0532" w:rsidRDefault="00C0697C" w:rsidP="000C6035">
            <w:pPr>
              <w:jc w:val="center"/>
              <w:rPr>
                <w:rFonts w:asciiTheme="minorHAnsi" w:eastAsia="Yu Mincho" w:hAnsiTheme="minorHAnsi" w:cstheme="minorHAnsi"/>
                <w:b/>
                <w:sz w:val="20"/>
                <w:szCs w:val="20"/>
                <w:lang w:eastAsia="ja-JP"/>
              </w:rPr>
            </w:pPr>
          </w:p>
        </w:tc>
        <w:tc>
          <w:tcPr>
            <w:tcW w:w="736" w:type="pct"/>
            <w:shd w:val="clear" w:color="auto" w:fill="auto"/>
            <w:vAlign w:val="center"/>
          </w:tcPr>
          <w:p w14:paraId="6B92E8A5" w14:textId="77777777" w:rsidR="00C0697C" w:rsidRPr="00FC0532" w:rsidRDefault="00C0697C" w:rsidP="000C6035">
            <w:pPr>
              <w:jc w:val="center"/>
              <w:rPr>
                <w:rFonts w:asciiTheme="minorHAnsi" w:eastAsia="Yu Mincho" w:hAnsiTheme="minorHAnsi" w:cstheme="minorHAnsi"/>
                <w:b/>
                <w:sz w:val="20"/>
                <w:szCs w:val="20"/>
              </w:rPr>
            </w:pPr>
            <w:r w:rsidRPr="00FC0532">
              <w:rPr>
                <w:rFonts w:asciiTheme="minorHAnsi" w:eastAsia="Yu Mincho" w:hAnsiTheme="minorHAnsi" w:cstheme="minorHAnsi"/>
                <w:b/>
                <w:sz w:val="20"/>
                <w:szCs w:val="20"/>
              </w:rPr>
              <w:t>(NPR, billions)</w:t>
            </w:r>
          </w:p>
        </w:tc>
        <w:tc>
          <w:tcPr>
            <w:tcW w:w="737" w:type="pct"/>
            <w:shd w:val="clear" w:color="auto" w:fill="auto"/>
            <w:vAlign w:val="center"/>
          </w:tcPr>
          <w:p w14:paraId="7DF3E0B9" w14:textId="77777777" w:rsidR="00C0697C" w:rsidRPr="00FC0532" w:rsidRDefault="00C0697C" w:rsidP="000C6035">
            <w:pPr>
              <w:jc w:val="center"/>
              <w:rPr>
                <w:rFonts w:asciiTheme="minorHAnsi" w:eastAsia="Yu Mincho" w:hAnsiTheme="minorHAnsi" w:cstheme="minorHAnsi"/>
                <w:b/>
                <w:sz w:val="20"/>
                <w:szCs w:val="20"/>
              </w:rPr>
            </w:pPr>
            <w:r w:rsidRPr="00FC0532">
              <w:rPr>
                <w:rFonts w:asciiTheme="minorHAnsi" w:eastAsia="Yu Mincho" w:hAnsiTheme="minorHAnsi" w:cstheme="minorHAnsi"/>
                <w:b/>
                <w:sz w:val="20"/>
                <w:szCs w:val="20"/>
              </w:rPr>
              <w:t>(US$, billions)</w:t>
            </w:r>
          </w:p>
        </w:tc>
      </w:tr>
      <w:tr w:rsidR="00C0697C" w14:paraId="6BBFB48E" w14:textId="77777777" w:rsidTr="000C6035">
        <w:trPr>
          <w:trHeight w:hRule="exact" w:val="235"/>
          <w:jc w:val="center"/>
        </w:trPr>
        <w:tc>
          <w:tcPr>
            <w:tcW w:w="3527" w:type="pct"/>
            <w:shd w:val="clear" w:color="auto" w:fill="auto"/>
            <w:noWrap/>
            <w:vAlign w:val="center"/>
          </w:tcPr>
          <w:p w14:paraId="13F0F1A3" w14:textId="77777777" w:rsidR="00C0697C" w:rsidRPr="00FC0532" w:rsidRDefault="00C0697C" w:rsidP="000C6035">
            <w:pPr>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School sector resource envelope projection</w:t>
            </w:r>
          </w:p>
        </w:tc>
        <w:tc>
          <w:tcPr>
            <w:tcW w:w="736" w:type="pct"/>
            <w:shd w:val="clear" w:color="auto" w:fill="auto"/>
            <w:vAlign w:val="center"/>
          </w:tcPr>
          <w:p w14:paraId="1D72BDA7" w14:textId="77777777" w:rsidR="00C0697C" w:rsidRPr="00FC0532" w:rsidRDefault="00C0697C" w:rsidP="000C6035">
            <w:pPr>
              <w:tabs>
                <w:tab w:val="decimal" w:pos="759"/>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682.0</w:t>
            </w:r>
          </w:p>
        </w:tc>
        <w:tc>
          <w:tcPr>
            <w:tcW w:w="737" w:type="pct"/>
            <w:shd w:val="clear" w:color="auto" w:fill="auto"/>
            <w:vAlign w:val="center"/>
          </w:tcPr>
          <w:p w14:paraId="55E2756D" w14:textId="77777777" w:rsidR="00C0697C" w:rsidRPr="00FC0532" w:rsidRDefault="00C0697C" w:rsidP="000C6035">
            <w:pPr>
              <w:tabs>
                <w:tab w:val="decimal" w:pos="624"/>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6.5</w:t>
            </w:r>
          </w:p>
        </w:tc>
      </w:tr>
      <w:tr w:rsidR="00C0697C" w14:paraId="58A51952" w14:textId="77777777" w:rsidTr="000C6035">
        <w:trPr>
          <w:trHeight w:val="20"/>
          <w:jc w:val="center"/>
        </w:trPr>
        <w:tc>
          <w:tcPr>
            <w:tcW w:w="3527" w:type="pct"/>
            <w:shd w:val="clear" w:color="auto" w:fill="auto"/>
            <w:noWrap/>
            <w:vAlign w:val="center"/>
          </w:tcPr>
          <w:p w14:paraId="347EA33F" w14:textId="77777777" w:rsidR="00C0697C" w:rsidRPr="00FC0532" w:rsidRDefault="00C0697C" w:rsidP="000C6035">
            <w:pPr>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 xml:space="preserve">SSDP expenditure </w:t>
            </w:r>
            <w:proofErr w:type="spellStart"/>
            <w:r w:rsidRPr="00FC0532">
              <w:rPr>
                <w:rFonts w:asciiTheme="minorHAnsi" w:eastAsia="Yu Mincho" w:hAnsiTheme="minorHAnsi" w:cstheme="minorHAnsi"/>
                <w:sz w:val="20"/>
                <w:szCs w:val="20"/>
                <w:lang w:eastAsia="ja-JP"/>
              </w:rPr>
              <w:t>estimate</w:t>
            </w:r>
            <w:r w:rsidRPr="00FC0532">
              <w:rPr>
                <w:rFonts w:asciiTheme="minorHAnsi" w:eastAsia="Yu Mincho" w:hAnsiTheme="minorHAnsi" w:cstheme="minorHAnsi"/>
                <w:sz w:val="20"/>
                <w:szCs w:val="20"/>
                <w:vertAlign w:val="superscript"/>
                <w:lang w:eastAsia="ja-JP"/>
              </w:rPr>
              <w:t>a</w:t>
            </w:r>
            <w:proofErr w:type="spellEnd"/>
          </w:p>
        </w:tc>
        <w:tc>
          <w:tcPr>
            <w:tcW w:w="736" w:type="pct"/>
            <w:shd w:val="clear" w:color="auto" w:fill="auto"/>
            <w:vAlign w:val="center"/>
          </w:tcPr>
          <w:p w14:paraId="794984DF" w14:textId="77777777" w:rsidR="00C0697C" w:rsidRPr="00FC0532" w:rsidRDefault="00C0697C" w:rsidP="000C6035">
            <w:pPr>
              <w:tabs>
                <w:tab w:val="decimal" w:pos="759"/>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678.0</w:t>
            </w:r>
          </w:p>
        </w:tc>
        <w:tc>
          <w:tcPr>
            <w:tcW w:w="737" w:type="pct"/>
            <w:shd w:val="clear" w:color="auto" w:fill="auto"/>
            <w:vAlign w:val="center"/>
          </w:tcPr>
          <w:p w14:paraId="147B48D0" w14:textId="77777777" w:rsidR="00C0697C" w:rsidRPr="00FC0532" w:rsidRDefault="00C0697C" w:rsidP="000C6035">
            <w:pPr>
              <w:tabs>
                <w:tab w:val="decimal" w:pos="624"/>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6.5</w:t>
            </w:r>
          </w:p>
        </w:tc>
      </w:tr>
      <w:tr w:rsidR="00C0697C" w14:paraId="0C7159E6" w14:textId="77777777" w:rsidTr="000C6035">
        <w:trPr>
          <w:trHeight w:val="20"/>
          <w:jc w:val="center"/>
        </w:trPr>
        <w:tc>
          <w:tcPr>
            <w:tcW w:w="3527" w:type="pct"/>
            <w:shd w:val="clear" w:color="auto" w:fill="auto"/>
            <w:noWrap/>
            <w:vAlign w:val="center"/>
          </w:tcPr>
          <w:p w14:paraId="50C93CC0" w14:textId="77777777" w:rsidR="00C0697C" w:rsidRPr="00FC0532" w:rsidRDefault="00C0697C" w:rsidP="000C6035">
            <w:pPr>
              <w:ind w:left="720" w:hanging="720"/>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Recurrent</w:t>
            </w:r>
          </w:p>
        </w:tc>
        <w:tc>
          <w:tcPr>
            <w:tcW w:w="736" w:type="pct"/>
            <w:shd w:val="clear" w:color="auto" w:fill="auto"/>
            <w:vAlign w:val="center"/>
          </w:tcPr>
          <w:p w14:paraId="532C630C" w14:textId="77777777" w:rsidR="00C0697C" w:rsidRPr="00FC0532" w:rsidRDefault="00C0697C" w:rsidP="000C6035">
            <w:pPr>
              <w:tabs>
                <w:tab w:val="decimal" w:pos="759"/>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616.0</w:t>
            </w:r>
          </w:p>
        </w:tc>
        <w:tc>
          <w:tcPr>
            <w:tcW w:w="737" w:type="pct"/>
            <w:shd w:val="clear" w:color="auto" w:fill="auto"/>
            <w:vAlign w:val="center"/>
          </w:tcPr>
          <w:p w14:paraId="68E0A045" w14:textId="77777777" w:rsidR="00C0697C" w:rsidRPr="00FC0532" w:rsidRDefault="00C0697C" w:rsidP="000C6035">
            <w:pPr>
              <w:tabs>
                <w:tab w:val="decimal" w:pos="624"/>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5.9</w:t>
            </w:r>
          </w:p>
        </w:tc>
      </w:tr>
      <w:tr w:rsidR="00C0697C" w14:paraId="4CCC8841" w14:textId="77777777" w:rsidTr="000C6035">
        <w:trPr>
          <w:trHeight w:val="20"/>
          <w:jc w:val="center"/>
        </w:trPr>
        <w:tc>
          <w:tcPr>
            <w:tcW w:w="3527" w:type="pct"/>
            <w:shd w:val="clear" w:color="auto" w:fill="auto"/>
            <w:noWrap/>
            <w:vAlign w:val="center"/>
          </w:tcPr>
          <w:p w14:paraId="7392966E" w14:textId="77777777" w:rsidR="00C0697C" w:rsidRPr="00FC0532" w:rsidRDefault="00C0697C" w:rsidP="000C6035">
            <w:pPr>
              <w:ind w:left="720" w:hanging="720"/>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Capital</w:t>
            </w:r>
          </w:p>
        </w:tc>
        <w:tc>
          <w:tcPr>
            <w:tcW w:w="736" w:type="pct"/>
            <w:shd w:val="clear" w:color="auto" w:fill="auto"/>
            <w:vAlign w:val="center"/>
          </w:tcPr>
          <w:p w14:paraId="59A1FDE9" w14:textId="77777777" w:rsidR="00C0697C" w:rsidRPr="00FC0532" w:rsidRDefault="00C0697C" w:rsidP="000C6035">
            <w:pPr>
              <w:tabs>
                <w:tab w:val="decimal" w:pos="759"/>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62.0</w:t>
            </w:r>
          </w:p>
        </w:tc>
        <w:tc>
          <w:tcPr>
            <w:tcW w:w="737" w:type="pct"/>
            <w:shd w:val="clear" w:color="auto" w:fill="auto"/>
            <w:vAlign w:val="center"/>
          </w:tcPr>
          <w:p w14:paraId="3696A88A" w14:textId="77777777" w:rsidR="00C0697C" w:rsidRPr="00FC0532" w:rsidRDefault="00C0697C" w:rsidP="000C6035">
            <w:pPr>
              <w:tabs>
                <w:tab w:val="decimal" w:pos="624"/>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0.6</w:t>
            </w:r>
          </w:p>
        </w:tc>
      </w:tr>
      <w:tr w:rsidR="00C0697C" w14:paraId="4A2C60FA" w14:textId="77777777" w:rsidTr="000C6035">
        <w:trPr>
          <w:trHeight w:val="20"/>
          <w:jc w:val="center"/>
        </w:trPr>
        <w:tc>
          <w:tcPr>
            <w:tcW w:w="3527" w:type="pct"/>
            <w:shd w:val="clear" w:color="auto" w:fill="auto"/>
            <w:noWrap/>
            <w:vAlign w:val="center"/>
          </w:tcPr>
          <w:p w14:paraId="5D940273" w14:textId="77777777" w:rsidR="00C0697C" w:rsidRPr="00FC0532" w:rsidRDefault="00C0697C" w:rsidP="000C6035">
            <w:pPr>
              <w:rPr>
                <w:rFonts w:asciiTheme="minorHAnsi" w:eastAsia="Yu Mincho" w:hAnsiTheme="minorHAnsi" w:cstheme="minorHAnsi"/>
                <w:sz w:val="20"/>
                <w:szCs w:val="20"/>
                <w:lang w:eastAsia="ja-JP"/>
              </w:rPr>
            </w:pPr>
            <w:r w:rsidRPr="00FC0532">
              <w:rPr>
                <w:rFonts w:asciiTheme="minorHAnsi" w:eastAsia="SimSun" w:hAnsiTheme="minorHAnsi" w:cstheme="minorHAnsi"/>
                <w:sz w:val="20"/>
                <w:szCs w:val="20"/>
                <w:lang w:eastAsia="ja-JP"/>
              </w:rPr>
              <w:t xml:space="preserve">Capital expenditure as percentage of </w:t>
            </w:r>
            <w:r w:rsidRPr="00FC0532">
              <w:rPr>
                <w:rFonts w:asciiTheme="minorHAnsi" w:eastAsia="Yu Mincho" w:hAnsiTheme="minorHAnsi" w:cstheme="minorHAnsi"/>
                <w:sz w:val="20"/>
                <w:szCs w:val="20"/>
                <w:lang w:eastAsia="ja-JP"/>
              </w:rPr>
              <w:t>total</w:t>
            </w:r>
            <w:r w:rsidRPr="00FC0532">
              <w:rPr>
                <w:rFonts w:asciiTheme="minorHAnsi" w:eastAsia="SimSun" w:hAnsiTheme="minorHAnsi" w:cstheme="minorHAnsi"/>
                <w:sz w:val="20"/>
                <w:szCs w:val="20"/>
                <w:lang w:eastAsia="ja-JP"/>
              </w:rPr>
              <w:t xml:space="preserve"> expenditure</w:t>
            </w:r>
          </w:p>
        </w:tc>
        <w:tc>
          <w:tcPr>
            <w:tcW w:w="736" w:type="pct"/>
            <w:shd w:val="clear" w:color="auto" w:fill="auto"/>
            <w:vAlign w:val="center"/>
          </w:tcPr>
          <w:p w14:paraId="122ED1A4" w14:textId="77777777" w:rsidR="00C0697C" w:rsidRPr="00FC0532" w:rsidRDefault="00C0697C" w:rsidP="000C6035">
            <w:pPr>
              <w:tabs>
                <w:tab w:val="decimal" w:pos="759"/>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9.1</w:t>
            </w:r>
          </w:p>
        </w:tc>
        <w:tc>
          <w:tcPr>
            <w:tcW w:w="737" w:type="pct"/>
            <w:shd w:val="clear" w:color="auto" w:fill="auto"/>
            <w:vAlign w:val="center"/>
          </w:tcPr>
          <w:p w14:paraId="292D4E95" w14:textId="77777777" w:rsidR="00C0697C" w:rsidRPr="00FC0532" w:rsidRDefault="00C0697C" w:rsidP="000C6035">
            <w:pPr>
              <w:tabs>
                <w:tab w:val="decimal" w:pos="624"/>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9.1</w:t>
            </w:r>
          </w:p>
        </w:tc>
      </w:tr>
      <w:tr w:rsidR="00C0697C" w14:paraId="3B5BF2D9" w14:textId="77777777" w:rsidTr="000C6035">
        <w:trPr>
          <w:trHeight w:val="20"/>
          <w:jc w:val="center"/>
        </w:trPr>
        <w:tc>
          <w:tcPr>
            <w:tcW w:w="3527" w:type="pct"/>
            <w:shd w:val="clear" w:color="auto" w:fill="auto"/>
            <w:noWrap/>
            <w:vAlign w:val="center"/>
          </w:tcPr>
          <w:p w14:paraId="23912F2A" w14:textId="77777777" w:rsidR="00C0697C" w:rsidRPr="00FC0532" w:rsidRDefault="00C0697C" w:rsidP="000C6035">
            <w:pPr>
              <w:ind w:left="720" w:hanging="720"/>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 xml:space="preserve">Regular </w:t>
            </w:r>
            <w:proofErr w:type="spellStart"/>
            <w:r w:rsidRPr="00FC0532">
              <w:rPr>
                <w:rFonts w:asciiTheme="minorHAnsi" w:eastAsia="Yu Mincho" w:hAnsiTheme="minorHAnsi" w:cstheme="minorHAnsi"/>
                <w:sz w:val="20"/>
                <w:szCs w:val="20"/>
                <w:lang w:eastAsia="ja-JP"/>
              </w:rPr>
              <w:t>expenditure</w:t>
            </w:r>
            <w:r w:rsidRPr="00FC0532">
              <w:rPr>
                <w:rFonts w:asciiTheme="minorHAnsi" w:eastAsia="Yu Mincho" w:hAnsiTheme="minorHAnsi" w:cstheme="minorHAnsi"/>
                <w:sz w:val="20"/>
                <w:szCs w:val="20"/>
                <w:vertAlign w:val="superscript"/>
                <w:lang w:eastAsia="ja-JP"/>
              </w:rPr>
              <w:t>b</w:t>
            </w:r>
            <w:proofErr w:type="spellEnd"/>
          </w:p>
        </w:tc>
        <w:tc>
          <w:tcPr>
            <w:tcW w:w="736" w:type="pct"/>
            <w:shd w:val="clear" w:color="auto" w:fill="auto"/>
            <w:vAlign w:val="center"/>
          </w:tcPr>
          <w:p w14:paraId="13CB17A8" w14:textId="77777777" w:rsidR="00C0697C" w:rsidRPr="00FC0532" w:rsidRDefault="00C0697C" w:rsidP="000C6035">
            <w:pPr>
              <w:tabs>
                <w:tab w:val="decimal" w:pos="759"/>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471.0</w:t>
            </w:r>
          </w:p>
        </w:tc>
        <w:tc>
          <w:tcPr>
            <w:tcW w:w="737" w:type="pct"/>
            <w:shd w:val="clear" w:color="auto" w:fill="auto"/>
            <w:vAlign w:val="center"/>
          </w:tcPr>
          <w:p w14:paraId="715740C0" w14:textId="77777777" w:rsidR="00C0697C" w:rsidRPr="00FC0532" w:rsidRDefault="00C0697C" w:rsidP="000C6035">
            <w:pPr>
              <w:tabs>
                <w:tab w:val="decimal" w:pos="624"/>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4.5</w:t>
            </w:r>
          </w:p>
        </w:tc>
      </w:tr>
      <w:tr w:rsidR="00C0697C" w14:paraId="1B23CFCF" w14:textId="77777777" w:rsidTr="000C6035">
        <w:trPr>
          <w:trHeight w:val="20"/>
          <w:jc w:val="center"/>
        </w:trPr>
        <w:tc>
          <w:tcPr>
            <w:tcW w:w="3527" w:type="pct"/>
            <w:shd w:val="clear" w:color="auto" w:fill="auto"/>
            <w:noWrap/>
            <w:vAlign w:val="center"/>
          </w:tcPr>
          <w:p w14:paraId="5180344A" w14:textId="77777777" w:rsidR="00C0697C" w:rsidRPr="00FC0532" w:rsidRDefault="00C0697C" w:rsidP="000C6035">
            <w:pPr>
              <w:ind w:left="720" w:hanging="720"/>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Development expenditure</w:t>
            </w:r>
          </w:p>
        </w:tc>
        <w:tc>
          <w:tcPr>
            <w:tcW w:w="736" w:type="pct"/>
            <w:shd w:val="clear" w:color="auto" w:fill="auto"/>
            <w:vAlign w:val="center"/>
          </w:tcPr>
          <w:p w14:paraId="3E62E355" w14:textId="77777777" w:rsidR="00C0697C" w:rsidRPr="00FC0532" w:rsidRDefault="00C0697C" w:rsidP="000C6035">
            <w:pPr>
              <w:tabs>
                <w:tab w:val="decimal" w:pos="759"/>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208.0</w:t>
            </w:r>
          </w:p>
        </w:tc>
        <w:tc>
          <w:tcPr>
            <w:tcW w:w="737" w:type="pct"/>
            <w:shd w:val="clear" w:color="auto" w:fill="auto"/>
            <w:vAlign w:val="center"/>
          </w:tcPr>
          <w:p w14:paraId="72B815A8" w14:textId="77777777" w:rsidR="00C0697C" w:rsidRPr="00FC0532" w:rsidRDefault="00C0697C" w:rsidP="000C6035">
            <w:pPr>
              <w:tabs>
                <w:tab w:val="decimal" w:pos="624"/>
              </w:tabs>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2.0</w:t>
            </w:r>
          </w:p>
        </w:tc>
      </w:tr>
      <w:tr w:rsidR="00C0697C" w14:paraId="413B7C6E" w14:textId="77777777" w:rsidTr="000C6035">
        <w:trPr>
          <w:trHeight w:val="20"/>
          <w:jc w:val="center"/>
        </w:trPr>
        <w:tc>
          <w:tcPr>
            <w:tcW w:w="3527" w:type="pct"/>
            <w:shd w:val="clear" w:color="auto" w:fill="auto"/>
            <w:noWrap/>
            <w:vAlign w:val="center"/>
          </w:tcPr>
          <w:p w14:paraId="47E802C1" w14:textId="77777777" w:rsidR="00C0697C" w:rsidRPr="00FC0532" w:rsidRDefault="00C0697C" w:rsidP="000C6035">
            <w:pPr>
              <w:rPr>
                <w:rFonts w:asciiTheme="minorHAnsi" w:eastAsia="Yu Mincho" w:hAnsiTheme="minorHAnsi" w:cstheme="minorHAnsi"/>
                <w:sz w:val="20"/>
                <w:szCs w:val="20"/>
                <w:lang w:eastAsia="ja-JP"/>
              </w:rPr>
            </w:pPr>
            <w:r w:rsidRPr="00FC0532">
              <w:rPr>
                <w:rFonts w:asciiTheme="minorHAnsi" w:eastAsia="SimSun" w:hAnsiTheme="minorHAnsi" w:cstheme="minorHAnsi"/>
                <w:sz w:val="20"/>
                <w:szCs w:val="20"/>
                <w:lang w:eastAsia="ja-JP"/>
              </w:rPr>
              <w:t xml:space="preserve">Development expenditure as </w:t>
            </w:r>
            <w:r w:rsidRPr="00FC0532">
              <w:rPr>
                <w:rFonts w:asciiTheme="minorHAnsi" w:eastAsia="Yu Mincho" w:hAnsiTheme="minorHAnsi" w:cstheme="minorHAnsi"/>
                <w:sz w:val="20"/>
                <w:szCs w:val="20"/>
                <w:lang w:eastAsia="ja-JP"/>
              </w:rPr>
              <w:t>percentage</w:t>
            </w:r>
            <w:r w:rsidRPr="00FC0532">
              <w:rPr>
                <w:rFonts w:asciiTheme="minorHAnsi" w:eastAsia="SimSun" w:hAnsiTheme="minorHAnsi" w:cstheme="minorHAnsi"/>
                <w:sz w:val="20"/>
                <w:szCs w:val="20"/>
                <w:lang w:eastAsia="ja-JP"/>
              </w:rPr>
              <w:t xml:space="preserve"> of total expenditure</w:t>
            </w:r>
          </w:p>
        </w:tc>
        <w:tc>
          <w:tcPr>
            <w:tcW w:w="736" w:type="pct"/>
            <w:shd w:val="clear" w:color="auto" w:fill="auto"/>
            <w:vAlign w:val="center"/>
          </w:tcPr>
          <w:p w14:paraId="2ABE75B0" w14:textId="77777777" w:rsidR="00C0697C" w:rsidRPr="00FC0532" w:rsidRDefault="00C0697C" w:rsidP="000C6035">
            <w:pPr>
              <w:tabs>
                <w:tab w:val="decimal" w:pos="759"/>
              </w:tabs>
              <w:ind w:left="-248"/>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30.6</w:t>
            </w:r>
          </w:p>
        </w:tc>
        <w:tc>
          <w:tcPr>
            <w:tcW w:w="737" w:type="pct"/>
            <w:shd w:val="clear" w:color="auto" w:fill="auto"/>
            <w:vAlign w:val="center"/>
          </w:tcPr>
          <w:p w14:paraId="67B5B707" w14:textId="77777777" w:rsidR="00C0697C" w:rsidRPr="00FC0532" w:rsidRDefault="00C0697C" w:rsidP="000C6035">
            <w:pPr>
              <w:tabs>
                <w:tab w:val="decimal" w:pos="624"/>
              </w:tabs>
              <w:ind w:left="-128"/>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30.6</w:t>
            </w:r>
          </w:p>
        </w:tc>
      </w:tr>
    </w:tbl>
    <w:p w14:paraId="22216F97" w14:textId="77777777" w:rsidR="00C0697C" w:rsidRPr="00FC0532" w:rsidRDefault="00C0697C" w:rsidP="00C0697C">
      <w:pPr>
        <w:ind w:left="187" w:hanging="187"/>
        <w:jc w:val="both"/>
        <w:rPr>
          <w:rFonts w:asciiTheme="minorHAnsi" w:eastAsia="MS Mincho" w:hAnsiTheme="minorHAnsi" w:cstheme="minorHAnsi"/>
          <w:sz w:val="18"/>
          <w:szCs w:val="18"/>
          <w:lang w:eastAsia="ja-JP"/>
        </w:rPr>
      </w:pPr>
      <w:r w:rsidRPr="00FC0532">
        <w:rPr>
          <w:rFonts w:asciiTheme="minorHAnsi" w:eastAsia="MS Mincho" w:hAnsiTheme="minorHAnsi" w:cstheme="minorHAnsi"/>
          <w:i/>
          <w:sz w:val="18"/>
          <w:szCs w:val="18"/>
          <w:lang w:eastAsia="ja-JP"/>
        </w:rPr>
        <w:t>Source:</w:t>
      </w:r>
      <w:r w:rsidRPr="00FC0532">
        <w:rPr>
          <w:rFonts w:asciiTheme="minorHAnsi" w:eastAsia="MS Mincho" w:hAnsiTheme="minorHAnsi" w:cstheme="minorHAnsi"/>
          <w:sz w:val="18"/>
          <w:szCs w:val="18"/>
          <w:lang w:eastAsia="ja-JP"/>
        </w:rPr>
        <w:t xml:space="preserve"> Ministry of Education estimates.</w:t>
      </w:r>
    </w:p>
    <w:p w14:paraId="77C2AF58" w14:textId="77777777" w:rsidR="00C0697C" w:rsidRPr="00FC0532" w:rsidRDefault="00C0697C" w:rsidP="00C0697C">
      <w:pPr>
        <w:ind w:hanging="7"/>
        <w:jc w:val="both"/>
        <w:rPr>
          <w:rFonts w:asciiTheme="minorHAnsi" w:eastAsia="MS Mincho" w:hAnsiTheme="minorHAnsi" w:cstheme="minorHAnsi"/>
          <w:sz w:val="18"/>
          <w:szCs w:val="18"/>
          <w:lang w:eastAsia="ja-JP"/>
        </w:rPr>
      </w:pPr>
      <w:r w:rsidRPr="00FC0532">
        <w:rPr>
          <w:rFonts w:asciiTheme="minorHAnsi" w:eastAsia="MS Mincho" w:hAnsiTheme="minorHAnsi" w:cstheme="minorHAnsi"/>
          <w:i/>
          <w:sz w:val="18"/>
          <w:szCs w:val="18"/>
          <w:lang w:eastAsia="ja-JP"/>
        </w:rPr>
        <w:t>Note:</w:t>
      </w:r>
      <w:r w:rsidRPr="00FC0532">
        <w:rPr>
          <w:rFonts w:asciiTheme="minorHAnsi" w:eastAsia="MS Mincho" w:hAnsiTheme="minorHAnsi" w:cstheme="minorHAnsi"/>
          <w:sz w:val="18"/>
          <w:szCs w:val="18"/>
          <w:lang w:eastAsia="ja-JP"/>
        </w:rPr>
        <w:t xml:space="preserve"> a. Includes all school-related expenditure (government and external DPs) except teacher pensions. Excludes US$735 million (2016–2023) and US$715 million (2016–2021) for estimated disaster risk reduction expenditure for the school sector implemented directly by the National Reconstruction Authority. </w:t>
      </w:r>
      <w:r w:rsidRPr="00FC0532">
        <w:rPr>
          <w:rFonts w:asciiTheme="minorHAnsi" w:eastAsia="Calibri" w:hAnsiTheme="minorHAnsi" w:cstheme="minorHAnsi"/>
          <w:sz w:val="18"/>
          <w:szCs w:val="18"/>
        </w:rPr>
        <w:t xml:space="preserve">Although the disaster risk reduction budget to be implemented through the National Reconstruction Authority contributes to program results, it is not included in the resource envelope because the resources are channeled directly through the National Reconstruction Authority and not through the MOEST’s resource envelope. </w:t>
      </w:r>
    </w:p>
    <w:p w14:paraId="02CDCBB8" w14:textId="77777777" w:rsidR="00C0697C" w:rsidRPr="00FC0532" w:rsidRDefault="00C0697C" w:rsidP="00C0697C">
      <w:pPr>
        <w:spacing w:after="240"/>
        <w:ind w:hanging="7"/>
        <w:jc w:val="both"/>
        <w:rPr>
          <w:rFonts w:asciiTheme="minorHAnsi" w:eastAsia="MS Mincho" w:hAnsiTheme="minorHAnsi" w:cstheme="minorHAnsi"/>
          <w:sz w:val="18"/>
          <w:szCs w:val="18"/>
          <w:lang w:eastAsia="ja-JP"/>
        </w:rPr>
      </w:pPr>
      <w:r w:rsidRPr="00FC0532">
        <w:rPr>
          <w:rFonts w:asciiTheme="minorHAnsi" w:eastAsia="MS Mincho" w:hAnsiTheme="minorHAnsi" w:cstheme="minorHAnsi"/>
          <w:sz w:val="18"/>
          <w:szCs w:val="18"/>
          <w:lang w:eastAsia="ja-JP"/>
        </w:rPr>
        <w:t xml:space="preserve">b. Salaries and remuneration plus regular organization and management expenditure. </w:t>
      </w:r>
    </w:p>
    <w:p w14:paraId="2C0CF1FD"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Because the GON is committed to implementing the constitutional provision of free and compulsory education up to Grade 8 and free education up to Grade 12, it is anticipated that the education sector would receive adequate budget allocations to meet the cost required to achieve the program objectives. Long-term sustainability considerations are built into the SSDP design by (a) using country systems for budgeting, accounting, reporting, and auditing; (b) strengthening institutions in school education to sustain the school sector improvements; (c) using DLIs to trigger results; and (d) strengthening governance and management. GON has developed a web-based budgeting, accounting and reporting system for LGs (</w:t>
      </w:r>
      <w:proofErr w:type="spellStart"/>
      <w:r w:rsidRPr="00FC0532">
        <w:rPr>
          <w:rFonts w:asciiTheme="minorHAnsi" w:eastAsia="Calibri" w:hAnsiTheme="minorHAnsi" w:cstheme="minorHAnsi"/>
          <w:sz w:val="22"/>
          <w:szCs w:val="22"/>
        </w:rPr>
        <w:t>SuTRA</w:t>
      </w:r>
      <w:proofErr w:type="spellEnd"/>
      <w:r w:rsidRPr="00FC0532">
        <w:rPr>
          <w:rFonts w:asciiTheme="minorHAnsi" w:eastAsia="Calibri" w:hAnsiTheme="minorHAnsi" w:cstheme="minorHAnsi"/>
          <w:sz w:val="22"/>
          <w:szCs w:val="22"/>
        </w:rPr>
        <w:t xml:space="preserve">). </w:t>
      </w:r>
      <w:r>
        <w:rPr>
          <w:rFonts w:asciiTheme="minorHAnsi" w:eastAsia="Calibri" w:hAnsiTheme="minorHAnsi" w:cstheme="minorHAnsi"/>
          <w:sz w:val="22"/>
          <w:szCs w:val="22"/>
        </w:rPr>
        <w:t>A</w:t>
      </w:r>
      <w:r w:rsidRPr="00FC0532">
        <w:rPr>
          <w:rFonts w:asciiTheme="minorHAnsi" w:eastAsia="Calibri" w:hAnsiTheme="minorHAnsi" w:cstheme="minorHAnsi"/>
          <w:sz w:val="22"/>
          <w:szCs w:val="22"/>
        </w:rPr>
        <w:t xml:space="preserve">round </w:t>
      </w:r>
      <w:r>
        <w:rPr>
          <w:rFonts w:asciiTheme="minorHAnsi" w:eastAsia="Calibri" w:hAnsiTheme="minorHAnsi" w:cstheme="minorHAnsi"/>
          <w:sz w:val="22"/>
          <w:szCs w:val="22"/>
        </w:rPr>
        <w:t>400</w:t>
      </w:r>
      <w:r w:rsidRPr="00FC0532">
        <w:rPr>
          <w:rFonts w:asciiTheme="minorHAnsi" w:eastAsia="Calibri" w:hAnsiTheme="minorHAnsi" w:cstheme="minorHAnsi"/>
          <w:sz w:val="22"/>
          <w:szCs w:val="22"/>
        </w:rPr>
        <w:t xml:space="preserve"> LGs are using this system thus far. Unless all LGs implement the system, it will be challenging for the federal government to obtain timely accounting information. To continue efficient accounting systems under the new federal structure, further efforts for full implementation of the system by other LGs are needed.</w:t>
      </w:r>
      <w:r>
        <w:rPr>
          <w:rFonts w:asciiTheme="minorHAnsi" w:eastAsia="Calibri" w:hAnsiTheme="minorHAnsi" w:cstheme="minorHAnsi"/>
          <w:sz w:val="22"/>
          <w:szCs w:val="22"/>
        </w:rPr>
        <w:t xml:space="preserve"> DPs supported Technical Assistance Team is working closely with the Government to facilitate reporting.</w:t>
      </w:r>
    </w:p>
    <w:p w14:paraId="07AC4DD5"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b/>
          <w:sz w:val="22"/>
          <w:szCs w:val="22"/>
        </w:rPr>
        <w:t>Tracking budget execution.</w:t>
      </w:r>
      <w:r w:rsidRPr="00FC0532">
        <w:rPr>
          <w:rFonts w:asciiTheme="minorHAnsi" w:eastAsia="Calibri" w:hAnsiTheme="minorHAnsi" w:cstheme="minorHAnsi"/>
          <w:sz w:val="22"/>
          <w:szCs w:val="22"/>
        </w:rPr>
        <w:t xml:space="preserve"> A key risk in ensuring budget execution could arise from lack of proper reporting mechanisms from LGs to the federal government. While the federal budget framework includes provisions for activity-based classification, procedures for LGs’ reporting on the conditions and activities implemented under the specific conditional grants are not yet established. Most of the SSDP activities will be implemented at the local level and majority of the SSDP budget is being transferred to LGs through conditional grants from the MOF unlike in the pre-federal system when the MOEST had direct control over budget transfer and reporting. These conditional grants include key program costs such as salaries, textbooks, and scholarship grants. While the Appropriation Bill for FY2018–19 includes provisions for LGs to report back on detailed incurred expenditures for conditional grants, the MOEST is yet to establish any such reporting procedure. Therefore, the MOEST cannot effectively track expenditures related to specific SSDP budget heads in all 753 LGs.</w:t>
      </w:r>
      <w:r>
        <w:rPr>
          <w:rFonts w:asciiTheme="minorHAnsi" w:eastAsia="Calibri" w:hAnsiTheme="minorHAnsi" w:cstheme="minorHAnsi"/>
          <w:sz w:val="22"/>
          <w:szCs w:val="22"/>
        </w:rPr>
        <w:t xml:space="preserve"> Mitigation measures have been agreed upon to ensure reporting.</w:t>
      </w:r>
    </w:p>
    <w:p w14:paraId="7832A377"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b/>
          <w:sz w:val="22"/>
          <w:szCs w:val="22"/>
        </w:rPr>
        <w:t>Adherence of program expenditure to the GON priorities.</w:t>
      </w:r>
      <w:r w:rsidRPr="00FC0532">
        <w:rPr>
          <w:rFonts w:asciiTheme="minorHAnsi" w:eastAsia="Calibri" w:hAnsiTheme="minorHAnsi" w:cstheme="minorHAnsi"/>
          <w:sz w:val="22"/>
          <w:szCs w:val="22"/>
        </w:rPr>
        <w:t xml:space="preserve"> The SSDP expenditure framework is in line with the GON priorities in education. The SSDP attempts to enhance effectiveness through (a) costing of prioritized quality-improving interventions; (b) plans to introduce a more robust medium-term expenditure framework (MTEF) in line with the SSDP expenditure framework, to ensure appropriate annual budget allocations; (c) revision of the school grant system to support performance-based financing, and improvements to the EMIS to make it more reliable and to boost the effectiveness of PCF grants; (d) a proposal to create additional teacher positions in secondary education, and rationalization of teacher management; and (e) allocation of about 25 percent of SSDP expenditure to secondary education. Teacher pensions, which constitute 10 percent of the school sector budget, are excluded from the SSDP expenditure framework, and the exclusion of pensions is expected to increase the share of SSDP resources for quality-enhancing activities. </w:t>
      </w:r>
    </w:p>
    <w:p w14:paraId="49B60A2F"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 xml:space="preserve">Over 80 percent of program expenditures will be for basic education (ECED/PPE to Grade 8) and secondary education (Grades 9−12), as shown in table </w:t>
      </w:r>
      <w:r>
        <w:rPr>
          <w:rFonts w:asciiTheme="minorHAnsi" w:eastAsia="Calibri" w:hAnsiTheme="minorHAnsi" w:cstheme="minorHAnsi"/>
          <w:sz w:val="22"/>
          <w:szCs w:val="22"/>
        </w:rPr>
        <w:t>4</w:t>
      </w:r>
      <w:r w:rsidRPr="00FC0532">
        <w:rPr>
          <w:rFonts w:asciiTheme="minorHAnsi" w:eastAsia="Calibri" w:hAnsiTheme="minorHAnsi" w:cstheme="minorHAnsi"/>
          <w:sz w:val="22"/>
          <w:szCs w:val="22"/>
        </w:rPr>
        <w:t xml:space="preserve">.4. The share of secondary education in the SSDP has increased to 25.4 percent, compared to 15.0 percent under the SSRP, due to new interventions such as separate head teacher positions; trained subject teachers for math, science, and English; promotion of science education; model school program; and ICT. The share of the SSDP capital budget is 9.1 percent (higher than the SSRP’s 2.3 percent) and includes ICT and infrastructure support other than the disaster risk reduction activities implemented by the National Reconstruction Authority. </w:t>
      </w:r>
    </w:p>
    <w:p w14:paraId="67B193F3" w14:textId="77777777" w:rsidR="00C0697C" w:rsidRPr="00FC0532" w:rsidRDefault="00C0697C" w:rsidP="00C0697C">
      <w:pPr>
        <w:pStyle w:val="Caption1"/>
        <w:rPr>
          <w:rFonts w:asciiTheme="minorHAnsi" w:eastAsia="Calibri" w:hAnsiTheme="minorHAnsi" w:cstheme="minorHAnsi"/>
        </w:rPr>
      </w:pPr>
      <w:r w:rsidRPr="00FC0532">
        <w:rPr>
          <w:rFonts w:asciiTheme="minorHAnsi" w:hAnsiTheme="minorHAnsi" w:cstheme="minorHAnsi"/>
        </w:rPr>
        <w:t xml:space="preserve">Table </w:t>
      </w:r>
      <w:r>
        <w:rPr>
          <w:rFonts w:asciiTheme="minorHAnsi" w:hAnsiTheme="minorHAnsi" w:cstheme="minorHAnsi"/>
        </w:rPr>
        <w:t>4</w:t>
      </w:r>
      <w:r w:rsidRPr="00FC0532">
        <w:rPr>
          <w:rFonts w:asciiTheme="minorHAnsi" w:hAnsiTheme="minorHAnsi" w:cstheme="minorHAnsi"/>
        </w:rPr>
        <w:t>.</w:t>
      </w:r>
      <w:r w:rsidRPr="00FC0532">
        <w:rPr>
          <w:rFonts w:asciiTheme="minorHAnsi" w:hAnsiTheme="minorHAnsi" w:cstheme="minorHAnsi"/>
          <w:noProof/>
        </w:rPr>
        <w:fldChar w:fldCharType="begin"/>
      </w:r>
      <w:r w:rsidRPr="00FC0532">
        <w:rPr>
          <w:rFonts w:asciiTheme="minorHAnsi" w:hAnsiTheme="minorHAnsi" w:cstheme="minorHAnsi"/>
          <w:noProof/>
        </w:rPr>
        <w:instrText xml:space="preserve"> SEQ Table_6. \* ARABIC </w:instrText>
      </w:r>
      <w:r w:rsidRPr="00FC0532">
        <w:rPr>
          <w:rFonts w:asciiTheme="minorHAnsi" w:hAnsiTheme="minorHAnsi" w:cstheme="minorHAnsi"/>
          <w:noProof/>
        </w:rPr>
        <w:fldChar w:fldCharType="separate"/>
      </w:r>
      <w:r>
        <w:rPr>
          <w:rFonts w:asciiTheme="minorHAnsi" w:hAnsiTheme="minorHAnsi" w:cstheme="minorHAnsi"/>
          <w:noProof/>
        </w:rPr>
        <w:t>4</w:t>
      </w:r>
      <w:r w:rsidRPr="00FC0532">
        <w:rPr>
          <w:rFonts w:asciiTheme="minorHAnsi" w:hAnsiTheme="minorHAnsi" w:cstheme="minorHAnsi"/>
          <w:noProof/>
        </w:rPr>
        <w:fldChar w:fldCharType="end"/>
      </w:r>
      <w:r w:rsidRPr="00FC0532">
        <w:rPr>
          <w:rFonts w:asciiTheme="minorHAnsi" w:eastAsia="Calibri" w:hAnsiTheme="minorHAnsi" w:cstheme="minorHAnsi"/>
        </w:rPr>
        <w:t>. SSDP - Expenditure Framework, 2016–2021 by Component (Current Prices)</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8"/>
        <w:gridCol w:w="1547"/>
        <w:gridCol w:w="1815"/>
        <w:gridCol w:w="1150"/>
      </w:tblGrid>
      <w:tr w:rsidR="00C0697C" w14:paraId="0CABE764" w14:textId="77777777" w:rsidTr="000C6035">
        <w:trPr>
          <w:trHeight w:val="20"/>
          <w:tblHeader/>
          <w:jc w:val="center"/>
        </w:trPr>
        <w:tc>
          <w:tcPr>
            <w:tcW w:w="5108" w:type="dxa"/>
            <w:shd w:val="clear" w:color="auto" w:fill="auto"/>
            <w:noWrap/>
            <w:vAlign w:val="center"/>
          </w:tcPr>
          <w:p w14:paraId="2285BA2E" w14:textId="77777777" w:rsidR="00C0697C" w:rsidRPr="00FC0532" w:rsidRDefault="00C0697C" w:rsidP="000C6035">
            <w:pPr>
              <w:spacing w:line="259" w:lineRule="auto"/>
              <w:jc w:val="center"/>
              <w:rPr>
                <w:rFonts w:asciiTheme="minorHAnsi" w:eastAsia="Yu Mincho" w:hAnsiTheme="minorHAnsi" w:cstheme="minorHAnsi"/>
                <w:b/>
                <w:sz w:val="20"/>
                <w:szCs w:val="20"/>
                <w:lang w:eastAsia="ja-JP"/>
              </w:rPr>
            </w:pPr>
            <w:r w:rsidRPr="00FC0532">
              <w:rPr>
                <w:rFonts w:asciiTheme="minorHAnsi" w:eastAsia="Yu Mincho" w:hAnsiTheme="minorHAnsi" w:cstheme="minorHAnsi"/>
                <w:b/>
                <w:sz w:val="20"/>
                <w:szCs w:val="20"/>
                <w:lang w:eastAsia="ja-JP"/>
              </w:rPr>
              <w:t>Component</w:t>
            </w:r>
          </w:p>
        </w:tc>
        <w:tc>
          <w:tcPr>
            <w:tcW w:w="1547" w:type="dxa"/>
            <w:shd w:val="clear" w:color="auto" w:fill="auto"/>
            <w:vAlign w:val="center"/>
          </w:tcPr>
          <w:p w14:paraId="7F443592" w14:textId="77777777" w:rsidR="00C0697C" w:rsidRPr="00FC0532" w:rsidRDefault="00C0697C" w:rsidP="000C6035">
            <w:pPr>
              <w:spacing w:line="259" w:lineRule="auto"/>
              <w:jc w:val="center"/>
              <w:rPr>
                <w:rFonts w:asciiTheme="minorHAnsi" w:eastAsia="Yu Mincho" w:hAnsiTheme="minorHAnsi" w:cstheme="minorHAnsi"/>
                <w:b/>
                <w:sz w:val="20"/>
                <w:szCs w:val="20"/>
                <w:lang w:eastAsia="ja-JP"/>
              </w:rPr>
            </w:pPr>
            <w:r w:rsidRPr="00FC0532">
              <w:rPr>
                <w:rFonts w:asciiTheme="minorHAnsi" w:eastAsia="Yu Mincho" w:hAnsiTheme="minorHAnsi" w:cstheme="minorHAnsi"/>
                <w:b/>
                <w:sz w:val="20"/>
                <w:szCs w:val="20"/>
                <w:lang w:eastAsia="ja-JP"/>
              </w:rPr>
              <w:t>Amount</w:t>
            </w:r>
          </w:p>
          <w:p w14:paraId="76C83173" w14:textId="77777777" w:rsidR="00C0697C" w:rsidRPr="00FC0532" w:rsidRDefault="00C0697C" w:rsidP="000C6035">
            <w:pPr>
              <w:spacing w:line="259" w:lineRule="auto"/>
              <w:jc w:val="center"/>
              <w:rPr>
                <w:rFonts w:asciiTheme="minorHAnsi" w:eastAsia="Yu Mincho" w:hAnsiTheme="minorHAnsi" w:cstheme="minorHAnsi"/>
                <w:b/>
                <w:sz w:val="20"/>
                <w:szCs w:val="20"/>
                <w:lang w:eastAsia="ja-JP"/>
              </w:rPr>
            </w:pPr>
            <w:r w:rsidRPr="00FC0532">
              <w:rPr>
                <w:rFonts w:asciiTheme="minorHAnsi" w:eastAsia="Yu Mincho" w:hAnsiTheme="minorHAnsi" w:cstheme="minorHAnsi"/>
                <w:b/>
                <w:sz w:val="20"/>
                <w:szCs w:val="20"/>
                <w:lang w:eastAsia="ja-JP"/>
              </w:rPr>
              <w:t>(NPR, millions)</w:t>
            </w:r>
          </w:p>
        </w:tc>
        <w:tc>
          <w:tcPr>
            <w:tcW w:w="1815" w:type="dxa"/>
            <w:shd w:val="clear" w:color="auto" w:fill="auto"/>
            <w:vAlign w:val="center"/>
          </w:tcPr>
          <w:p w14:paraId="791DFC17" w14:textId="77777777" w:rsidR="00C0697C" w:rsidRPr="00FC0532" w:rsidRDefault="00C0697C" w:rsidP="000C6035">
            <w:pPr>
              <w:spacing w:line="259" w:lineRule="auto"/>
              <w:jc w:val="center"/>
              <w:rPr>
                <w:rFonts w:asciiTheme="minorHAnsi" w:eastAsia="Yu Mincho" w:hAnsiTheme="minorHAnsi" w:cstheme="minorHAnsi"/>
                <w:b/>
                <w:sz w:val="20"/>
                <w:szCs w:val="20"/>
                <w:lang w:eastAsia="ja-JP"/>
              </w:rPr>
            </w:pPr>
            <w:r w:rsidRPr="00FC0532">
              <w:rPr>
                <w:rFonts w:asciiTheme="minorHAnsi" w:eastAsia="Yu Mincho" w:hAnsiTheme="minorHAnsi" w:cstheme="minorHAnsi"/>
                <w:b/>
                <w:sz w:val="20"/>
                <w:szCs w:val="20"/>
                <w:lang w:eastAsia="ja-JP"/>
              </w:rPr>
              <w:t>Amount</w:t>
            </w:r>
          </w:p>
          <w:p w14:paraId="0E5CED2E" w14:textId="77777777" w:rsidR="00C0697C" w:rsidRPr="00FC0532" w:rsidRDefault="00C0697C" w:rsidP="000C6035">
            <w:pPr>
              <w:spacing w:line="259" w:lineRule="auto"/>
              <w:jc w:val="center"/>
              <w:rPr>
                <w:rFonts w:asciiTheme="minorHAnsi" w:eastAsia="Yu Mincho" w:hAnsiTheme="minorHAnsi" w:cstheme="minorHAnsi"/>
                <w:b/>
                <w:sz w:val="20"/>
                <w:szCs w:val="20"/>
                <w:lang w:eastAsia="ja-JP"/>
              </w:rPr>
            </w:pPr>
            <w:r w:rsidRPr="00FC0532">
              <w:rPr>
                <w:rFonts w:asciiTheme="minorHAnsi" w:eastAsia="Yu Mincho" w:hAnsiTheme="minorHAnsi" w:cstheme="minorHAnsi"/>
                <w:b/>
                <w:sz w:val="20"/>
                <w:szCs w:val="20"/>
                <w:lang w:eastAsia="ja-JP"/>
              </w:rPr>
              <w:t>(US$, millions)</w:t>
            </w:r>
          </w:p>
        </w:tc>
        <w:tc>
          <w:tcPr>
            <w:tcW w:w="1150" w:type="dxa"/>
            <w:shd w:val="clear" w:color="auto" w:fill="auto"/>
            <w:vAlign w:val="center"/>
          </w:tcPr>
          <w:p w14:paraId="1E03A3B4" w14:textId="77777777" w:rsidR="00C0697C" w:rsidRPr="00FC0532" w:rsidRDefault="00C0697C" w:rsidP="000C6035">
            <w:pPr>
              <w:spacing w:line="259" w:lineRule="auto"/>
              <w:jc w:val="center"/>
              <w:rPr>
                <w:rFonts w:asciiTheme="minorHAnsi" w:eastAsia="Yu Mincho" w:hAnsiTheme="minorHAnsi" w:cstheme="minorHAnsi"/>
                <w:b/>
                <w:sz w:val="20"/>
                <w:szCs w:val="20"/>
                <w:lang w:eastAsia="ja-JP"/>
              </w:rPr>
            </w:pPr>
            <w:r w:rsidRPr="00FC0532">
              <w:rPr>
                <w:rFonts w:asciiTheme="minorHAnsi" w:eastAsia="Yu Mincho" w:hAnsiTheme="minorHAnsi" w:cstheme="minorHAnsi"/>
                <w:b/>
                <w:sz w:val="20"/>
                <w:szCs w:val="20"/>
                <w:lang w:eastAsia="ja-JP"/>
              </w:rPr>
              <w:t>Share of Total (%)</w:t>
            </w:r>
          </w:p>
        </w:tc>
      </w:tr>
      <w:tr w:rsidR="00C0697C" w14:paraId="5D7F3A21" w14:textId="77777777" w:rsidTr="000C6035">
        <w:trPr>
          <w:trHeight w:val="20"/>
          <w:jc w:val="center"/>
        </w:trPr>
        <w:tc>
          <w:tcPr>
            <w:tcW w:w="5108" w:type="dxa"/>
            <w:shd w:val="clear" w:color="auto" w:fill="auto"/>
            <w:noWrap/>
          </w:tcPr>
          <w:p w14:paraId="39D8A73E" w14:textId="77777777" w:rsidR="00C0697C" w:rsidRPr="00FC0532" w:rsidRDefault="00C0697C" w:rsidP="00C0697C">
            <w:pPr>
              <w:widowControl/>
              <w:numPr>
                <w:ilvl w:val="0"/>
                <w:numId w:val="5"/>
              </w:numPr>
              <w:autoSpaceDE/>
              <w:autoSpaceDN/>
              <w:adjustRightInd/>
              <w:spacing w:line="259" w:lineRule="auto"/>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ECED/preprimary education</w:t>
            </w:r>
          </w:p>
        </w:tc>
        <w:tc>
          <w:tcPr>
            <w:tcW w:w="1547" w:type="dxa"/>
            <w:shd w:val="clear" w:color="auto" w:fill="auto"/>
          </w:tcPr>
          <w:p w14:paraId="4794CD0A" w14:textId="77777777" w:rsidR="00C0697C" w:rsidRPr="00FC0532" w:rsidRDefault="00C0697C" w:rsidP="000C6035">
            <w:pPr>
              <w:spacing w:line="259" w:lineRule="auto"/>
              <w:ind w:right="432"/>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25,800</w:t>
            </w:r>
          </w:p>
        </w:tc>
        <w:tc>
          <w:tcPr>
            <w:tcW w:w="1815" w:type="dxa"/>
            <w:shd w:val="clear" w:color="auto" w:fill="auto"/>
          </w:tcPr>
          <w:p w14:paraId="328AD878" w14:textId="77777777" w:rsidR="00C0697C" w:rsidRPr="00FC0532" w:rsidRDefault="00C0697C" w:rsidP="000C6035">
            <w:pPr>
              <w:spacing w:line="259" w:lineRule="auto"/>
              <w:ind w:right="576"/>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246</w:t>
            </w:r>
          </w:p>
        </w:tc>
        <w:tc>
          <w:tcPr>
            <w:tcW w:w="1150" w:type="dxa"/>
            <w:shd w:val="clear" w:color="auto" w:fill="auto"/>
          </w:tcPr>
          <w:p w14:paraId="139F3349" w14:textId="77777777" w:rsidR="00C0697C" w:rsidRPr="00FC0532" w:rsidRDefault="00C0697C" w:rsidP="000C6035">
            <w:pPr>
              <w:spacing w:line="259" w:lineRule="auto"/>
              <w:ind w:right="288"/>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3.8</w:t>
            </w:r>
          </w:p>
        </w:tc>
      </w:tr>
      <w:tr w:rsidR="00C0697C" w14:paraId="56F33C12" w14:textId="77777777" w:rsidTr="000C6035">
        <w:trPr>
          <w:trHeight w:val="20"/>
          <w:jc w:val="center"/>
        </w:trPr>
        <w:tc>
          <w:tcPr>
            <w:tcW w:w="5108" w:type="dxa"/>
            <w:shd w:val="clear" w:color="auto" w:fill="auto"/>
            <w:noWrap/>
          </w:tcPr>
          <w:p w14:paraId="74E5F02F" w14:textId="77777777" w:rsidR="00C0697C" w:rsidRPr="00FC0532" w:rsidRDefault="00C0697C" w:rsidP="00C0697C">
            <w:pPr>
              <w:widowControl/>
              <w:numPr>
                <w:ilvl w:val="0"/>
                <w:numId w:val="5"/>
              </w:numPr>
              <w:autoSpaceDE/>
              <w:autoSpaceDN/>
              <w:adjustRightInd/>
              <w:spacing w:line="259" w:lineRule="auto"/>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Basic education (Grades 1−8)</w:t>
            </w:r>
          </w:p>
        </w:tc>
        <w:tc>
          <w:tcPr>
            <w:tcW w:w="1547" w:type="dxa"/>
            <w:shd w:val="clear" w:color="auto" w:fill="auto"/>
          </w:tcPr>
          <w:p w14:paraId="343C2001" w14:textId="77777777" w:rsidR="00C0697C" w:rsidRPr="00FC0532" w:rsidRDefault="00C0697C" w:rsidP="000C6035">
            <w:pPr>
              <w:spacing w:line="259" w:lineRule="auto"/>
              <w:ind w:right="432"/>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371,289</w:t>
            </w:r>
          </w:p>
        </w:tc>
        <w:tc>
          <w:tcPr>
            <w:tcW w:w="1815" w:type="dxa"/>
            <w:shd w:val="clear" w:color="auto" w:fill="auto"/>
          </w:tcPr>
          <w:p w14:paraId="01A4939E" w14:textId="77777777" w:rsidR="00C0697C" w:rsidRPr="00FC0532" w:rsidRDefault="00C0697C" w:rsidP="000C6035">
            <w:pPr>
              <w:spacing w:line="259" w:lineRule="auto"/>
              <w:ind w:right="576"/>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3,536</w:t>
            </w:r>
          </w:p>
        </w:tc>
        <w:tc>
          <w:tcPr>
            <w:tcW w:w="1150" w:type="dxa"/>
            <w:shd w:val="clear" w:color="auto" w:fill="auto"/>
          </w:tcPr>
          <w:p w14:paraId="21BFD24B" w14:textId="77777777" w:rsidR="00C0697C" w:rsidRPr="00FC0532" w:rsidRDefault="00C0697C" w:rsidP="000C6035">
            <w:pPr>
              <w:spacing w:line="259" w:lineRule="auto"/>
              <w:ind w:right="288"/>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54.7</w:t>
            </w:r>
          </w:p>
        </w:tc>
      </w:tr>
      <w:tr w:rsidR="00C0697C" w14:paraId="2D62DDA2" w14:textId="77777777" w:rsidTr="000C6035">
        <w:trPr>
          <w:trHeight w:val="20"/>
          <w:jc w:val="center"/>
        </w:trPr>
        <w:tc>
          <w:tcPr>
            <w:tcW w:w="5108" w:type="dxa"/>
            <w:shd w:val="clear" w:color="auto" w:fill="auto"/>
            <w:noWrap/>
          </w:tcPr>
          <w:p w14:paraId="4C54660D" w14:textId="77777777" w:rsidR="00C0697C" w:rsidRPr="00FC0532" w:rsidRDefault="00C0697C" w:rsidP="00C0697C">
            <w:pPr>
              <w:widowControl/>
              <w:numPr>
                <w:ilvl w:val="0"/>
                <w:numId w:val="5"/>
              </w:numPr>
              <w:autoSpaceDE/>
              <w:autoSpaceDN/>
              <w:adjustRightInd/>
              <w:spacing w:line="259" w:lineRule="auto"/>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Secondary education (Grades 9−12)</w:t>
            </w:r>
          </w:p>
        </w:tc>
        <w:tc>
          <w:tcPr>
            <w:tcW w:w="1547" w:type="dxa"/>
            <w:shd w:val="clear" w:color="auto" w:fill="auto"/>
          </w:tcPr>
          <w:p w14:paraId="5CDBEB45" w14:textId="77777777" w:rsidR="00C0697C" w:rsidRPr="00FC0532" w:rsidRDefault="00C0697C" w:rsidP="000C6035">
            <w:pPr>
              <w:spacing w:line="259" w:lineRule="auto"/>
              <w:ind w:right="432"/>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172,314</w:t>
            </w:r>
          </w:p>
        </w:tc>
        <w:tc>
          <w:tcPr>
            <w:tcW w:w="1815" w:type="dxa"/>
            <w:shd w:val="clear" w:color="auto" w:fill="auto"/>
          </w:tcPr>
          <w:p w14:paraId="7BDD9B24" w14:textId="77777777" w:rsidR="00C0697C" w:rsidRPr="00FC0532" w:rsidRDefault="00C0697C" w:rsidP="000C6035">
            <w:pPr>
              <w:spacing w:line="259" w:lineRule="auto"/>
              <w:ind w:right="576"/>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1,641</w:t>
            </w:r>
          </w:p>
        </w:tc>
        <w:tc>
          <w:tcPr>
            <w:tcW w:w="1150" w:type="dxa"/>
            <w:shd w:val="clear" w:color="auto" w:fill="auto"/>
          </w:tcPr>
          <w:p w14:paraId="7F95B58D" w14:textId="77777777" w:rsidR="00C0697C" w:rsidRPr="00FC0532" w:rsidRDefault="00C0697C" w:rsidP="000C6035">
            <w:pPr>
              <w:spacing w:line="259" w:lineRule="auto"/>
              <w:ind w:right="288"/>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25.4</w:t>
            </w:r>
          </w:p>
        </w:tc>
      </w:tr>
      <w:tr w:rsidR="00C0697C" w14:paraId="00589D25" w14:textId="77777777" w:rsidTr="000C6035">
        <w:trPr>
          <w:trHeight w:val="20"/>
          <w:jc w:val="center"/>
        </w:trPr>
        <w:tc>
          <w:tcPr>
            <w:tcW w:w="5108" w:type="dxa"/>
            <w:shd w:val="clear" w:color="auto" w:fill="auto"/>
            <w:noWrap/>
          </w:tcPr>
          <w:p w14:paraId="44DD499F" w14:textId="77777777" w:rsidR="00C0697C" w:rsidRPr="00FC0532" w:rsidRDefault="00C0697C" w:rsidP="00C0697C">
            <w:pPr>
              <w:widowControl/>
              <w:numPr>
                <w:ilvl w:val="0"/>
                <w:numId w:val="5"/>
              </w:numPr>
              <w:autoSpaceDE/>
              <w:autoSpaceDN/>
              <w:adjustRightInd/>
              <w:spacing w:line="259" w:lineRule="auto"/>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Technical education under DOE</w:t>
            </w:r>
          </w:p>
        </w:tc>
        <w:tc>
          <w:tcPr>
            <w:tcW w:w="1547" w:type="dxa"/>
            <w:shd w:val="clear" w:color="auto" w:fill="auto"/>
          </w:tcPr>
          <w:p w14:paraId="785E3452" w14:textId="77777777" w:rsidR="00C0697C" w:rsidRPr="00FC0532" w:rsidRDefault="00C0697C" w:rsidP="000C6035">
            <w:pPr>
              <w:spacing w:line="259" w:lineRule="auto"/>
              <w:ind w:right="432"/>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9,071</w:t>
            </w:r>
          </w:p>
        </w:tc>
        <w:tc>
          <w:tcPr>
            <w:tcW w:w="1815" w:type="dxa"/>
            <w:shd w:val="clear" w:color="auto" w:fill="auto"/>
          </w:tcPr>
          <w:p w14:paraId="510A2CA4" w14:textId="77777777" w:rsidR="00C0697C" w:rsidRPr="00FC0532" w:rsidRDefault="00C0697C" w:rsidP="000C6035">
            <w:pPr>
              <w:spacing w:line="259" w:lineRule="auto"/>
              <w:ind w:right="576"/>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86</w:t>
            </w:r>
          </w:p>
        </w:tc>
        <w:tc>
          <w:tcPr>
            <w:tcW w:w="1150" w:type="dxa"/>
            <w:shd w:val="clear" w:color="auto" w:fill="auto"/>
          </w:tcPr>
          <w:p w14:paraId="0E5F7D5A" w14:textId="77777777" w:rsidR="00C0697C" w:rsidRPr="00FC0532" w:rsidRDefault="00C0697C" w:rsidP="000C6035">
            <w:pPr>
              <w:spacing w:line="259" w:lineRule="auto"/>
              <w:ind w:right="288"/>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1.3</w:t>
            </w:r>
          </w:p>
        </w:tc>
      </w:tr>
      <w:tr w:rsidR="00C0697C" w14:paraId="39C437A9" w14:textId="77777777" w:rsidTr="000C6035">
        <w:trPr>
          <w:trHeight w:val="20"/>
          <w:jc w:val="center"/>
        </w:trPr>
        <w:tc>
          <w:tcPr>
            <w:tcW w:w="5108" w:type="dxa"/>
            <w:shd w:val="clear" w:color="auto" w:fill="auto"/>
            <w:noWrap/>
          </w:tcPr>
          <w:p w14:paraId="629157CD" w14:textId="77777777" w:rsidR="00C0697C" w:rsidRPr="00FC0532" w:rsidRDefault="00C0697C" w:rsidP="00C0697C">
            <w:pPr>
              <w:widowControl/>
              <w:numPr>
                <w:ilvl w:val="0"/>
                <w:numId w:val="5"/>
              </w:numPr>
              <w:autoSpaceDE/>
              <w:autoSpaceDN/>
              <w:adjustRightInd/>
              <w:spacing w:line="259" w:lineRule="auto"/>
              <w:rPr>
                <w:rFonts w:asciiTheme="minorHAnsi" w:eastAsia="Yu Mincho" w:hAnsiTheme="minorHAnsi" w:cstheme="minorHAnsi"/>
                <w:b/>
                <w:sz w:val="20"/>
                <w:szCs w:val="20"/>
                <w:lang w:eastAsia="ja-JP"/>
              </w:rPr>
            </w:pPr>
            <w:r w:rsidRPr="00FC0532">
              <w:rPr>
                <w:rFonts w:asciiTheme="minorHAnsi" w:eastAsia="Yu Mincho" w:hAnsiTheme="minorHAnsi" w:cstheme="minorHAnsi"/>
                <w:sz w:val="20"/>
                <w:szCs w:val="20"/>
                <w:lang w:eastAsia="ja-JP"/>
              </w:rPr>
              <w:t>NFE and lifelong learning</w:t>
            </w:r>
          </w:p>
        </w:tc>
        <w:tc>
          <w:tcPr>
            <w:tcW w:w="1547" w:type="dxa"/>
            <w:shd w:val="clear" w:color="auto" w:fill="auto"/>
          </w:tcPr>
          <w:p w14:paraId="7CE238A0" w14:textId="77777777" w:rsidR="00C0697C" w:rsidRPr="00FC0532" w:rsidRDefault="00C0697C" w:rsidP="000C6035">
            <w:pPr>
              <w:spacing w:line="259" w:lineRule="auto"/>
              <w:ind w:right="432"/>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8,011</w:t>
            </w:r>
          </w:p>
        </w:tc>
        <w:tc>
          <w:tcPr>
            <w:tcW w:w="1815" w:type="dxa"/>
            <w:shd w:val="clear" w:color="auto" w:fill="auto"/>
          </w:tcPr>
          <w:p w14:paraId="0DA34299" w14:textId="77777777" w:rsidR="00C0697C" w:rsidRPr="00FC0532" w:rsidRDefault="00C0697C" w:rsidP="000C6035">
            <w:pPr>
              <w:spacing w:line="259" w:lineRule="auto"/>
              <w:ind w:right="576"/>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76</w:t>
            </w:r>
          </w:p>
        </w:tc>
        <w:tc>
          <w:tcPr>
            <w:tcW w:w="1150" w:type="dxa"/>
            <w:shd w:val="clear" w:color="auto" w:fill="auto"/>
          </w:tcPr>
          <w:p w14:paraId="4B3E8D6C" w14:textId="77777777" w:rsidR="00C0697C" w:rsidRPr="00FC0532" w:rsidRDefault="00C0697C" w:rsidP="000C6035">
            <w:pPr>
              <w:spacing w:line="259" w:lineRule="auto"/>
              <w:ind w:right="288"/>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1.2</w:t>
            </w:r>
          </w:p>
        </w:tc>
      </w:tr>
      <w:tr w:rsidR="00C0697C" w14:paraId="64F6C099" w14:textId="77777777" w:rsidTr="000C6035">
        <w:trPr>
          <w:trHeight w:val="20"/>
          <w:jc w:val="center"/>
        </w:trPr>
        <w:tc>
          <w:tcPr>
            <w:tcW w:w="5108" w:type="dxa"/>
            <w:shd w:val="clear" w:color="auto" w:fill="auto"/>
            <w:noWrap/>
          </w:tcPr>
          <w:p w14:paraId="3798168D" w14:textId="77777777" w:rsidR="00C0697C" w:rsidRPr="00FC0532" w:rsidRDefault="00C0697C" w:rsidP="00C0697C">
            <w:pPr>
              <w:widowControl/>
              <w:numPr>
                <w:ilvl w:val="0"/>
                <w:numId w:val="5"/>
              </w:numPr>
              <w:autoSpaceDE/>
              <w:autoSpaceDN/>
              <w:adjustRightInd/>
              <w:spacing w:line="259" w:lineRule="auto"/>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Teacher management and professional development</w:t>
            </w:r>
          </w:p>
        </w:tc>
        <w:tc>
          <w:tcPr>
            <w:tcW w:w="1547" w:type="dxa"/>
            <w:shd w:val="clear" w:color="auto" w:fill="auto"/>
          </w:tcPr>
          <w:p w14:paraId="60A5F5FD" w14:textId="77777777" w:rsidR="00C0697C" w:rsidRPr="00FC0532" w:rsidRDefault="00C0697C" w:rsidP="000C6035">
            <w:pPr>
              <w:spacing w:line="259" w:lineRule="auto"/>
              <w:ind w:right="432"/>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13,219</w:t>
            </w:r>
          </w:p>
        </w:tc>
        <w:tc>
          <w:tcPr>
            <w:tcW w:w="1815" w:type="dxa"/>
            <w:shd w:val="clear" w:color="auto" w:fill="auto"/>
          </w:tcPr>
          <w:p w14:paraId="59DAD1C9" w14:textId="77777777" w:rsidR="00C0697C" w:rsidRPr="00FC0532" w:rsidRDefault="00C0697C" w:rsidP="000C6035">
            <w:pPr>
              <w:spacing w:line="259" w:lineRule="auto"/>
              <w:ind w:right="576"/>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126</w:t>
            </w:r>
          </w:p>
        </w:tc>
        <w:tc>
          <w:tcPr>
            <w:tcW w:w="1150" w:type="dxa"/>
            <w:shd w:val="clear" w:color="auto" w:fill="auto"/>
          </w:tcPr>
          <w:p w14:paraId="3AAEF4EB" w14:textId="77777777" w:rsidR="00C0697C" w:rsidRPr="00FC0532" w:rsidRDefault="00C0697C" w:rsidP="000C6035">
            <w:pPr>
              <w:spacing w:line="259" w:lineRule="auto"/>
              <w:ind w:right="288"/>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1.9</w:t>
            </w:r>
          </w:p>
        </w:tc>
      </w:tr>
      <w:tr w:rsidR="00C0697C" w14:paraId="604119C6" w14:textId="77777777" w:rsidTr="000C6035">
        <w:trPr>
          <w:trHeight w:val="20"/>
          <w:jc w:val="center"/>
        </w:trPr>
        <w:tc>
          <w:tcPr>
            <w:tcW w:w="5108" w:type="dxa"/>
            <w:shd w:val="clear" w:color="auto" w:fill="auto"/>
            <w:noWrap/>
          </w:tcPr>
          <w:p w14:paraId="694796A1" w14:textId="77777777" w:rsidR="00C0697C" w:rsidRPr="00FC0532" w:rsidRDefault="00C0697C" w:rsidP="00C0697C">
            <w:pPr>
              <w:widowControl/>
              <w:numPr>
                <w:ilvl w:val="0"/>
                <w:numId w:val="5"/>
              </w:numPr>
              <w:autoSpaceDE/>
              <w:autoSpaceDN/>
              <w:adjustRightInd/>
              <w:spacing w:line="259" w:lineRule="auto"/>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 xml:space="preserve">Disaster risk </w:t>
            </w:r>
            <w:proofErr w:type="spellStart"/>
            <w:r w:rsidRPr="00FC0532">
              <w:rPr>
                <w:rFonts w:asciiTheme="minorHAnsi" w:eastAsia="Yu Mincho" w:hAnsiTheme="minorHAnsi" w:cstheme="minorHAnsi"/>
                <w:sz w:val="20"/>
                <w:szCs w:val="20"/>
                <w:lang w:eastAsia="ja-JP"/>
              </w:rPr>
              <w:t>reduction</w:t>
            </w:r>
            <w:r w:rsidRPr="00FC0532">
              <w:rPr>
                <w:rFonts w:asciiTheme="minorHAnsi" w:eastAsia="Yu Mincho" w:hAnsiTheme="minorHAnsi" w:cstheme="minorHAnsi"/>
                <w:sz w:val="20"/>
                <w:szCs w:val="20"/>
                <w:vertAlign w:val="superscript"/>
                <w:lang w:eastAsia="ja-JP"/>
              </w:rPr>
              <w:t>a</w:t>
            </w:r>
            <w:proofErr w:type="spellEnd"/>
          </w:p>
        </w:tc>
        <w:tc>
          <w:tcPr>
            <w:tcW w:w="1547" w:type="dxa"/>
            <w:shd w:val="clear" w:color="auto" w:fill="auto"/>
          </w:tcPr>
          <w:p w14:paraId="7A6A91A6" w14:textId="77777777" w:rsidR="00C0697C" w:rsidRPr="00FC0532" w:rsidRDefault="00C0697C" w:rsidP="000C6035">
            <w:pPr>
              <w:spacing w:line="259" w:lineRule="auto"/>
              <w:ind w:right="432"/>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31,364</w:t>
            </w:r>
          </w:p>
        </w:tc>
        <w:tc>
          <w:tcPr>
            <w:tcW w:w="1815" w:type="dxa"/>
            <w:shd w:val="clear" w:color="auto" w:fill="auto"/>
          </w:tcPr>
          <w:p w14:paraId="65629479" w14:textId="77777777" w:rsidR="00C0697C" w:rsidRPr="00FC0532" w:rsidRDefault="00C0697C" w:rsidP="000C6035">
            <w:pPr>
              <w:spacing w:line="259" w:lineRule="auto"/>
              <w:ind w:right="576"/>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299</w:t>
            </w:r>
          </w:p>
        </w:tc>
        <w:tc>
          <w:tcPr>
            <w:tcW w:w="1150" w:type="dxa"/>
            <w:shd w:val="clear" w:color="auto" w:fill="auto"/>
          </w:tcPr>
          <w:p w14:paraId="11E6D9E0" w14:textId="77777777" w:rsidR="00C0697C" w:rsidRPr="00FC0532" w:rsidRDefault="00C0697C" w:rsidP="000C6035">
            <w:pPr>
              <w:spacing w:line="259" w:lineRule="auto"/>
              <w:ind w:right="288"/>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4.6</w:t>
            </w:r>
          </w:p>
        </w:tc>
      </w:tr>
      <w:tr w:rsidR="00C0697C" w14:paraId="6C62B8EB" w14:textId="77777777" w:rsidTr="000C6035">
        <w:trPr>
          <w:trHeight w:val="20"/>
          <w:jc w:val="center"/>
        </w:trPr>
        <w:tc>
          <w:tcPr>
            <w:tcW w:w="5108" w:type="dxa"/>
            <w:shd w:val="clear" w:color="auto" w:fill="auto"/>
            <w:noWrap/>
          </w:tcPr>
          <w:p w14:paraId="3C86B1FF" w14:textId="77777777" w:rsidR="00C0697C" w:rsidRPr="00FC0532" w:rsidRDefault="00C0697C" w:rsidP="00C0697C">
            <w:pPr>
              <w:widowControl/>
              <w:numPr>
                <w:ilvl w:val="0"/>
                <w:numId w:val="5"/>
              </w:numPr>
              <w:autoSpaceDE/>
              <w:autoSpaceDN/>
              <w:adjustRightInd/>
              <w:spacing w:line="259" w:lineRule="auto"/>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Governance and management (district)</w:t>
            </w:r>
          </w:p>
        </w:tc>
        <w:tc>
          <w:tcPr>
            <w:tcW w:w="1547" w:type="dxa"/>
            <w:shd w:val="clear" w:color="auto" w:fill="auto"/>
          </w:tcPr>
          <w:p w14:paraId="16676126" w14:textId="77777777" w:rsidR="00C0697C" w:rsidRPr="00FC0532" w:rsidRDefault="00C0697C" w:rsidP="000C6035">
            <w:pPr>
              <w:spacing w:line="259" w:lineRule="auto"/>
              <w:ind w:right="432"/>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5,216</w:t>
            </w:r>
          </w:p>
        </w:tc>
        <w:tc>
          <w:tcPr>
            <w:tcW w:w="1815" w:type="dxa"/>
            <w:shd w:val="clear" w:color="auto" w:fill="auto"/>
          </w:tcPr>
          <w:p w14:paraId="1706BCA8" w14:textId="77777777" w:rsidR="00C0697C" w:rsidRPr="00FC0532" w:rsidRDefault="00C0697C" w:rsidP="000C6035">
            <w:pPr>
              <w:spacing w:line="259" w:lineRule="auto"/>
              <w:ind w:right="576"/>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50</w:t>
            </w:r>
          </w:p>
        </w:tc>
        <w:tc>
          <w:tcPr>
            <w:tcW w:w="1150" w:type="dxa"/>
            <w:shd w:val="clear" w:color="auto" w:fill="auto"/>
          </w:tcPr>
          <w:p w14:paraId="7880484D" w14:textId="77777777" w:rsidR="00C0697C" w:rsidRPr="00FC0532" w:rsidRDefault="00C0697C" w:rsidP="000C6035">
            <w:pPr>
              <w:spacing w:line="259" w:lineRule="auto"/>
              <w:ind w:right="288"/>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0.8</w:t>
            </w:r>
          </w:p>
        </w:tc>
      </w:tr>
      <w:tr w:rsidR="00C0697C" w14:paraId="350AA1D1" w14:textId="77777777" w:rsidTr="000C6035">
        <w:trPr>
          <w:trHeight w:val="20"/>
          <w:jc w:val="center"/>
        </w:trPr>
        <w:tc>
          <w:tcPr>
            <w:tcW w:w="5108" w:type="dxa"/>
            <w:shd w:val="clear" w:color="auto" w:fill="auto"/>
            <w:noWrap/>
          </w:tcPr>
          <w:p w14:paraId="225CEE75" w14:textId="77777777" w:rsidR="00C0697C" w:rsidRPr="00FC0532" w:rsidRDefault="00C0697C" w:rsidP="00C0697C">
            <w:pPr>
              <w:widowControl/>
              <w:numPr>
                <w:ilvl w:val="0"/>
                <w:numId w:val="5"/>
              </w:numPr>
              <w:autoSpaceDE/>
              <w:autoSpaceDN/>
              <w:adjustRightInd/>
              <w:spacing w:line="259" w:lineRule="auto"/>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Monitoring and evaluation</w:t>
            </w:r>
          </w:p>
        </w:tc>
        <w:tc>
          <w:tcPr>
            <w:tcW w:w="1547" w:type="dxa"/>
            <w:shd w:val="clear" w:color="auto" w:fill="auto"/>
          </w:tcPr>
          <w:p w14:paraId="6234C54F" w14:textId="77777777" w:rsidR="00C0697C" w:rsidRPr="00FC0532" w:rsidRDefault="00C0697C" w:rsidP="000C6035">
            <w:pPr>
              <w:spacing w:line="259" w:lineRule="auto"/>
              <w:ind w:right="432"/>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3,508</w:t>
            </w:r>
          </w:p>
        </w:tc>
        <w:tc>
          <w:tcPr>
            <w:tcW w:w="1815" w:type="dxa"/>
            <w:shd w:val="clear" w:color="auto" w:fill="auto"/>
          </w:tcPr>
          <w:p w14:paraId="1D825A7E" w14:textId="77777777" w:rsidR="00C0697C" w:rsidRPr="00FC0532" w:rsidRDefault="00C0697C" w:rsidP="000C6035">
            <w:pPr>
              <w:spacing w:line="259" w:lineRule="auto"/>
              <w:ind w:right="576"/>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33</w:t>
            </w:r>
          </w:p>
        </w:tc>
        <w:tc>
          <w:tcPr>
            <w:tcW w:w="1150" w:type="dxa"/>
            <w:shd w:val="clear" w:color="auto" w:fill="auto"/>
          </w:tcPr>
          <w:p w14:paraId="2CD651BE" w14:textId="77777777" w:rsidR="00C0697C" w:rsidRPr="00FC0532" w:rsidRDefault="00C0697C" w:rsidP="000C6035">
            <w:pPr>
              <w:spacing w:line="259" w:lineRule="auto"/>
              <w:ind w:right="288"/>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0.5</w:t>
            </w:r>
          </w:p>
        </w:tc>
      </w:tr>
      <w:tr w:rsidR="00C0697C" w14:paraId="7A3D131E" w14:textId="77777777" w:rsidTr="000C6035">
        <w:trPr>
          <w:trHeight w:val="20"/>
          <w:jc w:val="center"/>
        </w:trPr>
        <w:tc>
          <w:tcPr>
            <w:tcW w:w="5108" w:type="dxa"/>
            <w:shd w:val="clear" w:color="auto" w:fill="auto"/>
            <w:noWrap/>
          </w:tcPr>
          <w:p w14:paraId="73EEA6D0" w14:textId="77777777" w:rsidR="00C0697C" w:rsidRPr="00FC0532" w:rsidRDefault="00C0697C" w:rsidP="00C0697C">
            <w:pPr>
              <w:widowControl/>
              <w:numPr>
                <w:ilvl w:val="0"/>
                <w:numId w:val="5"/>
              </w:numPr>
              <w:autoSpaceDE/>
              <w:autoSpaceDN/>
              <w:adjustRightInd/>
              <w:spacing w:line="259" w:lineRule="auto"/>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Capacity development</w:t>
            </w:r>
          </w:p>
        </w:tc>
        <w:tc>
          <w:tcPr>
            <w:tcW w:w="1547" w:type="dxa"/>
            <w:shd w:val="clear" w:color="auto" w:fill="auto"/>
          </w:tcPr>
          <w:p w14:paraId="25827C3D" w14:textId="77777777" w:rsidR="00C0697C" w:rsidRPr="00FC0532" w:rsidRDefault="00C0697C" w:rsidP="000C6035">
            <w:pPr>
              <w:spacing w:line="259" w:lineRule="auto"/>
              <w:ind w:right="432"/>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7,249</w:t>
            </w:r>
          </w:p>
        </w:tc>
        <w:tc>
          <w:tcPr>
            <w:tcW w:w="1815" w:type="dxa"/>
            <w:shd w:val="clear" w:color="auto" w:fill="auto"/>
          </w:tcPr>
          <w:p w14:paraId="19E5019C" w14:textId="77777777" w:rsidR="00C0697C" w:rsidRPr="00FC0532" w:rsidRDefault="00C0697C" w:rsidP="000C6035">
            <w:pPr>
              <w:spacing w:line="259" w:lineRule="auto"/>
              <w:ind w:right="576"/>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69</w:t>
            </w:r>
          </w:p>
        </w:tc>
        <w:tc>
          <w:tcPr>
            <w:tcW w:w="1150" w:type="dxa"/>
            <w:shd w:val="clear" w:color="auto" w:fill="auto"/>
          </w:tcPr>
          <w:p w14:paraId="017B8229" w14:textId="77777777" w:rsidR="00C0697C" w:rsidRPr="00FC0532" w:rsidRDefault="00C0697C" w:rsidP="000C6035">
            <w:pPr>
              <w:spacing w:line="259" w:lineRule="auto"/>
              <w:ind w:right="288"/>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1.1</w:t>
            </w:r>
          </w:p>
        </w:tc>
      </w:tr>
      <w:tr w:rsidR="00C0697C" w14:paraId="4CDC973E" w14:textId="77777777" w:rsidTr="000C6035">
        <w:trPr>
          <w:trHeight w:val="20"/>
          <w:jc w:val="center"/>
        </w:trPr>
        <w:tc>
          <w:tcPr>
            <w:tcW w:w="5108" w:type="dxa"/>
            <w:shd w:val="clear" w:color="auto" w:fill="auto"/>
            <w:noWrap/>
          </w:tcPr>
          <w:p w14:paraId="141356E5" w14:textId="77777777" w:rsidR="00C0697C" w:rsidRPr="00FC0532" w:rsidRDefault="00C0697C" w:rsidP="00C0697C">
            <w:pPr>
              <w:widowControl/>
              <w:numPr>
                <w:ilvl w:val="0"/>
                <w:numId w:val="5"/>
              </w:numPr>
              <w:autoSpaceDE/>
              <w:autoSpaceDN/>
              <w:adjustRightInd/>
              <w:spacing w:line="259" w:lineRule="auto"/>
              <w:rPr>
                <w:rFonts w:asciiTheme="minorHAnsi" w:eastAsia="Yu Mincho" w:hAnsiTheme="minorHAnsi" w:cstheme="minorHAnsi"/>
                <w:sz w:val="20"/>
                <w:szCs w:val="20"/>
                <w:lang w:eastAsia="ja-JP"/>
              </w:rPr>
            </w:pPr>
            <w:r w:rsidRPr="00FC0532">
              <w:rPr>
                <w:rFonts w:asciiTheme="minorHAnsi" w:hAnsiTheme="minorHAnsi" w:cstheme="minorHAnsi"/>
                <w:sz w:val="20"/>
                <w:szCs w:val="20"/>
                <w:lang w:eastAsia="ja-JP"/>
              </w:rPr>
              <w:t xml:space="preserve">Organization and </w:t>
            </w:r>
            <w:proofErr w:type="spellStart"/>
            <w:r w:rsidRPr="00FC0532">
              <w:rPr>
                <w:rFonts w:asciiTheme="minorHAnsi" w:hAnsiTheme="minorHAnsi" w:cstheme="minorHAnsi"/>
                <w:sz w:val="20"/>
                <w:szCs w:val="20"/>
                <w:lang w:eastAsia="ja-JP"/>
              </w:rPr>
              <w:t>management</w:t>
            </w:r>
            <w:r w:rsidRPr="00FC0532">
              <w:rPr>
                <w:rFonts w:asciiTheme="minorHAnsi" w:hAnsiTheme="minorHAnsi" w:cstheme="minorHAnsi"/>
                <w:sz w:val="20"/>
                <w:szCs w:val="20"/>
                <w:vertAlign w:val="superscript"/>
                <w:lang w:eastAsia="ja-JP"/>
              </w:rPr>
              <w:t>b</w:t>
            </w:r>
            <w:proofErr w:type="spellEnd"/>
          </w:p>
        </w:tc>
        <w:tc>
          <w:tcPr>
            <w:tcW w:w="1547" w:type="dxa"/>
            <w:shd w:val="clear" w:color="auto" w:fill="auto"/>
          </w:tcPr>
          <w:p w14:paraId="44F94AE9" w14:textId="77777777" w:rsidR="00C0697C" w:rsidRPr="00FC0532" w:rsidRDefault="00C0697C" w:rsidP="000C6035">
            <w:pPr>
              <w:spacing w:line="259" w:lineRule="auto"/>
              <w:ind w:right="432"/>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31,321</w:t>
            </w:r>
          </w:p>
        </w:tc>
        <w:tc>
          <w:tcPr>
            <w:tcW w:w="1815" w:type="dxa"/>
            <w:shd w:val="clear" w:color="auto" w:fill="auto"/>
          </w:tcPr>
          <w:p w14:paraId="2ABB9D92" w14:textId="77777777" w:rsidR="00C0697C" w:rsidRPr="00FC0532" w:rsidRDefault="00C0697C" w:rsidP="000C6035">
            <w:pPr>
              <w:spacing w:line="259" w:lineRule="auto"/>
              <w:ind w:right="576"/>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298</w:t>
            </w:r>
          </w:p>
        </w:tc>
        <w:tc>
          <w:tcPr>
            <w:tcW w:w="1150" w:type="dxa"/>
            <w:shd w:val="clear" w:color="auto" w:fill="auto"/>
          </w:tcPr>
          <w:p w14:paraId="7A98A41B" w14:textId="77777777" w:rsidR="00C0697C" w:rsidRPr="00FC0532" w:rsidRDefault="00C0697C" w:rsidP="000C6035">
            <w:pPr>
              <w:spacing w:line="259" w:lineRule="auto"/>
              <w:ind w:right="288"/>
              <w:jc w:val="right"/>
              <w:rPr>
                <w:rFonts w:asciiTheme="minorHAnsi" w:eastAsia="Yu Mincho" w:hAnsiTheme="minorHAnsi" w:cstheme="minorHAnsi"/>
                <w:sz w:val="20"/>
                <w:szCs w:val="20"/>
                <w:lang w:eastAsia="ja-JP"/>
              </w:rPr>
            </w:pPr>
            <w:r w:rsidRPr="00FC0532">
              <w:rPr>
                <w:rFonts w:asciiTheme="minorHAnsi" w:eastAsia="Yu Mincho" w:hAnsiTheme="minorHAnsi" w:cstheme="minorHAnsi"/>
                <w:sz w:val="20"/>
                <w:szCs w:val="20"/>
                <w:lang w:eastAsia="ja-JP"/>
              </w:rPr>
              <w:t>4.6</w:t>
            </w:r>
          </w:p>
        </w:tc>
      </w:tr>
      <w:tr w:rsidR="00C0697C" w14:paraId="06AD6678" w14:textId="77777777" w:rsidTr="000C6035">
        <w:trPr>
          <w:trHeight w:val="20"/>
          <w:jc w:val="center"/>
        </w:trPr>
        <w:tc>
          <w:tcPr>
            <w:tcW w:w="5108" w:type="dxa"/>
            <w:shd w:val="clear" w:color="auto" w:fill="auto"/>
            <w:noWrap/>
            <w:vAlign w:val="center"/>
          </w:tcPr>
          <w:p w14:paraId="45A3140B" w14:textId="77777777" w:rsidR="00C0697C" w:rsidRPr="00FC0532" w:rsidRDefault="00C0697C" w:rsidP="000C6035">
            <w:pPr>
              <w:spacing w:line="259" w:lineRule="auto"/>
              <w:jc w:val="center"/>
              <w:rPr>
                <w:rFonts w:asciiTheme="minorHAnsi" w:hAnsiTheme="minorHAnsi" w:cstheme="minorHAnsi"/>
                <w:b/>
                <w:sz w:val="20"/>
                <w:szCs w:val="20"/>
                <w:lang w:eastAsia="ja-JP"/>
              </w:rPr>
            </w:pPr>
            <w:r w:rsidRPr="00FC0532">
              <w:rPr>
                <w:rFonts w:asciiTheme="minorHAnsi" w:eastAsia="Yu Mincho" w:hAnsiTheme="minorHAnsi" w:cstheme="minorHAnsi"/>
                <w:b/>
                <w:sz w:val="20"/>
                <w:szCs w:val="20"/>
                <w:lang w:eastAsia="ja-JP"/>
              </w:rPr>
              <w:t>Total</w:t>
            </w:r>
          </w:p>
        </w:tc>
        <w:tc>
          <w:tcPr>
            <w:tcW w:w="1547" w:type="dxa"/>
            <w:shd w:val="clear" w:color="auto" w:fill="auto"/>
          </w:tcPr>
          <w:p w14:paraId="1C44C0C4" w14:textId="77777777" w:rsidR="00C0697C" w:rsidRPr="00FC0532" w:rsidRDefault="00C0697C" w:rsidP="000C6035">
            <w:pPr>
              <w:spacing w:line="259" w:lineRule="auto"/>
              <w:ind w:right="432"/>
              <w:jc w:val="right"/>
              <w:rPr>
                <w:rFonts w:asciiTheme="minorHAnsi" w:eastAsia="Yu Mincho" w:hAnsiTheme="minorHAnsi" w:cstheme="minorHAnsi"/>
                <w:b/>
                <w:sz w:val="20"/>
                <w:szCs w:val="20"/>
                <w:lang w:eastAsia="ja-JP"/>
              </w:rPr>
            </w:pPr>
            <w:r w:rsidRPr="00FC0532">
              <w:rPr>
                <w:rFonts w:asciiTheme="minorHAnsi" w:eastAsia="Yu Mincho" w:hAnsiTheme="minorHAnsi" w:cstheme="minorHAnsi"/>
                <w:b/>
                <w:sz w:val="20"/>
                <w:szCs w:val="20"/>
                <w:lang w:eastAsia="ja-JP"/>
              </w:rPr>
              <w:t>678,361</w:t>
            </w:r>
          </w:p>
        </w:tc>
        <w:tc>
          <w:tcPr>
            <w:tcW w:w="1815" w:type="dxa"/>
            <w:shd w:val="clear" w:color="auto" w:fill="auto"/>
          </w:tcPr>
          <w:p w14:paraId="14A3DFB8" w14:textId="77777777" w:rsidR="00C0697C" w:rsidRPr="00FC0532" w:rsidRDefault="00C0697C" w:rsidP="000C6035">
            <w:pPr>
              <w:spacing w:line="259" w:lineRule="auto"/>
              <w:ind w:right="576"/>
              <w:jc w:val="right"/>
              <w:rPr>
                <w:rFonts w:asciiTheme="minorHAnsi" w:eastAsia="Yu Mincho" w:hAnsiTheme="minorHAnsi" w:cstheme="minorHAnsi"/>
                <w:b/>
                <w:sz w:val="20"/>
                <w:szCs w:val="20"/>
                <w:lang w:eastAsia="ja-JP"/>
              </w:rPr>
            </w:pPr>
            <w:r w:rsidRPr="00FC0532">
              <w:rPr>
                <w:rFonts w:asciiTheme="minorHAnsi" w:eastAsia="Yu Mincho" w:hAnsiTheme="minorHAnsi" w:cstheme="minorHAnsi"/>
                <w:b/>
                <w:sz w:val="20"/>
                <w:szCs w:val="20"/>
                <w:lang w:eastAsia="ja-JP"/>
              </w:rPr>
              <w:t>6,461</w:t>
            </w:r>
          </w:p>
        </w:tc>
        <w:tc>
          <w:tcPr>
            <w:tcW w:w="1150" w:type="dxa"/>
            <w:shd w:val="clear" w:color="auto" w:fill="auto"/>
          </w:tcPr>
          <w:p w14:paraId="6DCA5861" w14:textId="77777777" w:rsidR="00C0697C" w:rsidRPr="00FC0532" w:rsidRDefault="00C0697C" w:rsidP="000C6035">
            <w:pPr>
              <w:spacing w:line="259" w:lineRule="auto"/>
              <w:ind w:right="288"/>
              <w:jc w:val="right"/>
              <w:rPr>
                <w:rFonts w:asciiTheme="minorHAnsi" w:eastAsia="Yu Mincho" w:hAnsiTheme="minorHAnsi" w:cstheme="minorHAnsi"/>
                <w:b/>
                <w:sz w:val="20"/>
                <w:szCs w:val="20"/>
                <w:lang w:eastAsia="ja-JP"/>
              </w:rPr>
            </w:pPr>
            <w:r w:rsidRPr="00FC0532">
              <w:rPr>
                <w:rFonts w:asciiTheme="minorHAnsi" w:eastAsia="Yu Mincho" w:hAnsiTheme="minorHAnsi" w:cstheme="minorHAnsi"/>
                <w:b/>
                <w:sz w:val="20"/>
                <w:szCs w:val="20"/>
                <w:lang w:eastAsia="ja-JP"/>
              </w:rPr>
              <w:t>100.0</w:t>
            </w:r>
          </w:p>
        </w:tc>
      </w:tr>
    </w:tbl>
    <w:p w14:paraId="4540CC5B" w14:textId="77777777" w:rsidR="00C0697C" w:rsidRPr="00FC0532" w:rsidRDefault="00C0697C" w:rsidP="00C0697C">
      <w:pPr>
        <w:rPr>
          <w:rFonts w:asciiTheme="minorHAnsi" w:hAnsiTheme="minorHAnsi" w:cstheme="minorHAnsi"/>
          <w:bCs/>
          <w:sz w:val="18"/>
          <w:szCs w:val="18"/>
          <w:lang w:val="en-GB" w:eastAsia="en-GB"/>
        </w:rPr>
      </w:pPr>
      <w:r w:rsidRPr="00FC0532">
        <w:rPr>
          <w:rFonts w:asciiTheme="minorHAnsi" w:eastAsia="MS Mincho" w:hAnsiTheme="minorHAnsi" w:cstheme="minorHAnsi"/>
          <w:i/>
          <w:sz w:val="18"/>
          <w:szCs w:val="18"/>
          <w:lang w:val="en-GB" w:eastAsia="ja-JP"/>
        </w:rPr>
        <w:t>Source:</w:t>
      </w:r>
      <w:r w:rsidRPr="00FC0532">
        <w:rPr>
          <w:rFonts w:asciiTheme="minorHAnsi" w:eastAsia="MS Mincho" w:hAnsiTheme="minorHAnsi" w:cstheme="minorHAnsi"/>
          <w:sz w:val="18"/>
          <w:szCs w:val="18"/>
          <w:lang w:val="en-GB" w:eastAsia="ja-JP"/>
        </w:rPr>
        <w:t xml:space="preserve"> MOEST estimates</w:t>
      </w:r>
      <w:r w:rsidRPr="00FC0532">
        <w:rPr>
          <w:rFonts w:asciiTheme="minorHAnsi" w:hAnsiTheme="minorHAnsi" w:cstheme="minorHAnsi"/>
          <w:bCs/>
          <w:sz w:val="18"/>
          <w:szCs w:val="18"/>
          <w:lang w:val="en-GB" w:eastAsia="en-GB"/>
        </w:rPr>
        <w:t xml:space="preserve">. </w:t>
      </w:r>
    </w:p>
    <w:p w14:paraId="61EC92D4" w14:textId="77777777" w:rsidR="00C0697C" w:rsidRPr="00FC0532" w:rsidRDefault="00C0697C" w:rsidP="00C0697C">
      <w:pPr>
        <w:rPr>
          <w:rFonts w:asciiTheme="minorHAnsi" w:hAnsiTheme="minorHAnsi" w:cstheme="minorHAnsi"/>
          <w:bCs/>
          <w:sz w:val="18"/>
          <w:szCs w:val="18"/>
          <w:lang w:val="en-GB" w:eastAsia="en-GB"/>
        </w:rPr>
      </w:pPr>
      <w:r w:rsidRPr="00FC0532">
        <w:rPr>
          <w:rFonts w:asciiTheme="minorHAnsi" w:hAnsiTheme="minorHAnsi" w:cstheme="minorHAnsi"/>
          <w:bCs/>
          <w:i/>
          <w:sz w:val="18"/>
          <w:szCs w:val="18"/>
          <w:lang w:val="en-GB" w:eastAsia="en-GB"/>
        </w:rPr>
        <w:t>Note:</w:t>
      </w:r>
      <w:r w:rsidRPr="00FC0532">
        <w:rPr>
          <w:rFonts w:asciiTheme="minorHAnsi" w:hAnsiTheme="minorHAnsi" w:cstheme="minorHAnsi"/>
          <w:bCs/>
          <w:sz w:val="18"/>
          <w:szCs w:val="18"/>
          <w:lang w:val="en-GB" w:eastAsia="en-GB"/>
        </w:rPr>
        <w:t xml:space="preserve"> </w:t>
      </w:r>
    </w:p>
    <w:p w14:paraId="4BC9ABB4" w14:textId="77777777" w:rsidR="00C0697C" w:rsidRPr="00FC0532" w:rsidRDefault="00C0697C" w:rsidP="00C0697C">
      <w:pPr>
        <w:spacing w:line="259" w:lineRule="auto"/>
        <w:ind w:left="180" w:hanging="180"/>
        <w:rPr>
          <w:rFonts w:asciiTheme="minorHAnsi" w:eastAsia="Yu Mincho" w:hAnsiTheme="minorHAnsi" w:cstheme="minorHAnsi"/>
          <w:bCs/>
          <w:sz w:val="18"/>
          <w:szCs w:val="18"/>
          <w:lang w:eastAsia="ja-JP"/>
        </w:rPr>
      </w:pPr>
      <w:r w:rsidRPr="00FC0532">
        <w:rPr>
          <w:rFonts w:asciiTheme="minorHAnsi" w:eastAsia="Yu Mincho" w:hAnsiTheme="minorHAnsi" w:cstheme="minorHAnsi"/>
          <w:bCs/>
          <w:sz w:val="18"/>
          <w:szCs w:val="18"/>
          <w:lang w:eastAsia="ja-JP"/>
        </w:rPr>
        <w:t>a.</w:t>
      </w:r>
      <w:r w:rsidRPr="00FC0532">
        <w:rPr>
          <w:rFonts w:asciiTheme="minorHAnsi" w:eastAsia="Yu Mincho" w:hAnsiTheme="minorHAnsi" w:cstheme="minorHAnsi"/>
          <w:bCs/>
          <w:sz w:val="18"/>
          <w:szCs w:val="18"/>
          <w:lang w:eastAsia="ja-JP"/>
        </w:rPr>
        <w:tab/>
        <w:t xml:space="preserve">Excludes disaster risk reduction allocation to </w:t>
      </w:r>
      <w:r w:rsidRPr="00FC0532">
        <w:rPr>
          <w:rFonts w:asciiTheme="minorHAnsi" w:eastAsia="MS Mincho" w:hAnsiTheme="minorHAnsi" w:cstheme="minorHAnsi"/>
          <w:sz w:val="18"/>
          <w:szCs w:val="18"/>
          <w:lang w:eastAsia="ja-JP"/>
        </w:rPr>
        <w:t>National Reconstruction Authority</w:t>
      </w:r>
      <w:r w:rsidRPr="00FC0532">
        <w:rPr>
          <w:rFonts w:asciiTheme="minorHAnsi" w:eastAsia="Yu Mincho" w:hAnsiTheme="minorHAnsi" w:cstheme="minorHAnsi"/>
          <w:bCs/>
          <w:sz w:val="18"/>
          <w:szCs w:val="18"/>
          <w:lang w:eastAsia="ja-JP"/>
        </w:rPr>
        <w:t>.</w:t>
      </w:r>
    </w:p>
    <w:p w14:paraId="12CCE652" w14:textId="77777777" w:rsidR="00C0697C" w:rsidRPr="00FC0532" w:rsidRDefault="00C0697C" w:rsidP="00C0697C">
      <w:pPr>
        <w:spacing w:after="240" w:line="259" w:lineRule="auto"/>
        <w:rPr>
          <w:rFonts w:asciiTheme="minorHAnsi" w:hAnsiTheme="minorHAnsi" w:cstheme="minorHAnsi"/>
          <w:bCs/>
          <w:sz w:val="18"/>
          <w:szCs w:val="18"/>
          <w:lang w:eastAsia="ja-JP"/>
        </w:rPr>
      </w:pPr>
      <w:r w:rsidRPr="00FC0532">
        <w:rPr>
          <w:rFonts w:asciiTheme="minorHAnsi" w:eastAsia="Yu Mincho" w:hAnsiTheme="minorHAnsi" w:cstheme="minorHAnsi"/>
          <w:bCs/>
          <w:sz w:val="18"/>
          <w:szCs w:val="18"/>
          <w:lang w:eastAsia="ja-JP"/>
        </w:rPr>
        <w:t xml:space="preserve">b. Regular expenditure of MOEST institutions (central line agencies, district education offices, and REDs) including </w:t>
      </w:r>
      <w:r w:rsidRPr="00FC0532">
        <w:rPr>
          <w:rFonts w:asciiTheme="minorHAnsi" w:eastAsia="Yu Mincho" w:hAnsiTheme="minorHAnsi" w:cstheme="minorHAnsi"/>
          <w:sz w:val="18"/>
          <w:szCs w:val="18"/>
          <w:lang w:eastAsia="ja-JP"/>
        </w:rPr>
        <w:t>staff salaries and utilities</w:t>
      </w:r>
      <w:r w:rsidRPr="00FC0532">
        <w:rPr>
          <w:rFonts w:asciiTheme="minorHAnsi" w:eastAsia="Yu Mincho" w:hAnsiTheme="minorHAnsi" w:cstheme="minorHAnsi"/>
          <w:bCs/>
          <w:sz w:val="18"/>
          <w:szCs w:val="18"/>
          <w:lang w:eastAsia="ja-JP"/>
        </w:rPr>
        <w:t>.</w:t>
      </w:r>
    </w:p>
    <w:p w14:paraId="59AC87AB" w14:textId="77777777" w:rsidR="00C0697C" w:rsidRPr="00FC0532" w:rsidRDefault="00C0697C" w:rsidP="00C0697C">
      <w:pPr>
        <w:widowControl/>
        <w:numPr>
          <w:ilvl w:val="0"/>
          <w:numId w:val="3"/>
        </w:numPr>
        <w:autoSpaceDE/>
        <w:autoSpaceDN/>
        <w:adjustRightInd/>
        <w:spacing w:after="240"/>
        <w:ind w:left="0" w:firstLine="0"/>
        <w:jc w:val="both"/>
        <w:rPr>
          <w:rFonts w:asciiTheme="minorHAnsi" w:eastAsia="Calibri" w:hAnsiTheme="minorHAnsi" w:cstheme="minorHAnsi"/>
          <w:b/>
        </w:rPr>
      </w:pPr>
      <w:r w:rsidRPr="00FC0532">
        <w:rPr>
          <w:rFonts w:asciiTheme="minorHAnsi" w:eastAsia="Calibri" w:hAnsiTheme="minorHAnsi" w:cstheme="minorHAnsi"/>
          <w:b/>
        </w:rPr>
        <w:t>Assessment of Results Framework and M&amp;E arrangements</w:t>
      </w:r>
    </w:p>
    <w:p w14:paraId="4ADD8795" w14:textId="77777777" w:rsidR="00C0697C" w:rsidRPr="00FC0532" w:rsidRDefault="00C0697C" w:rsidP="00C0697C">
      <w:pPr>
        <w:widowControl/>
        <w:numPr>
          <w:ilvl w:val="0"/>
          <w:numId w:val="4"/>
        </w:numPr>
        <w:autoSpaceDE/>
        <w:autoSpaceDN/>
        <w:adjustRightInd/>
        <w:spacing w:after="240"/>
        <w:ind w:left="0" w:firstLine="0"/>
        <w:jc w:val="both"/>
        <w:rPr>
          <w:rFonts w:asciiTheme="minorHAnsi" w:eastAsia="Calibri" w:hAnsiTheme="minorHAnsi" w:cstheme="minorHAnsi"/>
          <w:b/>
          <w:sz w:val="22"/>
          <w:szCs w:val="22"/>
        </w:rPr>
      </w:pPr>
      <w:r w:rsidRPr="00FC0532">
        <w:rPr>
          <w:rFonts w:asciiTheme="minorHAnsi" w:eastAsia="Calibri" w:hAnsiTheme="minorHAnsi" w:cstheme="minorHAnsi"/>
          <w:b/>
          <w:sz w:val="22"/>
          <w:szCs w:val="22"/>
        </w:rPr>
        <w:t>Updated DLRs</w:t>
      </w:r>
    </w:p>
    <w:p w14:paraId="2FA73E84"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 xml:space="preserve">The AF does not entail changes in the PRF. It follows the </w:t>
      </w:r>
      <w:r>
        <w:rPr>
          <w:rFonts w:asciiTheme="minorHAnsi" w:eastAsia="Calibri" w:hAnsiTheme="minorHAnsi" w:cstheme="minorHAnsi"/>
          <w:sz w:val="22"/>
          <w:szCs w:val="22"/>
        </w:rPr>
        <w:t>parent IDA program’s</w:t>
      </w:r>
      <w:r w:rsidRPr="00FC0532">
        <w:rPr>
          <w:rFonts w:asciiTheme="minorHAnsi" w:eastAsia="Calibri" w:hAnsiTheme="minorHAnsi" w:cstheme="minorHAnsi"/>
          <w:sz w:val="22"/>
          <w:szCs w:val="22"/>
        </w:rPr>
        <w:t xml:space="preserve"> approach in tying disbursement to SMART (specific, measurable, actionable, realistic, and time-bound) targets. The </w:t>
      </w:r>
      <w:r>
        <w:rPr>
          <w:rFonts w:asciiTheme="minorHAnsi" w:eastAsia="Calibri" w:hAnsiTheme="minorHAnsi" w:cstheme="minorHAnsi"/>
          <w:sz w:val="22"/>
          <w:szCs w:val="22"/>
        </w:rPr>
        <w:t>parent IDA program</w:t>
      </w:r>
      <w:r w:rsidRPr="00FC0532">
        <w:rPr>
          <w:rFonts w:asciiTheme="minorHAnsi" w:eastAsia="Calibri" w:hAnsiTheme="minorHAnsi" w:cstheme="minorHAnsi"/>
          <w:sz w:val="22"/>
          <w:szCs w:val="22"/>
        </w:rPr>
        <w:t xml:space="preserve"> and the proposed AF subscribe to a PRF that is fully aligned with the objectives of MOEST’s seven-year education sector plan with respect to equity, efficiency, governance, and management. </w:t>
      </w:r>
    </w:p>
    <w:p w14:paraId="3E160A32"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 xml:space="preserve">Moreover, the DLRs associated with the AF include a mix of process, outputs, and outcomes covering all three results areas of the Program. The AF design is also with the World Bank policy on </w:t>
      </w:r>
      <w:proofErr w:type="spellStart"/>
      <w:r w:rsidRPr="00FC0532">
        <w:rPr>
          <w:rFonts w:asciiTheme="minorHAnsi" w:eastAsia="Calibri" w:hAnsiTheme="minorHAnsi" w:cstheme="minorHAnsi"/>
          <w:sz w:val="22"/>
          <w:szCs w:val="22"/>
        </w:rPr>
        <w:t>PforR</w:t>
      </w:r>
      <w:proofErr w:type="spellEnd"/>
      <w:r w:rsidRPr="00FC0532">
        <w:rPr>
          <w:rFonts w:asciiTheme="minorHAnsi" w:eastAsia="Calibri" w:hAnsiTheme="minorHAnsi" w:cstheme="minorHAnsi"/>
          <w:sz w:val="22"/>
          <w:szCs w:val="22"/>
        </w:rPr>
        <w:t xml:space="preserve"> financing which recommends a balance in disbursement conditions across achievement of key results and strengthening capacity necessary for achieving PDO targets. Out of the </w:t>
      </w:r>
      <w:r>
        <w:rPr>
          <w:rFonts w:asciiTheme="minorHAnsi" w:eastAsia="Calibri" w:hAnsiTheme="minorHAnsi" w:cstheme="minorHAnsi"/>
          <w:sz w:val="22"/>
          <w:szCs w:val="22"/>
        </w:rPr>
        <w:t>10</w:t>
      </w:r>
      <w:r w:rsidRPr="00FC0532">
        <w:rPr>
          <w:rFonts w:asciiTheme="minorHAnsi" w:eastAsia="Calibri" w:hAnsiTheme="minorHAnsi" w:cstheme="minorHAnsi"/>
          <w:sz w:val="22"/>
          <w:szCs w:val="22"/>
        </w:rPr>
        <w:t xml:space="preserve"> proposed DLRs, </w:t>
      </w:r>
      <w:r>
        <w:rPr>
          <w:rFonts w:asciiTheme="minorHAnsi" w:eastAsia="Calibri" w:hAnsiTheme="minorHAnsi" w:cstheme="minorHAnsi"/>
          <w:sz w:val="22"/>
          <w:szCs w:val="22"/>
        </w:rPr>
        <w:t>3</w:t>
      </w:r>
      <w:r w:rsidRPr="00FC0532">
        <w:rPr>
          <w:rFonts w:asciiTheme="minorHAnsi" w:eastAsia="Calibri" w:hAnsiTheme="minorHAnsi" w:cstheme="minorHAnsi"/>
          <w:sz w:val="22"/>
          <w:szCs w:val="22"/>
        </w:rPr>
        <w:t xml:space="preserve"> DLRs representing 10 percent of the AF support foundational activities designed to strengthen institutional capacity to achieve outcomes during the federal transition. Two DLRs, representing 10 percent of the AF, directly reward improvements in key desired Program outcomes of improving equitable access. The remaining DLRs, comprising 80 percent of the AF, incentivize implementation of Program activities that are critical to achieving targeted outcomes in the results areas during the federal transition (see table </w:t>
      </w:r>
      <w:r>
        <w:rPr>
          <w:rFonts w:asciiTheme="minorHAnsi" w:eastAsia="Calibri" w:hAnsiTheme="minorHAnsi" w:cstheme="minorHAnsi"/>
          <w:sz w:val="22"/>
          <w:szCs w:val="22"/>
        </w:rPr>
        <w:t>4</w:t>
      </w:r>
      <w:r w:rsidRPr="00FC0532">
        <w:rPr>
          <w:rFonts w:asciiTheme="minorHAnsi" w:eastAsia="Calibri" w:hAnsiTheme="minorHAnsi" w:cstheme="minorHAnsi"/>
          <w:sz w:val="22"/>
          <w:szCs w:val="22"/>
        </w:rPr>
        <w:t>.5).</w:t>
      </w:r>
    </w:p>
    <w:p w14:paraId="6E91FB80" w14:textId="77777777" w:rsidR="00C0697C" w:rsidRPr="00FC0532" w:rsidRDefault="00C0697C" w:rsidP="00C0697C">
      <w:pPr>
        <w:pStyle w:val="Caption1"/>
        <w:rPr>
          <w:rFonts w:asciiTheme="minorHAnsi" w:eastAsia="Calibri" w:hAnsiTheme="minorHAnsi" w:cstheme="minorHAnsi"/>
        </w:rPr>
      </w:pPr>
      <w:r w:rsidRPr="00FC0532">
        <w:rPr>
          <w:rFonts w:asciiTheme="minorHAnsi" w:hAnsiTheme="minorHAnsi" w:cstheme="minorHAnsi"/>
        </w:rPr>
        <w:t xml:space="preserve">Table </w:t>
      </w:r>
      <w:r>
        <w:rPr>
          <w:rFonts w:asciiTheme="minorHAnsi" w:hAnsiTheme="minorHAnsi" w:cstheme="minorHAnsi"/>
        </w:rPr>
        <w:t>4</w:t>
      </w:r>
      <w:r w:rsidRPr="00FC0532">
        <w:rPr>
          <w:rFonts w:asciiTheme="minorHAnsi" w:hAnsiTheme="minorHAnsi" w:cstheme="minorHAnsi"/>
        </w:rPr>
        <w:t>.</w:t>
      </w:r>
      <w:r w:rsidRPr="00FC0532">
        <w:rPr>
          <w:rFonts w:asciiTheme="minorHAnsi" w:hAnsiTheme="minorHAnsi" w:cstheme="minorHAnsi"/>
        </w:rPr>
        <w:fldChar w:fldCharType="begin"/>
      </w:r>
      <w:r w:rsidRPr="00FC0532">
        <w:rPr>
          <w:rFonts w:asciiTheme="minorHAnsi" w:hAnsiTheme="minorHAnsi" w:cstheme="minorHAnsi"/>
        </w:rPr>
        <w:instrText xml:space="preserve"> SEQ Table_6. \* ARABIC </w:instrText>
      </w:r>
      <w:r w:rsidRPr="00FC0532">
        <w:rPr>
          <w:rFonts w:asciiTheme="minorHAnsi" w:hAnsiTheme="minorHAnsi" w:cstheme="minorHAnsi"/>
        </w:rPr>
        <w:fldChar w:fldCharType="separate"/>
      </w:r>
      <w:r>
        <w:rPr>
          <w:rFonts w:asciiTheme="minorHAnsi" w:hAnsiTheme="minorHAnsi" w:cstheme="minorHAnsi"/>
          <w:noProof/>
        </w:rPr>
        <w:t>5</w:t>
      </w:r>
      <w:r w:rsidRPr="00FC0532">
        <w:rPr>
          <w:rFonts w:asciiTheme="minorHAnsi" w:hAnsiTheme="minorHAnsi" w:cstheme="minorHAnsi"/>
        </w:rPr>
        <w:fldChar w:fldCharType="end"/>
      </w:r>
      <w:r w:rsidRPr="00FC0532">
        <w:rPr>
          <w:rFonts w:asciiTheme="minorHAnsi" w:eastAsia="Calibri" w:hAnsiTheme="minorHAnsi" w:cstheme="minorHAnsi"/>
        </w:rPr>
        <w:t>. AF DLRs by Funding and Category</w:t>
      </w:r>
    </w:p>
    <w:tbl>
      <w:tblPr>
        <w:tblW w:w="5000" w:type="pct"/>
        <w:tblLook w:val="04A0" w:firstRow="1" w:lastRow="0" w:firstColumn="1" w:lastColumn="0" w:noHBand="0" w:noVBand="1"/>
      </w:tblPr>
      <w:tblGrid>
        <w:gridCol w:w="5755"/>
        <w:gridCol w:w="1739"/>
        <w:gridCol w:w="1856"/>
      </w:tblGrid>
      <w:tr w:rsidR="00C0697C" w14:paraId="5AD8578B" w14:textId="77777777" w:rsidTr="000C6035">
        <w:trPr>
          <w:trHeight w:val="300"/>
          <w:tblHeader/>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A4772" w14:textId="77777777" w:rsidR="00C0697C" w:rsidRPr="00FC0532" w:rsidRDefault="00C0697C" w:rsidP="000C6035">
            <w:pPr>
              <w:jc w:val="center"/>
              <w:rPr>
                <w:rFonts w:asciiTheme="minorHAnsi" w:hAnsiTheme="minorHAnsi" w:cstheme="minorHAnsi"/>
                <w:b/>
                <w:bCs/>
                <w:sz w:val="20"/>
                <w:szCs w:val="20"/>
              </w:rPr>
            </w:pPr>
            <w:r w:rsidRPr="00FC0532">
              <w:rPr>
                <w:rFonts w:asciiTheme="minorHAnsi" w:hAnsiTheme="minorHAnsi" w:cstheme="minorHAnsi"/>
                <w:b/>
                <w:bCs/>
                <w:sz w:val="20"/>
                <w:szCs w:val="20"/>
              </w:rPr>
              <w:t>DLR</w:t>
            </w:r>
          </w:p>
        </w:tc>
        <w:tc>
          <w:tcPr>
            <w:tcW w:w="930" w:type="pct"/>
            <w:tcBorders>
              <w:top w:val="single" w:sz="4" w:space="0" w:color="auto"/>
              <w:left w:val="nil"/>
              <w:bottom w:val="single" w:sz="4" w:space="0" w:color="auto"/>
              <w:right w:val="single" w:sz="4" w:space="0" w:color="auto"/>
            </w:tcBorders>
            <w:shd w:val="clear" w:color="auto" w:fill="auto"/>
            <w:noWrap/>
            <w:vAlign w:val="center"/>
            <w:hideMark/>
          </w:tcPr>
          <w:p w14:paraId="1543DAA0" w14:textId="77777777" w:rsidR="00C0697C" w:rsidRPr="00FC0532" w:rsidRDefault="00C0697C" w:rsidP="000C6035">
            <w:pPr>
              <w:jc w:val="center"/>
              <w:rPr>
                <w:rFonts w:asciiTheme="minorHAnsi" w:hAnsiTheme="minorHAnsi" w:cstheme="minorHAnsi"/>
                <w:b/>
                <w:bCs/>
                <w:sz w:val="20"/>
                <w:szCs w:val="20"/>
              </w:rPr>
            </w:pPr>
            <w:r w:rsidRPr="00FC0532">
              <w:rPr>
                <w:rFonts w:asciiTheme="minorHAnsi" w:hAnsiTheme="minorHAnsi" w:cstheme="minorHAnsi"/>
                <w:b/>
                <w:bCs/>
                <w:sz w:val="20"/>
                <w:szCs w:val="20"/>
              </w:rPr>
              <w:t>AF funding (US$)</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14:paraId="6726E97D" w14:textId="77777777" w:rsidR="00C0697C" w:rsidRPr="00FC0532" w:rsidRDefault="00C0697C" w:rsidP="000C6035">
            <w:pPr>
              <w:jc w:val="center"/>
              <w:rPr>
                <w:rFonts w:asciiTheme="minorHAnsi" w:hAnsiTheme="minorHAnsi" w:cstheme="minorHAnsi"/>
                <w:b/>
                <w:bCs/>
                <w:sz w:val="20"/>
                <w:szCs w:val="20"/>
              </w:rPr>
            </w:pPr>
            <w:r w:rsidRPr="00FC0532">
              <w:rPr>
                <w:rFonts w:asciiTheme="minorHAnsi" w:hAnsiTheme="minorHAnsi" w:cstheme="minorHAnsi"/>
                <w:b/>
                <w:bCs/>
                <w:sz w:val="20"/>
                <w:szCs w:val="20"/>
              </w:rPr>
              <w:t>Type</w:t>
            </w:r>
          </w:p>
        </w:tc>
      </w:tr>
      <w:tr w:rsidR="00C0697C" w14:paraId="51F48E4D" w14:textId="77777777" w:rsidTr="000C6035">
        <w:trPr>
          <w:trHeight w:val="525"/>
        </w:trPr>
        <w:tc>
          <w:tcPr>
            <w:tcW w:w="3078" w:type="pct"/>
            <w:tcBorders>
              <w:top w:val="nil"/>
              <w:left w:val="single" w:sz="4" w:space="0" w:color="auto"/>
              <w:bottom w:val="single" w:sz="4" w:space="0" w:color="auto"/>
              <w:right w:val="single" w:sz="4" w:space="0" w:color="auto"/>
            </w:tcBorders>
            <w:shd w:val="clear" w:color="auto" w:fill="auto"/>
            <w:vAlign w:val="bottom"/>
            <w:hideMark/>
          </w:tcPr>
          <w:p w14:paraId="38A3685B" w14:textId="77777777" w:rsidR="00C0697C" w:rsidRPr="006F3876" w:rsidRDefault="00C0697C" w:rsidP="000C6035">
            <w:pPr>
              <w:rPr>
                <w:rFonts w:asciiTheme="minorHAnsi" w:hAnsiTheme="minorHAnsi" w:cstheme="minorHAnsi"/>
                <w:b/>
                <w:bCs/>
                <w:sz w:val="20"/>
                <w:szCs w:val="20"/>
              </w:rPr>
            </w:pPr>
            <w:r w:rsidRPr="006F3876">
              <w:rPr>
                <w:rFonts w:asciiTheme="minorHAnsi" w:hAnsiTheme="minorHAnsi" w:cstheme="minorHAnsi"/>
                <w:b/>
                <w:bCs/>
                <w:sz w:val="20"/>
                <w:szCs w:val="20"/>
              </w:rPr>
              <w:t>DLR 1.7:</w:t>
            </w:r>
            <w:r w:rsidRPr="006F3876">
              <w:rPr>
                <w:rFonts w:asciiTheme="minorHAnsi" w:hAnsiTheme="minorHAnsi" w:cstheme="minorHAnsi"/>
                <w:sz w:val="20"/>
                <w:szCs w:val="20"/>
              </w:rPr>
              <w:t xml:space="preserve"> 75 LGs have</w:t>
            </w:r>
            <w:r>
              <w:rPr>
                <w:rFonts w:asciiTheme="minorHAnsi" w:hAnsiTheme="minorHAnsi" w:cstheme="minorHAnsi"/>
                <w:sz w:val="20"/>
                <w:szCs w:val="20"/>
              </w:rPr>
              <w:t xml:space="preserve"> </w:t>
            </w:r>
            <w:r w:rsidRPr="006F3876">
              <w:rPr>
                <w:rFonts w:asciiTheme="minorHAnsi" w:hAnsiTheme="minorHAnsi" w:cstheme="minorHAnsi"/>
                <w:sz w:val="20"/>
                <w:szCs w:val="20"/>
              </w:rPr>
              <w:t xml:space="preserve">integrated SSDP activities in their annual work plan and budget (AWPB) </w:t>
            </w:r>
          </w:p>
        </w:tc>
        <w:tc>
          <w:tcPr>
            <w:tcW w:w="9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E7445F" w14:textId="77777777" w:rsidR="00C0697C" w:rsidRPr="00FC0532" w:rsidRDefault="00C0697C" w:rsidP="000C6035">
            <w:pPr>
              <w:jc w:val="center"/>
              <w:rPr>
                <w:rFonts w:asciiTheme="minorHAnsi" w:hAnsiTheme="minorHAnsi" w:cstheme="minorHAnsi"/>
                <w:sz w:val="20"/>
                <w:szCs w:val="20"/>
              </w:rPr>
            </w:pPr>
            <w:r w:rsidRPr="00FC0532">
              <w:rPr>
                <w:rFonts w:asciiTheme="minorHAnsi" w:hAnsiTheme="minorHAnsi" w:cstheme="minorHAnsi"/>
                <w:sz w:val="20"/>
                <w:szCs w:val="20"/>
              </w:rPr>
              <w:t>14,200,000</w:t>
            </w:r>
          </w:p>
        </w:tc>
        <w:tc>
          <w:tcPr>
            <w:tcW w:w="992" w:type="pct"/>
            <w:tcBorders>
              <w:top w:val="nil"/>
              <w:left w:val="nil"/>
              <w:bottom w:val="single" w:sz="4" w:space="0" w:color="auto"/>
              <w:right w:val="single" w:sz="4" w:space="0" w:color="auto"/>
            </w:tcBorders>
            <w:shd w:val="clear" w:color="auto" w:fill="auto"/>
            <w:noWrap/>
            <w:vAlign w:val="center"/>
            <w:hideMark/>
          </w:tcPr>
          <w:p w14:paraId="1636DE22" w14:textId="77777777" w:rsidR="00C0697C" w:rsidRPr="00FC0532" w:rsidRDefault="00C0697C" w:rsidP="000C6035">
            <w:pPr>
              <w:rPr>
                <w:rFonts w:asciiTheme="minorHAnsi" w:hAnsiTheme="minorHAnsi" w:cstheme="minorHAnsi"/>
                <w:sz w:val="20"/>
                <w:szCs w:val="20"/>
              </w:rPr>
            </w:pPr>
            <w:r w:rsidRPr="00FC0532">
              <w:rPr>
                <w:rFonts w:asciiTheme="minorHAnsi" w:hAnsiTheme="minorHAnsi" w:cstheme="minorHAnsi"/>
                <w:sz w:val="20"/>
                <w:szCs w:val="20"/>
              </w:rPr>
              <w:t>Program activity</w:t>
            </w:r>
          </w:p>
        </w:tc>
      </w:tr>
      <w:tr w:rsidR="00C0697C" w14:paraId="3DF138FF" w14:textId="77777777" w:rsidTr="000C6035">
        <w:trPr>
          <w:trHeight w:val="525"/>
        </w:trPr>
        <w:tc>
          <w:tcPr>
            <w:tcW w:w="3078" w:type="pct"/>
            <w:tcBorders>
              <w:top w:val="nil"/>
              <w:left w:val="single" w:sz="4" w:space="0" w:color="auto"/>
              <w:bottom w:val="single" w:sz="4" w:space="0" w:color="auto"/>
              <w:right w:val="single" w:sz="4" w:space="0" w:color="auto"/>
            </w:tcBorders>
            <w:shd w:val="clear" w:color="auto" w:fill="auto"/>
            <w:vAlign w:val="bottom"/>
            <w:hideMark/>
          </w:tcPr>
          <w:p w14:paraId="2E03F28C" w14:textId="77777777" w:rsidR="00C0697C" w:rsidRPr="006F3876" w:rsidRDefault="00C0697C" w:rsidP="000C6035">
            <w:pPr>
              <w:rPr>
                <w:rFonts w:asciiTheme="minorHAnsi" w:hAnsiTheme="minorHAnsi" w:cstheme="minorHAnsi"/>
                <w:b/>
                <w:bCs/>
                <w:sz w:val="20"/>
                <w:szCs w:val="20"/>
              </w:rPr>
            </w:pPr>
            <w:r w:rsidRPr="006F3876">
              <w:rPr>
                <w:rFonts w:asciiTheme="minorHAnsi" w:hAnsiTheme="minorHAnsi" w:cstheme="minorHAnsi"/>
                <w:b/>
                <w:bCs/>
                <w:sz w:val="20"/>
                <w:szCs w:val="20"/>
              </w:rPr>
              <w:t>DLR 1.9:</w:t>
            </w:r>
            <w:r w:rsidRPr="006F3876">
              <w:rPr>
                <w:rFonts w:asciiTheme="minorHAnsi" w:hAnsiTheme="minorHAnsi" w:cstheme="minorHAnsi"/>
                <w:sz w:val="20"/>
                <w:szCs w:val="20"/>
              </w:rPr>
              <w:t xml:space="preserve"> 65 additional LGs have integrated SSDP activities in their AWPB (Provided that </w:t>
            </w:r>
            <w:r w:rsidRPr="006F3876">
              <w:rPr>
                <w:rFonts w:asciiTheme="minorHAnsi" w:hAnsiTheme="minorHAnsi" w:cstheme="minorHAnsi"/>
                <w:spacing w:val="4"/>
                <w:sz w:val="20"/>
                <w:szCs w:val="20"/>
              </w:rPr>
              <w:t>that the LGs under DLR 1.7 have continued to integrate SSDP activities in their AWPB)</w:t>
            </w:r>
          </w:p>
        </w:tc>
        <w:tc>
          <w:tcPr>
            <w:tcW w:w="930" w:type="pct"/>
            <w:vMerge/>
            <w:tcBorders>
              <w:top w:val="nil"/>
              <w:left w:val="single" w:sz="4" w:space="0" w:color="auto"/>
              <w:bottom w:val="single" w:sz="4" w:space="0" w:color="auto"/>
              <w:right w:val="single" w:sz="4" w:space="0" w:color="auto"/>
            </w:tcBorders>
            <w:vAlign w:val="center"/>
            <w:hideMark/>
          </w:tcPr>
          <w:p w14:paraId="687C9EC7" w14:textId="77777777" w:rsidR="00C0697C" w:rsidRPr="00FC0532" w:rsidRDefault="00C0697C" w:rsidP="000C6035">
            <w:pPr>
              <w:jc w:val="center"/>
              <w:rPr>
                <w:rFonts w:asciiTheme="minorHAnsi" w:hAnsiTheme="minorHAnsi" w:cstheme="minorHAnsi"/>
                <w:sz w:val="20"/>
                <w:szCs w:val="20"/>
              </w:rPr>
            </w:pPr>
          </w:p>
        </w:tc>
        <w:tc>
          <w:tcPr>
            <w:tcW w:w="992" w:type="pct"/>
            <w:tcBorders>
              <w:top w:val="nil"/>
              <w:left w:val="nil"/>
              <w:bottom w:val="single" w:sz="4" w:space="0" w:color="auto"/>
              <w:right w:val="single" w:sz="4" w:space="0" w:color="auto"/>
            </w:tcBorders>
            <w:shd w:val="clear" w:color="auto" w:fill="auto"/>
            <w:noWrap/>
            <w:vAlign w:val="center"/>
            <w:hideMark/>
          </w:tcPr>
          <w:p w14:paraId="0FE421CC" w14:textId="77777777" w:rsidR="00C0697C" w:rsidRPr="00FC0532" w:rsidRDefault="00C0697C" w:rsidP="000C6035">
            <w:pPr>
              <w:rPr>
                <w:rFonts w:asciiTheme="minorHAnsi" w:hAnsiTheme="minorHAnsi" w:cstheme="minorHAnsi"/>
                <w:sz w:val="20"/>
                <w:szCs w:val="20"/>
              </w:rPr>
            </w:pPr>
            <w:r w:rsidRPr="00FC0532">
              <w:rPr>
                <w:rFonts w:asciiTheme="minorHAnsi" w:hAnsiTheme="minorHAnsi" w:cstheme="minorHAnsi"/>
                <w:sz w:val="20"/>
                <w:szCs w:val="20"/>
              </w:rPr>
              <w:t>Program activity</w:t>
            </w:r>
          </w:p>
        </w:tc>
      </w:tr>
      <w:tr w:rsidR="00C0697C" w14:paraId="216A55EE" w14:textId="77777777" w:rsidTr="000C6035">
        <w:trPr>
          <w:trHeight w:val="780"/>
        </w:trPr>
        <w:tc>
          <w:tcPr>
            <w:tcW w:w="3078" w:type="pct"/>
            <w:tcBorders>
              <w:top w:val="nil"/>
              <w:left w:val="single" w:sz="4" w:space="0" w:color="auto"/>
              <w:bottom w:val="single" w:sz="4" w:space="0" w:color="auto"/>
              <w:right w:val="single" w:sz="4" w:space="0" w:color="auto"/>
            </w:tcBorders>
            <w:shd w:val="clear" w:color="auto" w:fill="auto"/>
            <w:vAlign w:val="bottom"/>
            <w:hideMark/>
          </w:tcPr>
          <w:p w14:paraId="6A2456B7" w14:textId="77777777" w:rsidR="00C0697C" w:rsidRPr="006F3876" w:rsidRDefault="00C0697C" w:rsidP="000C6035">
            <w:pPr>
              <w:rPr>
                <w:rFonts w:asciiTheme="minorHAnsi" w:hAnsiTheme="minorHAnsi" w:cstheme="minorHAnsi"/>
                <w:sz w:val="20"/>
                <w:szCs w:val="20"/>
              </w:rPr>
            </w:pPr>
            <w:r w:rsidRPr="006F3876">
              <w:rPr>
                <w:rFonts w:asciiTheme="minorHAnsi" w:hAnsiTheme="minorHAnsi" w:cstheme="minorHAnsi"/>
                <w:b/>
                <w:bCs/>
                <w:sz w:val="20"/>
                <w:szCs w:val="20"/>
              </w:rPr>
              <w:t>DLR 1.8:</w:t>
            </w:r>
            <w:r w:rsidRPr="006F3876">
              <w:rPr>
                <w:rFonts w:asciiTheme="minorHAnsi" w:hAnsiTheme="minorHAnsi" w:cstheme="minorHAnsi"/>
                <w:sz w:val="20"/>
                <w:szCs w:val="20"/>
              </w:rPr>
              <w:t xml:space="preserve"> 200 LGs have made data on conditional grants released to individual schools, consistent with the Grant Management Guideline, public on user-friendly websites (or accessible spaces)</w:t>
            </w:r>
          </w:p>
        </w:tc>
        <w:tc>
          <w:tcPr>
            <w:tcW w:w="9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1FA0A5" w14:textId="77777777" w:rsidR="00C0697C" w:rsidRPr="00FC0532" w:rsidRDefault="00C0697C" w:rsidP="000C6035">
            <w:pPr>
              <w:jc w:val="center"/>
              <w:rPr>
                <w:rFonts w:asciiTheme="minorHAnsi" w:hAnsiTheme="minorHAnsi" w:cstheme="minorHAnsi"/>
                <w:sz w:val="20"/>
                <w:szCs w:val="20"/>
              </w:rPr>
            </w:pPr>
            <w:r w:rsidRPr="00FC0532">
              <w:rPr>
                <w:rFonts w:asciiTheme="minorHAnsi" w:hAnsiTheme="minorHAnsi" w:cstheme="minorHAnsi"/>
                <w:sz w:val="20"/>
                <w:szCs w:val="20"/>
              </w:rPr>
              <w:t>2,400,000</w:t>
            </w:r>
          </w:p>
        </w:tc>
        <w:tc>
          <w:tcPr>
            <w:tcW w:w="992" w:type="pct"/>
            <w:tcBorders>
              <w:top w:val="nil"/>
              <w:left w:val="nil"/>
              <w:bottom w:val="single" w:sz="4" w:space="0" w:color="auto"/>
              <w:right w:val="single" w:sz="4" w:space="0" w:color="auto"/>
            </w:tcBorders>
            <w:shd w:val="clear" w:color="auto" w:fill="auto"/>
            <w:noWrap/>
            <w:vAlign w:val="center"/>
            <w:hideMark/>
          </w:tcPr>
          <w:p w14:paraId="4B629E93" w14:textId="77777777" w:rsidR="00C0697C" w:rsidRPr="00FC0532" w:rsidRDefault="00C0697C" w:rsidP="000C6035">
            <w:pPr>
              <w:rPr>
                <w:rFonts w:asciiTheme="minorHAnsi" w:hAnsiTheme="minorHAnsi" w:cstheme="minorHAnsi"/>
                <w:sz w:val="20"/>
                <w:szCs w:val="20"/>
              </w:rPr>
            </w:pPr>
            <w:r w:rsidRPr="00FC0532">
              <w:rPr>
                <w:rFonts w:asciiTheme="minorHAnsi" w:hAnsiTheme="minorHAnsi" w:cstheme="minorHAnsi"/>
                <w:sz w:val="20"/>
                <w:szCs w:val="20"/>
              </w:rPr>
              <w:t>System-level reform</w:t>
            </w:r>
          </w:p>
        </w:tc>
      </w:tr>
      <w:tr w:rsidR="00C0697C" w14:paraId="14A74EA4" w14:textId="77777777" w:rsidTr="000C6035">
        <w:trPr>
          <w:trHeight w:val="780"/>
        </w:trPr>
        <w:tc>
          <w:tcPr>
            <w:tcW w:w="3078" w:type="pct"/>
            <w:tcBorders>
              <w:top w:val="nil"/>
              <w:left w:val="single" w:sz="4" w:space="0" w:color="auto"/>
              <w:bottom w:val="single" w:sz="4" w:space="0" w:color="auto"/>
              <w:right w:val="single" w:sz="4" w:space="0" w:color="auto"/>
            </w:tcBorders>
            <w:shd w:val="clear" w:color="auto" w:fill="auto"/>
            <w:vAlign w:val="bottom"/>
            <w:hideMark/>
          </w:tcPr>
          <w:p w14:paraId="076F4DDA" w14:textId="77777777" w:rsidR="00C0697C" w:rsidRPr="006F3876" w:rsidRDefault="00C0697C" w:rsidP="000C6035">
            <w:pPr>
              <w:rPr>
                <w:rFonts w:asciiTheme="minorHAnsi" w:hAnsiTheme="minorHAnsi" w:cstheme="minorHAnsi"/>
                <w:sz w:val="20"/>
                <w:szCs w:val="20"/>
              </w:rPr>
            </w:pPr>
            <w:r w:rsidRPr="006F3876">
              <w:rPr>
                <w:rFonts w:asciiTheme="minorHAnsi" w:hAnsiTheme="minorHAnsi" w:cstheme="minorHAnsi"/>
                <w:b/>
                <w:bCs/>
                <w:sz w:val="20"/>
                <w:szCs w:val="20"/>
              </w:rPr>
              <w:t>DLR 1.10:</w:t>
            </w:r>
            <w:r w:rsidRPr="006F3876">
              <w:rPr>
                <w:rFonts w:asciiTheme="minorHAnsi" w:hAnsiTheme="minorHAnsi" w:cstheme="minorHAnsi"/>
                <w:sz w:val="20"/>
                <w:szCs w:val="20"/>
              </w:rPr>
              <w:t xml:space="preserve"> 100 additional LGs have made data on conditional grants released to individual schools, consistent with the Grant Management Guideline, public on user-friendly websites (or accessible spaces) </w:t>
            </w:r>
            <w:r w:rsidRPr="006F3876">
              <w:rPr>
                <w:rFonts w:asciiTheme="minorHAnsi" w:hAnsiTheme="minorHAnsi" w:cstheme="minorHAnsi"/>
                <w:bCs/>
                <w:sz w:val="20"/>
                <w:szCs w:val="20"/>
              </w:rPr>
              <w:t>(provided that the LGs under DLR 1.8 have continued to make such data public on user-friendly websites (or accessible spaces))</w:t>
            </w:r>
            <w:r w:rsidRPr="006F3876" w:rsidDel="00C267C0">
              <w:rPr>
                <w:rFonts w:asciiTheme="minorHAnsi" w:hAnsiTheme="minorHAnsi" w:cstheme="minorHAnsi"/>
                <w:sz w:val="20"/>
                <w:szCs w:val="20"/>
              </w:rPr>
              <w:t xml:space="preserve"> </w:t>
            </w:r>
          </w:p>
        </w:tc>
        <w:tc>
          <w:tcPr>
            <w:tcW w:w="930" w:type="pct"/>
            <w:vMerge/>
            <w:tcBorders>
              <w:top w:val="nil"/>
              <w:left w:val="single" w:sz="4" w:space="0" w:color="auto"/>
              <w:bottom w:val="single" w:sz="4" w:space="0" w:color="auto"/>
              <w:right w:val="single" w:sz="4" w:space="0" w:color="auto"/>
            </w:tcBorders>
            <w:vAlign w:val="center"/>
            <w:hideMark/>
          </w:tcPr>
          <w:p w14:paraId="540A551F" w14:textId="77777777" w:rsidR="00C0697C" w:rsidRPr="00FC0532" w:rsidRDefault="00C0697C" w:rsidP="000C6035">
            <w:pPr>
              <w:jc w:val="center"/>
              <w:rPr>
                <w:rFonts w:asciiTheme="minorHAnsi" w:hAnsiTheme="minorHAnsi" w:cstheme="minorHAnsi"/>
                <w:sz w:val="20"/>
                <w:szCs w:val="20"/>
              </w:rPr>
            </w:pPr>
          </w:p>
        </w:tc>
        <w:tc>
          <w:tcPr>
            <w:tcW w:w="992" w:type="pct"/>
            <w:tcBorders>
              <w:top w:val="nil"/>
              <w:left w:val="nil"/>
              <w:bottom w:val="single" w:sz="4" w:space="0" w:color="auto"/>
              <w:right w:val="single" w:sz="4" w:space="0" w:color="auto"/>
            </w:tcBorders>
            <w:shd w:val="clear" w:color="auto" w:fill="auto"/>
            <w:noWrap/>
            <w:vAlign w:val="center"/>
            <w:hideMark/>
          </w:tcPr>
          <w:p w14:paraId="2B70778E" w14:textId="77777777" w:rsidR="00C0697C" w:rsidRPr="00FC0532" w:rsidRDefault="00C0697C" w:rsidP="000C6035">
            <w:pPr>
              <w:rPr>
                <w:rFonts w:asciiTheme="minorHAnsi" w:hAnsiTheme="minorHAnsi" w:cstheme="minorHAnsi"/>
                <w:sz w:val="20"/>
                <w:szCs w:val="20"/>
              </w:rPr>
            </w:pPr>
            <w:r w:rsidRPr="00FC0532">
              <w:rPr>
                <w:rFonts w:asciiTheme="minorHAnsi" w:hAnsiTheme="minorHAnsi" w:cstheme="minorHAnsi"/>
                <w:sz w:val="20"/>
                <w:szCs w:val="20"/>
              </w:rPr>
              <w:t>System-level reform</w:t>
            </w:r>
          </w:p>
        </w:tc>
      </w:tr>
      <w:tr w:rsidR="00C0697C" w14:paraId="0BAEB2BD" w14:textId="77777777" w:rsidTr="000C6035">
        <w:trPr>
          <w:trHeight w:val="780"/>
        </w:trPr>
        <w:tc>
          <w:tcPr>
            <w:tcW w:w="3078" w:type="pct"/>
            <w:tcBorders>
              <w:top w:val="nil"/>
              <w:left w:val="single" w:sz="4" w:space="0" w:color="auto"/>
              <w:bottom w:val="single" w:sz="4" w:space="0" w:color="auto"/>
              <w:right w:val="single" w:sz="4" w:space="0" w:color="auto"/>
            </w:tcBorders>
            <w:shd w:val="clear" w:color="auto" w:fill="auto"/>
            <w:vAlign w:val="bottom"/>
            <w:hideMark/>
          </w:tcPr>
          <w:p w14:paraId="7180AB10" w14:textId="77777777" w:rsidR="00C0697C" w:rsidRPr="006F3876" w:rsidRDefault="00C0697C" w:rsidP="000C6035">
            <w:pPr>
              <w:rPr>
                <w:rFonts w:asciiTheme="minorHAnsi" w:hAnsiTheme="minorHAnsi" w:cstheme="minorHAnsi"/>
                <w:sz w:val="20"/>
                <w:szCs w:val="20"/>
              </w:rPr>
            </w:pPr>
            <w:r w:rsidRPr="006F3876">
              <w:rPr>
                <w:rFonts w:asciiTheme="minorHAnsi" w:hAnsiTheme="minorHAnsi" w:cstheme="minorHAnsi"/>
                <w:b/>
                <w:bCs/>
                <w:sz w:val="20"/>
                <w:szCs w:val="20"/>
              </w:rPr>
              <w:t>DLR 1.11:</w:t>
            </w:r>
            <w:r w:rsidRPr="006F3876">
              <w:rPr>
                <w:rFonts w:asciiTheme="minorHAnsi" w:hAnsiTheme="minorHAnsi" w:cstheme="minorHAnsi"/>
                <w:sz w:val="20"/>
                <w:szCs w:val="20"/>
              </w:rPr>
              <w:t xml:space="preserve"> 100 additional LGs have made data on conditional grants released to individual schools, consistent with the Grant Management Guideline, public on user-friendly websites (or accessible spaces) </w:t>
            </w:r>
            <w:r w:rsidRPr="006F3876">
              <w:rPr>
                <w:rFonts w:asciiTheme="minorHAnsi" w:hAnsiTheme="minorHAnsi" w:cstheme="minorHAnsi"/>
                <w:bCs/>
                <w:sz w:val="20"/>
                <w:szCs w:val="20"/>
              </w:rPr>
              <w:t>(provided that the LGs under DLRs 1.8 and 1.10 have continued to make such data public on user-friendly websites (or accessible spaces))</w:t>
            </w:r>
          </w:p>
        </w:tc>
        <w:tc>
          <w:tcPr>
            <w:tcW w:w="930" w:type="pct"/>
            <w:vMerge/>
            <w:tcBorders>
              <w:top w:val="nil"/>
              <w:left w:val="single" w:sz="4" w:space="0" w:color="auto"/>
              <w:bottom w:val="single" w:sz="4" w:space="0" w:color="auto"/>
              <w:right w:val="single" w:sz="4" w:space="0" w:color="auto"/>
            </w:tcBorders>
            <w:vAlign w:val="center"/>
            <w:hideMark/>
          </w:tcPr>
          <w:p w14:paraId="702F7B92" w14:textId="77777777" w:rsidR="00C0697C" w:rsidRPr="00FC0532" w:rsidRDefault="00C0697C" w:rsidP="000C6035">
            <w:pPr>
              <w:jc w:val="center"/>
              <w:rPr>
                <w:rFonts w:asciiTheme="minorHAnsi" w:hAnsiTheme="minorHAnsi" w:cstheme="minorHAnsi"/>
                <w:sz w:val="20"/>
                <w:szCs w:val="20"/>
              </w:rPr>
            </w:pPr>
          </w:p>
        </w:tc>
        <w:tc>
          <w:tcPr>
            <w:tcW w:w="992" w:type="pct"/>
            <w:tcBorders>
              <w:top w:val="nil"/>
              <w:left w:val="nil"/>
              <w:bottom w:val="single" w:sz="4" w:space="0" w:color="auto"/>
              <w:right w:val="single" w:sz="4" w:space="0" w:color="auto"/>
            </w:tcBorders>
            <w:shd w:val="clear" w:color="auto" w:fill="auto"/>
            <w:noWrap/>
            <w:vAlign w:val="center"/>
            <w:hideMark/>
          </w:tcPr>
          <w:p w14:paraId="68A48C7E" w14:textId="77777777" w:rsidR="00C0697C" w:rsidRPr="00FC0532" w:rsidRDefault="00C0697C" w:rsidP="000C6035">
            <w:pPr>
              <w:rPr>
                <w:rFonts w:asciiTheme="minorHAnsi" w:hAnsiTheme="minorHAnsi" w:cstheme="minorHAnsi"/>
                <w:sz w:val="20"/>
                <w:szCs w:val="20"/>
              </w:rPr>
            </w:pPr>
            <w:r w:rsidRPr="00FC0532">
              <w:rPr>
                <w:rFonts w:asciiTheme="minorHAnsi" w:hAnsiTheme="minorHAnsi" w:cstheme="minorHAnsi"/>
                <w:sz w:val="20"/>
                <w:szCs w:val="20"/>
              </w:rPr>
              <w:t>System-level reform</w:t>
            </w:r>
          </w:p>
        </w:tc>
      </w:tr>
      <w:tr w:rsidR="00C0697C" w14:paraId="426ECC73" w14:textId="77777777" w:rsidTr="000C6035">
        <w:trPr>
          <w:trHeight w:val="300"/>
        </w:trPr>
        <w:tc>
          <w:tcPr>
            <w:tcW w:w="3078" w:type="pct"/>
            <w:tcBorders>
              <w:top w:val="nil"/>
              <w:left w:val="single" w:sz="4" w:space="0" w:color="auto"/>
              <w:bottom w:val="single" w:sz="4" w:space="0" w:color="auto"/>
              <w:right w:val="single" w:sz="4" w:space="0" w:color="auto"/>
            </w:tcBorders>
            <w:shd w:val="clear" w:color="auto" w:fill="auto"/>
            <w:vAlign w:val="bottom"/>
            <w:hideMark/>
          </w:tcPr>
          <w:p w14:paraId="480BC4E4" w14:textId="77777777" w:rsidR="00C0697C" w:rsidRPr="006F3876" w:rsidRDefault="00C0697C" w:rsidP="000C6035">
            <w:pPr>
              <w:rPr>
                <w:rFonts w:asciiTheme="minorHAnsi" w:hAnsiTheme="minorHAnsi" w:cstheme="minorHAnsi"/>
                <w:sz w:val="20"/>
                <w:szCs w:val="20"/>
              </w:rPr>
            </w:pPr>
            <w:r w:rsidRPr="006F3876">
              <w:rPr>
                <w:rFonts w:asciiTheme="minorHAnsi" w:hAnsiTheme="minorHAnsi" w:cstheme="minorHAnsi"/>
                <w:b/>
                <w:bCs/>
                <w:sz w:val="20"/>
                <w:szCs w:val="20"/>
              </w:rPr>
              <w:t>DLR 2.6:</w:t>
            </w:r>
            <w:r w:rsidRPr="006F3876">
              <w:rPr>
                <w:rFonts w:asciiTheme="minorHAnsi" w:hAnsiTheme="minorHAnsi" w:cstheme="minorHAnsi"/>
                <w:sz w:val="20"/>
                <w:szCs w:val="20"/>
              </w:rPr>
              <w:t xml:space="preserve"> </w:t>
            </w:r>
            <w:r w:rsidRPr="006F3876">
              <w:rPr>
                <w:rFonts w:asciiTheme="minorHAnsi" w:hAnsiTheme="minorHAnsi" w:cstheme="minorHAnsi"/>
                <w:spacing w:val="4"/>
                <w:sz w:val="20"/>
                <w:szCs w:val="20"/>
              </w:rPr>
              <w:t>OOSC have been reduced by 30% in 15 Targeted Districts</w:t>
            </w:r>
          </w:p>
        </w:tc>
        <w:tc>
          <w:tcPr>
            <w:tcW w:w="9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8D3C91" w14:textId="77777777" w:rsidR="00C0697C" w:rsidRPr="00FC0532" w:rsidRDefault="00C0697C" w:rsidP="000C6035">
            <w:pPr>
              <w:jc w:val="center"/>
              <w:rPr>
                <w:rFonts w:asciiTheme="minorHAnsi" w:hAnsiTheme="minorHAnsi" w:cstheme="minorHAnsi"/>
                <w:sz w:val="20"/>
                <w:szCs w:val="20"/>
              </w:rPr>
            </w:pPr>
            <w:r w:rsidRPr="00FC0532">
              <w:rPr>
                <w:rFonts w:asciiTheme="minorHAnsi" w:hAnsiTheme="minorHAnsi" w:cstheme="minorHAnsi"/>
                <w:sz w:val="20"/>
                <w:szCs w:val="20"/>
              </w:rPr>
              <w:t>2,400,000</w:t>
            </w:r>
          </w:p>
        </w:tc>
        <w:tc>
          <w:tcPr>
            <w:tcW w:w="992" w:type="pct"/>
            <w:tcBorders>
              <w:top w:val="nil"/>
              <w:left w:val="nil"/>
              <w:bottom w:val="single" w:sz="4" w:space="0" w:color="auto"/>
              <w:right w:val="single" w:sz="4" w:space="0" w:color="auto"/>
            </w:tcBorders>
            <w:shd w:val="clear" w:color="auto" w:fill="auto"/>
            <w:noWrap/>
            <w:vAlign w:val="center"/>
            <w:hideMark/>
          </w:tcPr>
          <w:p w14:paraId="73594311" w14:textId="77777777" w:rsidR="00C0697C" w:rsidRPr="00FC0532" w:rsidRDefault="00C0697C" w:rsidP="000C6035">
            <w:pPr>
              <w:rPr>
                <w:rFonts w:asciiTheme="minorHAnsi" w:hAnsiTheme="minorHAnsi" w:cstheme="minorHAnsi"/>
                <w:sz w:val="20"/>
                <w:szCs w:val="20"/>
              </w:rPr>
            </w:pPr>
            <w:r w:rsidRPr="00FC0532">
              <w:rPr>
                <w:rFonts w:asciiTheme="minorHAnsi" w:hAnsiTheme="minorHAnsi" w:cstheme="minorHAnsi"/>
                <w:sz w:val="20"/>
                <w:szCs w:val="20"/>
              </w:rPr>
              <w:t>Outcome</w:t>
            </w:r>
          </w:p>
        </w:tc>
      </w:tr>
      <w:tr w:rsidR="00C0697C" w14:paraId="4602D92E" w14:textId="77777777" w:rsidTr="000C6035">
        <w:trPr>
          <w:trHeight w:val="300"/>
        </w:trPr>
        <w:tc>
          <w:tcPr>
            <w:tcW w:w="3078" w:type="pct"/>
            <w:tcBorders>
              <w:top w:val="nil"/>
              <w:left w:val="single" w:sz="4" w:space="0" w:color="auto"/>
              <w:bottom w:val="single" w:sz="4" w:space="0" w:color="auto"/>
              <w:right w:val="single" w:sz="4" w:space="0" w:color="auto"/>
            </w:tcBorders>
            <w:shd w:val="clear" w:color="auto" w:fill="auto"/>
            <w:vAlign w:val="bottom"/>
            <w:hideMark/>
          </w:tcPr>
          <w:p w14:paraId="2FA6398F" w14:textId="77777777" w:rsidR="00C0697C" w:rsidRPr="006F3876" w:rsidRDefault="00C0697C" w:rsidP="000C6035">
            <w:pPr>
              <w:rPr>
                <w:rFonts w:asciiTheme="minorHAnsi" w:hAnsiTheme="minorHAnsi" w:cstheme="minorHAnsi"/>
                <w:sz w:val="20"/>
                <w:szCs w:val="20"/>
              </w:rPr>
            </w:pPr>
            <w:r w:rsidRPr="006F3876">
              <w:rPr>
                <w:rFonts w:asciiTheme="minorHAnsi" w:hAnsiTheme="minorHAnsi" w:cstheme="minorHAnsi"/>
                <w:b/>
                <w:bCs/>
                <w:sz w:val="20"/>
                <w:szCs w:val="20"/>
              </w:rPr>
              <w:t>DLR 2.7:</w:t>
            </w:r>
            <w:r w:rsidRPr="006F3876">
              <w:rPr>
                <w:rFonts w:asciiTheme="minorHAnsi" w:hAnsiTheme="minorHAnsi" w:cstheme="minorHAnsi"/>
                <w:sz w:val="20"/>
                <w:szCs w:val="20"/>
              </w:rPr>
              <w:t xml:space="preserve"> </w:t>
            </w:r>
            <w:r w:rsidRPr="006F3876">
              <w:rPr>
                <w:rFonts w:asciiTheme="minorHAnsi" w:hAnsiTheme="minorHAnsi" w:cstheme="minorHAnsi"/>
                <w:bCs/>
                <w:noProof/>
                <w:color w:val="404040"/>
                <w:sz w:val="20"/>
                <w:szCs w:val="20"/>
              </w:rPr>
              <w:t>OOSC have been reduced by 5.6% nationwide</w:t>
            </w:r>
            <w:r w:rsidRPr="006F3876" w:rsidDel="00740573">
              <w:rPr>
                <w:rFonts w:asciiTheme="minorHAnsi" w:hAnsiTheme="minorHAnsi" w:cstheme="minorHAnsi"/>
                <w:sz w:val="20"/>
                <w:szCs w:val="20"/>
              </w:rPr>
              <w:t xml:space="preserve"> </w:t>
            </w:r>
          </w:p>
        </w:tc>
        <w:tc>
          <w:tcPr>
            <w:tcW w:w="930" w:type="pct"/>
            <w:vMerge/>
            <w:tcBorders>
              <w:top w:val="nil"/>
              <w:left w:val="single" w:sz="4" w:space="0" w:color="auto"/>
              <w:bottom w:val="single" w:sz="4" w:space="0" w:color="auto"/>
              <w:right w:val="single" w:sz="4" w:space="0" w:color="auto"/>
            </w:tcBorders>
            <w:vAlign w:val="center"/>
            <w:hideMark/>
          </w:tcPr>
          <w:p w14:paraId="16FAFE5D" w14:textId="77777777" w:rsidR="00C0697C" w:rsidRPr="00FC0532" w:rsidRDefault="00C0697C" w:rsidP="000C6035">
            <w:pPr>
              <w:jc w:val="center"/>
              <w:rPr>
                <w:rFonts w:asciiTheme="minorHAnsi" w:hAnsiTheme="minorHAnsi" w:cstheme="minorHAnsi"/>
                <w:sz w:val="20"/>
                <w:szCs w:val="20"/>
              </w:rPr>
            </w:pPr>
          </w:p>
        </w:tc>
        <w:tc>
          <w:tcPr>
            <w:tcW w:w="992" w:type="pct"/>
            <w:tcBorders>
              <w:top w:val="nil"/>
              <w:left w:val="nil"/>
              <w:bottom w:val="single" w:sz="4" w:space="0" w:color="auto"/>
              <w:right w:val="single" w:sz="4" w:space="0" w:color="auto"/>
            </w:tcBorders>
            <w:shd w:val="clear" w:color="auto" w:fill="auto"/>
            <w:noWrap/>
            <w:vAlign w:val="center"/>
            <w:hideMark/>
          </w:tcPr>
          <w:p w14:paraId="35FD0057" w14:textId="77777777" w:rsidR="00C0697C" w:rsidRPr="00FC0532" w:rsidRDefault="00C0697C" w:rsidP="000C6035">
            <w:pPr>
              <w:rPr>
                <w:rFonts w:asciiTheme="minorHAnsi" w:hAnsiTheme="minorHAnsi" w:cstheme="minorHAnsi"/>
                <w:sz w:val="20"/>
                <w:szCs w:val="20"/>
              </w:rPr>
            </w:pPr>
            <w:r w:rsidRPr="00FC0532">
              <w:rPr>
                <w:rFonts w:asciiTheme="minorHAnsi" w:hAnsiTheme="minorHAnsi" w:cstheme="minorHAnsi"/>
                <w:sz w:val="20"/>
                <w:szCs w:val="20"/>
              </w:rPr>
              <w:t>Outcome</w:t>
            </w:r>
          </w:p>
        </w:tc>
      </w:tr>
      <w:tr w:rsidR="00C0697C" w14:paraId="3D5F9B37" w14:textId="77777777" w:rsidTr="000C6035">
        <w:trPr>
          <w:trHeight w:val="525"/>
        </w:trPr>
        <w:tc>
          <w:tcPr>
            <w:tcW w:w="3078" w:type="pct"/>
            <w:tcBorders>
              <w:top w:val="nil"/>
              <w:left w:val="single" w:sz="4" w:space="0" w:color="auto"/>
              <w:bottom w:val="single" w:sz="4" w:space="0" w:color="auto"/>
              <w:right w:val="single" w:sz="4" w:space="0" w:color="auto"/>
            </w:tcBorders>
            <w:shd w:val="clear" w:color="auto" w:fill="auto"/>
            <w:vAlign w:val="bottom"/>
            <w:hideMark/>
          </w:tcPr>
          <w:p w14:paraId="76528FCD" w14:textId="77777777" w:rsidR="00C0697C" w:rsidRPr="006F3876" w:rsidRDefault="00C0697C" w:rsidP="000C6035">
            <w:pPr>
              <w:rPr>
                <w:rFonts w:asciiTheme="minorHAnsi" w:hAnsiTheme="minorHAnsi" w:cstheme="minorHAnsi"/>
                <w:b/>
                <w:bCs/>
                <w:sz w:val="20"/>
                <w:szCs w:val="20"/>
              </w:rPr>
            </w:pPr>
            <w:r w:rsidRPr="006F3876">
              <w:rPr>
                <w:rFonts w:asciiTheme="minorHAnsi" w:hAnsiTheme="minorHAnsi" w:cstheme="minorHAnsi"/>
                <w:b/>
                <w:bCs/>
                <w:sz w:val="20"/>
                <w:szCs w:val="20"/>
              </w:rPr>
              <w:t xml:space="preserve">DLR 7.1: </w:t>
            </w:r>
            <w:r w:rsidRPr="006F3876">
              <w:rPr>
                <w:rFonts w:asciiTheme="minorHAnsi" w:hAnsiTheme="minorHAnsi" w:cstheme="minorHAnsi"/>
                <w:spacing w:val="4"/>
                <w:sz w:val="20"/>
                <w:szCs w:val="20"/>
              </w:rPr>
              <w:t>All LGs in 20 Districts have implemented the NEGRP minimum package in at least 80% of community schools</w:t>
            </w:r>
          </w:p>
        </w:tc>
        <w:tc>
          <w:tcPr>
            <w:tcW w:w="9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63A05C" w14:textId="77777777" w:rsidR="00C0697C" w:rsidRPr="00FC0532" w:rsidRDefault="00C0697C" w:rsidP="000C6035">
            <w:pPr>
              <w:jc w:val="center"/>
              <w:rPr>
                <w:rFonts w:asciiTheme="minorHAnsi" w:hAnsiTheme="minorHAnsi" w:cstheme="minorHAnsi"/>
                <w:sz w:val="20"/>
                <w:szCs w:val="20"/>
              </w:rPr>
            </w:pPr>
            <w:r w:rsidRPr="00FC0532">
              <w:rPr>
                <w:rFonts w:asciiTheme="minorHAnsi" w:hAnsiTheme="minorHAnsi" w:cstheme="minorHAnsi"/>
                <w:sz w:val="20"/>
                <w:szCs w:val="20"/>
              </w:rPr>
              <w:t>4,958,000</w:t>
            </w:r>
          </w:p>
        </w:tc>
        <w:tc>
          <w:tcPr>
            <w:tcW w:w="992" w:type="pct"/>
            <w:tcBorders>
              <w:top w:val="nil"/>
              <w:left w:val="nil"/>
              <w:bottom w:val="single" w:sz="4" w:space="0" w:color="auto"/>
              <w:right w:val="single" w:sz="4" w:space="0" w:color="auto"/>
            </w:tcBorders>
            <w:shd w:val="clear" w:color="auto" w:fill="auto"/>
            <w:noWrap/>
            <w:vAlign w:val="center"/>
            <w:hideMark/>
          </w:tcPr>
          <w:p w14:paraId="010BD10D" w14:textId="77777777" w:rsidR="00C0697C" w:rsidRPr="00FC0532" w:rsidRDefault="00C0697C" w:rsidP="000C6035">
            <w:pPr>
              <w:rPr>
                <w:rFonts w:asciiTheme="minorHAnsi" w:hAnsiTheme="minorHAnsi" w:cstheme="minorHAnsi"/>
                <w:sz w:val="20"/>
                <w:szCs w:val="20"/>
              </w:rPr>
            </w:pPr>
            <w:r w:rsidRPr="00FC0532">
              <w:rPr>
                <w:rFonts w:asciiTheme="minorHAnsi" w:hAnsiTheme="minorHAnsi" w:cstheme="minorHAnsi"/>
                <w:sz w:val="20"/>
                <w:szCs w:val="20"/>
              </w:rPr>
              <w:t>Program activity</w:t>
            </w:r>
          </w:p>
        </w:tc>
      </w:tr>
      <w:tr w:rsidR="00C0697C" w14:paraId="24C44E17" w14:textId="77777777" w:rsidTr="000C6035">
        <w:trPr>
          <w:trHeight w:val="525"/>
        </w:trPr>
        <w:tc>
          <w:tcPr>
            <w:tcW w:w="3078" w:type="pct"/>
            <w:tcBorders>
              <w:top w:val="nil"/>
              <w:left w:val="single" w:sz="4" w:space="0" w:color="auto"/>
              <w:bottom w:val="single" w:sz="4" w:space="0" w:color="auto"/>
              <w:right w:val="single" w:sz="4" w:space="0" w:color="auto"/>
            </w:tcBorders>
            <w:shd w:val="clear" w:color="auto" w:fill="auto"/>
            <w:vAlign w:val="bottom"/>
            <w:hideMark/>
          </w:tcPr>
          <w:p w14:paraId="17D26F5E" w14:textId="77777777" w:rsidR="00C0697C" w:rsidRPr="006F3876" w:rsidRDefault="00C0697C" w:rsidP="000C6035">
            <w:pPr>
              <w:rPr>
                <w:rFonts w:asciiTheme="minorHAnsi" w:hAnsiTheme="minorHAnsi" w:cstheme="minorHAnsi"/>
                <w:b/>
                <w:bCs/>
                <w:sz w:val="20"/>
                <w:szCs w:val="20"/>
              </w:rPr>
            </w:pPr>
            <w:r w:rsidRPr="006F3876">
              <w:rPr>
                <w:rFonts w:asciiTheme="minorHAnsi" w:hAnsiTheme="minorHAnsi" w:cstheme="minorHAnsi"/>
                <w:b/>
                <w:bCs/>
                <w:sz w:val="20"/>
                <w:szCs w:val="20"/>
              </w:rPr>
              <w:t xml:space="preserve">DLR 7.2: </w:t>
            </w:r>
            <w:r w:rsidRPr="006F3876">
              <w:rPr>
                <w:rFonts w:asciiTheme="minorHAnsi" w:hAnsiTheme="minorHAnsi" w:cstheme="minorHAnsi"/>
                <w:sz w:val="20"/>
                <w:szCs w:val="20"/>
              </w:rPr>
              <w:t xml:space="preserve">All LGs in 9 additional districts have </w:t>
            </w:r>
            <w:r w:rsidRPr="006F3876">
              <w:rPr>
                <w:rFonts w:asciiTheme="minorHAnsi" w:hAnsiTheme="minorHAnsi" w:cstheme="minorHAnsi"/>
                <w:spacing w:val="4"/>
                <w:sz w:val="20"/>
                <w:szCs w:val="20"/>
              </w:rPr>
              <w:t xml:space="preserve">implemented the NEGRP minimum package in at least 80% of community schools. (provided that </w:t>
            </w:r>
            <w:r w:rsidRPr="006F3876">
              <w:rPr>
                <w:rFonts w:asciiTheme="minorHAnsi" w:hAnsiTheme="minorHAnsi" w:cstheme="minorHAnsi"/>
                <w:sz w:val="20"/>
                <w:szCs w:val="20"/>
              </w:rPr>
              <w:t>all LGs under DLR 7.1 have continued to implement the NEGRP minimum package in at least 80% of community schools</w:t>
            </w:r>
          </w:p>
        </w:tc>
        <w:tc>
          <w:tcPr>
            <w:tcW w:w="930" w:type="pct"/>
            <w:vMerge/>
            <w:tcBorders>
              <w:top w:val="nil"/>
              <w:left w:val="single" w:sz="4" w:space="0" w:color="auto"/>
              <w:bottom w:val="single" w:sz="4" w:space="0" w:color="auto"/>
              <w:right w:val="single" w:sz="4" w:space="0" w:color="auto"/>
            </w:tcBorders>
            <w:vAlign w:val="center"/>
            <w:hideMark/>
          </w:tcPr>
          <w:p w14:paraId="7F0714AE" w14:textId="77777777" w:rsidR="00C0697C" w:rsidRPr="00FC0532" w:rsidRDefault="00C0697C" w:rsidP="000C6035">
            <w:pPr>
              <w:jc w:val="center"/>
              <w:rPr>
                <w:rFonts w:asciiTheme="minorHAnsi" w:hAnsiTheme="minorHAnsi" w:cstheme="minorHAnsi"/>
                <w:sz w:val="20"/>
                <w:szCs w:val="20"/>
              </w:rPr>
            </w:pPr>
          </w:p>
        </w:tc>
        <w:tc>
          <w:tcPr>
            <w:tcW w:w="992" w:type="pct"/>
            <w:tcBorders>
              <w:top w:val="nil"/>
              <w:left w:val="nil"/>
              <w:bottom w:val="single" w:sz="4" w:space="0" w:color="auto"/>
              <w:right w:val="single" w:sz="4" w:space="0" w:color="auto"/>
            </w:tcBorders>
            <w:shd w:val="clear" w:color="auto" w:fill="auto"/>
            <w:noWrap/>
            <w:vAlign w:val="center"/>
            <w:hideMark/>
          </w:tcPr>
          <w:p w14:paraId="4DB14581" w14:textId="77777777" w:rsidR="00C0697C" w:rsidRPr="00FC0532" w:rsidRDefault="00C0697C" w:rsidP="000C6035">
            <w:pPr>
              <w:rPr>
                <w:rFonts w:asciiTheme="minorHAnsi" w:hAnsiTheme="minorHAnsi" w:cstheme="minorHAnsi"/>
                <w:sz w:val="20"/>
                <w:szCs w:val="20"/>
              </w:rPr>
            </w:pPr>
            <w:r w:rsidRPr="00FC0532">
              <w:rPr>
                <w:rFonts w:asciiTheme="minorHAnsi" w:hAnsiTheme="minorHAnsi" w:cstheme="minorHAnsi"/>
                <w:sz w:val="20"/>
                <w:szCs w:val="20"/>
              </w:rPr>
              <w:t>Program activity</w:t>
            </w:r>
          </w:p>
        </w:tc>
      </w:tr>
      <w:tr w:rsidR="00C0697C" w14:paraId="434F4380" w14:textId="77777777" w:rsidTr="000C6035">
        <w:trPr>
          <w:trHeight w:val="525"/>
        </w:trPr>
        <w:tc>
          <w:tcPr>
            <w:tcW w:w="3078" w:type="pct"/>
            <w:tcBorders>
              <w:top w:val="nil"/>
              <w:left w:val="single" w:sz="4" w:space="0" w:color="auto"/>
              <w:bottom w:val="single" w:sz="4" w:space="0" w:color="auto"/>
              <w:right w:val="single" w:sz="4" w:space="0" w:color="auto"/>
            </w:tcBorders>
            <w:shd w:val="clear" w:color="auto" w:fill="auto"/>
            <w:vAlign w:val="bottom"/>
            <w:hideMark/>
          </w:tcPr>
          <w:p w14:paraId="19F4953C" w14:textId="77777777" w:rsidR="00C0697C" w:rsidRPr="006F3876" w:rsidRDefault="00C0697C" w:rsidP="000C6035">
            <w:pPr>
              <w:rPr>
                <w:rFonts w:asciiTheme="minorHAnsi" w:hAnsiTheme="minorHAnsi" w:cstheme="minorHAnsi"/>
                <w:b/>
                <w:bCs/>
                <w:sz w:val="20"/>
                <w:szCs w:val="20"/>
              </w:rPr>
            </w:pPr>
            <w:r w:rsidRPr="006F3876">
              <w:rPr>
                <w:rFonts w:asciiTheme="minorHAnsi" w:hAnsiTheme="minorHAnsi" w:cstheme="minorHAnsi"/>
                <w:b/>
                <w:bCs/>
                <w:sz w:val="20"/>
                <w:szCs w:val="20"/>
              </w:rPr>
              <w:t xml:space="preserve">DLR 7.3: </w:t>
            </w:r>
            <w:r w:rsidRPr="006F3876">
              <w:rPr>
                <w:rFonts w:asciiTheme="minorHAnsi" w:hAnsiTheme="minorHAnsi" w:cstheme="minorHAnsi"/>
                <w:sz w:val="20"/>
                <w:szCs w:val="20"/>
              </w:rPr>
              <w:t xml:space="preserve">All LGs in 9 additional districts have </w:t>
            </w:r>
            <w:r w:rsidRPr="006F3876">
              <w:rPr>
                <w:rFonts w:asciiTheme="minorHAnsi" w:hAnsiTheme="minorHAnsi" w:cstheme="minorHAnsi"/>
                <w:spacing w:val="4"/>
                <w:sz w:val="20"/>
                <w:szCs w:val="20"/>
              </w:rPr>
              <w:t xml:space="preserve">implemented the NEGRP minimum package in at least 80% of community schools. (provided that </w:t>
            </w:r>
            <w:r w:rsidRPr="006F3876">
              <w:rPr>
                <w:rFonts w:asciiTheme="minorHAnsi" w:hAnsiTheme="minorHAnsi" w:cstheme="minorHAnsi"/>
                <w:sz w:val="20"/>
                <w:szCs w:val="20"/>
              </w:rPr>
              <w:t>all LGs under DLRs 7.1 and 7.2 have continued to implement the NEGRP minimum package in at least 80% of community schools.</w:t>
            </w:r>
          </w:p>
        </w:tc>
        <w:tc>
          <w:tcPr>
            <w:tcW w:w="930" w:type="pct"/>
            <w:vMerge/>
            <w:tcBorders>
              <w:top w:val="nil"/>
              <w:left w:val="single" w:sz="4" w:space="0" w:color="auto"/>
              <w:bottom w:val="single" w:sz="4" w:space="0" w:color="auto"/>
              <w:right w:val="single" w:sz="4" w:space="0" w:color="auto"/>
            </w:tcBorders>
            <w:vAlign w:val="center"/>
            <w:hideMark/>
          </w:tcPr>
          <w:p w14:paraId="570DE035" w14:textId="77777777" w:rsidR="00C0697C" w:rsidRPr="00FC0532" w:rsidRDefault="00C0697C" w:rsidP="000C6035">
            <w:pPr>
              <w:jc w:val="center"/>
              <w:rPr>
                <w:rFonts w:asciiTheme="minorHAnsi" w:hAnsiTheme="minorHAnsi" w:cstheme="minorHAnsi"/>
                <w:sz w:val="20"/>
                <w:szCs w:val="20"/>
              </w:rPr>
            </w:pPr>
          </w:p>
        </w:tc>
        <w:tc>
          <w:tcPr>
            <w:tcW w:w="992" w:type="pct"/>
            <w:tcBorders>
              <w:top w:val="nil"/>
              <w:left w:val="nil"/>
              <w:bottom w:val="single" w:sz="4" w:space="0" w:color="auto"/>
              <w:right w:val="single" w:sz="4" w:space="0" w:color="auto"/>
            </w:tcBorders>
            <w:shd w:val="clear" w:color="auto" w:fill="auto"/>
            <w:noWrap/>
            <w:vAlign w:val="center"/>
            <w:hideMark/>
          </w:tcPr>
          <w:p w14:paraId="4A5F410C" w14:textId="77777777" w:rsidR="00C0697C" w:rsidRPr="00FC0532" w:rsidRDefault="00C0697C" w:rsidP="000C6035">
            <w:pPr>
              <w:rPr>
                <w:rFonts w:asciiTheme="minorHAnsi" w:hAnsiTheme="minorHAnsi" w:cstheme="minorHAnsi"/>
                <w:sz w:val="20"/>
                <w:szCs w:val="20"/>
              </w:rPr>
            </w:pPr>
            <w:r w:rsidRPr="00FC0532">
              <w:rPr>
                <w:rFonts w:asciiTheme="minorHAnsi" w:hAnsiTheme="minorHAnsi" w:cstheme="minorHAnsi"/>
                <w:sz w:val="20"/>
                <w:szCs w:val="20"/>
              </w:rPr>
              <w:t>Program activity</w:t>
            </w:r>
          </w:p>
        </w:tc>
      </w:tr>
      <w:tr w:rsidR="00C0697C" w14:paraId="5A770DCF" w14:textId="77777777" w:rsidTr="000C6035">
        <w:trPr>
          <w:trHeight w:val="30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52DD4CAE" w14:textId="77777777" w:rsidR="00C0697C" w:rsidRPr="00FC0532" w:rsidRDefault="00C0697C" w:rsidP="000C6035">
            <w:pPr>
              <w:rPr>
                <w:rFonts w:asciiTheme="minorHAnsi" w:hAnsiTheme="minorHAnsi" w:cstheme="minorHAnsi"/>
                <w:b/>
                <w:bCs/>
                <w:sz w:val="20"/>
                <w:szCs w:val="20"/>
              </w:rPr>
            </w:pPr>
            <w:r w:rsidRPr="00FC0532">
              <w:rPr>
                <w:rFonts w:asciiTheme="minorHAnsi" w:hAnsiTheme="minorHAnsi" w:cstheme="minorHAnsi"/>
                <w:b/>
                <w:bCs/>
                <w:sz w:val="20"/>
                <w:szCs w:val="20"/>
              </w:rPr>
              <w:t>Total AF</w:t>
            </w:r>
          </w:p>
        </w:tc>
        <w:tc>
          <w:tcPr>
            <w:tcW w:w="930" w:type="pct"/>
            <w:tcBorders>
              <w:top w:val="nil"/>
              <w:left w:val="nil"/>
              <w:bottom w:val="single" w:sz="4" w:space="0" w:color="auto"/>
              <w:right w:val="single" w:sz="4" w:space="0" w:color="auto"/>
            </w:tcBorders>
            <w:shd w:val="clear" w:color="auto" w:fill="auto"/>
            <w:noWrap/>
            <w:vAlign w:val="center"/>
            <w:hideMark/>
          </w:tcPr>
          <w:p w14:paraId="0ED39E7C" w14:textId="77777777" w:rsidR="00C0697C" w:rsidRPr="00FC0532" w:rsidRDefault="00C0697C" w:rsidP="000C6035">
            <w:pPr>
              <w:jc w:val="center"/>
              <w:rPr>
                <w:rFonts w:asciiTheme="minorHAnsi" w:hAnsiTheme="minorHAnsi" w:cstheme="minorHAnsi"/>
                <w:b/>
                <w:sz w:val="20"/>
                <w:szCs w:val="20"/>
              </w:rPr>
            </w:pPr>
            <w:r w:rsidRPr="00FC0532">
              <w:rPr>
                <w:rFonts w:asciiTheme="minorHAnsi" w:hAnsiTheme="minorHAnsi" w:cstheme="minorHAnsi"/>
                <w:b/>
                <w:sz w:val="20"/>
                <w:szCs w:val="20"/>
              </w:rPr>
              <w:t>23,958,000</w:t>
            </w:r>
          </w:p>
        </w:tc>
        <w:tc>
          <w:tcPr>
            <w:tcW w:w="992" w:type="pct"/>
            <w:tcBorders>
              <w:top w:val="nil"/>
              <w:left w:val="nil"/>
              <w:bottom w:val="single" w:sz="4" w:space="0" w:color="auto"/>
              <w:right w:val="single" w:sz="4" w:space="0" w:color="auto"/>
            </w:tcBorders>
            <w:shd w:val="clear" w:color="auto" w:fill="auto"/>
            <w:noWrap/>
            <w:vAlign w:val="center"/>
            <w:hideMark/>
          </w:tcPr>
          <w:p w14:paraId="6773A468" w14:textId="77777777" w:rsidR="00C0697C" w:rsidRPr="00FC0532" w:rsidRDefault="00C0697C" w:rsidP="000C6035">
            <w:pPr>
              <w:rPr>
                <w:rFonts w:asciiTheme="minorHAnsi" w:hAnsiTheme="minorHAnsi" w:cstheme="minorHAnsi"/>
                <w:sz w:val="20"/>
                <w:szCs w:val="20"/>
              </w:rPr>
            </w:pPr>
          </w:p>
        </w:tc>
      </w:tr>
    </w:tbl>
    <w:p w14:paraId="2459AAD9" w14:textId="77777777" w:rsidR="00C0697C" w:rsidRPr="00FC0532" w:rsidRDefault="00C0697C" w:rsidP="00C0697C">
      <w:pPr>
        <w:keepNext/>
        <w:widowControl/>
        <w:numPr>
          <w:ilvl w:val="0"/>
          <w:numId w:val="4"/>
        </w:numPr>
        <w:autoSpaceDE/>
        <w:autoSpaceDN/>
        <w:adjustRightInd/>
        <w:spacing w:before="240" w:after="240"/>
        <w:ind w:left="0" w:firstLine="0"/>
        <w:jc w:val="both"/>
        <w:rPr>
          <w:rFonts w:asciiTheme="minorHAnsi" w:eastAsia="Calibri" w:hAnsiTheme="minorHAnsi" w:cstheme="minorHAnsi"/>
          <w:b/>
          <w:bCs/>
          <w:sz w:val="22"/>
          <w:szCs w:val="22"/>
        </w:rPr>
      </w:pPr>
      <w:r w:rsidRPr="00FC0532">
        <w:rPr>
          <w:rFonts w:asciiTheme="minorHAnsi" w:eastAsia="Calibri" w:hAnsiTheme="minorHAnsi" w:cstheme="minorHAnsi"/>
          <w:b/>
          <w:sz w:val="22"/>
          <w:szCs w:val="22"/>
        </w:rPr>
        <w:t>Institutional Arrangements</w:t>
      </w:r>
    </w:p>
    <w:p w14:paraId="1EFC08D9" w14:textId="77777777" w:rsidR="00C0697C" w:rsidRPr="00FC0532" w:rsidRDefault="00C0697C" w:rsidP="00C0697C">
      <w:pPr>
        <w:widowControl/>
        <w:numPr>
          <w:ilvl w:val="0"/>
          <w:numId w:val="2"/>
        </w:numPr>
        <w:tabs>
          <w:tab w:val="clear" w:pos="2520"/>
        </w:tabs>
        <w:spacing w:after="240"/>
        <w:ind w:left="0" w:firstLine="0"/>
        <w:jc w:val="both"/>
        <w:rPr>
          <w:rFonts w:asciiTheme="minorHAnsi" w:eastAsia="Calibri" w:hAnsiTheme="minorHAnsi" w:cstheme="minorHAnsi"/>
          <w:color w:val="FF0000"/>
          <w:sz w:val="22"/>
          <w:szCs w:val="22"/>
        </w:rPr>
      </w:pPr>
      <w:r w:rsidRPr="00FC0532">
        <w:rPr>
          <w:rFonts w:asciiTheme="minorHAnsi" w:eastAsia="Calibri" w:hAnsiTheme="minorHAnsi" w:cstheme="minorHAnsi"/>
          <w:b/>
          <w:sz w:val="22"/>
          <w:szCs w:val="22"/>
        </w:rPr>
        <w:t xml:space="preserve">The MOEST has revised implementation arrangements to accommodate the new governance structure under the federal transition process. </w:t>
      </w:r>
      <w:r w:rsidRPr="00FC0532">
        <w:rPr>
          <w:rFonts w:asciiTheme="minorHAnsi" w:eastAsia="Calibri" w:hAnsiTheme="minorHAnsi" w:cstheme="minorHAnsi"/>
          <w:sz w:val="22"/>
          <w:szCs w:val="22"/>
        </w:rPr>
        <w:t>Under federalism, the education governance structure has changed from a centrally managed deconcentrated system to a three-tier governance structure at the federal, provincial, and local levels. The MOEST will continue to lead the SSDP implementation as the executing agency. Following the dissolution of the DOE, the newly established CEHRD will serve as the main implementing agency. In addition to preparing ASIPs and AWPBs, the CEHRD will provide oversight and technical support to LG units in carrying out program activities. School education sections at the provincial level under the Ministry of Social Development will take over the SSDP responsibilities previously assigned to REDs.</w:t>
      </w:r>
      <w:r>
        <w:rPr>
          <w:rFonts w:asciiTheme="minorHAnsi" w:eastAsia="Calibri" w:hAnsiTheme="minorHAnsi" w:cstheme="minorHAnsi"/>
          <w:sz w:val="22"/>
          <w:szCs w:val="22"/>
        </w:rPr>
        <w:t xml:space="preserve"> </w:t>
      </w:r>
    </w:p>
    <w:p w14:paraId="45EC2148" w14:textId="77777777" w:rsidR="00C0697C" w:rsidRPr="00893D4B" w:rsidRDefault="00C0697C" w:rsidP="00C0697C">
      <w:pPr>
        <w:widowControl/>
        <w:numPr>
          <w:ilvl w:val="0"/>
          <w:numId w:val="2"/>
        </w:numPr>
        <w:tabs>
          <w:tab w:val="clear" w:pos="2520"/>
        </w:tabs>
        <w:spacing w:after="240"/>
        <w:ind w:left="0" w:firstLine="0"/>
        <w:jc w:val="both"/>
        <w:rPr>
          <w:rFonts w:asciiTheme="minorHAnsi" w:eastAsia="Calibri" w:hAnsiTheme="minorHAnsi" w:cstheme="minorHAnsi"/>
          <w:color w:val="FF0000"/>
          <w:sz w:val="22"/>
          <w:szCs w:val="22"/>
        </w:rPr>
      </w:pPr>
      <w:r w:rsidRPr="00FC0532">
        <w:rPr>
          <w:rFonts w:asciiTheme="minorHAnsi" w:eastAsia="Calibri" w:hAnsiTheme="minorHAnsi" w:cstheme="minorHAnsi"/>
          <w:b/>
          <w:sz w:val="22"/>
          <w:szCs w:val="22"/>
        </w:rPr>
        <w:t>SSDP implementation responsibilities at the LG level will be divided between education officials in the LG office and newly established district level EDCUs.</w:t>
      </w:r>
      <w:r w:rsidRPr="00FC0532">
        <w:rPr>
          <w:rFonts w:asciiTheme="minorHAnsi" w:eastAsia="Calibri" w:hAnsiTheme="minorHAnsi" w:cstheme="minorHAnsi"/>
          <w:sz w:val="22"/>
          <w:szCs w:val="22"/>
        </w:rPr>
        <w:t xml:space="preserve"> Functions that were previously executed by the DEOs have been transferred to the LG offices. </w:t>
      </w:r>
      <w:r w:rsidRPr="00893D4B">
        <w:rPr>
          <w:rFonts w:asciiTheme="minorHAnsi" w:eastAsia="Calibri" w:hAnsiTheme="minorHAnsi" w:cstheme="minorHAnsi"/>
          <w:sz w:val="22"/>
          <w:szCs w:val="22"/>
        </w:rPr>
        <w:t>In addition, EDCUs have been established within the chief district offices in all 77 districts to facilitate program implementation during the transition process and provide any technical reinforcement at the local level. According to the GON’s directive,</w:t>
      </w:r>
      <w:r>
        <w:rPr>
          <w:rFonts w:asciiTheme="minorHAnsi" w:eastAsia="Calibri" w:hAnsiTheme="minorHAnsi" w:cstheme="minorHAnsi"/>
          <w:sz w:val="22"/>
          <w:szCs w:val="22"/>
          <w:vertAlign w:val="superscript"/>
        </w:rPr>
        <w:footnoteReference w:id="6"/>
      </w:r>
      <w:r w:rsidRPr="00893D4B">
        <w:rPr>
          <w:rFonts w:asciiTheme="minorHAnsi" w:eastAsia="Calibri" w:hAnsiTheme="minorHAnsi" w:cstheme="minorHAnsi"/>
          <w:sz w:val="22"/>
          <w:szCs w:val="22"/>
        </w:rPr>
        <w:t xml:space="preserve"> all the previous DEOs’ responsibilities, barring those under the LGs’ mandate per the Local Government Operations Act 2017, will be assumed by EDCUs. The MOEST has placed responsibility for 21 education functions on EDCUs, including compiling school-level EMIS data. In addition, the roles and responsibilities of the EDCU will include liaising between the federal and local governments and providing technical support to LGs and schools in implementing the SSDP activities. </w:t>
      </w:r>
    </w:p>
    <w:p w14:paraId="0EC5A6B1" w14:textId="77777777" w:rsidR="00C0697C" w:rsidRPr="00B23F06" w:rsidRDefault="00C0697C" w:rsidP="00C0697C">
      <w:pPr>
        <w:widowControl/>
        <w:numPr>
          <w:ilvl w:val="0"/>
          <w:numId w:val="2"/>
        </w:numPr>
        <w:tabs>
          <w:tab w:val="clear" w:pos="2520"/>
        </w:tabs>
        <w:spacing w:after="240"/>
        <w:ind w:left="0" w:firstLine="0"/>
        <w:jc w:val="both"/>
        <w:rPr>
          <w:rFonts w:asciiTheme="minorHAnsi" w:eastAsia="Calibri" w:hAnsiTheme="minorHAnsi" w:cstheme="minorHAnsi"/>
          <w:color w:val="FF0000"/>
          <w:sz w:val="22"/>
          <w:szCs w:val="22"/>
        </w:rPr>
      </w:pPr>
      <w:r w:rsidRPr="00FC0532">
        <w:rPr>
          <w:rFonts w:asciiTheme="minorHAnsi" w:eastAsia="Calibri" w:hAnsiTheme="minorHAnsi" w:cstheme="minorHAnsi"/>
          <w:sz w:val="22"/>
          <w:szCs w:val="22"/>
        </w:rPr>
        <w:t xml:space="preserve">Implementation arrangements for activities at the school level will remain unchanged. SMCs and head teachers will be tasked with managing all school-level activities while PTAs are tasked with monitoring them. </w:t>
      </w:r>
    </w:p>
    <w:p w14:paraId="4F989E7B" w14:textId="77777777" w:rsidR="00C0697C" w:rsidRPr="00B23F06" w:rsidRDefault="00C0697C" w:rsidP="00C0697C">
      <w:pPr>
        <w:widowControl/>
        <w:numPr>
          <w:ilvl w:val="0"/>
          <w:numId w:val="2"/>
        </w:numPr>
        <w:tabs>
          <w:tab w:val="clear" w:pos="2520"/>
        </w:tabs>
        <w:spacing w:after="240"/>
        <w:ind w:left="0" w:firstLine="0"/>
        <w:jc w:val="both"/>
        <w:rPr>
          <w:rFonts w:asciiTheme="minorHAnsi" w:eastAsia="Calibri" w:hAnsiTheme="minorHAnsi" w:cstheme="minorHAnsi"/>
          <w:color w:val="FF0000"/>
          <w:sz w:val="22"/>
          <w:szCs w:val="22"/>
        </w:rPr>
      </w:pPr>
      <w:r w:rsidRPr="00B23F06">
        <w:rPr>
          <w:rFonts w:asciiTheme="minorHAnsi" w:hAnsiTheme="minorHAnsi" w:cstheme="minorHAnsi"/>
          <w:sz w:val="22"/>
          <w:szCs w:val="22"/>
        </w:rPr>
        <w:t xml:space="preserve">The SSDP </w:t>
      </w:r>
      <w:r>
        <w:rPr>
          <w:rFonts w:asciiTheme="minorHAnsi" w:hAnsiTheme="minorHAnsi" w:cstheme="minorHAnsi"/>
          <w:sz w:val="22"/>
          <w:szCs w:val="22"/>
        </w:rPr>
        <w:t>SC chaired by the MOEST Secretary</w:t>
      </w:r>
      <w:r w:rsidRPr="00B23F06">
        <w:rPr>
          <w:rFonts w:asciiTheme="minorHAnsi" w:hAnsiTheme="minorHAnsi" w:cstheme="minorHAnsi"/>
          <w:sz w:val="22"/>
          <w:szCs w:val="22"/>
        </w:rPr>
        <w:t xml:space="preserve"> will oversee the coordination, monitoring and verification of implementation progress of SSDP activities. The SSDP </w:t>
      </w:r>
      <w:r>
        <w:rPr>
          <w:rFonts w:asciiTheme="minorHAnsi" w:hAnsiTheme="minorHAnsi" w:cstheme="minorHAnsi"/>
          <w:sz w:val="22"/>
          <w:szCs w:val="22"/>
        </w:rPr>
        <w:t>PIC</w:t>
      </w:r>
      <w:r w:rsidRPr="00B23F06">
        <w:rPr>
          <w:rFonts w:asciiTheme="minorHAnsi" w:hAnsiTheme="minorHAnsi" w:cstheme="minorHAnsi"/>
          <w:sz w:val="22"/>
          <w:szCs w:val="22"/>
        </w:rPr>
        <w:t xml:space="preserve"> established under CEHRD will take over the main functions of supporting program implementation previously assumed by the SSDP Implementing Committee. </w:t>
      </w:r>
      <w:r>
        <w:rPr>
          <w:rFonts w:asciiTheme="minorHAnsi" w:hAnsiTheme="minorHAnsi" w:cstheme="minorHAnsi"/>
          <w:sz w:val="22"/>
          <w:szCs w:val="22"/>
        </w:rPr>
        <w:t xml:space="preserve">Roles and responsibilities finalized for the PIC are (a) program implementation support, and (b) support aligned and efficient utilization of technical assistance to the SC. The PIC will be headed by the Director General of the CEHRD. </w:t>
      </w:r>
      <w:r w:rsidRPr="00B23F06">
        <w:rPr>
          <w:rFonts w:asciiTheme="minorHAnsi" w:hAnsiTheme="minorHAnsi" w:cstheme="minorHAnsi"/>
          <w:sz w:val="22"/>
          <w:szCs w:val="22"/>
        </w:rPr>
        <w:t xml:space="preserve">While </w:t>
      </w:r>
      <w:r>
        <w:rPr>
          <w:rFonts w:asciiTheme="minorHAnsi" w:hAnsiTheme="minorHAnsi" w:cstheme="minorHAnsi"/>
          <w:sz w:val="22"/>
          <w:szCs w:val="22"/>
        </w:rPr>
        <w:t>transitional arrangements for a</w:t>
      </w:r>
      <w:r w:rsidRPr="00B23F06">
        <w:rPr>
          <w:rFonts w:asciiTheme="minorHAnsi" w:hAnsiTheme="minorHAnsi" w:cstheme="minorHAnsi"/>
          <w:sz w:val="22"/>
          <w:szCs w:val="22"/>
        </w:rPr>
        <w:t xml:space="preserve"> FBMSC</w:t>
      </w:r>
      <w:r>
        <w:rPr>
          <w:rFonts w:asciiTheme="minorHAnsi" w:hAnsiTheme="minorHAnsi" w:cstheme="minorHAnsi"/>
          <w:sz w:val="22"/>
          <w:szCs w:val="22"/>
        </w:rPr>
        <w:t xml:space="preserve"> are not yet finalized</w:t>
      </w:r>
      <w:r w:rsidRPr="00B23F06">
        <w:rPr>
          <w:rFonts w:asciiTheme="minorHAnsi" w:hAnsiTheme="minorHAnsi" w:cstheme="minorHAnsi"/>
          <w:sz w:val="22"/>
          <w:szCs w:val="22"/>
        </w:rPr>
        <w:t xml:space="preserve">, financial management, budgeting, audit reports and reporting on DLI achievement will be handled by the MOEST’s </w:t>
      </w:r>
      <w:r>
        <w:rPr>
          <w:rFonts w:asciiTheme="minorHAnsi" w:hAnsiTheme="minorHAnsi" w:cstheme="minorHAnsi"/>
          <w:sz w:val="22"/>
          <w:szCs w:val="22"/>
        </w:rPr>
        <w:t>DACS</w:t>
      </w:r>
      <w:r w:rsidRPr="00B23F06">
        <w:rPr>
          <w:rFonts w:asciiTheme="minorHAnsi" w:hAnsiTheme="minorHAnsi" w:cstheme="minorHAnsi"/>
          <w:sz w:val="22"/>
          <w:szCs w:val="22"/>
        </w:rPr>
        <w:t xml:space="preserve"> previously known as the Foreign Coordination Section (FCS).</w:t>
      </w:r>
      <w:r w:rsidRPr="00B23F06">
        <w:rPr>
          <w:rFonts w:cstheme="minorHAnsi"/>
          <w:sz w:val="22"/>
          <w:szCs w:val="22"/>
        </w:rPr>
        <w:t xml:space="preserve">   </w:t>
      </w:r>
    </w:p>
    <w:p w14:paraId="2D04A7C8" w14:textId="77777777" w:rsidR="00C0697C" w:rsidRPr="00FC0532" w:rsidRDefault="00C0697C" w:rsidP="00C0697C">
      <w:pPr>
        <w:widowControl/>
        <w:numPr>
          <w:ilvl w:val="0"/>
          <w:numId w:val="2"/>
        </w:numPr>
        <w:tabs>
          <w:tab w:val="clear" w:pos="2520"/>
        </w:tabs>
        <w:spacing w:after="240"/>
        <w:ind w:left="0" w:firstLine="0"/>
        <w:jc w:val="both"/>
        <w:rPr>
          <w:rFonts w:asciiTheme="minorHAnsi" w:eastAsia="Calibri" w:hAnsiTheme="minorHAnsi" w:cstheme="minorHAnsi"/>
          <w:color w:val="FF0000"/>
          <w:sz w:val="22"/>
          <w:szCs w:val="22"/>
        </w:rPr>
      </w:pPr>
      <w:r w:rsidRPr="00FC0532">
        <w:rPr>
          <w:rFonts w:asciiTheme="minorHAnsi" w:eastAsia="Calibri" w:hAnsiTheme="minorHAnsi" w:cstheme="minorHAnsi"/>
          <w:sz w:val="22"/>
          <w:szCs w:val="22"/>
        </w:rPr>
        <w:t xml:space="preserve">There are several implementation risks during the federal transition period arising largely from the fact that federalism entails a reduced central role and a greater role for LGs in managing school education. Key transitional risks and corresponding mitigating measures are summarized as follows: </w:t>
      </w:r>
    </w:p>
    <w:p w14:paraId="26A567FE" w14:textId="77777777" w:rsidR="00C0697C" w:rsidRPr="00FC0532" w:rsidRDefault="00C0697C" w:rsidP="00C0697C">
      <w:pPr>
        <w:widowControl/>
        <w:numPr>
          <w:ilvl w:val="4"/>
          <w:numId w:val="2"/>
        </w:numPr>
        <w:spacing w:after="240"/>
        <w:ind w:left="1195" w:hanging="475"/>
        <w:jc w:val="both"/>
        <w:rPr>
          <w:rFonts w:asciiTheme="minorHAnsi" w:eastAsia="Calibri" w:hAnsiTheme="minorHAnsi" w:cstheme="minorHAnsi"/>
          <w:sz w:val="22"/>
          <w:szCs w:val="22"/>
        </w:rPr>
      </w:pPr>
      <w:r w:rsidRPr="00FC0532">
        <w:rPr>
          <w:rFonts w:asciiTheme="minorHAnsi" w:eastAsia="Calibri" w:hAnsiTheme="minorHAnsi" w:cstheme="minorHAnsi"/>
          <w:b/>
          <w:sz w:val="22"/>
          <w:szCs w:val="22"/>
        </w:rPr>
        <w:t>LG capacity in implementing SSDP.</w:t>
      </w:r>
      <w:r w:rsidRPr="00FC0532">
        <w:rPr>
          <w:rFonts w:asciiTheme="minorHAnsi" w:eastAsia="Calibri" w:hAnsiTheme="minorHAnsi" w:cstheme="minorHAnsi"/>
          <w:sz w:val="22"/>
          <w:szCs w:val="22"/>
        </w:rPr>
        <w:t xml:space="preserve"> The SSDP was designed during a system of centrally managed governance structure. Under federalism, majority of SSDP activities are to be implemented by decentralized LGs. However, most LGs lack capacity as well as basic tools for education sector planning and budgeting.</w:t>
      </w:r>
      <w:r>
        <w:rPr>
          <w:rFonts w:asciiTheme="minorHAnsi" w:eastAsia="Calibri" w:hAnsiTheme="minorHAnsi" w:cstheme="minorHAnsi"/>
          <w:sz w:val="22"/>
          <w:szCs w:val="22"/>
          <w:vertAlign w:val="superscript"/>
        </w:rPr>
        <w:footnoteReference w:id="7"/>
      </w:r>
      <w:r w:rsidRPr="00FC0532">
        <w:rPr>
          <w:rFonts w:asciiTheme="minorHAnsi" w:eastAsia="Calibri" w:hAnsiTheme="minorHAnsi" w:cstheme="minorHAnsi"/>
          <w:sz w:val="22"/>
          <w:szCs w:val="22"/>
        </w:rPr>
        <w:t xml:space="preserve"> Furthermore, several LGs lack </w:t>
      </w:r>
      <w:proofErr w:type="gramStart"/>
      <w:r w:rsidRPr="00FC0532">
        <w:rPr>
          <w:rFonts w:asciiTheme="minorHAnsi" w:eastAsia="Calibri" w:hAnsiTheme="minorHAnsi" w:cstheme="minorHAnsi"/>
          <w:sz w:val="22"/>
          <w:szCs w:val="22"/>
        </w:rPr>
        <w:t>sufficient</w:t>
      </w:r>
      <w:proofErr w:type="gramEnd"/>
      <w:r w:rsidRPr="00FC0532">
        <w:rPr>
          <w:rFonts w:asciiTheme="minorHAnsi" w:eastAsia="Calibri" w:hAnsiTheme="minorHAnsi" w:cstheme="minorHAnsi"/>
          <w:sz w:val="22"/>
          <w:szCs w:val="22"/>
        </w:rPr>
        <w:t xml:space="preserve"> human resources to implement program activities. Several staff from the previous DEOs, including resource persons, have been transferred to LG offices. Yet, shortfalls remain in about 350 LGs. </w:t>
      </w:r>
    </w:p>
    <w:p w14:paraId="329347ED" w14:textId="77777777" w:rsidR="00C0697C" w:rsidRPr="00FC0532" w:rsidRDefault="00C0697C" w:rsidP="00C0697C">
      <w:pPr>
        <w:widowControl/>
        <w:numPr>
          <w:ilvl w:val="4"/>
          <w:numId w:val="2"/>
        </w:numPr>
        <w:spacing w:after="240"/>
        <w:ind w:left="1195" w:hanging="475"/>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 xml:space="preserve">To mitigate risks from insufficient and varying levels of LG capacity, a dedicated SSDP TSU housed within the MOEST’s Planning Division will continue to manage technical assistance requirements as well as provide M&amp;E support. At the local level, the EDCUs will provide technical backstopping. The MOEST is developing a Program Implementation Manual that provides implementation guidance to LG offices. The MOEST has also conducted a series of SSDP induction workshops for LGs. The MOEST should ensure that technical assistance effectively covers all LGs and should develop plans to fill human resource needs in all LGs. </w:t>
      </w:r>
    </w:p>
    <w:p w14:paraId="573B21F8" w14:textId="77777777" w:rsidR="00C0697C" w:rsidRPr="00FC0532" w:rsidRDefault="00C0697C" w:rsidP="00C0697C">
      <w:pPr>
        <w:widowControl/>
        <w:numPr>
          <w:ilvl w:val="4"/>
          <w:numId w:val="2"/>
        </w:numPr>
        <w:spacing w:after="240"/>
        <w:ind w:left="1195" w:hanging="475"/>
        <w:jc w:val="both"/>
        <w:rPr>
          <w:rFonts w:asciiTheme="minorHAnsi" w:eastAsia="Calibri" w:hAnsiTheme="minorHAnsi" w:cstheme="minorHAnsi"/>
          <w:sz w:val="22"/>
          <w:szCs w:val="22"/>
        </w:rPr>
      </w:pPr>
      <w:r w:rsidRPr="00FC0532">
        <w:rPr>
          <w:rFonts w:asciiTheme="minorHAnsi" w:eastAsia="Calibri" w:hAnsiTheme="minorHAnsi" w:cstheme="minorHAnsi"/>
          <w:b/>
          <w:sz w:val="22"/>
          <w:szCs w:val="22"/>
        </w:rPr>
        <w:t xml:space="preserve">Risks of accountability and coordination issues due to lack of clear responsibilities. </w:t>
      </w:r>
      <w:r w:rsidRPr="00FC0532">
        <w:rPr>
          <w:rFonts w:asciiTheme="minorHAnsi" w:eastAsia="Calibri" w:hAnsiTheme="minorHAnsi" w:cstheme="minorHAnsi"/>
          <w:sz w:val="22"/>
          <w:szCs w:val="22"/>
        </w:rPr>
        <w:t>While LGs and EDCUs share SSDP responsibilities at the local level, a clear demarcation of responsibilities have not yet been provided. A risk assessment by JFPs documents varied interpretations of roles of LGs and EDCUs among local education officials. Lack of clarity on responsibilities could lead to duplicated activities as well as poor accountability. Uncertainties around teacher deployment and management responsibilities could also affect implementation of key teacher-related activities under the SSDP. The JFP assessment also found that several LGs and EDCUs had conflicting interpretations regarding their roles in teacher transfers, appointment, and promotion. Finalizing detailed responsibilities and effectively communicating them would be crucial for efficient SSDP implementation.</w:t>
      </w:r>
    </w:p>
    <w:p w14:paraId="1292FCE4" w14:textId="77777777" w:rsidR="00C0697C" w:rsidRPr="00FC0532" w:rsidRDefault="00C0697C" w:rsidP="00C0697C">
      <w:pPr>
        <w:widowControl/>
        <w:numPr>
          <w:ilvl w:val="0"/>
          <w:numId w:val="2"/>
        </w:numPr>
        <w:tabs>
          <w:tab w:val="clear" w:pos="2520"/>
        </w:tabs>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 xml:space="preserve">While the GON SSDP is partly supported by a pool of DPs through a DLI framework, some DP funds support selected DLIs. This could potentially carry some risk of fragmentation in terms of DP focus across different DLIs and results areas. However, this risk is unlikely to be substantial because the SSDP is being implemented using a </w:t>
      </w:r>
      <w:proofErr w:type="spellStart"/>
      <w:r w:rsidRPr="00FC0532">
        <w:rPr>
          <w:rFonts w:asciiTheme="minorHAnsi" w:eastAsia="Calibri" w:hAnsiTheme="minorHAnsi" w:cstheme="minorHAnsi"/>
          <w:sz w:val="22"/>
          <w:szCs w:val="22"/>
        </w:rPr>
        <w:t>SWaP</w:t>
      </w:r>
      <w:proofErr w:type="spellEnd"/>
      <w:r w:rsidRPr="00FC0532">
        <w:rPr>
          <w:rFonts w:asciiTheme="minorHAnsi" w:eastAsia="Calibri" w:hAnsiTheme="minorHAnsi" w:cstheme="minorHAnsi"/>
          <w:sz w:val="22"/>
          <w:szCs w:val="22"/>
        </w:rPr>
        <w:t xml:space="preserve"> modality in close coordination with all DPs. DP coordination and external partnerships will be handled by the DACS</w:t>
      </w:r>
      <w:r>
        <w:rPr>
          <w:rFonts w:asciiTheme="minorHAnsi" w:eastAsia="Calibri" w:hAnsiTheme="minorHAnsi" w:cstheme="minorHAnsi"/>
          <w:sz w:val="22"/>
          <w:szCs w:val="22"/>
          <w:vertAlign w:val="superscript"/>
        </w:rPr>
        <w:footnoteReference w:id="8"/>
      </w:r>
      <w:r w:rsidRPr="00FC0532">
        <w:rPr>
          <w:rFonts w:asciiTheme="minorHAnsi" w:eastAsia="Calibri" w:hAnsiTheme="minorHAnsi" w:cstheme="minorHAnsi"/>
          <w:sz w:val="22"/>
          <w:szCs w:val="22"/>
        </w:rPr>
        <w:t xml:space="preserve"> MOEST’s Planning Division.</w:t>
      </w:r>
    </w:p>
    <w:p w14:paraId="2BFC697B" w14:textId="77777777" w:rsidR="00C0697C" w:rsidRPr="00FC0532" w:rsidRDefault="00C0697C" w:rsidP="00C0697C">
      <w:pPr>
        <w:widowControl/>
        <w:numPr>
          <w:ilvl w:val="0"/>
          <w:numId w:val="4"/>
        </w:numPr>
        <w:spacing w:after="240"/>
        <w:ind w:left="0" w:firstLine="0"/>
        <w:rPr>
          <w:rFonts w:asciiTheme="minorHAnsi" w:eastAsia="Calibri" w:hAnsiTheme="minorHAnsi" w:cstheme="minorHAnsi"/>
          <w:b/>
          <w:sz w:val="22"/>
          <w:szCs w:val="22"/>
        </w:rPr>
      </w:pPr>
      <w:r w:rsidRPr="00FC0532">
        <w:rPr>
          <w:rFonts w:asciiTheme="minorHAnsi" w:eastAsia="Calibri" w:hAnsiTheme="minorHAnsi" w:cstheme="minorHAnsi"/>
          <w:b/>
          <w:sz w:val="22"/>
          <w:szCs w:val="22"/>
        </w:rPr>
        <w:t xml:space="preserve">Assessment of Monitoring and Evaluation System </w:t>
      </w:r>
    </w:p>
    <w:p w14:paraId="0D67656F" w14:textId="77777777" w:rsidR="00C0697C" w:rsidRPr="00FC0532" w:rsidRDefault="00C0697C" w:rsidP="00C0697C">
      <w:pPr>
        <w:widowControl/>
        <w:numPr>
          <w:ilvl w:val="0"/>
          <w:numId w:val="2"/>
        </w:numPr>
        <w:tabs>
          <w:tab w:val="clear" w:pos="2520"/>
        </w:tabs>
        <w:spacing w:after="240"/>
        <w:ind w:left="0" w:firstLine="0"/>
        <w:jc w:val="both"/>
        <w:rPr>
          <w:rFonts w:asciiTheme="minorHAnsi" w:eastAsia="Calibri" w:hAnsiTheme="minorHAnsi" w:cstheme="minorHAnsi"/>
          <w:b/>
          <w:sz w:val="22"/>
          <w:szCs w:val="22"/>
        </w:rPr>
      </w:pPr>
      <w:r w:rsidRPr="00FC0532">
        <w:rPr>
          <w:rFonts w:asciiTheme="minorHAnsi" w:eastAsia="Calibri" w:hAnsiTheme="minorHAnsi" w:cstheme="minorHAnsi"/>
          <w:b/>
          <w:sz w:val="22"/>
          <w:szCs w:val="22"/>
        </w:rPr>
        <w:t>At the central level, monitoring functions are shared by the MOEST and CEHRD.</w:t>
      </w:r>
      <w:r w:rsidRPr="00FC0532">
        <w:rPr>
          <w:rFonts w:asciiTheme="minorHAnsi" w:eastAsia="Calibri" w:hAnsiTheme="minorHAnsi" w:cstheme="minorHAnsi"/>
          <w:sz w:val="22"/>
          <w:szCs w:val="22"/>
        </w:rPr>
        <w:t xml:space="preserve"> The Development Action Committee chaired by the Minister of Education will meet every four months to review SSDP progress. The TSU, housed under the MOEST’s Planning Division along with the M&amp;E divisions, is responsible for monitoring achievement of SSDP indicators and results, including DLI verification. The MOEST’s Planning Division will share M&amp;E reports with JFPs. In addition, the MOEST has established thematic working groups for different SSDP results areas to review protocols and arrangements relevant to their result area. Furthermore, the CEHRD will prepare progress reports against DLI targets. According to the arrangements in the parent operation, DLI achievement will be verified by an independent verification agent.</w:t>
      </w:r>
    </w:p>
    <w:p w14:paraId="52AB0D51" w14:textId="77777777" w:rsidR="00C0697C" w:rsidRPr="00FC0532" w:rsidRDefault="00C0697C" w:rsidP="00C0697C">
      <w:pPr>
        <w:widowControl/>
        <w:numPr>
          <w:ilvl w:val="0"/>
          <w:numId w:val="2"/>
        </w:numPr>
        <w:tabs>
          <w:tab w:val="clear" w:pos="2520"/>
        </w:tabs>
        <w:spacing w:after="240"/>
        <w:ind w:left="0" w:firstLine="0"/>
        <w:jc w:val="both"/>
        <w:rPr>
          <w:rFonts w:asciiTheme="minorHAnsi" w:eastAsia="Calibri" w:hAnsiTheme="minorHAnsi" w:cstheme="minorHAnsi"/>
          <w:b/>
          <w:sz w:val="22"/>
          <w:szCs w:val="22"/>
        </w:rPr>
      </w:pPr>
      <w:r w:rsidRPr="00FC0532">
        <w:rPr>
          <w:rFonts w:asciiTheme="minorHAnsi" w:eastAsia="Calibri" w:hAnsiTheme="minorHAnsi" w:cstheme="minorHAnsi"/>
          <w:b/>
          <w:sz w:val="22"/>
          <w:szCs w:val="22"/>
        </w:rPr>
        <w:t xml:space="preserve">At the provincial level and local levels, monitoring will largely be supported by dedicated M&amp;E units at provincial governments and M&amp;E officials within LGs. </w:t>
      </w:r>
      <w:r w:rsidRPr="00FC0532">
        <w:rPr>
          <w:rFonts w:asciiTheme="minorHAnsi" w:eastAsia="Calibri" w:hAnsiTheme="minorHAnsi" w:cstheme="minorHAnsi"/>
          <w:sz w:val="22"/>
          <w:szCs w:val="22"/>
        </w:rPr>
        <w:t>The</w:t>
      </w:r>
      <w:r w:rsidRPr="00FC0532">
        <w:rPr>
          <w:rFonts w:asciiTheme="minorHAnsi" w:eastAsia="Calibri" w:hAnsiTheme="minorHAnsi" w:cstheme="minorHAnsi"/>
          <w:b/>
          <w:sz w:val="22"/>
          <w:szCs w:val="22"/>
        </w:rPr>
        <w:t xml:space="preserve"> </w:t>
      </w:r>
      <w:r w:rsidRPr="00FC0532">
        <w:rPr>
          <w:rFonts w:asciiTheme="minorHAnsi" w:eastAsia="Calibri" w:hAnsiTheme="minorHAnsi" w:cstheme="minorHAnsi"/>
          <w:sz w:val="22"/>
          <w:szCs w:val="22"/>
        </w:rPr>
        <w:t xml:space="preserve">M&amp;E units within provincial governments will be tasked with SSDP reporting requirements including financial reporting per SSDP requirements. Newly established EDCUs will also provide monitoring support to LGs. EDCUs will be responsible for compiling EMIS data used for monitoring. The restructured Education Training Centers and resource centers at the field level will provide training, management, and monitoring support to schools. </w:t>
      </w:r>
    </w:p>
    <w:p w14:paraId="072ACCE6" w14:textId="77777777" w:rsidR="00C0697C" w:rsidRPr="00FC0532" w:rsidRDefault="00C0697C" w:rsidP="00C0697C">
      <w:pPr>
        <w:widowControl/>
        <w:numPr>
          <w:ilvl w:val="0"/>
          <w:numId w:val="2"/>
        </w:numPr>
        <w:tabs>
          <w:tab w:val="clear" w:pos="2520"/>
        </w:tabs>
        <w:spacing w:after="240"/>
        <w:ind w:left="0" w:firstLine="0"/>
        <w:jc w:val="both"/>
        <w:rPr>
          <w:rFonts w:asciiTheme="minorHAnsi" w:eastAsia="Calibri" w:hAnsiTheme="minorHAnsi" w:cstheme="minorHAnsi"/>
          <w:b/>
          <w:sz w:val="22"/>
          <w:szCs w:val="22"/>
        </w:rPr>
      </w:pPr>
      <w:r w:rsidRPr="00FC0532">
        <w:rPr>
          <w:rFonts w:asciiTheme="minorHAnsi" w:eastAsia="Calibri" w:hAnsiTheme="minorHAnsi" w:cstheme="minorHAnsi"/>
          <w:sz w:val="22"/>
          <w:szCs w:val="22"/>
        </w:rPr>
        <w:t>EMIS data collected at the beginning and end of each academic year will continue to be the main database system for school-level information. However, EMIS will be strengthened to be adapted to be fully aligned with the new federal structure. The MOEST is also in the process of upgrading the EMIS to a web-based system with provisions for offline data entry for schools without internet access. These schools would upload the data by visiting their resource center. Contingent upon coordination between LGs and EDCUs, the quality of school-level data compiled is likely to be higher under the new structure because LGs are responsible for a smaller number of schools. M&amp;E activities will be conducted through site visits, trimester, and annual reviews as well as baseline, midterm, and end-line evaluations to assess program implementation. To track learning, the ERO will continue to conduct NASA and EGRA assessments. The restructured education training centers and resource centers at the field will provide training, management, and monitoring support to schools. Monitoring at the local level will also be strengthened through improved education data transparency (new DLRs 1.7b, 1.8b, and 1.9b).</w:t>
      </w:r>
    </w:p>
    <w:p w14:paraId="10033952" w14:textId="77777777" w:rsidR="00C0697C" w:rsidRPr="00FC0532" w:rsidRDefault="00C0697C" w:rsidP="00C0697C">
      <w:pPr>
        <w:keepNext/>
        <w:widowControl/>
        <w:numPr>
          <w:ilvl w:val="0"/>
          <w:numId w:val="3"/>
        </w:numPr>
        <w:autoSpaceDE/>
        <w:autoSpaceDN/>
        <w:adjustRightInd/>
        <w:spacing w:after="240"/>
        <w:ind w:left="0" w:firstLine="0"/>
        <w:jc w:val="both"/>
        <w:rPr>
          <w:rFonts w:asciiTheme="minorHAnsi" w:eastAsia="Calibri" w:hAnsiTheme="minorHAnsi" w:cstheme="minorHAnsi"/>
          <w:b/>
          <w:sz w:val="22"/>
          <w:szCs w:val="22"/>
        </w:rPr>
      </w:pPr>
      <w:r w:rsidRPr="00FC0532">
        <w:rPr>
          <w:rFonts w:asciiTheme="minorHAnsi" w:eastAsia="Calibri" w:hAnsiTheme="minorHAnsi" w:cstheme="minorHAnsi"/>
          <w:b/>
          <w:sz w:val="22"/>
          <w:szCs w:val="22"/>
        </w:rPr>
        <w:t>Economic Justification of the Program</w:t>
      </w:r>
    </w:p>
    <w:p w14:paraId="66BAC73E"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 xml:space="preserve">The SSDP would remain economically viable with the proposed AF. The costs and benefits assumptions in the original economic analysis hold under the AF. </w:t>
      </w:r>
      <w:r w:rsidRPr="00FC0532">
        <w:rPr>
          <w:rFonts w:asciiTheme="minorHAnsi" w:eastAsia="Calibri" w:hAnsiTheme="minorHAnsi" w:cstheme="minorHAnsi"/>
          <w:bCs/>
          <w:sz w:val="22"/>
          <w:szCs w:val="22"/>
        </w:rPr>
        <w:t xml:space="preserve">The cost-benefit </w:t>
      </w:r>
      <w:r w:rsidRPr="00FC0532">
        <w:rPr>
          <w:rFonts w:asciiTheme="minorHAnsi" w:eastAsia="Arial" w:hAnsiTheme="minorHAnsi" w:cstheme="minorHAnsi"/>
          <w:spacing w:val="4"/>
          <w:sz w:val="22"/>
          <w:szCs w:val="22"/>
        </w:rPr>
        <w:t>analysis</w:t>
      </w:r>
      <w:r w:rsidRPr="00FC0532">
        <w:rPr>
          <w:rFonts w:asciiTheme="minorHAnsi" w:eastAsia="Calibri" w:hAnsiTheme="minorHAnsi" w:cstheme="minorHAnsi"/>
          <w:bCs/>
          <w:sz w:val="22"/>
          <w:szCs w:val="22"/>
        </w:rPr>
        <w:t xml:space="preserve"> presents an assessment of benefits and costs </w:t>
      </w:r>
      <w:r w:rsidRPr="00FC0532">
        <w:rPr>
          <w:rFonts w:asciiTheme="minorHAnsi" w:eastAsia="Calibri" w:hAnsiTheme="minorHAnsi" w:cstheme="minorHAnsi"/>
          <w:sz w:val="22"/>
          <w:szCs w:val="22"/>
        </w:rPr>
        <w:t>associated</w:t>
      </w:r>
      <w:r w:rsidRPr="00FC0532">
        <w:rPr>
          <w:rFonts w:asciiTheme="minorHAnsi" w:eastAsia="Calibri" w:hAnsiTheme="minorHAnsi" w:cstheme="minorHAnsi"/>
          <w:bCs/>
          <w:sz w:val="22"/>
          <w:szCs w:val="22"/>
        </w:rPr>
        <w:t xml:space="preserve"> with the program using a ‘counterfactual’ identification approach in the absence of SSDP whereby the program ‘investment’ is the estimated additional cost over and above the current spending. </w:t>
      </w:r>
    </w:p>
    <w:p w14:paraId="267A882A"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Arial" w:hAnsiTheme="minorHAnsi" w:cstheme="minorHAnsi"/>
          <w:b/>
          <w:spacing w:val="-3"/>
          <w:sz w:val="22"/>
          <w:szCs w:val="22"/>
        </w:rPr>
        <w:t>Benefits.</w:t>
      </w:r>
      <w:r w:rsidRPr="00FC0532">
        <w:rPr>
          <w:rFonts w:asciiTheme="minorHAnsi" w:eastAsia="Arial" w:hAnsiTheme="minorHAnsi" w:cstheme="minorHAnsi"/>
          <w:spacing w:val="-3"/>
          <w:sz w:val="22"/>
          <w:szCs w:val="22"/>
        </w:rPr>
        <w:t xml:space="preserve"> The </w:t>
      </w:r>
      <w:r w:rsidRPr="00FC0532">
        <w:rPr>
          <w:rFonts w:asciiTheme="minorHAnsi" w:eastAsia="MS Mincho" w:hAnsiTheme="minorHAnsi" w:cstheme="minorHAnsi"/>
          <w:sz w:val="22"/>
          <w:szCs w:val="22"/>
          <w:lang w:eastAsia="ja-JP"/>
        </w:rPr>
        <w:t>benefits</w:t>
      </w:r>
      <w:r w:rsidRPr="00FC0532">
        <w:rPr>
          <w:rFonts w:asciiTheme="minorHAnsi" w:eastAsia="Arial" w:hAnsiTheme="minorHAnsi" w:cstheme="minorHAnsi"/>
          <w:spacing w:val="-3"/>
          <w:sz w:val="22"/>
          <w:szCs w:val="22"/>
        </w:rPr>
        <w:t xml:space="preserve"> are taken to be those changes in the quantity, quality, and reduction in internal inefficiency of education that the SSDP will produce over the program period. Benefits come from three sources: (a) more basic education completers who earn higher wages (relative to non-completers), (b) greater quality of education resulting in higher wage premiums for all basic education completers, and (c) less wastage of public and private </w:t>
      </w:r>
      <w:r w:rsidRPr="00FC0532">
        <w:rPr>
          <w:rFonts w:asciiTheme="minorHAnsi" w:eastAsia="MS Mincho" w:hAnsiTheme="minorHAnsi" w:cstheme="minorHAnsi"/>
          <w:sz w:val="22"/>
          <w:szCs w:val="22"/>
          <w:lang w:eastAsia="ja-JP"/>
        </w:rPr>
        <w:t>resources</w:t>
      </w:r>
      <w:r w:rsidRPr="00FC0532">
        <w:rPr>
          <w:rFonts w:asciiTheme="minorHAnsi" w:eastAsia="Arial" w:hAnsiTheme="minorHAnsi" w:cstheme="minorHAnsi"/>
          <w:spacing w:val="-3"/>
          <w:sz w:val="22"/>
          <w:szCs w:val="22"/>
        </w:rPr>
        <w:t xml:space="preserve"> </w:t>
      </w:r>
      <w:proofErr w:type="gramStart"/>
      <w:r w:rsidRPr="00FC0532">
        <w:rPr>
          <w:rFonts w:asciiTheme="minorHAnsi" w:eastAsia="Arial" w:hAnsiTheme="minorHAnsi" w:cstheme="minorHAnsi"/>
          <w:spacing w:val="-3"/>
          <w:sz w:val="22"/>
          <w:szCs w:val="22"/>
        </w:rPr>
        <w:t>as a result of</w:t>
      </w:r>
      <w:proofErr w:type="gramEnd"/>
      <w:r w:rsidRPr="00FC0532">
        <w:rPr>
          <w:rFonts w:asciiTheme="minorHAnsi" w:eastAsia="Arial" w:hAnsiTheme="minorHAnsi" w:cstheme="minorHAnsi"/>
          <w:spacing w:val="-3"/>
          <w:sz w:val="22"/>
          <w:szCs w:val="22"/>
        </w:rPr>
        <w:t xml:space="preserve"> fewer dropouts and repetitions. The SSDP will enhance internal efficiency and will result in low ‘wastage’, that is, fewer school dropouts and repeaters, and lower unit costs. </w:t>
      </w:r>
    </w:p>
    <w:p w14:paraId="45C689A6"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b/>
          <w:bCs/>
          <w:sz w:val="22"/>
          <w:szCs w:val="22"/>
        </w:rPr>
        <w:t>Costs.</w:t>
      </w:r>
      <w:r w:rsidRPr="00FC0532">
        <w:rPr>
          <w:rFonts w:asciiTheme="minorHAnsi" w:eastAsia="Calibri" w:hAnsiTheme="minorHAnsi" w:cstheme="minorHAnsi"/>
          <w:bCs/>
          <w:sz w:val="22"/>
          <w:szCs w:val="22"/>
        </w:rPr>
        <w:t xml:space="preserve"> SSDP costs include additional program costs (from the Government and JFP sources) and private costs that </w:t>
      </w:r>
      <w:r w:rsidRPr="00FC0532">
        <w:rPr>
          <w:rFonts w:asciiTheme="minorHAnsi" w:eastAsia="MS Mincho" w:hAnsiTheme="minorHAnsi" w:cstheme="minorHAnsi"/>
          <w:sz w:val="22"/>
          <w:szCs w:val="22"/>
          <w:lang w:eastAsia="ja-JP"/>
        </w:rPr>
        <w:t>comprise</w:t>
      </w:r>
      <w:r w:rsidRPr="00FC0532">
        <w:rPr>
          <w:rFonts w:asciiTheme="minorHAnsi" w:eastAsia="Calibri" w:hAnsiTheme="minorHAnsi" w:cstheme="minorHAnsi"/>
          <w:bCs/>
          <w:sz w:val="22"/>
          <w:szCs w:val="22"/>
        </w:rPr>
        <w:t xml:space="preserve"> direct </w:t>
      </w:r>
      <w:r w:rsidRPr="00FC0532">
        <w:rPr>
          <w:rFonts w:asciiTheme="minorHAnsi" w:eastAsia="MS Mincho" w:hAnsiTheme="minorHAnsi" w:cstheme="minorHAnsi"/>
          <w:sz w:val="22"/>
          <w:szCs w:val="22"/>
          <w:lang w:eastAsia="ja-JP"/>
        </w:rPr>
        <w:t>household</w:t>
      </w:r>
      <w:r w:rsidRPr="00FC0532">
        <w:rPr>
          <w:rFonts w:asciiTheme="minorHAnsi" w:eastAsia="Calibri" w:hAnsiTheme="minorHAnsi" w:cstheme="minorHAnsi"/>
          <w:bCs/>
          <w:sz w:val="22"/>
          <w:szCs w:val="22"/>
        </w:rPr>
        <w:t xml:space="preserve"> outlays as well as opportunity costs. Additional </w:t>
      </w:r>
      <w:r w:rsidRPr="00FC0532">
        <w:rPr>
          <w:rFonts w:asciiTheme="minorHAnsi" w:eastAsia="Arial" w:hAnsiTheme="minorHAnsi" w:cstheme="minorHAnsi"/>
          <w:spacing w:val="4"/>
          <w:sz w:val="22"/>
          <w:szCs w:val="22"/>
        </w:rPr>
        <w:t xml:space="preserve">program </w:t>
      </w:r>
      <w:r w:rsidRPr="00FC0532">
        <w:rPr>
          <w:rFonts w:asciiTheme="minorHAnsi" w:eastAsia="Calibri" w:hAnsiTheme="minorHAnsi" w:cstheme="minorHAnsi"/>
          <w:sz w:val="22"/>
          <w:szCs w:val="22"/>
        </w:rPr>
        <w:t>investment</w:t>
      </w:r>
      <w:r w:rsidRPr="00FC0532">
        <w:rPr>
          <w:rFonts w:asciiTheme="minorHAnsi" w:eastAsia="Calibri" w:hAnsiTheme="minorHAnsi" w:cstheme="minorHAnsi"/>
          <w:bCs/>
          <w:sz w:val="22"/>
          <w:szCs w:val="22"/>
        </w:rPr>
        <w:t xml:space="preserve"> is derived from the difference between the ongoing program spending and the proposed SSDP estimates. The SSDP cost estimates remain unchanged since the </w:t>
      </w:r>
      <w:r>
        <w:rPr>
          <w:rFonts w:asciiTheme="minorHAnsi" w:eastAsia="Calibri" w:hAnsiTheme="minorHAnsi" w:cstheme="minorHAnsi"/>
          <w:bCs/>
          <w:sz w:val="22"/>
          <w:szCs w:val="22"/>
        </w:rPr>
        <w:t>parent IDA program</w:t>
      </w:r>
      <w:r w:rsidRPr="00FC0532">
        <w:rPr>
          <w:rFonts w:asciiTheme="minorHAnsi" w:eastAsia="Calibri" w:hAnsiTheme="minorHAnsi" w:cstheme="minorHAnsi"/>
          <w:bCs/>
          <w:sz w:val="22"/>
          <w:szCs w:val="22"/>
        </w:rPr>
        <w:t xml:space="preserve"> because the Program has not been restructured under the AF.</w:t>
      </w:r>
    </w:p>
    <w:p w14:paraId="6C9B8FB3" w14:textId="77777777" w:rsidR="00C0697C" w:rsidRPr="00FC0532" w:rsidRDefault="00C0697C" w:rsidP="00C0697C">
      <w:pPr>
        <w:widowControl/>
        <w:numPr>
          <w:ilvl w:val="0"/>
          <w:numId w:val="2"/>
        </w:numPr>
        <w:tabs>
          <w:tab w:val="clear" w:pos="2520"/>
        </w:tabs>
        <w:autoSpaceDE/>
        <w:autoSpaceDN/>
        <w:adjustRightInd/>
        <w:spacing w:after="240"/>
        <w:ind w:left="0" w:firstLine="0"/>
        <w:jc w:val="both"/>
        <w:rPr>
          <w:rFonts w:asciiTheme="minorHAnsi" w:eastAsia="Calibri" w:hAnsiTheme="minorHAnsi" w:cstheme="minorHAnsi"/>
          <w:sz w:val="22"/>
          <w:szCs w:val="22"/>
        </w:rPr>
      </w:pPr>
      <w:r w:rsidRPr="00FC0532">
        <w:rPr>
          <w:rFonts w:asciiTheme="minorHAnsi" w:eastAsia="Calibri" w:hAnsiTheme="minorHAnsi" w:cstheme="minorHAnsi"/>
          <w:sz w:val="22"/>
          <w:szCs w:val="22"/>
        </w:rPr>
        <w:t xml:space="preserve">Based on a discount rate of 12 percent for the benefit and cost streams described above, the net present value of SSDP benefits is estimated to be US$383 million and the estimated IRR is 15.9 percent. Since our cost and benefit assumptions hold under the proposed AF, the IRR suggests that the SSDP continues to be economically justified. Indeed, these estimates are likely to be conservative. The AF would help mitigate risk of disruptions in service delivery during the federal transition and hence help maintain the program’s efficiency gains from reduced dropouts relative to the counterfactual scenario without the AF. </w:t>
      </w:r>
    </w:p>
    <w:p w14:paraId="26E4C389" w14:textId="77777777" w:rsidR="006B1097" w:rsidRDefault="006B1097"/>
    <w:sectPr w:rsidR="006B10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FC1C1" w14:textId="77777777" w:rsidR="00C0697C" w:rsidRDefault="00C0697C" w:rsidP="00C0697C">
      <w:r>
        <w:separator/>
      </w:r>
    </w:p>
  </w:endnote>
  <w:endnote w:type="continuationSeparator" w:id="0">
    <w:p w14:paraId="06D150C0" w14:textId="77777777" w:rsidR="00C0697C" w:rsidRDefault="00C0697C" w:rsidP="00C0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02077" w14:textId="77777777" w:rsidR="00C0697C" w:rsidRDefault="00C0697C" w:rsidP="00C0697C">
      <w:r>
        <w:separator/>
      </w:r>
    </w:p>
  </w:footnote>
  <w:footnote w:type="continuationSeparator" w:id="0">
    <w:p w14:paraId="2C8AC1F6" w14:textId="77777777" w:rsidR="00C0697C" w:rsidRDefault="00C0697C" w:rsidP="00C0697C">
      <w:r>
        <w:continuationSeparator/>
      </w:r>
    </w:p>
  </w:footnote>
  <w:footnote w:id="1">
    <w:p w14:paraId="5740D799" w14:textId="77777777" w:rsidR="00C0697C" w:rsidRPr="00FC0532" w:rsidRDefault="00C0697C" w:rsidP="00C0697C">
      <w:pPr>
        <w:pStyle w:val="FootnoteText"/>
        <w:rPr>
          <w:rFonts w:asciiTheme="minorHAnsi" w:hAnsiTheme="minorHAnsi" w:cstheme="minorHAnsi"/>
          <w:sz w:val="18"/>
          <w:szCs w:val="18"/>
        </w:rPr>
      </w:pPr>
      <w:r w:rsidRPr="00FC0532">
        <w:rPr>
          <w:rStyle w:val="FootnoteReference"/>
          <w:rFonts w:asciiTheme="minorHAnsi" w:hAnsiTheme="minorHAnsi" w:cstheme="minorHAnsi"/>
          <w:sz w:val="18"/>
          <w:szCs w:val="18"/>
        </w:rPr>
        <w:footnoteRef/>
      </w:r>
      <w:r w:rsidRPr="00FC0532">
        <w:rPr>
          <w:rFonts w:asciiTheme="minorHAnsi" w:hAnsiTheme="minorHAnsi" w:cstheme="minorHAnsi"/>
          <w:sz w:val="18"/>
          <w:szCs w:val="18"/>
        </w:rPr>
        <w:t xml:space="preserve"> For FY 2018, the education sector budget makes 10.2 percent of the overall federal budget. </w:t>
      </w:r>
    </w:p>
  </w:footnote>
  <w:footnote w:id="2">
    <w:p w14:paraId="6D9BF5AD" w14:textId="77777777" w:rsidR="00C0697C" w:rsidRPr="00FC0532" w:rsidRDefault="00C0697C" w:rsidP="00C0697C">
      <w:pPr>
        <w:pStyle w:val="FootnoteText"/>
        <w:rPr>
          <w:rFonts w:asciiTheme="minorHAnsi" w:hAnsiTheme="minorHAnsi" w:cstheme="minorHAnsi"/>
          <w:sz w:val="18"/>
          <w:szCs w:val="18"/>
        </w:rPr>
      </w:pPr>
      <w:r w:rsidRPr="00FC0532">
        <w:rPr>
          <w:rStyle w:val="FootnoteReference"/>
          <w:rFonts w:asciiTheme="minorHAnsi" w:hAnsiTheme="minorHAnsi" w:cstheme="minorHAnsi"/>
          <w:sz w:val="18"/>
          <w:szCs w:val="18"/>
        </w:rPr>
        <w:footnoteRef/>
      </w:r>
      <w:r w:rsidRPr="00FC0532">
        <w:rPr>
          <w:rFonts w:asciiTheme="minorHAnsi" w:hAnsiTheme="minorHAnsi" w:cstheme="minorHAnsi"/>
          <w:sz w:val="18"/>
          <w:szCs w:val="18"/>
        </w:rPr>
        <w:t xml:space="preserve"> Using exchange rate of NPR 105 to US$1. </w:t>
      </w:r>
    </w:p>
  </w:footnote>
  <w:footnote w:id="3">
    <w:p w14:paraId="132CD9AC" w14:textId="77777777" w:rsidR="00C0697C" w:rsidRPr="00FC0532" w:rsidRDefault="00C0697C" w:rsidP="00C0697C">
      <w:pPr>
        <w:pStyle w:val="FootnoteText"/>
        <w:rPr>
          <w:rFonts w:asciiTheme="minorHAnsi" w:hAnsiTheme="minorHAnsi" w:cstheme="minorHAnsi"/>
        </w:rPr>
      </w:pPr>
      <w:r w:rsidRPr="00FC0532">
        <w:rPr>
          <w:rStyle w:val="FootnoteReference"/>
          <w:rFonts w:asciiTheme="minorHAnsi" w:hAnsiTheme="minorHAnsi" w:cstheme="minorHAnsi"/>
          <w:sz w:val="18"/>
          <w:szCs w:val="18"/>
        </w:rPr>
        <w:footnoteRef/>
      </w:r>
      <w:r w:rsidRPr="00FC0532">
        <w:rPr>
          <w:rFonts w:asciiTheme="minorHAnsi" w:hAnsiTheme="minorHAnsi" w:cstheme="minorHAnsi"/>
          <w:sz w:val="18"/>
          <w:szCs w:val="18"/>
        </w:rPr>
        <w:t xml:space="preserve"> MOEST. </w:t>
      </w:r>
      <w:r w:rsidRPr="00FC0532">
        <w:rPr>
          <w:rFonts w:asciiTheme="minorHAnsi" w:hAnsiTheme="minorHAnsi" w:cstheme="minorHAnsi"/>
          <w:i/>
          <w:sz w:val="18"/>
          <w:szCs w:val="18"/>
        </w:rPr>
        <w:t>Annual Strategic Implementation Plan draft</w:t>
      </w:r>
      <w:r w:rsidRPr="00FC0532">
        <w:rPr>
          <w:rFonts w:asciiTheme="minorHAnsi" w:hAnsiTheme="minorHAnsi" w:cstheme="minorHAnsi"/>
          <w:sz w:val="18"/>
          <w:szCs w:val="18"/>
        </w:rPr>
        <w:t>. September 2018.</w:t>
      </w:r>
      <w:r w:rsidRPr="00FC0532">
        <w:rPr>
          <w:rFonts w:asciiTheme="minorHAnsi" w:hAnsiTheme="minorHAnsi" w:cstheme="minorHAnsi"/>
        </w:rPr>
        <w:t xml:space="preserve"> </w:t>
      </w:r>
    </w:p>
  </w:footnote>
  <w:footnote w:id="4">
    <w:p w14:paraId="3AA75DA6" w14:textId="77777777" w:rsidR="00C0697C" w:rsidRPr="00FC0532" w:rsidRDefault="00C0697C" w:rsidP="00C0697C">
      <w:pPr>
        <w:pStyle w:val="FootnoteText"/>
        <w:rPr>
          <w:rFonts w:asciiTheme="minorHAnsi" w:hAnsiTheme="minorHAnsi" w:cstheme="minorHAnsi"/>
          <w:sz w:val="18"/>
          <w:szCs w:val="18"/>
        </w:rPr>
      </w:pPr>
      <w:r w:rsidRPr="00FC0532">
        <w:rPr>
          <w:rStyle w:val="FootnoteReference"/>
          <w:rFonts w:asciiTheme="minorHAnsi" w:hAnsiTheme="minorHAnsi" w:cstheme="minorHAnsi"/>
          <w:sz w:val="18"/>
          <w:szCs w:val="18"/>
        </w:rPr>
        <w:footnoteRef/>
      </w:r>
      <w:r w:rsidRPr="00FC0532">
        <w:rPr>
          <w:rFonts w:asciiTheme="minorHAnsi" w:hAnsiTheme="minorHAnsi" w:cstheme="minorHAnsi"/>
          <w:sz w:val="18"/>
          <w:szCs w:val="18"/>
        </w:rPr>
        <w:t xml:space="preserve"> Resource envelope refers to the fiscal space that can be provided for the school sector </w:t>
      </w:r>
      <w:proofErr w:type="gramStart"/>
      <w:r w:rsidRPr="00FC0532">
        <w:rPr>
          <w:rFonts w:asciiTheme="minorHAnsi" w:hAnsiTheme="minorHAnsi" w:cstheme="minorHAnsi"/>
          <w:sz w:val="18"/>
          <w:szCs w:val="18"/>
        </w:rPr>
        <w:t>as a whole and</w:t>
      </w:r>
      <w:proofErr w:type="gramEnd"/>
      <w:r w:rsidRPr="00FC0532">
        <w:rPr>
          <w:rFonts w:asciiTheme="minorHAnsi" w:hAnsiTheme="minorHAnsi" w:cstheme="minorHAnsi"/>
          <w:sz w:val="18"/>
          <w:szCs w:val="18"/>
        </w:rPr>
        <w:t xml:space="preserve"> is estimated based on past trends in resource allocations; the Program cost estimate represents the required costs to implement SSDP activities.</w:t>
      </w:r>
    </w:p>
  </w:footnote>
  <w:footnote w:id="5">
    <w:p w14:paraId="41C06BB1" w14:textId="77777777" w:rsidR="00C0697C" w:rsidRPr="00020B29" w:rsidRDefault="00C0697C" w:rsidP="00C0697C">
      <w:pPr>
        <w:pStyle w:val="FootnoteText"/>
        <w:rPr>
          <w:sz w:val="18"/>
          <w:szCs w:val="18"/>
        </w:rPr>
      </w:pPr>
      <w:r w:rsidRPr="00FC0532">
        <w:rPr>
          <w:rStyle w:val="FootnoteReference"/>
          <w:rFonts w:asciiTheme="minorHAnsi" w:hAnsiTheme="minorHAnsi" w:cstheme="minorHAnsi"/>
          <w:sz w:val="18"/>
          <w:szCs w:val="18"/>
        </w:rPr>
        <w:footnoteRef/>
      </w:r>
      <w:r w:rsidRPr="00FC0532">
        <w:rPr>
          <w:rFonts w:asciiTheme="minorHAnsi" w:hAnsiTheme="minorHAnsi" w:cstheme="minorHAnsi"/>
          <w:sz w:val="18"/>
          <w:szCs w:val="18"/>
        </w:rPr>
        <w:t xml:space="preserve"> The plausible scenario assumes average annual real GDP growth of 4.4 percent, an annual inflation rate of 8 percent, share of education in GDP of 5.2 percent, and share of the SSDP at 80 percent of the total education budget during the 7-year plan period and is used to arrive at the projected resource envelope for the education sector.</w:t>
      </w:r>
    </w:p>
  </w:footnote>
  <w:footnote w:id="6">
    <w:p w14:paraId="0DF03C98" w14:textId="77777777" w:rsidR="00C0697C" w:rsidRPr="00FC0532" w:rsidRDefault="00C0697C" w:rsidP="00C0697C">
      <w:pPr>
        <w:pStyle w:val="FootnoteText"/>
        <w:rPr>
          <w:rFonts w:asciiTheme="minorHAnsi" w:hAnsiTheme="minorHAnsi" w:cstheme="minorHAnsi"/>
          <w:sz w:val="18"/>
          <w:szCs w:val="18"/>
        </w:rPr>
      </w:pPr>
      <w:r w:rsidRPr="00FC0532">
        <w:rPr>
          <w:rStyle w:val="FootnoteReference"/>
          <w:rFonts w:asciiTheme="minorHAnsi" w:hAnsiTheme="minorHAnsi" w:cstheme="minorHAnsi"/>
          <w:sz w:val="18"/>
          <w:szCs w:val="18"/>
        </w:rPr>
        <w:footnoteRef/>
      </w:r>
      <w:r w:rsidRPr="00FC0532">
        <w:rPr>
          <w:rFonts w:asciiTheme="minorHAnsi" w:hAnsiTheme="minorHAnsi" w:cstheme="minorHAnsi"/>
          <w:sz w:val="18"/>
          <w:szCs w:val="18"/>
        </w:rPr>
        <w:t xml:space="preserve"> MOEST, Letter no. </w:t>
      </w:r>
      <w:r w:rsidRPr="00FC0532">
        <w:rPr>
          <w:rFonts w:asciiTheme="minorHAnsi" w:eastAsia="Calibri" w:hAnsiTheme="minorHAnsi" w:cstheme="minorHAnsi"/>
          <w:sz w:val="18"/>
          <w:szCs w:val="18"/>
          <w:lang w:val="en-IN"/>
        </w:rPr>
        <w:t>2.1.16/074/075.</w:t>
      </w:r>
    </w:p>
  </w:footnote>
  <w:footnote w:id="7">
    <w:p w14:paraId="54515E25" w14:textId="77777777" w:rsidR="00C0697C" w:rsidRDefault="00C0697C" w:rsidP="00C0697C">
      <w:pPr>
        <w:pStyle w:val="FootnoteText"/>
      </w:pPr>
      <w:r w:rsidRPr="00FC0532">
        <w:rPr>
          <w:rStyle w:val="FootnoteReference"/>
          <w:rFonts w:asciiTheme="minorHAnsi" w:hAnsiTheme="minorHAnsi" w:cstheme="minorHAnsi"/>
          <w:sz w:val="18"/>
          <w:szCs w:val="18"/>
        </w:rPr>
        <w:footnoteRef/>
      </w:r>
      <w:r w:rsidRPr="00FC0532">
        <w:rPr>
          <w:rFonts w:asciiTheme="minorHAnsi" w:hAnsiTheme="minorHAnsi" w:cstheme="minorHAnsi"/>
          <w:sz w:val="18"/>
          <w:szCs w:val="18"/>
        </w:rPr>
        <w:t xml:space="preserve"> Claussen and others. 2018. </w:t>
      </w:r>
      <w:r w:rsidRPr="00FC0532">
        <w:rPr>
          <w:rFonts w:asciiTheme="minorHAnsi" w:hAnsiTheme="minorHAnsi" w:cstheme="minorHAnsi"/>
          <w:i/>
          <w:sz w:val="18"/>
          <w:szCs w:val="18"/>
        </w:rPr>
        <w:t>Federal System and Changes in Risk Assessment for the School Sector Development Plan</w:t>
      </w:r>
      <w:r w:rsidRPr="00FC0532">
        <w:rPr>
          <w:rFonts w:asciiTheme="minorHAnsi" w:hAnsiTheme="minorHAnsi" w:cstheme="minorHAnsi"/>
          <w:sz w:val="18"/>
          <w:szCs w:val="18"/>
        </w:rPr>
        <w:t>.</w:t>
      </w:r>
      <w:r>
        <w:t xml:space="preserve"> </w:t>
      </w:r>
    </w:p>
  </w:footnote>
  <w:footnote w:id="8">
    <w:p w14:paraId="5095A3DB" w14:textId="77777777" w:rsidR="00C0697C" w:rsidRPr="00FC0532" w:rsidRDefault="00C0697C" w:rsidP="00C0697C">
      <w:pPr>
        <w:pStyle w:val="FootnoteText"/>
        <w:rPr>
          <w:rFonts w:asciiTheme="minorHAnsi" w:hAnsiTheme="minorHAnsi" w:cstheme="minorHAnsi"/>
          <w:sz w:val="18"/>
          <w:szCs w:val="18"/>
        </w:rPr>
      </w:pPr>
      <w:r w:rsidRPr="00FC0532">
        <w:rPr>
          <w:rStyle w:val="FootnoteReference"/>
          <w:rFonts w:asciiTheme="minorHAnsi" w:hAnsiTheme="minorHAnsi" w:cstheme="minorHAnsi"/>
          <w:sz w:val="18"/>
          <w:szCs w:val="18"/>
        </w:rPr>
        <w:footnoteRef/>
      </w:r>
      <w:r w:rsidRPr="00FC0532">
        <w:rPr>
          <w:rFonts w:asciiTheme="minorHAnsi" w:hAnsiTheme="minorHAnsi" w:cstheme="minorHAnsi"/>
          <w:sz w:val="18"/>
          <w:szCs w:val="18"/>
        </w:rPr>
        <w:t xml:space="preserve"> Formerly called the Foreign Coordination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697"/>
    <w:multiLevelType w:val="hybridMultilevel"/>
    <w:tmpl w:val="3F8EB94E"/>
    <w:lvl w:ilvl="0" w:tplc="780CC286">
      <w:start w:val="1"/>
      <w:numFmt w:val="upperLetter"/>
      <w:lvlText w:val="%1."/>
      <w:lvlJc w:val="left"/>
      <w:pPr>
        <w:ind w:left="504" w:hanging="360"/>
      </w:pPr>
      <w:rPr>
        <w:rFonts w:hint="default"/>
      </w:rPr>
    </w:lvl>
    <w:lvl w:ilvl="1" w:tplc="13B6B466" w:tentative="1">
      <w:start w:val="1"/>
      <w:numFmt w:val="lowerLetter"/>
      <w:lvlText w:val="%2."/>
      <w:lvlJc w:val="left"/>
      <w:pPr>
        <w:ind w:left="1224" w:hanging="360"/>
      </w:pPr>
    </w:lvl>
    <w:lvl w:ilvl="2" w:tplc="4758510A" w:tentative="1">
      <w:start w:val="1"/>
      <w:numFmt w:val="lowerRoman"/>
      <w:lvlText w:val="%3."/>
      <w:lvlJc w:val="right"/>
      <w:pPr>
        <w:ind w:left="1944" w:hanging="180"/>
      </w:pPr>
    </w:lvl>
    <w:lvl w:ilvl="3" w:tplc="5AB68AB6" w:tentative="1">
      <w:start w:val="1"/>
      <w:numFmt w:val="decimal"/>
      <w:lvlText w:val="%4."/>
      <w:lvlJc w:val="left"/>
      <w:pPr>
        <w:ind w:left="2664" w:hanging="360"/>
      </w:pPr>
    </w:lvl>
    <w:lvl w:ilvl="4" w:tplc="13446488" w:tentative="1">
      <w:start w:val="1"/>
      <w:numFmt w:val="lowerLetter"/>
      <w:lvlText w:val="%5."/>
      <w:lvlJc w:val="left"/>
      <w:pPr>
        <w:ind w:left="3384" w:hanging="360"/>
      </w:pPr>
    </w:lvl>
    <w:lvl w:ilvl="5" w:tplc="24425790" w:tentative="1">
      <w:start w:val="1"/>
      <w:numFmt w:val="lowerRoman"/>
      <w:lvlText w:val="%6."/>
      <w:lvlJc w:val="right"/>
      <w:pPr>
        <w:ind w:left="4104" w:hanging="180"/>
      </w:pPr>
    </w:lvl>
    <w:lvl w:ilvl="6" w:tplc="C91CCA18" w:tentative="1">
      <w:start w:val="1"/>
      <w:numFmt w:val="decimal"/>
      <w:lvlText w:val="%7."/>
      <w:lvlJc w:val="left"/>
      <w:pPr>
        <w:ind w:left="4824" w:hanging="360"/>
      </w:pPr>
    </w:lvl>
    <w:lvl w:ilvl="7" w:tplc="85185C8E" w:tentative="1">
      <w:start w:val="1"/>
      <w:numFmt w:val="lowerLetter"/>
      <w:lvlText w:val="%8."/>
      <w:lvlJc w:val="left"/>
      <w:pPr>
        <w:ind w:left="5544" w:hanging="360"/>
      </w:pPr>
    </w:lvl>
    <w:lvl w:ilvl="8" w:tplc="1E3EAD0C" w:tentative="1">
      <w:start w:val="1"/>
      <w:numFmt w:val="lowerRoman"/>
      <w:lvlText w:val="%9."/>
      <w:lvlJc w:val="right"/>
      <w:pPr>
        <w:ind w:left="6264" w:hanging="180"/>
      </w:pPr>
    </w:lvl>
  </w:abstractNum>
  <w:abstractNum w:abstractNumId="1" w15:restartNumberingAfterBreak="0">
    <w:nsid w:val="22D74ADA"/>
    <w:multiLevelType w:val="hybridMultilevel"/>
    <w:tmpl w:val="24BC8168"/>
    <w:lvl w:ilvl="0" w:tplc="24262FA2">
      <w:start w:val="1"/>
      <w:numFmt w:val="decimal"/>
      <w:lvlText w:val="%1."/>
      <w:lvlJc w:val="left"/>
      <w:pPr>
        <w:tabs>
          <w:tab w:val="num" w:pos="2520"/>
        </w:tabs>
        <w:ind w:left="2520" w:hanging="360"/>
      </w:pPr>
      <w:rPr>
        <w:rFonts w:cs="Times New Roman" w:hint="default"/>
        <w:b w:val="0"/>
        <w:i w:val="0"/>
        <w:caps w:val="0"/>
        <w:strike w:val="0"/>
        <w:dstrike w:val="0"/>
        <w:vanish w:val="0"/>
        <w:webHidden w:val="0"/>
        <w:color w:val="auto"/>
        <w:sz w:val="22"/>
        <w:szCs w:val="22"/>
        <w:u w:val="none"/>
        <w:effect w:val="none"/>
        <w:vertAlign w:val="baseline"/>
        <w:specVanish w:val="0"/>
      </w:rPr>
    </w:lvl>
    <w:lvl w:ilvl="1" w:tplc="BC62788A">
      <w:start w:val="1"/>
      <w:numFmt w:val="bullet"/>
      <w:lvlText w:val=""/>
      <w:lvlJc w:val="left"/>
      <w:pPr>
        <w:tabs>
          <w:tab w:val="num" w:pos="3600"/>
        </w:tabs>
        <w:ind w:left="3600" w:hanging="360"/>
      </w:pPr>
      <w:rPr>
        <w:rFonts w:ascii="Symbol" w:hAnsi="Symbol" w:hint="default"/>
        <w:b w:val="0"/>
        <w:i w:val="0"/>
        <w:sz w:val="22"/>
        <w:szCs w:val="22"/>
      </w:rPr>
    </w:lvl>
    <w:lvl w:ilvl="2" w:tplc="A532EF6E">
      <w:start w:val="1"/>
      <w:numFmt w:val="lowerLetter"/>
      <w:lvlText w:val="%3."/>
      <w:lvlJc w:val="left"/>
      <w:pPr>
        <w:tabs>
          <w:tab w:val="num" w:pos="4500"/>
        </w:tabs>
        <w:ind w:left="4500" w:hanging="360"/>
      </w:pPr>
      <w:rPr>
        <w:rFonts w:cs="Times New Roman"/>
        <w:b w:val="0"/>
        <w:i w:val="0"/>
        <w:color w:val="auto"/>
        <w:sz w:val="22"/>
        <w:szCs w:val="22"/>
      </w:rPr>
    </w:lvl>
    <w:lvl w:ilvl="3" w:tplc="FC0AC336">
      <w:start w:val="1"/>
      <w:numFmt w:val="lowerRoman"/>
      <w:lvlText w:val="(%4)"/>
      <w:lvlJc w:val="left"/>
      <w:pPr>
        <w:tabs>
          <w:tab w:val="num" w:pos="5400"/>
        </w:tabs>
        <w:ind w:left="5400" w:hanging="720"/>
      </w:pPr>
      <w:rPr>
        <w:rFonts w:cs="Times New Roman"/>
      </w:rPr>
    </w:lvl>
    <w:lvl w:ilvl="4" w:tplc="85FA37D4">
      <w:start w:val="1"/>
      <w:numFmt w:val="lowerLetter"/>
      <w:lvlText w:val="(%5)"/>
      <w:lvlJc w:val="left"/>
      <w:pPr>
        <w:tabs>
          <w:tab w:val="num" w:pos="5760"/>
        </w:tabs>
        <w:ind w:left="5760" w:hanging="360"/>
      </w:pPr>
      <w:rPr>
        <w:rFonts w:cs="Times New Roman"/>
        <w:i w:val="0"/>
      </w:rPr>
    </w:lvl>
    <w:lvl w:ilvl="5" w:tplc="4DEA87E0">
      <w:start w:val="1"/>
      <w:numFmt w:val="decimal"/>
      <w:lvlText w:val="Table %6"/>
      <w:lvlJc w:val="left"/>
      <w:pPr>
        <w:tabs>
          <w:tab w:val="num" w:pos="7020"/>
        </w:tabs>
        <w:ind w:left="7020" w:hanging="720"/>
      </w:pPr>
      <w:rPr>
        <w:rFonts w:cs="Times New Roman"/>
        <w:i w:val="0"/>
      </w:rPr>
    </w:lvl>
    <w:lvl w:ilvl="6" w:tplc="0D04A962">
      <w:start w:val="1"/>
      <w:numFmt w:val="decimal"/>
      <w:lvlText w:val="%7."/>
      <w:lvlJc w:val="left"/>
      <w:pPr>
        <w:tabs>
          <w:tab w:val="num" w:pos="7200"/>
        </w:tabs>
        <w:ind w:left="7200" w:hanging="360"/>
      </w:pPr>
      <w:rPr>
        <w:rFonts w:cs="Times New Roman"/>
      </w:rPr>
    </w:lvl>
    <w:lvl w:ilvl="7" w:tplc="A9F0C8FE">
      <w:start w:val="1"/>
      <w:numFmt w:val="lowerLetter"/>
      <w:lvlText w:val="%8."/>
      <w:lvlJc w:val="left"/>
      <w:pPr>
        <w:tabs>
          <w:tab w:val="num" w:pos="7920"/>
        </w:tabs>
        <w:ind w:left="7920" w:hanging="360"/>
      </w:pPr>
      <w:rPr>
        <w:rFonts w:cs="Times New Roman"/>
      </w:rPr>
    </w:lvl>
    <w:lvl w:ilvl="8" w:tplc="6164CDE2">
      <w:start w:val="1"/>
      <w:numFmt w:val="lowerRoman"/>
      <w:lvlText w:val="%9."/>
      <w:lvlJc w:val="right"/>
      <w:pPr>
        <w:tabs>
          <w:tab w:val="num" w:pos="8640"/>
        </w:tabs>
        <w:ind w:left="8640" w:hanging="180"/>
      </w:pPr>
      <w:rPr>
        <w:rFonts w:cs="Times New Roman"/>
      </w:rPr>
    </w:lvl>
  </w:abstractNum>
  <w:abstractNum w:abstractNumId="2" w15:restartNumberingAfterBreak="0">
    <w:nsid w:val="421B37C0"/>
    <w:multiLevelType w:val="hybridMultilevel"/>
    <w:tmpl w:val="E31AF83A"/>
    <w:lvl w:ilvl="0" w:tplc="638A07D2">
      <w:start w:val="1"/>
      <w:numFmt w:val="decimal"/>
      <w:lvlText w:val="%1."/>
      <w:lvlJc w:val="left"/>
      <w:pPr>
        <w:ind w:left="360" w:hanging="360"/>
      </w:pPr>
    </w:lvl>
    <w:lvl w:ilvl="1" w:tplc="664E5BC8" w:tentative="1">
      <w:start w:val="1"/>
      <w:numFmt w:val="lowerLetter"/>
      <w:lvlText w:val="%2."/>
      <w:lvlJc w:val="left"/>
      <w:pPr>
        <w:ind w:left="1080" w:hanging="360"/>
      </w:pPr>
    </w:lvl>
    <w:lvl w:ilvl="2" w:tplc="97341FDC" w:tentative="1">
      <w:start w:val="1"/>
      <w:numFmt w:val="lowerRoman"/>
      <w:lvlText w:val="%3."/>
      <w:lvlJc w:val="right"/>
      <w:pPr>
        <w:ind w:left="1800" w:hanging="180"/>
      </w:pPr>
    </w:lvl>
    <w:lvl w:ilvl="3" w:tplc="9A80C67C" w:tentative="1">
      <w:start w:val="1"/>
      <w:numFmt w:val="decimal"/>
      <w:lvlText w:val="%4."/>
      <w:lvlJc w:val="left"/>
      <w:pPr>
        <w:ind w:left="2520" w:hanging="360"/>
      </w:pPr>
    </w:lvl>
    <w:lvl w:ilvl="4" w:tplc="FF18D658" w:tentative="1">
      <w:start w:val="1"/>
      <w:numFmt w:val="lowerLetter"/>
      <w:lvlText w:val="%5."/>
      <w:lvlJc w:val="left"/>
      <w:pPr>
        <w:ind w:left="3240" w:hanging="360"/>
      </w:pPr>
    </w:lvl>
    <w:lvl w:ilvl="5" w:tplc="8EBC3838" w:tentative="1">
      <w:start w:val="1"/>
      <w:numFmt w:val="lowerRoman"/>
      <w:lvlText w:val="%6."/>
      <w:lvlJc w:val="right"/>
      <w:pPr>
        <w:ind w:left="3960" w:hanging="180"/>
      </w:pPr>
    </w:lvl>
    <w:lvl w:ilvl="6" w:tplc="2556C8A6" w:tentative="1">
      <w:start w:val="1"/>
      <w:numFmt w:val="decimal"/>
      <w:lvlText w:val="%7."/>
      <w:lvlJc w:val="left"/>
      <w:pPr>
        <w:ind w:left="4680" w:hanging="360"/>
      </w:pPr>
    </w:lvl>
    <w:lvl w:ilvl="7" w:tplc="410834F0" w:tentative="1">
      <w:start w:val="1"/>
      <w:numFmt w:val="lowerLetter"/>
      <w:lvlText w:val="%8."/>
      <w:lvlJc w:val="left"/>
      <w:pPr>
        <w:ind w:left="5400" w:hanging="360"/>
      </w:pPr>
    </w:lvl>
    <w:lvl w:ilvl="8" w:tplc="27926CEC" w:tentative="1">
      <w:start w:val="1"/>
      <w:numFmt w:val="lowerRoman"/>
      <w:lvlText w:val="%9."/>
      <w:lvlJc w:val="right"/>
      <w:pPr>
        <w:ind w:left="6120" w:hanging="180"/>
      </w:pPr>
    </w:lvl>
  </w:abstractNum>
  <w:abstractNum w:abstractNumId="3" w15:restartNumberingAfterBreak="0">
    <w:nsid w:val="59986C6F"/>
    <w:multiLevelType w:val="hybridMultilevel"/>
    <w:tmpl w:val="4232E6E4"/>
    <w:lvl w:ilvl="0" w:tplc="3FA40C64">
      <w:start w:val="1"/>
      <w:numFmt w:val="upperLetter"/>
      <w:lvlText w:val="%1."/>
      <w:lvlJc w:val="left"/>
      <w:pPr>
        <w:ind w:left="720" w:hanging="360"/>
      </w:pPr>
      <w:rPr>
        <w:rFonts w:hint="default"/>
      </w:rPr>
    </w:lvl>
    <w:lvl w:ilvl="1" w:tplc="CDFE16C8" w:tentative="1">
      <w:start w:val="1"/>
      <w:numFmt w:val="lowerLetter"/>
      <w:lvlText w:val="%2."/>
      <w:lvlJc w:val="left"/>
      <w:pPr>
        <w:ind w:left="1440" w:hanging="360"/>
      </w:pPr>
    </w:lvl>
    <w:lvl w:ilvl="2" w:tplc="3C003884" w:tentative="1">
      <w:start w:val="1"/>
      <w:numFmt w:val="lowerRoman"/>
      <w:lvlText w:val="%3."/>
      <w:lvlJc w:val="right"/>
      <w:pPr>
        <w:ind w:left="2160" w:hanging="180"/>
      </w:pPr>
    </w:lvl>
    <w:lvl w:ilvl="3" w:tplc="A09C03BE" w:tentative="1">
      <w:start w:val="1"/>
      <w:numFmt w:val="decimal"/>
      <w:lvlText w:val="%4."/>
      <w:lvlJc w:val="left"/>
      <w:pPr>
        <w:ind w:left="2880" w:hanging="360"/>
      </w:pPr>
    </w:lvl>
    <w:lvl w:ilvl="4" w:tplc="E94240DA" w:tentative="1">
      <w:start w:val="1"/>
      <w:numFmt w:val="lowerLetter"/>
      <w:lvlText w:val="%5."/>
      <w:lvlJc w:val="left"/>
      <w:pPr>
        <w:ind w:left="3600" w:hanging="360"/>
      </w:pPr>
    </w:lvl>
    <w:lvl w:ilvl="5" w:tplc="3F6A2CE2" w:tentative="1">
      <w:start w:val="1"/>
      <w:numFmt w:val="lowerRoman"/>
      <w:lvlText w:val="%6."/>
      <w:lvlJc w:val="right"/>
      <w:pPr>
        <w:ind w:left="4320" w:hanging="180"/>
      </w:pPr>
    </w:lvl>
    <w:lvl w:ilvl="6" w:tplc="39D072AA" w:tentative="1">
      <w:start w:val="1"/>
      <w:numFmt w:val="decimal"/>
      <w:lvlText w:val="%7."/>
      <w:lvlJc w:val="left"/>
      <w:pPr>
        <w:ind w:left="5040" w:hanging="360"/>
      </w:pPr>
    </w:lvl>
    <w:lvl w:ilvl="7" w:tplc="84A8A4F6" w:tentative="1">
      <w:start w:val="1"/>
      <w:numFmt w:val="lowerLetter"/>
      <w:lvlText w:val="%8."/>
      <w:lvlJc w:val="left"/>
      <w:pPr>
        <w:ind w:left="5760" w:hanging="360"/>
      </w:pPr>
    </w:lvl>
    <w:lvl w:ilvl="8" w:tplc="E1762D6E" w:tentative="1">
      <w:start w:val="1"/>
      <w:numFmt w:val="lowerRoman"/>
      <w:lvlText w:val="%9."/>
      <w:lvlJc w:val="right"/>
      <w:pPr>
        <w:ind w:left="6480" w:hanging="180"/>
      </w:pPr>
    </w:lvl>
  </w:abstractNum>
  <w:abstractNum w:abstractNumId="4" w15:restartNumberingAfterBreak="0">
    <w:nsid w:val="6A004548"/>
    <w:multiLevelType w:val="hybridMultilevel"/>
    <w:tmpl w:val="9FF26D38"/>
    <w:lvl w:ilvl="0" w:tplc="F926C496">
      <w:start w:val="1"/>
      <w:numFmt w:val="upperRoman"/>
      <w:lvlText w:val="%1."/>
      <w:lvlJc w:val="left"/>
      <w:pPr>
        <w:ind w:left="648" w:hanging="504"/>
      </w:pPr>
      <w:rPr>
        <w:rFonts w:hint="default"/>
      </w:rPr>
    </w:lvl>
    <w:lvl w:ilvl="1" w:tplc="4AC247D0" w:tentative="1">
      <w:start w:val="1"/>
      <w:numFmt w:val="lowerLetter"/>
      <w:lvlText w:val="%2."/>
      <w:lvlJc w:val="left"/>
      <w:pPr>
        <w:ind w:left="1440" w:hanging="360"/>
      </w:pPr>
    </w:lvl>
    <w:lvl w:ilvl="2" w:tplc="489E665E" w:tentative="1">
      <w:start w:val="1"/>
      <w:numFmt w:val="lowerRoman"/>
      <w:lvlText w:val="%3."/>
      <w:lvlJc w:val="right"/>
      <w:pPr>
        <w:ind w:left="2160" w:hanging="180"/>
      </w:pPr>
    </w:lvl>
    <w:lvl w:ilvl="3" w:tplc="A3B28F74" w:tentative="1">
      <w:start w:val="1"/>
      <w:numFmt w:val="decimal"/>
      <w:lvlText w:val="%4."/>
      <w:lvlJc w:val="left"/>
      <w:pPr>
        <w:ind w:left="2880" w:hanging="360"/>
      </w:pPr>
    </w:lvl>
    <w:lvl w:ilvl="4" w:tplc="BBD45D4C" w:tentative="1">
      <w:start w:val="1"/>
      <w:numFmt w:val="lowerLetter"/>
      <w:lvlText w:val="%5."/>
      <w:lvlJc w:val="left"/>
      <w:pPr>
        <w:ind w:left="3600" w:hanging="360"/>
      </w:pPr>
    </w:lvl>
    <w:lvl w:ilvl="5" w:tplc="8D6E589A" w:tentative="1">
      <w:start w:val="1"/>
      <w:numFmt w:val="lowerRoman"/>
      <w:lvlText w:val="%6."/>
      <w:lvlJc w:val="right"/>
      <w:pPr>
        <w:ind w:left="4320" w:hanging="180"/>
      </w:pPr>
    </w:lvl>
    <w:lvl w:ilvl="6" w:tplc="7464B090" w:tentative="1">
      <w:start w:val="1"/>
      <w:numFmt w:val="decimal"/>
      <w:lvlText w:val="%7."/>
      <w:lvlJc w:val="left"/>
      <w:pPr>
        <w:ind w:left="5040" w:hanging="360"/>
      </w:pPr>
    </w:lvl>
    <w:lvl w:ilvl="7" w:tplc="1BF4A7D2" w:tentative="1">
      <w:start w:val="1"/>
      <w:numFmt w:val="lowerLetter"/>
      <w:lvlText w:val="%8."/>
      <w:lvlJc w:val="left"/>
      <w:pPr>
        <w:ind w:left="5760" w:hanging="360"/>
      </w:pPr>
    </w:lvl>
    <w:lvl w:ilvl="8" w:tplc="9EC805D0"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7C"/>
    <w:rsid w:val="00027934"/>
    <w:rsid w:val="00072531"/>
    <w:rsid w:val="001F1D66"/>
    <w:rsid w:val="006B1097"/>
    <w:rsid w:val="009412EF"/>
    <w:rsid w:val="00AB7943"/>
    <w:rsid w:val="00C0697C"/>
    <w:rsid w:val="00ED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28D8"/>
  <w15:chartTrackingRefBased/>
  <w15:docId w15:val="{E101890D-7253-4CE5-B516-BF583726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C0697C"/>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CFAA"/>
    <w:basedOn w:val="TableNormal"/>
    <w:uiPriority w:val="39"/>
    <w:rsid w:val="00C0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0697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BankNormal">
    <w:name w:val="BankNormal"/>
    <w:basedOn w:val="Normal"/>
    <w:rsid w:val="00C0697C"/>
    <w:pPr>
      <w:widowControl/>
      <w:autoSpaceDE/>
      <w:autoSpaceDN/>
      <w:adjustRightInd/>
      <w:spacing w:after="240"/>
    </w:pPr>
    <w:rPr>
      <w:rFonts w:ascii="Times New Roman" w:eastAsia="Times New Roman" w:hAnsi="Times New Roman" w:cs="Times New Roman"/>
      <w:color w:val="auto"/>
      <w:szCs w:val="20"/>
    </w:rPr>
  </w:style>
  <w:style w:type="paragraph" w:styleId="FootnoteText">
    <w:name w:val="footnote text"/>
    <w:aliases w:val="Boston 10,Char,FN,FOOTNOTES,Font,Font: Geneva 9,Footnote,Footnote Text Char Char Char,Footnote Text Char Char Char Char Char,Footnote Text Char1 Char,Fußnotentextr,Geneva ,Geneva 9,Texto nota pie Car,f,fn,footnote text,ft,single space,text"/>
    <w:basedOn w:val="Normal"/>
    <w:link w:val="FootnoteTextChar"/>
    <w:uiPriority w:val="99"/>
    <w:qFormat/>
    <w:rsid w:val="00C0697C"/>
    <w:pPr>
      <w:widowControl/>
      <w:autoSpaceDE/>
      <w:autoSpaceDN/>
      <w:adjustRightInd/>
    </w:pPr>
    <w:rPr>
      <w:rFonts w:ascii="Times New Roman" w:eastAsia="Times New Roman" w:hAnsi="Times New Roman" w:cs="Times New Roman"/>
      <w:color w:val="auto"/>
      <w:sz w:val="20"/>
      <w:szCs w:val="20"/>
    </w:rPr>
  </w:style>
  <w:style w:type="character" w:customStyle="1" w:styleId="FootnoteTextChar">
    <w:name w:val="Footnote Text Char"/>
    <w:aliases w:val="Boston 10 Char,Char Char,FN Char,FOOTNOTES Char,Font Char,Font: Geneva 9 Char,Footnote Char,Footnote Text Char Char Char Char,Footnote Text Char Char Char Char Char Char,Footnote Text Char1 Char Char,Fußnotentextr Char,Geneva  Char"/>
    <w:basedOn w:val="DefaultParagraphFont"/>
    <w:link w:val="FootnoteText"/>
    <w:uiPriority w:val="99"/>
    <w:rsid w:val="00C0697C"/>
    <w:rPr>
      <w:rFonts w:ascii="Times New Roman" w:eastAsia="Times New Roman" w:hAnsi="Times New Roman" w:cs="Times New Roman"/>
      <w:sz w:val="20"/>
      <w:szCs w:val="20"/>
    </w:rPr>
  </w:style>
  <w:style w:type="character" w:styleId="FootnoteReference">
    <w:name w:val="footnote reference"/>
    <w:aliases w:val="10 pt,16 Point,BVI fnr,BVI fnr Car,BVI fnr Car Car,BVI fnr Car Car Car Car,BVI fnr Car Car Car Car Char,BVI fnr Car Car Car Car Char Ch,BVI fnr Car Car Char,BVI fnr Car Char,BVI fnr Char,Ref,Superscript 6 Point,fr,ftref,Знак сноски 1"/>
    <w:basedOn w:val="DefaultParagraphFont"/>
    <w:link w:val="Char2"/>
    <w:uiPriority w:val="99"/>
    <w:qFormat/>
    <w:rsid w:val="00C0697C"/>
    <w:rPr>
      <w:vertAlign w:val="superscript"/>
    </w:rPr>
  </w:style>
  <w:style w:type="paragraph" w:customStyle="1" w:styleId="Char2">
    <w:name w:val="Char2"/>
    <w:basedOn w:val="Normal"/>
    <w:link w:val="FootnoteReference"/>
    <w:uiPriority w:val="99"/>
    <w:rsid w:val="00C0697C"/>
    <w:pPr>
      <w:widowControl/>
      <w:autoSpaceDE/>
      <w:autoSpaceDN/>
      <w:adjustRightInd/>
      <w:spacing w:after="160" w:line="240" w:lineRule="exact"/>
    </w:pPr>
    <w:rPr>
      <w:rFonts w:asciiTheme="minorHAnsi" w:eastAsiaTheme="minorHAnsi" w:hAnsiTheme="minorHAnsi" w:cstheme="minorBidi"/>
      <w:color w:val="auto"/>
      <w:sz w:val="22"/>
      <w:szCs w:val="22"/>
      <w:vertAlign w:val="superscript"/>
    </w:rPr>
  </w:style>
  <w:style w:type="paragraph" w:customStyle="1" w:styleId="Caption1">
    <w:name w:val="Caption1"/>
    <w:basedOn w:val="Normal"/>
    <w:link w:val="captionChar"/>
    <w:qFormat/>
    <w:rsid w:val="00C0697C"/>
    <w:pPr>
      <w:widowControl/>
      <w:autoSpaceDE/>
      <w:autoSpaceDN/>
      <w:adjustRightInd/>
      <w:spacing w:before="120" w:after="120"/>
      <w:jc w:val="center"/>
    </w:pPr>
    <w:rPr>
      <w:rFonts w:ascii="Times New Roman" w:eastAsia="Times New Roman" w:hAnsi="Times New Roman" w:cs="Times New Roman"/>
      <w:b/>
      <w:color w:val="auto"/>
      <w:sz w:val="20"/>
    </w:rPr>
  </w:style>
  <w:style w:type="character" w:customStyle="1" w:styleId="captionChar">
    <w:name w:val="caption Char"/>
    <w:basedOn w:val="DefaultParagraphFont"/>
    <w:link w:val="Caption1"/>
    <w:rsid w:val="00C0697C"/>
    <w:rPr>
      <w:rFonts w:ascii="Times New Roman" w:eastAsia="Times New Roman" w:hAnsi="Times New Roman" w:cs="Times New Roman"/>
      <w:b/>
      <w:sz w:val="20"/>
      <w:szCs w:val="24"/>
    </w:rPr>
  </w:style>
  <w:style w:type="character" w:customStyle="1" w:styleId="NoSpacingChar">
    <w:name w:val="No Spacing Char"/>
    <w:basedOn w:val="DefaultParagraphFont"/>
    <w:link w:val="NoSpacing"/>
    <w:uiPriority w:val="1"/>
    <w:rsid w:val="00C0697C"/>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8C53BC5D908FAA4BB6FD7ABA1828BACD" ma:contentTypeVersion="3" ma:contentTypeDescription="" ma:contentTypeScope="" ma:versionID="0e56eb7f5d596d186a4e032b62199831">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000411967:Maya Sherpa:msherpa@worldbank.org;</DocAuthors>
    <Authors xmlns="b99a068c-3844-4a16-badd-77233eea0529">
      <UserInfo>
        <DisplayName>i:0#.w|wb\wb411967</DisplayName>
        <AccountId>10512</AccountId>
        <AccountType/>
      </UserInfo>
      <UserInfo>
        <DisplayName/>
        <AccountId xsi:nil="true"/>
        <AccountType/>
      </UserInfo>
    </Authors>
    <SequenceNum xmlns="b99a068c-3844-4a16-badd-77233eea0529" xsi:nil="true"/>
    <Cordis_x0020_ID xmlns="b99a068c-3844-4a16-badd-77233eea0529">ITM00434</Cordis_x0020_ID>
    <Stage xmlns="b99a068c-3844-4a16-badd-77233eea0529">APP</Stage>
    <PolicyExceptions xmlns="b99a068c-3844-4a16-badd-77233eea0529" xsi:nil="true"/>
    <IsTemplate xmlns="b99a068c-3844-4a16-badd-77233eea0529">false</IsTemplate>
    <HasUserUploaded xmlns="b99a068c-3844-4a16-badd-77233eea0529">true</HasUserUploaded>
    <DocumentDate xmlns="b99a068c-3844-4a16-badd-77233eea0529">2019-07-24T04:00:00+00:00</DocumentDate>
    <WBDocType xmlns="b99a068c-3844-4a16-badd-77233eea0529">Final Addendum to Technical Assessment</WBDocType>
    <SecurityClassification xmlns="b99a068c-3844-4a16-badd-77233eea0529">Public</SecurityClassification>
    <DeliverableID xmlns="b99a068c-3844-4a16-badd-77233eea0529" xsi:nil="true"/>
    <ProjectID xmlns="b99a068c-3844-4a16-badd-77233eea0529">P167047</ProjectID>
    <Task_x0020_ID xmlns="b99a068c-3844-4a16-badd-77233eea0529">TSK7424789</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F591CCB7-0A28-47F4-AB37-1C40BF3E2FE8}"/>
</file>

<file path=customXml/itemProps2.xml><?xml version="1.0" encoding="utf-8"?>
<ds:datastoreItem xmlns:ds="http://schemas.openxmlformats.org/officeDocument/2006/customXml" ds:itemID="{7BA7525B-F81A-4F4D-B2AD-C6E4D37ABF93}"/>
</file>

<file path=customXml/itemProps3.xml><?xml version="1.0" encoding="utf-8"?>
<ds:datastoreItem xmlns:ds="http://schemas.openxmlformats.org/officeDocument/2006/customXml" ds:itemID="{D9512D95-A628-466F-94CD-783B9689BA1D}"/>
</file>

<file path=customXml/itemProps4.xml><?xml version="1.0" encoding="utf-8"?>
<ds:datastoreItem xmlns:ds="http://schemas.openxmlformats.org/officeDocument/2006/customXml" ds:itemID="{6D7B21A0-0266-4192-A4CA-0867D8DCCBD2}"/>
</file>

<file path=docProps/app.xml><?xml version="1.0" encoding="utf-8"?>
<Properties xmlns="http://schemas.openxmlformats.org/officeDocument/2006/extended-properties" xmlns:vt="http://schemas.openxmlformats.org/officeDocument/2006/docPropsVTypes">
  <Template>Normal.dotm</Template>
  <TotalTime>1</TotalTime>
  <Pages>10</Pages>
  <Words>5008</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TECHNICAL ASSESSMENT</dc:title>
  <dc:subject/>
  <dc:creator>Maya Sherpa</dc:creator>
  <cp:keywords/>
  <dc:description/>
  <cp:lastModifiedBy>Maya Sherpa</cp:lastModifiedBy>
  <cp:revision>1</cp:revision>
  <dcterms:created xsi:type="dcterms:W3CDTF">2019-04-07T13:27:00Z</dcterms:created>
  <dcterms:modified xsi:type="dcterms:W3CDTF">2019-04-07T13:28:00Z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0x01010054E0FEF4951F9D49A6F48A35419983C7008C53BC5D908FAA4BB6FD7ABA1828BACD</vt:lpwstr>
  </property>
  <property fmtid="{D5CDD505-2E9C-101B-9397-08002B2CF9AE}" pid="5" name="RatedBy">
    <vt:lpwstr/>
  </property>
  <property fmtid="{D5CDD505-2E9C-101B-9397-08002B2CF9AE}" pid="7" name="LikedBy">
    <vt:lpwstr/>
  </property>
</Properties>
</file>