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3.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4.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BA9" w:rsidRPr="008F3531" w:rsidRDefault="00CC3BA9" w:rsidP="001A4D78">
      <w:pPr>
        <w:autoSpaceDE w:val="0"/>
        <w:autoSpaceDN w:val="0"/>
        <w:adjustRightInd w:val="0"/>
        <w:spacing w:after="0"/>
        <w:rPr>
          <w:b/>
          <w:lang w:val="en-US"/>
        </w:rPr>
      </w:pPr>
    </w:p>
    <w:p w:rsidR="001A4D78" w:rsidRPr="008F3531" w:rsidRDefault="001A4D78" w:rsidP="001A4D78">
      <w:pPr>
        <w:autoSpaceDE w:val="0"/>
        <w:autoSpaceDN w:val="0"/>
        <w:adjustRightInd w:val="0"/>
        <w:spacing w:after="0"/>
        <w:rPr>
          <w:b/>
          <w:sz w:val="26"/>
          <w:szCs w:val="26"/>
          <w:lang w:val="en-US"/>
        </w:rPr>
      </w:pPr>
      <w:r w:rsidRPr="008F3531">
        <w:rPr>
          <w:b/>
          <w:sz w:val="26"/>
          <w:szCs w:val="26"/>
          <w:lang w:val="en-US"/>
        </w:rPr>
        <w:t xml:space="preserve">Report No. </w:t>
      </w:r>
      <w:r w:rsidR="008D20E6" w:rsidRPr="008F3531">
        <w:rPr>
          <w:b/>
          <w:sz w:val="26"/>
          <w:szCs w:val="26"/>
          <w:lang w:val="en-US"/>
        </w:rPr>
        <w:t>88880-ML</w:t>
      </w:r>
    </w:p>
    <w:p w:rsidR="001A4D78" w:rsidRPr="008F3531" w:rsidRDefault="001A4D78" w:rsidP="001A4D78">
      <w:pPr>
        <w:pStyle w:val="BankNormal"/>
        <w:spacing w:after="0"/>
        <w:rPr>
          <w:szCs w:val="24"/>
          <w:lang w:val="en-US" w:eastAsia="fr-FR"/>
        </w:rPr>
      </w:pPr>
    </w:p>
    <w:p w:rsidR="001A4D78" w:rsidRPr="008F3531" w:rsidRDefault="001A4D78" w:rsidP="001A4D78">
      <w:pPr>
        <w:rPr>
          <w:lang w:val="en-US"/>
        </w:rPr>
      </w:pPr>
    </w:p>
    <w:p w:rsidR="0001420C" w:rsidRPr="008F3531" w:rsidRDefault="0001420C" w:rsidP="001A4D78">
      <w:pPr>
        <w:rPr>
          <w:lang w:val="en-US"/>
        </w:rPr>
      </w:pPr>
    </w:p>
    <w:p w:rsidR="001A4D78" w:rsidRPr="008F3531" w:rsidRDefault="001A4D78" w:rsidP="001A4D78">
      <w:pPr>
        <w:spacing w:before="240" w:after="240"/>
        <w:rPr>
          <w:sz w:val="48"/>
          <w:szCs w:val="48"/>
          <w:lang w:val="en-US"/>
        </w:rPr>
      </w:pPr>
      <w:r w:rsidRPr="008F3531">
        <w:rPr>
          <w:b/>
          <w:sz w:val="48"/>
          <w:szCs w:val="48"/>
          <w:lang w:val="en-US"/>
        </w:rPr>
        <w:t>Mali</w:t>
      </w:r>
    </w:p>
    <w:p w:rsidR="007C2EF3" w:rsidRPr="008F3531" w:rsidRDefault="007C2EF3" w:rsidP="007C2EF3">
      <w:pPr>
        <w:spacing w:after="120"/>
        <w:rPr>
          <w:b/>
          <w:sz w:val="44"/>
          <w:szCs w:val="44"/>
          <w:lang w:val="en-US"/>
        </w:rPr>
      </w:pPr>
      <w:r w:rsidRPr="008F3531">
        <w:rPr>
          <w:b/>
          <w:sz w:val="44"/>
          <w:szCs w:val="44"/>
          <w:lang w:val="en-US"/>
        </w:rPr>
        <w:t>Geography of Poverty in Mali</w:t>
      </w:r>
    </w:p>
    <w:p w:rsidR="001A4D78" w:rsidRPr="008F3531" w:rsidRDefault="001A4D78" w:rsidP="001A4D78">
      <w:pPr>
        <w:outlineLvl w:val="0"/>
        <w:rPr>
          <w:b/>
          <w:i/>
          <w:sz w:val="32"/>
          <w:lang w:val="en-US"/>
        </w:rPr>
      </w:pPr>
    </w:p>
    <w:p w:rsidR="001A4D78" w:rsidRPr="008F3531" w:rsidRDefault="008F3531" w:rsidP="001A4D78">
      <w:pPr>
        <w:outlineLvl w:val="0"/>
        <w:rPr>
          <w:b/>
          <w:sz w:val="26"/>
          <w:szCs w:val="26"/>
          <w:lang w:val="en-US"/>
        </w:rPr>
      </w:pPr>
      <w:r w:rsidRPr="008F3531">
        <w:rPr>
          <w:b/>
          <w:sz w:val="26"/>
          <w:szCs w:val="26"/>
          <w:lang w:val="en-US"/>
        </w:rPr>
        <w:t>April 2</w:t>
      </w:r>
      <w:r w:rsidR="00600838" w:rsidRPr="008F3531">
        <w:rPr>
          <w:b/>
          <w:sz w:val="26"/>
          <w:szCs w:val="26"/>
          <w:lang w:val="en-US"/>
        </w:rPr>
        <w:t>3</w:t>
      </w:r>
      <w:r w:rsidR="001A4D78" w:rsidRPr="008F3531">
        <w:rPr>
          <w:b/>
          <w:sz w:val="26"/>
          <w:szCs w:val="26"/>
          <w:lang w:val="en-US"/>
        </w:rPr>
        <w:t>, 201</w:t>
      </w:r>
      <w:r w:rsidRPr="008F3531">
        <w:rPr>
          <w:b/>
          <w:sz w:val="26"/>
          <w:szCs w:val="26"/>
          <w:lang w:val="en-US"/>
        </w:rPr>
        <w:t>5</w:t>
      </w:r>
    </w:p>
    <w:p w:rsidR="001A4D78" w:rsidRPr="008F3531" w:rsidRDefault="001A4D78" w:rsidP="001A4D78">
      <w:pPr>
        <w:rPr>
          <w:i/>
          <w:sz w:val="32"/>
          <w:lang w:val="en-US"/>
        </w:rPr>
      </w:pPr>
    </w:p>
    <w:p w:rsidR="001A4D78" w:rsidRPr="008F3531" w:rsidRDefault="001A4D78" w:rsidP="001A4D78">
      <w:pPr>
        <w:rPr>
          <w:i/>
          <w:sz w:val="32"/>
          <w:lang w:val="en-US"/>
        </w:rPr>
      </w:pPr>
    </w:p>
    <w:p w:rsidR="001A4D78" w:rsidRPr="008F3531" w:rsidRDefault="00EA03F3" w:rsidP="001A4D78">
      <w:pPr>
        <w:spacing w:after="0"/>
        <w:rPr>
          <w:b/>
          <w:sz w:val="26"/>
          <w:szCs w:val="26"/>
          <w:lang w:val="en-US"/>
        </w:rPr>
      </w:pPr>
      <w:r w:rsidRPr="008F3531">
        <w:rPr>
          <w:b/>
          <w:sz w:val="26"/>
          <w:szCs w:val="26"/>
          <w:lang w:val="en-US"/>
        </w:rPr>
        <w:t>PREM 4</w:t>
      </w:r>
    </w:p>
    <w:p w:rsidR="001A4D78" w:rsidRPr="008F3531" w:rsidRDefault="001A4D78" w:rsidP="001A4D78">
      <w:pPr>
        <w:spacing w:after="0"/>
        <w:rPr>
          <w:b/>
          <w:sz w:val="26"/>
          <w:szCs w:val="26"/>
          <w:lang w:val="en-US"/>
        </w:rPr>
      </w:pPr>
      <w:r w:rsidRPr="008F3531">
        <w:rPr>
          <w:b/>
          <w:sz w:val="26"/>
          <w:szCs w:val="26"/>
          <w:lang w:val="en-US"/>
        </w:rPr>
        <w:t>Africa Region</w:t>
      </w:r>
    </w:p>
    <w:tbl>
      <w:tblPr>
        <w:tblW w:w="1572" w:type="dxa"/>
        <w:tblLayout w:type="fixed"/>
        <w:tblLook w:val="01E0" w:firstRow="1" w:lastRow="1" w:firstColumn="1" w:lastColumn="1" w:noHBand="0" w:noVBand="0"/>
      </w:tblPr>
      <w:tblGrid>
        <w:gridCol w:w="1572"/>
      </w:tblGrid>
      <w:tr w:rsidR="001A4D78" w:rsidRPr="008F3531" w:rsidTr="00B5755E">
        <w:trPr>
          <w:trHeight w:val="1790"/>
        </w:trPr>
        <w:tc>
          <w:tcPr>
            <w:tcW w:w="1572" w:type="dxa"/>
          </w:tcPr>
          <w:p w:rsidR="001A4D78" w:rsidRPr="008F3531" w:rsidRDefault="001A4D78" w:rsidP="001A4D78">
            <w:pPr>
              <w:jc w:val="center"/>
              <w:rPr>
                <w:b/>
                <w:bCs/>
                <w:sz w:val="20"/>
                <w:lang w:val="en-US"/>
              </w:rPr>
            </w:pPr>
          </w:p>
          <w:p w:rsidR="001A4D78" w:rsidRPr="008F3531" w:rsidRDefault="001A4D78" w:rsidP="001A4D78">
            <w:pPr>
              <w:jc w:val="center"/>
              <w:rPr>
                <w:b/>
                <w:bCs/>
                <w:sz w:val="32"/>
                <w:szCs w:val="32"/>
                <w:lang w:val="en-US"/>
              </w:rPr>
            </w:pPr>
            <w:r w:rsidRPr="008F3531">
              <w:rPr>
                <w:b/>
                <w:bCs/>
                <w:noProof/>
                <w:sz w:val="32"/>
                <w:szCs w:val="32"/>
                <w:lang w:val="en-US"/>
              </w:rPr>
              <w:drawing>
                <wp:inline distT="0" distB="0" distL="0" distR="0" wp14:anchorId="6E08BCF2" wp14:editId="60457A50">
                  <wp:extent cx="857250" cy="743801"/>
                  <wp:effectExtent l="0" t="0" r="0" b="0"/>
                  <wp:docPr id="82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6434" cy="743093"/>
                          </a:xfrm>
                          <a:prstGeom prst="rect">
                            <a:avLst/>
                          </a:prstGeom>
                          <a:noFill/>
                        </pic:spPr>
                      </pic:pic>
                    </a:graphicData>
                  </a:graphic>
                </wp:inline>
              </w:drawing>
            </w:r>
          </w:p>
          <w:p w:rsidR="001A4D78" w:rsidRPr="008F3531" w:rsidRDefault="001A4D78" w:rsidP="001A4D78">
            <w:pPr>
              <w:jc w:val="center"/>
              <w:rPr>
                <w:b/>
                <w:bCs/>
                <w:sz w:val="32"/>
                <w:szCs w:val="32"/>
                <w:lang w:val="en-US"/>
              </w:rPr>
            </w:pPr>
          </w:p>
        </w:tc>
      </w:tr>
    </w:tbl>
    <w:p w:rsidR="001A4D78" w:rsidRPr="008F3531" w:rsidRDefault="001A4D78" w:rsidP="001A4D78">
      <w:pPr>
        <w:rPr>
          <w:rStyle w:val="content1"/>
          <w:b/>
          <w:lang w:val="en-US"/>
        </w:rPr>
      </w:pPr>
    </w:p>
    <w:p w:rsidR="001A4D78" w:rsidRPr="008F3531" w:rsidRDefault="001A4D78" w:rsidP="001A4D78">
      <w:pPr>
        <w:rPr>
          <w:rStyle w:val="content1"/>
          <w:b/>
          <w:lang w:val="en-US"/>
        </w:rPr>
      </w:pPr>
    </w:p>
    <w:p w:rsidR="001A4D78" w:rsidRPr="008F3531" w:rsidRDefault="001A4D78" w:rsidP="001A4D78">
      <w:pPr>
        <w:rPr>
          <w:rStyle w:val="content1"/>
          <w:b/>
          <w:lang w:val="en-US"/>
        </w:rPr>
      </w:pPr>
    </w:p>
    <w:p w:rsidR="001A4D78" w:rsidRPr="008F3531" w:rsidRDefault="001A4D78" w:rsidP="001A4D78">
      <w:pPr>
        <w:rPr>
          <w:rStyle w:val="content1"/>
          <w:b/>
          <w:lang w:val="en-US"/>
        </w:rPr>
      </w:pPr>
    </w:p>
    <w:p w:rsidR="001A4D78" w:rsidRPr="008F3531" w:rsidRDefault="001A4D78" w:rsidP="001A4D78">
      <w:pPr>
        <w:rPr>
          <w:rStyle w:val="content1"/>
          <w:b/>
          <w:lang w:val="en-US"/>
        </w:rPr>
      </w:pPr>
    </w:p>
    <w:p w:rsidR="001A4D78" w:rsidRPr="008F3531" w:rsidRDefault="001A4D78" w:rsidP="001A4D78">
      <w:pPr>
        <w:rPr>
          <w:rStyle w:val="content1"/>
          <w:b/>
          <w:lang w:val="en-US"/>
        </w:rPr>
      </w:pPr>
    </w:p>
    <w:p w:rsidR="0001420C" w:rsidRPr="008F3531" w:rsidRDefault="0001420C" w:rsidP="001A4D78">
      <w:pPr>
        <w:rPr>
          <w:rStyle w:val="content1"/>
          <w:b/>
          <w:lang w:val="en-US"/>
        </w:rPr>
      </w:pPr>
    </w:p>
    <w:p w:rsidR="008E49BF" w:rsidRPr="008F3531" w:rsidRDefault="008E49BF" w:rsidP="001A4D78">
      <w:pPr>
        <w:rPr>
          <w:rStyle w:val="content1"/>
          <w:b/>
          <w:lang w:val="en-US"/>
        </w:rPr>
      </w:pPr>
    </w:p>
    <w:p w:rsidR="001A4D78" w:rsidRPr="008F3531" w:rsidRDefault="001A4D78" w:rsidP="001A4D78">
      <w:pPr>
        <w:rPr>
          <w:rStyle w:val="content1"/>
          <w:b/>
          <w:lang w:val="en-US"/>
        </w:rPr>
      </w:pPr>
      <w:r w:rsidRPr="000370E2">
        <w:rPr>
          <w:rFonts w:ascii="Arial" w:hAnsi="Arial"/>
          <w:b/>
          <w:noProof/>
          <w:sz w:val="20"/>
          <w:lang w:val="en-US"/>
        </w:rPr>
        <mc:AlternateContent>
          <mc:Choice Requires="wps">
            <w:drawing>
              <wp:anchor distT="4294967295" distB="4294967295" distL="114300" distR="114300" simplePos="0" relativeHeight="251683840" behindDoc="0" locked="0" layoutInCell="1" allowOverlap="1" wp14:anchorId="64722634" wp14:editId="0A307C40">
                <wp:simplePos x="0" y="0"/>
                <wp:positionH relativeFrom="column">
                  <wp:posOffset>0</wp:posOffset>
                </wp:positionH>
                <wp:positionV relativeFrom="paragraph">
                  <wp:posOffset>131444</wp:posOffset>
                </wp:positionV>
                <wp:extent cx="1981200" cy="0"/>
                <wp:effectExtent l="0" t="19050" r="0" b="19050"/>
                <wp:wrapNone/>
                <wp:docPr id="8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41B57" id="Line 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5pt" to="15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i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xMphgp&#10;0oFIW6E4ykNveuNKCFmpnQ3V0bN6MVtNvzuk9Kol6sAjx9eLgbQsZCRvUsLGGbhh33/WDGLI0evY&#10;qHNjuwAJLUDnqMflrgc/e0ThMJsXGYiMER18CSmHRGOd/8R1h4JRYQmcIzA5bZ0PREg5hIR7lN4I&#10;KaPcUqG+wpNi+jSNGU5LwYI3xDl72K+kRScSJiZ+sSzwPIZZfVQsorWcsPXN9kTIqw23SxXwoBbg&#10;c7OuI/Fjns7XxbrIR/lkth7laV2PPm5W+Wi2yZ6m9Yd6taqzn4FalpetYIyrwG4Yzyz/O/lvD+U6&#10;WPcBvfcheYseGwZkh38kHcUM+l0nYa/ZZWcHkWEiY/Dt9YSRf9yD/fjGl78AAAD//wMAUEsDBBQA&#10;BgAIAAAAIQBmgfWl2gAAAAYBAAAPAAAAZHJzL2Rvd25yZXYueG1sTI9BS8NAEIXvgv9hGcGL2E0j&#10;aInZlFrwJgWriMdJdpoEs7Nhd9uk/94RD3p87w3vfVOuZzeoE4XYezawXGSgiBtve24NvL89365A&#10;xYRscfBMBs4UYV1dXpRYWD/xK532qVVSwrFAA11KY6F1bDpyGBd+JJbs4IPDJDK02gacpNwNOs+y&#10;e+2wZ1nocKRtR83X/ugMNLjb7vDwoSdMn5unm/rlHNqVMddX8+YRVKI5/R3DD76gQyVMtT+yjWow&#10;II8kA3n2AErSu2UuRv1r6KrU//GrbwAAAP//AwBQSwECLQAUAAYACAAAACEAtoM4kv4AAADhAQAA&#10;EwAAAAAAAAAAAAAAAAAAAAAAW0NvbnRlbnRfVHlwZXNdLnhtbFBLAQItABQABgAIAAAAIQA4/SH/&#10;1gAAAJQBAAALAAAAAAAAAAAAAAAAAC8BAABfcmVscy8ucmVsc1BLAQItABQABgAIAAAAIQC/AOZi&#10;FAIAACsEAAAOAAAAAAAAAAAAAAAAAC4CAABkcnMvZTJvRG9jLnhtbFBLAQItABQABgAIAAAAIQBm&#10;gfWl2gAAAAYBAAAPAAAAAAAAAAAAAAAAAG4EAABkcnMvZG93bnJldi54bWxQSwUGAAAAAAQABADz&#10;AAAAdQUAAAAA&#10;" strokeweight="2.25pt"/>
            </w:pict>
          </mc:Fallback>
        </mc:AlternateContent>
      </w:r>
    </w:p>
    <w:p w:rsidR="001A4D78" w:rsidRPr="008F3531" w:rsidRDefault="001A4D78" w:rsidP="0001420C">
      <w:pPr>
        <w:spacing w:after="0"/>
        <w:jc w:val="both"/>
        <w:outlineLvl w:val="0"/>
        <w:rPr>
          <w:rFonts w:asciiTheme="minorHAnsi" w:eastAsiaTheme="minorEastAsia" w:hAnsiTheme="minorHAnsi" w:cstheme="minorBidi"/>
          <w:color w:val="FFFFFF" w:themeColor="background1"/>
          <w:sz w:val="20"/>
          <w:szCs w:val="20"/>
          <w:lang w:val="en-US" w:eastAsia="ja-JP"/>
        </w:rPr>
      </w:pPr>
      <w:r w:rsidRPr="008F3531">
        <w:rPr>
          <w:b/>
          <w:lang w:val="en-US"/>
        </w:rPr>
        <w:t>Document of the World Bank</w:t>
      </w:r>
    </w:p>
    <w:p w:rsidR="001A4D78" w:rsidRPr="00E56625" w:rsidRDefault="001A4D78" w:rsidP="000E22E0">
      <w:pPr>
        <w:rPr>
          <w:sz w:val="22"/>
          <w:lang w:val="en-US"/>
        </w:rPr>
      </w:pPr>
    </w:p>
    <w:p w:rsidR="001A4D78" w:rsidRPr="00E56625" w:rsidRDefault="001A4D78" w:rsidP="00FD2D96">
      <w:pPr>
        <w:spacing w:after="0"/>
        <w:jc w:val="center"/>
        <w:rPr>
          <w:b/>
          <w:sz w:val="22"/>
          <w:lang w:val="en-US"/>
        </w:rPr>
        <w:sectPr w:rsidR="001A4D78" w:rsidRPr="00E56625" w:rsidSect="00AD2275">
          <w:footerReference w:type="default" r:id="rId9"/>
          <w:pgSz w:w="12240" w:h="15840" w:code="1"/>
          <w:pgMar w:top="1440" w:right="1440" w:bottom="1440" w:left="1440" w:header="706" w:footer="706" w:gutter="0"/>
          <w:pgNumType w:fmt="lowerRoman" w:start="1"/>
          <w:cols w:space="708"/>
          <w:docGrid w:linePitch="360"/>
        </w:sectPr>
      </w:pPr>
    </w:p>
    <w:p w:rsidR="00FD2D96" w:rsidRPr="00E56625" w:rsidRDefault="00FD2D96" w:rsidP="00FD2D96">
      <w:pPr>
        <w:spacing w:after="0"/>
        <w:jc w:val="center"/>
        <w:rPr>
          <w:b/>
          <w:sz w:val="22"/>
          <w:lang w:val="en-US"/>
        </w:rPr>
      </w:pPr>
      <w:r w:rsidRPr="00E56625">
        <w:rPr>
          <w:b/>
          <w:sz w:val="22"/>
          <w:lang w:val="en-US"/>
        </w:rPr>
        <w:lastRenderedPageBreak/>
        <w:t>CURRENCY EQUIVALENTS</w:t>
      </w:r>
    </w:p>
    <w:p w:rsidR="00FD2D96" w:rsidRPr="00E56625" w:rsidRDefault="00FD2D96" w:rsidP="00FD2D96">
      <w:pPr>
        <w:spacing w:after="0"/>
        <w:jc w:val="center"/>
        <w:rPr>
          <w:sz w:val="22"/>
          <w:lang w:val="en-US"/>
        </w:rPr>
      </w:pPr>
      <w:r w:rsidRPr="00E56625">
        <w:rPr>
          <w:sz w:val="22"/>
          <w:lang w:val="en-US"/>
        </w:rPr>
        <w:t xml:space="preserve">(Exchange Rate as of </w:t>
      </w:r>
      <w:r w:rsidR="008F3531" w:rsidRPr="00E56625">
        <w:rPr>
          <w:sz w:val="22"/>
          <w:lang w:val="en-US"/>
        </w:rPr>
        <w:t>March</w:t>
      </w:r>
      <w:r w:rsidR="00BE3308" w:rsidRPr="00E56625">
        <w:rPr>
          <w:sz w:val="22"/>
          <w:lang w:val="en-US"/>
        </w:rPr>
        <w:t>,</w:t>
      </w:r>
      <w:r w:rsidRPr="00E56625">
        <w:rPr>
          <w:sz w:val="22"/>
          <w:lang w:val="en-US"/>
        </w:rPr>
        <w:t xml:space="preserve"> 201</w:t>
      </w:r>
      <w:r w:rsidR="008F3531" w:rsidRPr="00E56625">
        <w:rPr>
          <w:sz w:val="22"/>
          <w:lang w:val="en-US"/>
        </w:rPr>
        <w:t>5</w:t>
      </w:r>
      <w:r w:rsidRPr="00E56625">
        <w:rPr>
          <w:sz w:val="22"/>
          <w:lang w:val="en-US"/>
        </w:rPr>
        <w:t>)</w:t>
      </w:r>
    </w:p>
    <w:p w:rsidR="00FD2D96" w:rsidRPr="00E56625" w:rsidRDefault="00FD2D96" w:rsidP="00FD2D96">
      <w:pPr>
        <w:tabs>
          <w:tab w:val="left" w:pos="3900"/>
        </w:tabs>
        <w:spacing w:after="0"/>
        <w:rPr>
          <w:sz w:val="22"/>
          <w:lang w:val="en-US"/>
        </w:rPr>
      </w:pPr>
      <w:r w:rsidRPr="00E56625">
        <w:rPr>
          <w:sz w:val="22"/>
          <w:lang w:val="en-US"/>
        </w:rPr>
        <w:tab/>
      </w:r>
    </w:p>
    <w:p w:rsidR="00FD2D96" w:rsidRPr="00E56625" w:rsidRDefault="00FD2D96" w:rsidP="00FD2D96">
      <w:pPr>
        <w:spacing w:after="0"/>
        <w:jc w:val="center"/>
        <w:rPr>
          <w:sz w:val="22"/>
          <w:lang w:val="en-US"/>
        </w:rPr>
      </w:pPr>
      <w:r w:rsidRPr="00E56625">
        <w:rPr>
          <w:sz w:val="22"/>
          <w:lang w:val="en-US"/>
        </w:rPr>
        <w:t>Currency unit = CFA franc (CFAF)</w:t>
      </w:r>
    </w:p>
    <w:p w:rsidR="00FD2D96" w:rsidRPr="00E56625" w:rsidRDefault="00BE3308" w:rsidP="00FD2D96">
      <w:pPr>
        <w:spacing w:after="0"/>
        <w:jc w:val="center"/>
        <w:rPr>
          <w:sz w:val="22"/>
          <w:lang w:val="en-US"/>
        </w:rPr>
      </w:pPr>
      <w:r w:rsidRPr="00E56625">
        <w:rPr>
          <w:sz w:val="22"/>
          <w:lang w:val="en-US"/>
        </w:rPr>
        <w:t xml:space="preserve">US$1.00 = CFAF </w:t>
      </w:r>
      <w:r w:rsidR="008F3531" w:rsidRPr="00E56625">
        <w:rPr>
          <w:sz w:val="22"/>
          <w:lang w:val="en-US"/>
        </w:rPr>
        <w:t>610</w:t>
      </w:r>
    </w:p>
    <w:p w:rsidR="00FD2D96" w:rsidRPr="00E56625" w:rsidRDefault="00FD2D96" w:rsidP="00FD2D96">
      <w:pPr>
        <w:spacing w:after="0"/>
        <w:jc w:val="center"/>
        <w:rPr>
          <w:sz w:val="22"/>
          <w:lang w:val="en-US"/>
        </w:rPr>
      </w:pPr>
    </w:p>
    <w:p w:rsidR="00DC3C83" w:rsidRPr="00E56625" w:rsidRDefault="00DC3C83" w:rsidP="00FD2D96">
      <w:pPr>
        <w:spacing w:after="0"/>
        <w:jc w:val="center"/>
        <w:rPr>
          <w:sz w:val="22"/>
          <w:lang w:val="en-US"/>
        </w:rPr>
      </w:pPr>
    </w:p>
    <w:p w:rsidR="00FD2D96" w:rsidRPr="00E56625" w:rsidRDefault="00FD2D96" w:rsidP="00FD2D96">
      <w:pPr>
        <w:spacing w:after="0"/>
        <w:jc w:val="center"/>
        <w:rPr>
          <w:b/>
          <w:sz w:val="22"/>
          <w:lang w:val="en-US"/>
        </w:rPr>
      </w:pPr>
      <w:r w:rsidRPr="00E56625">
        <w:rPr>
          <w:b/>
          <w:sz w:val="22"/>
          <w:lang w:val="en-US"/>
        </w:rPr>
        <w:t>ABBREVIATIONS AND ACRONYMS</w:t>
      </w:r>
    </w:p>
    <w:p w:rsidR="00FD2D96" w:rsidRPr="00E56625" w:rsidRDefault="00FD2D96" w:rsidP="00FD2D96">
      <w:pPr>
        <w:spacing w:after="0"/>
        <w:jc w:val="center"/>
        <w:rPr>
          <w:b/>
          <w:sz w:val="22"/>
          <w:lang w:val="en-US"/>
        </w:rPr>
      </w:pPr>
    </w:p>
    <w:tbl>
      <w:tblPr>
        <w:tblW w:w="8552" w:type="dxa"/>
        <w:jc w:val="center"/>
        <w:tblLook w:val="0000" w:firstRow="0" w:lastRow="0" w:firstColumn="0" w:lastColumn="0" w:noHBand="0" w:noVBand="0"/>
      </w:tblPr>
      <w:tblGrid>
        <w:gridCol w:w="1590"/>
        <w:gridCol w:w="6962"/>
      </w:tblGrid>
      <w:tr w:rsidR="00DC3C83" w:rsidRPr="008F3531" w:rsidTr="00B5755E">
        <w:trPr>
          <w:jc w:val="center"/>
        </w:trPr>
        <w:tc>
          <w:tcPr>
            <w:tcW w:w="1590" w:type="dxa"/>
          </w:tcPr>
          <w:p w:rsidR="00DC3C83" w:rsidRPr="008F3531" w:rsidRDefault="00DC3C83" w:rsidP="001A4D78">
            <w:pPr>
              <w:spacing w:after="0"/>
              <w:rPr>
                <w:sz w:val="22"/>
                <w:szCs w:val="22"/>
                <w:lang w:val="en-US"/>
              </w:rPr>
            </w:pPr>
            <w:r w:rsidRPr="008F3531">
              <w:rPr>
                <w:sz w:val="22"/>
                <w:szCs w:val="22"/>
                <w:lang w:val="en-US"/>
              </w:rPr>
              <w:t>ACLED</w:t>
            </w:r>
          </w:p>
        </w:tc>
        <w:tc>
          <w:tcPr>
            <w:tcW w:w="6962" w:type="dxa"/>
          </w:tcPr>
          <w:p w:rsidR="00DC3C83" w:rsidRPr="008F3531" w:rsidRDefault="00DC3C83" w:rsidP="001A4D78">
            <w:pPr>
              <w:spacing w:after="0"/>
              <w:rPr>
                <w:sz w:val="22"/>
                <w:szCs w:val="22"/>
                <w:lang w:val="en-US"/>
              </w:rPr>
            </w:pPr>
            <w:r w:rsidRPr="00E56625">
              <w:rPr>
                <w:rStyle w:val="st"/>
                <w:color w:val="222222"/>
                <w:sz w:val="22"/>
                <w:szCs w:val="22"/>
                <w:lang w:val="en-US"/>
              </w:rPr>
              <w:t>Armed Conflict Location and Event Dataset</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AFD</w:t>
            </w:r>
          </w:p>
        </w:tc>
        <w:tc>
          <w:tcPr>
            <w:tcW w:w="6962" w:type="dxa"/>
          </w:tcPr>
          <w:p w:rsidR="00DC3C83" w:rsidRPr="00E56625" w:rsidRDefault="00DC3C83" w:rsidP="001A4D78">
            <w:pPr>
              <w:spacing w:after="0"/>
              <w:rPr>
                <w:sz w:val="22"/>
                <w:szCs w:val="22"/>
                <w:lang w:val="en-US"/>
              </w:rPr>
            </w:pPr>
            <w:r w:rsidRPr="00E56625">
              <w:rPr>
                <w:sz w:val="22"/>
                <w:szCs w:val="22"/>
                <w:lang w:val="en-US"/>
              </w:rPr>
              <w:t>African Development Bank</w:t>
            </w:r>
          </w:p>
        </w:tc>
      </w:tr>
      <w:tr w:rsidR="00DC3C83" w:rsidRPr="008F3531" w:rsidTr="00B5755E">
        <w:trPr>
          <w:jc w:val="center"/>
        </w:trPr>
        <w:tc>
          <w:tcPr>
            <w:tcW w:w="1590" w:type="dxa"/>
          </w:tcPr>
          <w:p w:rsidR="00DC3C83" w:rsidRPr="008F3531" w:rsidRDefault="00DC3C83" w:rsidP="001A4D78">
            <w:pPr>
              <w:spacing w:after="0"/>
              <w:rPr>
                <w:sz w:val="22"/>
                <w:szCs w:val="22"/>
                <w:lang w:val="en-US"/>
              </w:rPr>
            </w:pPr>
            <w:r w:rsidRPr="008F3531">
              <w:rPr>
                <w:sz w:val="22"/>
                <w:szCs w:val="22"/>
                <w:lang w:val="en-US"/>
              </w:rPr>
              <w:t>AFISMA</w:t>
            </w:r>
          </w:p>
        </w:tc>
        <w:tc>
          <w:tcPr>
            <w:tcW w:w="6962" w:type="dxa"/>
          </w:tcPr>
          <w:p w:rsidR="00DC3C83" w:rsidRPr="008F3531" w:rsidRDefault="00DC3C83" w:rsidP="001A4D78">
            <w:pPr>
              <w:spacing w:after="0"/>
              <w:rPr>
                <w:sz w:val="22"/>
                <w:szCs w:val="22"/>
                <w:lang w:val="en-US"/>
              </w:rPr>
            </w:pPr>
            <w:r w:rsidRPr="008F3531">
              <w:rPr>
                <w:sz w:val="22"/>
                <w:szCs w:val="22"/>
                <w:lang w:val="en-US"/>
              </w:rPr>
              <w:t>Afican-led International Support Mission to Mali</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AICD</w:t>
            </w:r>
          </w:p>
        </w:tc>
        <w:tc>
          <w:tcPr>
            <w:tcW w:w="6962" w:type="dxa"/>
          </w:tcPr>
          <w:p w:rsidR="00DC3C83" w:rsidRPr="00E56625" w:rsidRDefault="008F3531" w:rsidP="008F3531">
            <w:pPr>
              <w:spacing w:after="0"/>
              <w:rPr>
                <w:sz w:val="22"/>
                <w:szCs w:val="22"/>
                <w:lang w:val="en-US"/>
              </w:rPr>
            </w:pPr>
            <w:r w:rsidRPr="00E56625">
              <w:rPr>
                <w:bCs/>
                <w:color w:val="222222"/>
                <w:sz w:val="22"/>
                <w:szCs w:val="22"/>
                <w:lang w:val="en-US"/>
              </w:rPr>
              <w:t>Africa Infrastruture Country Diagnostic</w:t>
            </w:r>
          </w:p>
        </w:tc>
      </w:tr>
      <w:tr w:rsidR="00DC3C83" w:rsidRPr="008F3531" w:rsidTr="00B5755E">
        <w:trPr>
          <w:jc w:val="center"/>
        </w:trPr>
        <w:tc>
          <w:tcPr>
            <w:tcW w:w="1590" w:type="dxa"/>
          </w:tcPr>
          <w:p w:rsidR="00DC3C83" w:rsidRPr="008F3531" w:rsidRDefault="00DC3C83" w:rsidP="001A4D78">
            <w:pPr>
              <w:spacing w:after="0"/>
              <w:rPr>
                <w:sz w:val="22"/>
                <w:szCs w:val="22"/>
                <w:lang w:val="en-US"/>
              </w:rPr>
            </w:pPr>
            <w:r w:rsidRPr="008F3531">
              <w:rPr>
                <w:sz w:val="22"/>
                <w:szCs w:val="22"/>
                <w:lang w:val="en-US"/>
              </w:rPr>
              <w:t>AQIM</w:t>
            </w:r>
          </w:p>
        </w:tc>
        <w:tc>
          <w:tcPr>
            <w:tcW w:w="6962" w:type="dxa"/>
          </w:tcPr>
          <w:p w:rsidR="00DC3C83" w:rsidRPr="008F3531" w:rsidRDefault="00DC3C83" w:rsidP="001A4D78">
            <w:pPr>
              <w:spacing w:after="0"/>
              <w:rPr>
                <w:sz w:val="22"/>
                <w:szCs w:val="22"/>
                <w:lang w:val="en-US"/>
              </w:rPr>
            </w:pPr>
            <w:r w:rsidRPr="00E56625">
              <w:rPr>
                <w:bCs/>
                <w:color w:val="222222"/>
                <w:sz w:val="22"/>
                <w:szCs w:val="22"/>
                <w:lang w:val="en-US"/>
              </w:rPr>
              <w:t>Al-Qaeda in the Islamic Maghreb</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CID</w:t>
            </w:r>
          </w:p>
        </w:tc>
        <w:tc>
          <w:tcPr>
            <w:tcW w:w="6962" w:type="dxa"/>
          </w:tcPr>
          <w:p w:rsidR="00DC3C83" w:rsidRPr="00E56625" w:rsidRDefault="00DC3C83" w:rsidP="001A4D78">
            <w:pPr>
              <w:spacing w:after="0"/>
              <w:rPr>
                <w:iCs/>
                <w:sz w:val="22"/>
                <w:szCs w:val="22"/>
                <w:lang w:val="en-US"/>
              </w:rPr>
            </w:pPr>
            <w:r w:rsidRPr="00E56625">
              <w:rPr>
                <w:color w:val="000000"/>
                <w:sz w:val="22"/>
                <w:szCs w:val="22"/>
                <w:lang w:val="en-US"/>
              </w:rPr>
              <w:t>Center for International Development</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CPI</w:t>
            </w:r>
          </w:p>
        </w:tc>
        <w:tc>
          <w:tcPr>
            <w:tcW w:w="6962" w:type="dxa"/>
          </w:tcPr>
          <w:p w:rsidR="00DC3C83" w:rsidRPr="00E56625" w:rsidRDefault="00DC3C83" w:rsidP="001A4D78">
            <w:pPr>
              <w:spacing w:after="0"/>
              <w:rPr>
                <w:iCs/>
                <w:sz w:val="22"/>
                <w:szCs w:val="22"/>
                <w:lang w:val="en-US"/>
              </w:rPr>
            </w:pPr>
            <w:r w:rsidRPr="00E56625">
              <w:rPr>
                <w:iCs/>
                <w:sz w:val="22"/>
                <w:szCs w:val="22"/>
                <w:lang w:val="en-US"/>
              </w:rPr>
              <w:t>Consumer Price Inflation</w:t>
            </w:r>
          </w:p>
        </w:tc>
      </w:tr>
      <w:tr w:rsidR="00DC3C83" w:rsidRPr="00B603D6"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CSLP</w:t>
            </w:r>
          </w:p>
        </w:tc>
        <w:tc>
          <w:tcPr>
            <w:tcW w:w="6962" w:type="dxa"/>
          </w:tcPr>
          <w:p w:rsidR="00DC3C83" w:rsidRPr="000370E2" w:rsidRDefault="00DC3C83" w:rsidP="001A4D78">
            <w:pPr>
              <w:spacing w:after="0"/>
              <w:rPr>
                <w:sz w:val="22"/>
                <w:szCs w:val="22"/>
                <w:lang w:val="fr-FR"/>
              </w:rPr>
            </w:pPr>
            <w:r w:rsidRPr="000370E2">
              <w:rPr>
                <w:i/>
                <w:iCs/>
                <w:sz w:val="22"/>
                <w:szCs w:val="22"/>
                <w:lang w:val="fr-FR"/>
              </w:rPr>
              <w:t>Cadre Stratégique de Lutte Contre la Pauvreté</w:t>
            </w:r>
            <w:r w:rsidRPr="000370E2">
              <w:rPr>
                <w:iCs/>
                <w:sz w:val="22"/>
                <w:szCs w:val="22"/>
                <w:lang w:val="fr-FR"/>
              </w:rPr>
              <w:t xml:space="preserve"> (Poverty Reduction Strategy)</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DNSI</w:t>
            </w:r>
          </w:p>
        </w:tc>
        <w:tc>
          <w:tcPr>
            <w:tcW w:w="6962" w:type="dxa"/>
          </w:tcPr>
          <w:p w:rsidR="00DC3C83" w:rsidRPr="008F3531" w:rsidRDefault="00DC3C83" w:rsidP="001A4D78">
            <w:pPr>
              <w:spacing w:after="0"/>
              <w:rPr>
                <w:sz w:val="22"/>
                <w:szCs w:val="22"/>
                <w:lang w:val="en-US"/>
              </w:rPr>
            </w:pPr>
            <w:r w:rsidRPr="00E56625">
              <w:rPr>
                <w:rStyle w:val="st"/>
                <w:color w:val="222222"/>
                <w:sz w:val="22"/>
                <w:szCs w:val="22"/>
                <w:lang w:val="en-US"/>
              </w:rPr>
              <w:t>Discrimination and National Security Initiative</w:t>
            </w:r>
          </w:p>
        </w:tc>
      </w:tr>
      <w:tr w:rsidR="00DC3C83" w:rsidRPr="00B603D6"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ELIM</w:t>
            </w:r>
          </w:p>
        </w:tc>
        <w:tc>
          <w:tcPr>
            <w:tcW w:w="6962" w:type="dxa"/>
          </w:tcPr>
          <w:p w:rsidR="00DC3C83" w:rsidRPr="00E56625" w:rsidRDefault="00DC3C83" w:rsidP="001A4D78">
            <w:pPr>
              <w:spacing w:after="0"/>
              <w:rPr>
                <w:iCs/>
                <w:sz w:val="22"/>
                <w:szCs w:val="22"/>
                <w:lang w:val="fr-FR"/>
              </w:rPr>
            </w:pPr>
            <w:r w:rsidRPr="00E56625">
              <w:rPr>
                <w:bCs/>
                <w:iCs/>
                <w:sz w:val="22"/>
                <w:szCs w:val="22"/>
                <w:lang w:val="fr-FR"/>
              </w:rPr>
              <w:t>Enquête</w:t>
            </w:r>
            <w:r w:rsidRPr="00E56625">
              <w:rPr>
                <w:iCs/>
                <w:sz w:val="22"/>
                <w:szCs w:val="22"/>
                <w:lang w:val="fr-FR"/>
              </w:rPr>
              <w:t xml:space="preserve"> Intégrée auprès des Ménages</w:t>
            </w:r>
          </w:p>
        </w:tc>
      </w:tr>
      <w:tr w:rsidR="00DC3C83" w:rsidRPr="00B603D6"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EMEP</w:t>
            </w:r>
          </w:p>
        </w:tc>
        <w:tc>
          <w:tcPr>
            <w:tcW w:w="6962" w:type="dxa"/>
          </w:tcPr>
          <w:p w:rsidR="00DC3C83" w:rsidRPr="00E56625" w:rsidRDefault="00DC3C83" w:rsidP="001A4D78">
            <w:pPr>
              <w:spacing w:after="0"/>
              <w:rPr>
                <w:sz w:val="22"/>
                <w:szCs w:val="22"/>
                <w:lang w:val="fr-FR"/>
              </w:rPr>
            </w:pPr>
            <w:r w:rsidRPr="00E56625">
              <w:rPr>
                <w:sz w:val="22"/>
                <w:szCs w:val="22"/>
                <w:lang w:val="fr-FR"/>
              </w:rPr>
              <w:t>Enquête Malienne sur l’Evaluation de la Pauvreté</w:t>
            </w:r>
          </w:p>
        </w:tc>
      </w:tr>
      <w:tr w:rsidR="00DC3C83" w:rsidRPr="00B603D6"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EMOP</w:t>
            </w:r>
          </w:p>
        </w:tc>
        <w:tc>
          <w:tcPr>
            <w:tcW w:w="6962" w:type="dxa"/>
          </w:tcPr>
          <w:p w:rsidR="00DC3C83" w:rsidRPr="00E56625" w:rsidRDefault="00DC3C83" w:rsidP="001A4D78">
            <w:pPr>
              <w:spacing w:after="0"/>
              <w:rPr>
                <w:sz w:val="22"/>
                <w:szCs w:val="22"/>
                <w:lang w:val="fr-FR"/>
              </w:rPr>
            </w:pPr>
            <w:r w:rsidRPr="000370E2">
              <w:rPr>
                <w:sz w:val="22"/>
                <w:szCs w:val="22"/>
                <w:lang w:val="fr-FR"/>
              </w:rPr>
              <w:t>Enquête Modulaire et Permanente auprès des Ménages</w:t>
            </w:r>
          </w:p>
        </w:tc>
      </w:tr>
      <w:tr w:rsidR="00DC3C83" w:rsidRPr="00B603D6"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 xml:space="preserve">F CFA  </w:t>
            </w:r>
          </w:p>
        </w:tc>
        <w:tc>
          <w:tcPr>
            <w:tcW w:w="6962" w:type="dxa"/>
          </w:tcPr>
          <w:p w:rsidR="00DC3C83" w:rsidRPr="00E56625" w:rsidRDefault="00DC3C83" w:rsidP="001A4D78">
            <w:pPr>
              <w:spacing w:after="0"/>
              <w:rPr>
                <w:iCs/>
                <w:sz w:val="22"/>
                <w:szCs w:val="22"/>
                <w:lang w:val="fr-FR"/>
              </w:rPr>
            </w:pPr>
            <w:r w:rsidRPr="00E56625">
              <w:rPr>
                <w:iCs/>
                <w:sz w:val="22"/>
                <w:szCs w:val="22"/>
                <w:lang w:val="fr-FR"/>
              </w:rPr>
              <w:t>Franc de la Communauté Financière Africaine</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FEWSNET</w:t>
            </w:r>
          </w:p>
        </w:tc>
        <w:tc>
          <w:tcPr>
            <w:tcW w:w="6962" w:type="dxa"/>
          </w:tcPr>
          <w:p w:rsidR="00DC3C83" w:rsidRPr="00E56625" w:rsidRDefault="00DC3C83" w:rsidP="001A4D78">
            <w:pPr>
              <w:spacing w:after="0"/>
              <w:rPr>
                <w:sz w:val="22"/>
                <w:szCs w:val="22"/>
                <w:lang w:val="en-US"/>
              </w:rPr>
            </w:pPr>
            <w:r w:rsidRPr="00E56625">
              <w:rPr>
                <w:rStyle w:val="st"/>
                <w:color w:val="222222"/>
                <w:sz w:val="22"/>
                <w:szCs w:val="22"/>
                <w:lang w:val="en-US"/>
              </w:rPr>
              <w:t>Famine Early Warning Systems Network</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GDP</w:t>
            </w:r>
          </w:p>
        </w:tc>
        <w:tc>
          <w:tcPr>
            <w:tcW w:w="6962" w:type="dxa"/>
          </w:tcPr>
          <w:p w:rsidR="00DC3C83" w:rsidRPr="00E56625" w:rsidRDefault="00DC3C83" w:rsidP="001A4D78">
            <w:pPr>
              <w:spacing w:after="0"/>
              <w:rPr>
                <w:sz w:val="22"/>
                <w:szCs w:val="22"/>
                <w:lang w:val="en-US"/>
              </w:rPr>
            </w:pPr>
            <w:r w:rsidRPr="00E56625">
              <w:rPr>
                <w:sz w:val="22"/>
                <w:szCs w:val="22"/>
                <w:lang w:val="en-US"/>
              </w:rPr>
              <w:t>Gross Domestic Product</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GIS</w:t>
            </w:r>
          </w:p>
        </w:tc>
        <w:tc>
          <w:tcPr>
            <w:tcW w:w="6962" w:type="dxa"/>
          </w:tcPr>
          <w:p w:rsidR="00DC3C83" w:rsidRPr="00E56625" w:rsidRDefault="00DC3C83" w:rsidP="001A4D78">
            <w:pPr>
              <w:spacing w:after="0"/>
              <w:rPr>
                <w:iCs/>
                <w:sz w:val="22"/>
                <w:szCs w:val="22"/>
                <w:lang w:val="en-US"/>
              </w:rPr>
            </w:pPr>
            <w:r w:rsidRPr="00E56625">
              <w:rPr>
                <w:bCs/>
                <w:color w:val="222222"/>
                <w:sz w:val="22"/>
                <w:szCs w:val="22"/>
                <w:lang w:val="en-US"/>
              </w:rPr>
              <w:t>Geographic Information System</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IDP</w:t>
            </w:r>
          </w:p>
        </w:tc>
        <w:tc>
          <w:tcPr>
            <w:tcW w:w="6962" w:type="dxa"/>
          </w:tcPr>
          <w:p w:rsidR="00DC3C83" w:rsidRPr="00E56625" w:rsidRDefault="00DC3C83" w:rsidP="001A4D78">
            <w:pPr>
              <w:spacing w:after="0"/>
              <w:rPr>
                <w:sz w:val="22"/>
                <w:szCs w:val="22"/>
                <w:lang w:val="en-US"/>
              </w:rPr>
            </w:pPr>
            <w:r w:rsidRPr="00E56625">
              <w:rPr>
                <w:sz w:val="22"/>
                <w:szCs w:val="22"/>
                <w:lang w:val="en-US"/>
              </w:rPr>
              <w:t>Internal Development Program</w:t>
            </w:r>
          </w:p>
        </w:tc>
      </w:tr>
      <w:tr w:rsidR="00DC3C83" w:rsidRPr="008F3531" w:rsidTr="00B5755E">
        <w:trPr>
          <w:jc w:val="center"/>
        </w:trPr>
        <w:tc>
          <w:tcPr>
            <w:tcW w:w="1590" w:type="dxa"/>
          </w:tcPr>
          <w:p w:rsidR="00DC3C83" w:rsidRPr="008F3531" w:rsidRDefault="00DC3C83" w:rsidP="001A4D78">
            <w:pPr>
              <w:spacing w:after="0"/>
              <w:rPr>
                <w:sz w:val="22"/>
                <w:szCs w:val="22"/>
                <w:lang w:val="en-US"/>
              </w:rPr>
            </w:pPr>
            <w:r w:rsidRPr="008F3531">
              <w:rPr>
                <w:sz w:val="22"/>
                <w:szCs w:val="22"/>
                <w:lang w:val="en-US"/>
              </w:rPr>
              <w:t>IED</w:t>
            </w:r>
          </w:p>
        </w:tc>
        <w:tc>
          <w:tcPr>
            <w:tcW w:w="6962" w:type="dxa"/>
          </w:tcPr>
          <w:p w:rsidR="00DC3C83" w:rsidRPr="008F3531" w:rsidRDefault="00DC3C83" w:rsidP="001A4D78">
            <w:pPr>
              <w:spacing w:after="0"/>
              <w:rPr>
                <w:sz w:val="22"/>
                <w:szCs w:val="22"/>
                <w:lang w:val="en-US"/>
              </w:rPr>
            </w:pPr>
            <w:r w:rsidRPr="008F3531">
              <w:rPr>
                <w:sz w:val="22"/>
                <w:szCs w:val="22"/>
                <w:lang w:val="en-US"/>
              </w:rPr>
              <w:t>Improvised Explosive Devises</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IMF</w:t>
            </w:r>
          </w:p>
        </w:tc>
        <w:tc>
          <w:tcPr>
            <w:tcW w:w="6962" w:type="dxa"/>
          </w:tcPr>
          <w:p w:rsidR="00DC3C83" w:rsidRPr="00E56625" w:rsidRDefault="00DC3C83" w:rsidP="001A4D78">
            <w:pPr>
              <w:spacing w:after="0"/>
              <w:rPr>
                <w:sz w:val="22"/>
                <w:szCs w:val="22"/>
                <w:lang w:val="en-US"/>
              </w:rPr>
            </w:pPr>
            <w:r w:rsidRPr="00E56625">
              <w:rPr>
                <w:sz w:val="22"/>
                <w:szCs w:val="22"/>
                <w:lang w:val="en-US"/>
              </w:rPr>
              <w:t>International Monetary Fund</w:t>
            </w:r>
          </w:p>
        </w:tc>
      </w:tr>
      <w:tr w:rsidR="00DC3C83" w:rsidRPr="00B603D6"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INSTAT</w:t>
            </w:r>
          </w:p>
        </w:tc>
        <w:tc>
          <w:tcPr>
            <w:tcW w:w="6962" w:type="dxa"/>
          </w:tcPr>
          <w:p w:rsidR="00DC3C83" w:rsidRPr="00E56625" w:rsidRDefault="00DC3C83" w:rsidP="001A4D78">
            <w:pPr>
              <w:spacing w:after="0"/>
              <w:rPr>
                <w:sz w:val="22"/>
                <w:szCs w:val="22"/>
                <w:lang w:val="fr-FR"/>
              </w:rPr>
            </w:pPr>
            <w:r w:rsidRPr="00E56625">
              <w:rPr>
                <w:sz w:val="22"/>
                <w:szCs w:val="22"/>
                <w:lang w:val="fr-FR"/>
              </w:rPr>
              <w:t>Institut National de la Statistique</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MICS</w:t>
            </w:r>
          </w:p>
        </w:tc>
        <w:tc>
          <w:tcPr>
            <w:tcW w:w="6962" w:type="dxa"/>
          </w:tcPr>
          <w:p w:rsidR="00DC3C83" w:rsidRPr="00E56625" w:rsidRDefault="00DC3C83" w:rsidP="00DC3C83">
            <w:pPr>
              <w:pStyle w:val="NoSpacing"/>
              <w:jc w:val="both"/>
              <w:rPr>
                <w:rFonts w:ascii="Times New Roman" w:hAnsi="Times New Roman" w:cs="Times New Roman"/>
                <w:szCs w:val="22"/>
              </w:rPr>
            </w:pPr>
            <w:r w:rsidRPr="00E56625">
              <w:rPr>
                <w:rFonts w:ascii="Times New Roman" w:hAnsi="Times New Roman" w:cs="Times New Roman"/>
                <w:szCs w:val="22"/>
              </w:rPr>
              <w:t>Multiple Indicator Cluster Survey</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MICS</w:t>
            </w:r>
          </w:p>
        </w:tc>
        <w:tc>
          <w:tcPr>
            <w:tcW w:w="6962" w:type="dxa"/>
          </w:tcPr>
          <w:p w:rsidR="00DC3C83" w:rsidRPr="00E56625" w:rsidRDefault="00DC3C83" w:rsidP="001A4D78">
            <w:pPr>
              <w:spacing w:after="0"/>
              <w:rPr>
                <w:iCs/>
                <w:sz w:val="22"/>
                <w:szCs w:val="22"/>
                <w:lang w:val="en-US"/>
              </w:rPr>
            </w:pPr>
            <w:r w:rsidRPr="00E56625">
              <w:rPr>
                <w:iCs/>
                <w:sz w:val="22"/>
                <w:szCs w:val="22"/>
                <w:lang w:val="en-US"/>
              </w:rPr>
              <w:t>Multiple Indicators Cluster Survey</w:t>
            </w:r>
          </w:p>
        </w:tc>
      </w:tr>
      <w:tr w:rsidR="00DC3C83" w:rsidRPr="008F3531" w:rsidTr="00B5755E">
        <w:trPr>
          <w:jc w:val="center"/>
        </w:trPr>
        <w:tc>
          <w:tcPr>
            <w:tcW w:w="1590" w:type="dxa"/>
          </w:tcPr>
          <w:p w:rsidR="00DC3C83" w:rsidRPr="008F3531" w:rsidRDefault="00DC3C83" w:rsidP="001A4D78">
            <w:pPr>
              <w:spacing w:after="0"/>
              <w:rPr>
                <w:sz w:val="22"/>
                <w:szCs w:val="22"/>
                <w:lang w:val="en-US"/>
              </w:rPr>
            </w:pPr>
            <w:r w:rsidRPr="008F3531">
              <w:rPr>
                <w:sz w:val="22"/>
                <w:szCs w:val="22"/>
                <w:lang w:val="en-US"/>
              </w:rPr>
              <w:t>MINUSMA</w:t>
            </w:r>
          </w:p>
        </w:tc>
        <w:tc>
          <w:tcPr>
            <w:tcW w:w="6962" w:type="dxa"/>
          </w:tcPr>
          <w:p w:rsidR="00DC3C83" w:rsidRPr="008F3531" w:rsidRDefault="00DC3C83" w:rsidP="009A27A9">
            <w:pPr>
              <w:spacing w:after="0"/>
              <w:rPr>
                <w:sz w:val="22"/>
                <w:szCs w:val="22"/>
                <w:lang w:val="en-US"/>
              </w:rPr>
            </w:pPr>
            <w:r w:rsidRPr="00E56625">
              <w:rPr>
                <w:sz w:val="22"/>
                <w:szCs w:val="22"/>
                <w:lang w:val="en-US"/>
              </w:rPr>
              <w:t>United Nations Multidimensional Integrated Stabilization Mission in Mali</w:t>
            </w:r>
          </w:p>
        </w:tc>
      </w:tr>
      <w:tr w:rsidR="00DC3C83" w:rsidRPr="008F3531" w:rsidTr="00B5755E">
        <w:trPr>
          <w:jc w:val="center"/>
        </w:trPr>
        <w:tc>
          <w:tcPr>
            <w:tcW w:w="1590" w:type="dxa"/>
          </w:tcPr>
          <w:p w:rsidR="00DC3C83" w:rsidRPr="00E56625" w:rsidRDefault="00DC3C83" w:rsidP="001A4D78">
            <w:pPr>
              <w:spacing w:after="0"/>
              <w:rPr>
                <w:rStyle w:val="st"/>
                <w:color w:val="222222"/>
                <w:sz w:val="22"/>
                <w:szCs w:val="22"/>
                <w:lang w:val="en-US"/>
              </w:rPr>
            </w:pPr>
            <w:r w:rsidRPr="00E56625">
              <w:rPr>
                <w:rStyle w:val="st"/>
                <w:color w:val="222222"/>
                <w:sz w:val="22"/>
                <w:szCs w:val="22"/>
                <w:lang w:val="en-US"/>
              </w:rPr>
              <w:t>NOREF</w:t>
            </w:r>
          </w:p>
        </w:tc>
        <w:tc>
          <w:tcPr>
            <w:tcW w:w="6962" w:type="dxa"/>
          </w:tcPr>
          <w:p w:rsidR="00DC3C83" w:rsidRPr="00E56625" w:rsidRDefault="00B250D9" w:rsidP="001A4D78">
            <w:pPr>
              <w:spacing w:after="0"/>
              <w:rPr>
                <w:rStyle w:val="st"/>
                <w:color w:val="222222"/>
                <w:sz w:val="22"/>
                <w:szCs w:val="22"/>
                <w:lang w:val="en-US"/>
              </w:rPr>
            </w:pPr>
            <w:hyperlink r:id="rId10" w:history="1">
              <w:r w:rsidR="00DC3C83" w:rsidRPr="00E56625">
                <w:rPr>
                  <w:rStyle w:val="st"/>
                  <w:color w:val="222222"/>
                  <w:sz w:val="22"/>
                  <w:szCs w:val="22"/>
                  <w:lang w:val="en-US"/>
                </w:rPr>
                <w:t xml:space="preserve">Norwegian Peacebuilding Resource Centre </w:t>
              </w:r>
            </w:hyperlink>
          </w:p>
        </w:tc>
      </w:tr>
      <w:tr w:rsidR="00DC3C83" w:rsidRPr="008F3531" w:rsidTr="00B5755E">
        <w:trPr>
          <w:jc w:val="center"/>
        </w:trPr>
        <w:tc>
          <w:tcPr>
            <w:tcW w:w="1590" w:type="dxa"/>
          </w:tcPr>
          <w:p w:rsidR="00DC3C83" w:rsidRPr="008F3531" w:rsidRDefault="00DC3C83" w:rsidP="001A4D78">
            <w:pPr>
              <w:spacing w:after="0"/>
              <w:rPr>
                <w:sz w:val="22"/>
                <w:szCs w:val="22"/>
                <w:lang w:val="en-US"/>
              </w:rPr>
            </w:pPr>
            <w:r w:rsidRPr="008F3531">
              <w:rPr>
                <w:sz w:val="22"/>
                <w:szCs w:val="22"/>
                <w:lang w:val="en-US"/>
              </w:rPr>
              <w:t>PAPC</w:t>
            </w:r>
          </w:p>
        </w:tc>
        <w:tc>
          <w:tcPr>
            <w:tcW w:w="6962" w:type="dxa"/>
          </w:tcPr>
          <w:p w:rsidR="00DC3C83" w:rsidRPr="008F3531" w:rsidRDefault="00DC3C83" w:rsidP="001A4D78">
            <w:pPr>
              <w:spacing w:after="0"/>
              <w:rPr>
                <w:sz w:val="22"/>
                <w:szCs w:val="22"/>
                <w:lang w:val="en-US"/>
              </w:rPr>
            </w:pPr>
            <w:r w:rsidRPr="008F3531">
              <w:rPr>
                <w:sz w:val="22"/>
                <w:szCs w:val="22"/>
                <w:lang w:val="en-US"/>
              </w:rPr>
              <w:t>Post-conflict Assistance Project</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PIB</w:t>
            </w:r>
          </w:p>
        </w:tc>
        <w:tc>
          <w:tcPr>
            <w:tcW w:w="6962" w:type="dxa"/>
          </w:tcPr>
          <w:p w:rsidR="00DC3C83" w:rsidRPr="00E56625" w:rsidRDefault="00DC3C83" w:rsidP="001A4D78">
            <w:pPr>
              <w:spacing w:after="0"/>
              <w:rPr>
                <w:iCs/>
                <w:sz w:val="22"/>
                <w:szCs w:val="22"/>
                <w:lang w:val="en-US"/>
              </w:rPr>
            </w:pPr>
            <w:r w:rsidRPr="00E56625">
              <w:rPr>
                <w:iCs/>
                <w:sz w:val="22"/>
                <w:szCs w:val="22"/>
                <w:lang w:val="en-US"/>
              </w:rPr>
              <w:t>Gross Domestic Product</w:t>
            </w:r>
          </w:p>
        </w:tc>
      </w:tr>
      <w:tr w:rsidR="00DC3C83" w:rsidRPr="00B603D6"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RGPH</w:t>
            </w:r>
          </w:p>
        </w:tc>
        <w:tc>
          <w:tcPr>
            <w:tcW w:w="6962" w:type="dxa"/>
          </w:tcPr>
          <w:p w:rsidR="00DC3C83" w:rsidRPr="00E56625" w:rsidRDefault="00DC3C83" w:rsidP="001A4D78">
            <w:pPr>
              <w:spacing w:after="0"/>
              <w:rPr>
                <w:i/>
                <w:sz w:val="22"/>
                <w:szCs w:val="22"/>
                <w:lang w:val="fr-FR"/>
              </w:rPr>
            </w:pPr>
            <w:r w:rsidRPr="00E56625">
              <w:rPr>
                <w:i/>
                <w:sz w:val="22"/>
                <w:szCs w:val="22"/>
                <w:lang w:val="fr-FR"/>
              </w:rPr>
              <w:t>Recensement Général de la Population et de l’Habitat</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UEMOA</w:t>
            </w:r>
          </w:p>
        </w:tc>
        <w:tc>
          <w:tcPr>
            <w:tcW w:w="6962" w:type="dxa"/>
          </w:tcPr>
          <w:p w:rsidR="00DC3C83" w:rsidRPr="008F3531" w:rsidRDefault="00DC3C83" w:rsidP="001A4D78">
            <w:pPr>
              <w:spacing w:after="0"/>
              <w:rPr>
                <w:iCs/>
                <w:sz w:val="22"/>
                <w:szCs w:val="22"/>
                <w:lang w:val="en-US"/>
              </w:rPr>
            </w:pPr>
            <w:r w:rsidRPr="008F3531">
              <w:rPr>
                <w:iCs/>
                <w:sz w:val="22"/>
                <w:szCs w:val="22"/>
                <w:lang w:val="en-US"/>
              </w:rPr>
              <w:t>West African States Monetary Union</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UN</w:t>
            </w:r>
          </w:p>
        </w:tc>
        <w:tc>
          <w:tcPr>
            <w:tcW w:w="6962" w:type="dxa"/>
          </w:tcPr>
          <w:p w:rsidR="00DC3C83" w:rsidRPr="008F3531" w:rsidRDefault="00DC3C83" w:rsidP="001A4D78">
            <w:pPr>
              <w:spacing w:after="0"/>
              <w:rPr>
                <w:sz w:val="22"/>
                <w:szCs w:val="22"/>
                <w:lang w:val="en-US"/>
              </w:rPr>
            </w:pPr>
            <w:r w:rsidRPr="008F3531">
              <w:rPr>
                <w:sz w:val="22"/>
                <w:szCs w:val="22"/>
                <w:lang w:val="en-US"/>
              </w:rPr>
              <w:t>United Nations</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USD</w:t>
            </w:r>
          </w:p>
        </w:tc>
        <w:tc>
          <w:tcPr>
            <w:tcW w:w="6962" w:type="dxa"/>
          </w:tcPr>
          <w:p w:rsidR="00DC3C83" w:rsidRPr="00E56625" w:rsidRDefault="00DC3C83" w:rsidP="001A4D78">
            <w:pPr>
              <w:spacing w:after="0"/>
              <w:rPr>
                <w:sz w:val="22"/>
                <w:szCs w:val="22"/>
                <w:lang w:val="en-US"/>
              </w:rPr>
            </w:pPr>
            <w:r w:rsidRPr="00E56625">
              <w:rPr>
                <w:sz w:val="22"/>
                <w:szCs w:val="22"/>
                <w:lang w:val="en-US"/>
              </w:rPr>
              <w:t>US dollar</w:t>
            </w:r>
          </w:p>
        </w:tc>
      </w:tr>
      <w:tr w:rsidR="00DC3C83" w:rsidRPr="008F3531" w:rsidTr="00B5755E">
        <w:trPr>
          <w:jc w:val="center"/>
        </w:trPr>
        <w:tc>
          <w:tcPr>
            <w:tcW w:w="1590" w:type="dxa"/>
          </w:tcPr>
          <w:p w:rsidR="00DC3C83" w:rsidRPr="00E56625" w:rsidRDefault="00DC3C83" w:rsidP="001A4D78">
            <w:pPr>
              <w:spacing w:after="0"/>
              <w:rPr>
                <w:sz w:val="22"/>
                <w:szCs w:val="22"/>
                <w:lang w:val="en-US"/>
              </w:rPr>
            </w:pPr>
            <w:r w:rsidRPr="00E56625">
              <w:rPr>
                <w:sz w:val="22"/>
                <w:szCs w:val="22"/>
                <w:lang w:val="en-US"/>
              </w:rPr>
              <w:t>WAEMU</w:t>
            </w:r>
          </w:p>
        </w:tc>
        <w:tc>
          <w:tcPr>
            <w:tcW w:w="6962" w:type="dxa"/>
          </w:tcPr>
          <w:p w:rsidR="00DC3C83" w:rsidRPr="008F3531" w:rsidRDefault="00DC3C83" w:rsidP="001A4D78">
            <w:pPr>
              <w:spacing w:after="0"/>
              <w:rPr>
                <w:sz w:val="22"/>
                <w:szCs w:val="22"/>
                <w:lang w:val="en-US"/>
              </w:rPr>
            </w:pPr>
            <w:r w:rsidRPr="008F3531">
              <w:rPr>
                <w:sz w:val="22"/>
                <w:szCs w:val="22"/>
                <w:lang w:val="en-US"/>
              </w:rPr>
              <w:t>West African Economic and Monetary Union</w:t>
            </w:r>
          </w:p>
        </w:tc>
      </w:tr>
      <w:tr w:rsidR="00DC3C83" w:rsidRPr="008F3531" w:rsidTr="00B5755E">
        <w:trPr>
          <w:jc w:val="center"/>
        </w:trPr>
        <w:tc>
          <w:tcPr>
            <w:tcW w:w="1590" w:type="dxa"/>
          </w:tcPr>
          <w:p w:rsidR="00DC3C83" w:rsidRPr="008F3531" w:rsidRDefault="00DC3C83" w:rsidP="001A4D78">
            <w:pPr>
              <w:spacing w:after="0"/>
              <w:rPr>
                <w:sz w:val="22"/>
                <w:szCs w:val="22"/>
                <w:lang w:val="en-US"/>
              </w:rPr>
            </w:pPr>
            <w:r w:rsidRPr="008F3531">
              <w:rPr>
                <w:sz w:val="22"/>
                <w:szCs w:val="22"/>
                <w:lang w:val="en-US"/>
              </w:rPr>
              <w:t>WDI</w:t>
            </w:r>
          </w:p>
        </w:tc>
        <w:tc>
          <w:tcPr>
            <w:tcW w:w="6962" w:type="dxa"/>
          </w:tcPr>
          <w:p w:rsidR="00DC3C83" w:rsidRPr="008F3531" w:rsidRDefault="00DC3C83" w:rsidP="001A4D78">
            <w:pPr>
              <w:spacing w:after="0"/>
              <w:rPr>
                <w:iCs/>
                <w:sz w:val="22"/>
                <w:szCs w:val="22"/>
                <w:lang w:val="en-US"/>
              </w:rPr>
            </w:pPr>
            <w:r w:rsidRPr="008F3531">
              <w:rPr>
                <w:iCs/>
                <w:sz w:val="22"/>
                <w:szCs w:val="22"/>
                <w:lang w:val="en-US"/>
              </w:rPr>
              <w:t>World Development Indicators</w:t>
            </w:r>
          </w:p>
        </w:tc>
      </w:tr>
    </w:tbl>
    <w:p w:rsidR="00FD2D96" w:rsidRPr="00E56625" w:rsidRDefault="00FD2D96" w:rsidP="00146D7F">
      <w:pPr>
        <w:spacing w:after="120"/>
        <w:rPr>
          <w:sz w:val="22"/>
          <w:lang w:val="en-US"/>
        </w:rPr>
      </w:pPr>
    </w:p>
    <w:p w:rsidR="00FD2D96" w:rsidRPr="00E56625" w:rsidRDefault="00FD2D96" w:rsidP="00FD2D96">
      <w:pPr>
        <w:spacing w:after="120"/>
        <w:rPr>
          <w:sz w:val="22"/>
          <w:lang w:val="en-US"/>
        </w:rPr>
      </w:pPr>
    </w:p>
    <w:p w:rsidR="00FD2D96" w:rsidRPr="00E56625" w:rsidRDefault="00FD2D96" w:rsidP="00FD2D96">
      <w:pPr>
        <w:spacing w:after="0"/>
        <w:jc w:val="center"/>
        <w:rPr>
          <w:b/>
          <w:sz w:val="22"/>
          <w:lang w:val="en-US"/>
        </w:rPr>
      </w:pPr>
    </w:p>
    <w:tbl>
      <w:tblPr>
        <w:tblW w:w="0" w:type="auto"/>
        <w:tblInd w:w="10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0"/>
        <w:gridCol w:w="3780"/>
      </w:tblGrid>
      <w:tr w:rsidR="00FD2D96" w:rsidRPr="008F3531" w:rsidTr="00867670">
        <w:tc>
          <w:tcPr>
            <w:tcW w:w="3420" w:type="dxa"/>
            <w:tcBorders>
              <w:top w:val="single" w:sz="6" w:space="0" w:color="auto"/>
              <w:left w:val="single" w:sz="6" w:space="0" w:color="auto"/>
              <w:bottom w:val="single" w:sz="6" w:space="0" w:color="auto"/>
              <w:right w:val="nil"/>
            </w:tcBorders>
          </w:tcPr>
          <w:p w:rsidR="00FD2D96" w:rsidRPr="008F3531" w:rsidRDefault="00FD2D96" w:rsidP="00867670">
            <w:pPr>
              <w:spacing w:after="0"/>
              <w:jc w:val="right"/>
              <w:rPr>
                <w:sz w:val="22"/>
                <w:szCs w:val="22"/>
                <w:lang w:val="en-US"/>
              </w:rPr>
            </w:pPr>
            <w:r w:rsidRPr="008F3531">
              <w:rPr>
                <w:sz w:val="22"/>
                <w:szCs w:val="22"/>
                <w:lang w:val="en-US"/>
              </w:rPr>
              <w:t>Regional Vice President:</w:t>
            </w:r>
          </w:p>
          <w:p w:rsidR="00FD2D96" w:rsidRPr="008F3531" w:rsidRDefault="00FD2D96" w:rsidP="00867670">
            <w:pPr>
              <w:spacing w:after="0"/>
              <w:jc w:val="right"/>
              <w:rPr>
                <w:sz w:val="22"/>
                <w:szCs w:val="22"/>
                <w:lang w:val="en-US"/>
              </w:rPr>
            </w:pPr>
            <w:r w:rsidRPr="008F3531">
              <w:rPr>
                <w:sz w:val="22"/>
                <w:szCs w:val="22"/>
                <w:lang w:val="en-US"/>
              </w:rPr>
              <w:t>Sector Director:</w:t>
            </w:r>
          </w:p>
          <w:p w:rsidR="00D07556" w:rsidRPr="008F3531" w:rsidRDefault="00D07556" w:rsidP="00867670">
            <w:pPr>
              <w:spacing w:after="0"/>
              <w:jc w:val="right"/>
              <w:rPr>
                <w:sz w:val="22"/>
                <w:szCs w:val="22"/>
                <w:lang w:val="en-US"/>
              </w:rPr>
            </w:pPr>
            <w:r w:rsidRPr="008F3531">
              <w:rPr>
                <w:sz w:val="22"/>
                <w:szCs w:val="22"/>
                <w:lang w:val="en-US"/>
              </w:rPr>
              <w:t>Country Director:</w:t>
            </w:r>
          </w:p>
          <w:p w:rsidR="00FD2D96" w:rsidRPr="008F3531" w:rsidRDefault="00FD2D96" w:rsidP="00867670">
            <w:pPr>
              <w:spacing w:after="0"/>
              <w:jc w:val="right"/>
              <w:rPr>
                <w:sz w:val="22"/>
                <w:szCs w:val="22"/>
                <w:lang w:val="en-US"/>
              </w:rPr>
            </w:pPr>
            <w:r w:rsidRPr="008F3531">
              <w:rPr>
                <w:sz w:val="22"/>
                <w:szCs w:val="22"/>
                <w:lang w:val="en-US"/>
              </w:rPr>
              <w:t>Sector Manager:</w:t>
            </w:r>
          </w:p>
          <w:p w:rsidR="00FD2D96" w:rsidRPr="008F3531" w:rsidRDefault="00FD2D96" w:rsidP="00867670">
            <w:pPr>
              <w:spacing w:after="0"/>
              <w:jc w:val="right"/>
              <w:rPr>
                <w:sz w:val="22"/>
                <w:szCs w:val="22"/>
                <w:lang w:val="en-US"/>
              </w:rPr>
            </w:pPr>
            <w:r w:rsidRPr="008F3531">
              <w:rPr>
                <w:sz w:val="22"/>
                <w:szCs w:val="22"/>
                <w:lang w:val="en-US"/>
              </w:rPr>
              <w:t>Task Team Leader:</w:t>
            </w:r>
          </w:p>
        </w:tc>
        <w:tc>
          <w:tcPr>
            <w:tcW w:w="3780" w:type="dxa"/>
            <w:tcBorders>
              <w:top w:val="single" w:sz="6" w:space="0" w:color="auto"/>
              <w:left w:val="nil"/>
              <w:bottom w:val="single" w:sz="6" w:space="0" w:color="auto"/>
              <w:right w:val="single" w:sz="6" w:space="0" w:color="auto"/>
            </w:tcBorders>
          </w:tcPr>
          <w:p w:rsidR="00FD2D96" w:rsidRPr="00E56625" w:rsidRDefault="00AD2275" w:rsidP="00867670">
            <w:pPr>
              <w:spacing w:after="0"/>
              <w:rPr>
                <w:sz w:val="22"/>
                <w:szCs w:val="22"/>
                <w:lang w:val="fr-FR"/>
              </w:rPr>
            </w:pPr>
            <w:r w:rsidRPr="00E56625">
              <w:rPr>
                <w:sz w:val="22"/>
                <w:szCs w:val="22"/>
                <w:lang w:val="fr-FR"/>
              </w:rPr>
              <w:t>Makhtar Diop</w:t>
            </w:r>
          </w:p>
          <w:p w:rsidR="00FD2D96" w:rsidRPr="00E56625" w:rsidRDefault="00B250D9" w:rsidP="00867670">
            <w:pPr>
              <w:spacing w:after="0"/>
              <w:rPr>
                <w:sz w:val="22"/>
                <w:szCs w:val="22"/>
                <w:lang w:val="fr-FR"/>
              </w:rPr>
            </w:pPr>
            <w:r>
              <w:rPr>
                <w:sz w:val="22"/>
                <w:szCs w:val="22"/>
                <w:lang w:val="fr-FR"/>
              </w:rPr>
              <w:t>Ana Revenga</w:t>
            </w:r>
            <w:r w:rsidR="00FD2D96" w:rsidRPr="00E56625">
              <w:rPr>
                <w:sz w:val="22"/>
                <w:szCs w:val="22"/>
                <w:lang w:val="fr-FR"/>
              </w:rPr>
              <w:t xml:space="preserve"> </w:t>
            </w:r>
          </w:p>
          <w:p w:rsidR="00D07556" w:rsidRPr="00E56625" w:rsidRDefault="005641A9" w:rsidP="00D07556">
            <w:pPr>
              <w:spacing w:after="0"/>
              <w:rPr>
                <w:sz w:val="22"/>
                <w:szCs w:val="22"/>
                <w:lang w:val="fr-FR"/>
              </w:rPr>
            </w:pPr>
            <w:r w:rsidRPr="00E56625">
              <w:rPr>
                <w:sz w:val="22"/>
                <w:szCs w:val="22"/>
                <w:lang w:val="fr-FR"/>
              </w:rPr>
              <w:t>Paul Noumba Um</w:t>
            </w:r>
          </w:p>
          <w:p w:rsidR="00FD2D96" w:rsidRPr="00E56625" w:rsidRDefault="00B250D9" w:rsidP="00867670">
            <w:pPr>
              <w:spacing w:after="0"/>
              <w:rPr>
                <w:sz w:val="22"/>
                <w:szCs w:val="22"/>
                <w:lang w:val="en-US"/>
              </w:rPr>
            </w:pPr>
            <w:r>
              <w:rPr>
                <w:sz w:val="22"/>
                <w:szCs w:val="22"/>
                <w:lang w:val="en-US"/>
              </w:rPr>
              <w:t>Pablo Fajnzylber</w:t>
            </w:r>
            <w:r w:rsidR="00FD2D96" w:rsidRPr="00E56625">
              <w:rPr>
                <w:sz w:val="22"/>
                <w:szCs w:val="22"/>
                <w:lang w:val="en-US"/>
              </w:rPr>
              <w:t xml:space="preserve"> </w:t>
            </w:r>
          </w:p>
          <w:p w:rsidR="00FD2D96" w:rsidRPr="00E56625" w:rsidRDefault="001A4D78" w:rsidP="00AD2275">
            <w:pPr>
              <w:spacing w:after="0"/>
              <w:rPr>
                <w:sz w:val="22"/>
                <w:szCs w:val="22"/>
                <w:lang w:val="en-US"/>
              </w:rPr>
            </w:pPr>
            <w:r w:rsidRPr="00E56625">
              <w:rPr>
                <w:sz w:val="22"/>
                <w:szCs w:val="22"/>
                <w:lang w:val="en-US"/>
              </w:rPr>
              <w:t>Johannes Hoogeveen</w:t>
            </w:r>
            <w:r w:rsidR="000F5281" w:rsidRPr="00E56625">
              <w:rPr>
                <w:sz w:val="22"/>
                <w:szCs w:val="22"/>
                <w:lang w:val="en-US"/>
              </w:rPr>
              <w:t xml:space="preserve"> </w:t>
            </w:r>
          </w:p>
        </w:tc>
      </w:tr>
    </w:tbl>
    <w:p w:rsidR="00CF0E26" w:rsidRPr="00E56625" w:rsidRDefault="00CF0E26" w:rsidP="00CF0E26">
      <w:pPr>
        <w:spacing w:after="0"/>
        <w:jc w:val="center"/>
        <w:rPr>
          <w:b/>
          <w:lang w:val="en-US"/>
        </w:rPr>
      </w:pPr>
      <w:r w:rsidRPr="00E56625">
        <w:rPr>
          <w:b/>
          <w:lang w:val="en-US"/>
        </w:rPr>
        <w:lastRenderedPageBreak/>
        <w:t>Table of Contents</w:t>
      </w:r>
    </w:p>
    <w:p w:rsidR="0028509D" w:rsidRPr="00E56625" w:rsidRDefault="0028509D" w:rsidP="00CF0E26">
      <w:pPr>
        <w:spacing w:after="0"/>
        <w:jc w:val="center"/>
        <w:rPr>
          <w:sz w:val="4"/>
          <w:szCs w:val="4"/>
          <w:lang w:val="en-US"/>
        </w:rPr>
      </w:pPr>
    </w:p>
    <w:p w:rsidR="00E56625" w:rsidRDefault="00CF0E26">
      <w:pPr>
        <w:pStyle w:val="TOC1"/>
        <w:rPr>
          <w:rFonts w:asciiTheme="minorHAnsi" w:eastAsiaTheme="minorEastAsia" w:hAnsiTheme="minorHAnsi" w:cstheme="minorBidi"/>
          <w:noProof/>
          <w:sz w:val="22"/>
          <w:szCs w:val="22"/>
          <w:lang w:val="en-US"/>
        </w:rPr>
      </w:pPr>
      <w:r w:rsidRPr="00E56625">
        <w:rPr>
          <w:rStyle w:val="Hyperlink"/>
          <w:rFonts w:eastAsiaTheme="majorEastAsia"/>
          <w:caps/>
          <w:noProof/>
        </w:rPr>
        <w:fldChar w:fldCharType="begin"/>
      </w:r>
      <w:r w:rsidRPr="00E56625">
        <w:rPr>
          <w:rStyle w:val="Hyperlink"/>
          <w:rFonts w:eastAsiaTheme="majorEastAsia"/>
          <w:b/>
          <w:caps/>
          <w:noProof/>
          <w:sz w:val="22"/>
          <w:szCs w:val="22"/>
          <w:lang w:val="en-US"/>
        </w:rPr>
        <w:instrText xml:space="preserve"> TOC \o "1-1" \h \z \t "Heading 2,2,Title,1" </w:instrText>
      </w:r>
      <w:r w:rsidRPr="00E56625">
        <w:rPr>
          <w:rStyle w:val="Hyperlink"/>
          <w:rFonts w:eastAsiaTheme="majorEastAsia"/>
          <w:caps/>
          <w:noProof/>
        </w:rPr>
        <w:fldChar w:fldCharType="separate"/>
      </w:r>
      <w:hyperlink w:anchor="_Toc419468529" w:history="1">
        <w:r w:rsidR="00E56625" w:rsidRPr="00C82786">
          <w:rPr>
            <w:rStyle w:val="Hyperlink"/>
            <w:rFonts w:eastAsiaTheme="majorEastAsia"/>
            <w:b/>
            <w:noProof/>
          </w:rPr>
          <w:t>Aknowledgements</w:t>
        </w:r>
        <w:r w:rsidR="00E56625">
          <w:rPr>
            <w:noProof/>
            <w:webHidden/>
          </w:rPr>
          <w:tab/>
        </w:r>
        <w:r w:rsidR="00E56625">
          <w:rPr>
            <w:noProof/>
            <w:webHidden/>
          </w:rPr>
          <w:fldChar w:fldCharType="begin"/>
        </w:r>
        <w:r w:rsidR="00E56625">
          <w:rPr>
            <w:noProof/>
            <w:webHidden/>
          </w:rPr>
          <w:instrText xml:space="preserve"> PAGEREF _Toc419468529 \h </w:instrText>
        </w:r>
        <w:r w:rsidR="00E56625">
          <w:rPr>
            <w:noProof/>
            <w:webHidden/>
          </w:rPr>
        </w:r>
        <w:r w:rsidR="00E56625">
          <w:rPr>
            <w:noProof/>
            <w:webHidden/>
          </w:rPr>
          <w:fldChar w:fldCharType="separate"/>
        </w:r>
        <w:r w:rsidR="002779FA">
          <w:rPr>
            <w:noProof/>
            <w:webHidden/>
          </w:rPr>
          <w:t>v</w:t>
        </w:r>
        <w:r w:rsidR="00E56625">
          <w:rPr>
            <w:noProof/>
            <w:webHidden/>
          </w:rPr>
          <w:fldChar w:fldCharType="end"/>
        </w:r>
      </w:hyperlink>
    </w:p>
    <w:p w:rsidR="00E56625" w:rsidRDefault="00B250D9">
      <w:pPr>
        <w:pStyle w:val="TOC1"/>
        <w:rPr>
          <w:rFonts w:asciiTheme="minorHAnsi" w:eastAsiaTheme="minorEastAsia" w:hAnsiTheme="minorHAnsi" w:cstheme="minorBidi"/>
          <w:noProof/>
          <w:sz w:val="22"/>
          <w:szCs w:val="22"/>
          <w:lang w:val="en-US"/>
        </w:rPr>
      </w:pPr>
      <w:hyperlink w:anchor="_Toc419468530" w:history="1">
        <w:r w:rsidR="00E56625" w:rsidRPr="00C82786">
          <w:rPr>
            <w:rStyle w:val="Hyperlink"/>
            <w:rFonts w:eastAsiaTheme="majorEastAsia"/>
            <w:b/>
            <w:noProof/>
          </w:rPr>
          <w:t>Executive Summary</w:t>
        </w:r>
        <w:r w:rsidR="00E56625">
          <w:rPr>
            <w:noProof/>
            <w:webHidden/>
          </w:rPr>
          <w:tab/>
        </w:r>
        <w:r w:rsidR="00E56625">
          <w:rPr>
            <w:noProof/>
            <w:webHidden/>
          </w:rPr>
          <w:fldChar w:fldCharType="begin"/>
        </w:r>
        <w:r w:rsidR="00E56625">
          <w:rPr>
            <w:noProof/>
            <w:webHidden/>
          </w:rPr>
          <w:instrText xml:space="preserve"> PAGEREF _Toc419468530 \h </w:instrText>
        </w:r>
        <w:r w:rsidR="00E56625">
          <w:rPr>
            <w:noProof/>
            <w:webHidden/>
          </w:rPr>
        </w:r>
        <w:r w:rsidR="00E56625">
          <w:rPr>
            <w:noProof/>
            <w:webHidden/>
          </w:rPr>
          <w:fldChar w:fldCharType="separate"/>
        </w:r>
        <w:r w:rsidR="002779FA">
          <w:rPr>
            <w:noProof/>
            <w:webHidden/>
          </w:rPr>
          <w:t>vi</w:t>
        </w:r>
        <w:r w:rsidR="00E56625">
          <w:rPr>
            <w:noProof/>
            <w:webHidden/>
          </w:rPr>
          <w:fldChar w:fldCharType="end"/>
        </w:r>
      </w:hyperlink>
    </w:p>
    <w:p w:rsidR="00E56625" w:rsidRPr="00B603D6" w:rsidRDefault="00B250D9">
      <w:pPr>
        <w:pStyle w:val="TOC1"/>
        <w:rPr>
          <w:rFonts w:asciiTheme="minorHAnsi" w:eastAsiaTheme="minorEastAsia" w:hAnsiTheme="minorHAnsi" w:cstheme="minorBidi"/>
          <w:b/>
          <w:noProof/>
          <w:sz w:val="22"/>
          <w:szCs w:val="22"/>
          <w:lang w:val="en-US"/>
        </w:rPr>
      </w:pPr>
      <w:hyperlink w:anchor="_Toc419468531" w:history="1">
        <w:r w:rsidR="00E56625" w:rsidRPr="00B603D6">
          <w:rPr>
            <w:rStyle w:val="Hyperlink"/>
            <w:rFonts w:ascii="Times New Roman Bold" w:hAnsi="Times New Roman Bold"/>
            <w:b/>
            <w:noProof/>
          </w:rPr>
          <w:t>Chapter 1.</w:t>
        </w:r>
        <w:r w:rsidR="00E56625" w:rsidRPr="00B603D6">
          <w:rPr>
            <w:rFonts w:asciiTheme="minorHAnsi" w:eastAsiaTheme="minorEastAsia" w:hAnsiTheme="minorHAnsi" w:cstheme="minorBidi"/>
            <w:b/>
            <w:noProof/>
            <w:sz w:val="22"/>
            <w:szCs w:val="22"/>
            <w:lang w:val="en-US"/>
          </w:rPr>
          <w:tab/>
        </w:r>
        <w:r w:rsidR="00E56625" w:rsidRPr="00B603D6">
          <w:rPr>
            <w:rStyle w:val="Hyperlink"/>
            <w:b/>
            <w:noProof/>
          </w:rPr>
          <w:t>Introduction</w:t>
        </w:r>
        <w:r w:rsidR="00E56625" w:rsidRPr="00B603D6">
          <w:rPr>
            <w:b/>
            <w:noProof/>
            <w:webHidden/>
          </w:rPr>
          <w:tab/>
        </w:r>
        <w:r w:rsidR="00E56625" w:rsidRPr="00B603D6">
          <w:rPr>
            <w:b/>
            <w:noProof/>
            <w:webHidden/>
          </w:rPr>
          <w:fldChar w:fldCharType="begin"/>
        </w:r>
        <w:r w:rsidR="00E56625" w:rsidRPr="00B603D6">
          <w:rPr>
            <w:b/>
            <w:noProof/>
            <w:webHidden/>
          </w:rPr>
          <w:instrText xml:space="preserve"> PAGEREF _Toc419468531 \h </w:instrText>
        </w:r>
        <w:r w:rsidR="00E56625" w:rsidRPr="00B603D6">
          <w:rPr>
            <w:b/>
            <w:noProof/>
            <w:webHidden/>
          </w:rPr>
        </w:r>
        <w:r w:rsidR="00E56625" w:rsidRPr="00B603D6">
          <w:rPr>
            <w:b/>
            <w:noProof/>
            <w:webHidden/>
          </w:rPr>
          <w:fldChar w:fldCharType="separate"/>
        </w:r>
        <w:r w:rsidR="002779FA">
          <w:rPr>
            <w:b/>
            <w:noProof/>
            <w:webHidden/>
          </w:rPr>
          <w:t>1</w:t>
        </w:r>
        <w:r w:rsidR="00E56625" w:rsidRPr="00B603D6">
          <w:rPr>
            <w:b/>
            <w:noProof/>
            <w:webHidden/>
          </w:rPr>
          <w:fldChar w:fldCharType="end"/>
        </w:r>
      </w:hyperlink>
    </w:p>
    <w:p w:rsidR="00E56625" w:rsidRDefault="00B250D9">
      <w:pPr>
        <w:pStyle w:val="TOC1"/>
        <w:rPr>
          <w:rFonts w:asciiTheme="minorHAnsi" w:eastAsiaTheme="minorEastAsia" w:hAnsiTheme="minorHAnsi" w:cstheme="minorBidi"/>
          <w:noProof/>
          <w:sz w:val="22"/>
          <w:szCs w:val="22"/>
          <w:lang w:val="en-US"/>
        </w:rPr>
      </w:pPr>
      <w:hyperlink w:anchor="_Toc419468532" w:history="1">
        <w:r w:rsidR="00E56625" w:rsidRPr="00B603D6">
          <w:rPr>
            <w:rStyle w:val="Hyperlink"/>
            <w:rFonts w:ascii="Times New Roman Bold" w:hAnsi="Times New Roman Bold"/>
            <w:b/>
            <w:noProof/>
          </w:rPr>
          <w:t>Chapter 2.</w:t>
        </w:r>
        <w:r w:rsidR="00E56625" w:rsidRPr="00B603D6">
          <w:rPr>
            <w:rFonts w:asciiTheme="minorHAnsi" w:eastAsiaTheme="minorEastAsia" w:hAnsiTheme="minorHAnsi" w:cstheme="minorBidi"/>
            <w:b/>
            <w:noProof/>
            <w:sz w:val="22"/>
            <w:szCs w:val="22"/>
            <w:lang w:val="en-US"/>
          </w:rPr>
          <w:tab/>
        </w:r>
        <w:r w:rsidR="00E56625" w:rsidRPr="00B603D6">
          <w:rPr>
            <w:rStyle w:val="Hyperlink"/>
            <w:b/>
            <w:noProof/>
          </w:rPr>
          <w:t>Mali by Agglomeration Type</w:t>
        </w:r>
        <w:r w:rsidR="00E56625" w:rsidRPr="00B603D6">
          <w:rPr>
            <w:b/>
            <w:noProof/>
            <w:webHidden/>
          </w:rPr>
          <w:tab/>
        </w:r>
        <w:r w:rsidR="00E56625" w:rsidRPr="00B603D6">
          <w:rPr>
            <w:b/>
            <w:noProof/>
            <w:webHidden/>
          </w:rPr>
          <w:fldChar w:fldCharType="begin"/>
        </w:r>
        <w:r w:rsidR="00E56625" w:rsidRPr="00B603D6">
          <w:rPr>
            <w:b/>
            <w:noProof/>
            <w:webHidden/>
          </w:rPr>
          <w:instrText xml:space="preserve"> PAGEREF _Toc419468532 \h </w:instrText>
        </w:r>
        <w:r w:rsidR="00E56625" w:rsidRPr="00B603D6">
          <w:rPr>
            <w:b/>
            <w:noProof/>
            <w:webHidden/>
          </w:rPr>
        </w:r>
        <w:r w:rsidR="00E56625" w:rsidRPr="00B603D6">
          <w:rPr>
            <w:b/>
            <w:noProof/>
            <w:webHidden/>
          </w:rPr>
          <w:fldChar w:fldCharType="separate"/>
        </w:r>
        <w:r w:rsidR="002779FA">
          <w:rPr>
            <w:b/>
            <w:noProof/>
            <w:webHidden/>
          </w:rPr>
          <w:t>5</w:t>
        </w:r>
        <w:r w:rsidR="00E56625" w:rsidRPr="00B603D6">
          <w:rPr>
            <w:b/>
            <w:noProof/>
            <w:webHidden/>
          </w:rPr>
          <w:fldChar w:fldCharType="end"/>
        </w:r>
      </w:hyperlink>
    </w:p>
    <w:p w:rsidR="00E56625" w:rsidRPr="00B603D6" w:rsidRDefault="00B250D9">
      <w:pPr>
        <w:pStyle w:val="TOC2"/>
        <w:rPr>
          <w:rFonts w:eastAsiaTheme="minorEastAsia"/>
          <w:color w:val="auto"/>
          <w:sz w:val="22"/>
          <w:szCs w:val="22"/>
          <w:lang w:val="en-US"/>
        </w:rPr>
      </w:pPr>
      <w:hyperlink w:anchor="_Toc419468533" w:history="1">
        <w:r w:rsidR="00E56625" w:rsidRPr="00B603D6">
          <w:rPr>
            <w:rStyle w:val="Hyperlink"/>
            <w:lang w:val="en-US"/>
          </w:rPr>
          <w:t>A.</w:t>
        </w:r>
        <w:r w:rsidR="00E56625" w:rsidRPr="00B603D6">
          <w:rPr>
            <w:rFonts w:eastAsiaTheme="minorEastAsia"/>
            <w:color w:val="auto"/>
            <w:sz w:val="22"/>
            <w:szCs w:val="22"/>
            <w:lang w:val="en-US"/>
          </w:rPr>
          <w:tab/>
        </w:r>
        <w:r w:rsidR="00E56625" w:rsidRPr="00B603D6">
          <w:rPr>
            <w:rStyle w:val="Hyperlink"/>
            <w:lang w:val="en-US"/>
          </w:rPr>
          <w:t>Introduction</w:t>
        </w:r>
        <w:r w:rsidR="00E56625" w:rsidRPr="00B603D6">
          <w:rPr>
            <w:webHidden/>
          </w:rPr>
          <w:tab/>
        </w:r>
        <w:r w:rsidR="00E56625" w:rsidRPr="00B603D6">
          <w:rPr>
            <w:webHidden/>
          </w:rPr>
          <w:fldChar w:fldCharType="begin"/>
        </w:r>
        <w:r w:rsidR="00E56625" w:rsidRPr="00B603D6">
          <w:rPr>
            <w:webHidden/>
          </w:rPr>
          <w:instrText xml:space="preserve"> PAGEREF _Toc419468533 \h </w:instrText>
        </w:r>
        <w:r w:rsidR="00E56625" w:rsidRPr="00B603D6">
          <w:rPr>
            <w:webHidden/>
          </w:rPr>
        </w:r>
        <w:r w:rsidR="00E56625" w:rsidRPr="00B603D6">
          <w:rPr>
            <w:webHidden/>
          </w:rPr>
          <w:fldChar w:fldCharType="separate"/>
        </w:r>
        <w:r w:rsidR="002779FA">
          <w:rPr>
            <w:webHidden/>
          </w:rPr>
          <w:t>5</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34" w:history="1">
        <w:r w:rsidR="00E56625" w:rsidRPr="00B603D6">
          <w:rPr>
            <w:rStyle w:val="Hyperlink"/>
            <w:lang w:val="en-US"/>
          </w:rPr>
          <w:t>B.</w:t>
        </w:r>
        <w:r w:rsidR="00E56625" w:rsidRPr="00B603D6">
          <w:rPr>
            <w:rFonts w:eastAsiaTheme="minorEastAsia"/>
            <w:color w:val="auto"/>
            <w:sz w:val="22"/>
            <w:szCs w:val="22"/>
            <w:lang w:val="en-US"/>
          </w:rPr>
          <w:tab/>
        </w:r>
        <w:r w:rsidR="00E56625" w:rsidRPr="00B603D6">
          <w:rPr>
            <w:rStyle w:val="Hyperlink"/>
            <w:lang w:val="en-US"/>
          </w:rPr>
          <w:t>Classifying Mali by population density and size of the locality</w:t>
        </w:r>
        <w:r w:rsidR="00E56625" w:rsidRPr="00B603D6">
          <w:rPr>
            <w:webHidden/>
          </w:rPr>
          <w:tab/>
        </w:r>
        <w:r w:rsidR="00E56625" w:rsidRPr="00B603D6">
          <w:rPr>
            <w:webHidden/>
          </w:rPr>
          <w:fldChar w:fldCharType="begin"/>
        </w:r>
        <w:r w:rsidR="00E56625" w:rsidRPr="00B603D6">
          <w:rPr>
            <w:webHidden/>
          </w:rPr>
          <w:instrText xml:space="preserve"> PAGEREF _Toc419468534 \h </w:instrText>
        </w:r>
        <w:r w:rsidR="00E56625" w:rsidRPr="00B603D6">
          <w:rPr>
            <w:webHidden/>
          </w:rPr>
        </w:r>
        <w:r w:rsidR="00E56625" w:rsidRPr="00B603D6">
          <w:rPr>
            <w:webHidden/>
          </w:rPr>
          <w:fldChar w:fldCharType="separate"/>
        </w:r>
        <w:r w:rsidR="002779FA">
          <w:rPr>
            <w:webHidden/>
          </w:rPr>
          <w:t>6</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35" w:history="1">
        <w:r w:rsidR="00E56625" w:rsidRPr="00B603D6">
          <w:rPr>
            <w:rStyle w:val="Hyperlink"/>
            <w:lang w:val="en-US"/>
          </w:rPr>
          <w:t>C.</w:t>
        </w:r>
        <w:r w:rsidR="00E56625" w:rsidRPr="00B603D6">
          <w:rPr>
            <w:rFonts w:eastAsiaTheme="minorEastAsia"/>
            <w:color w:val="auto"/>
            <w:sz w:val="22"/>
            <w:szCs w:val="22"/>
            <w:lang w:val="en-US"/>
          </w:rPr>
          <w:tab/>
        </w:r>
        <w:r w:rsidR="00E56625" w:rsidRPr="00B603D6">
          <w:rPr>
            <w:rStyle w:val="Hyperlink"/>
            <w:lang w:val="en-US"/>
          </w:rPr>
          <w:t>Population Characteristics</w:t>
        </w:r>
        <w:r w:rsidR="00E56625" w:rsidRPr="00B603D6">
          <w:rPr>
            <w:webHidden/>
          </w:rPr>
          <w:tab/>
        </w:r>
        <w:r w:rsidR="00E56625" w:rsidRPr="00B603D6">
          <w:rPr>
            <w:webHidden/>
          </w:rPr>
          <w:fldChar w:fldCharType="begin"/>
        </w:r>
        <w:r w:rsidR="00E56625" w:rsidRPr="00B603D6">
          <w:rPr>
            <w:webHidden/>
          </w:rPr>
          <w:instrText xml:space="preserve"> PAGEREF _Toc419468535 \h </w:instrText>
        </w:r>
        <w:r w:rsidR="00E56625" w:rsidRPr="00B603D6">
          <w:rPr>
            <w:webHidden/>
          </w:rPr>
        </w:r>
        <w:r w:rsidR="00E56625" w:rsidRPr="00B603D6">
          <w:rPr>
            <w:webHidden/>
          </w:rPr>
          <w:fldChar w:fldCharType="separate"/>
        </w:r>
        <w:r w:rsidR="002779FA">
          <w:rPr>
            <w:webHidden/>
          </w:rPr>
          <w:t>9</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36" w:history="1">
        <w:r w:rsidR="00E56625" w:rsidRPr="00B603D6">
          <w:rPr>
            <w:rStyle w:val="Hyperlink"/>
            <w:lang w:val="en-US"/>
          </w:rPr>
          <w:t>D.</w:t>
        </w:r>
        <w:r w:rsidR="00E56625" w:rsidRPr="00B603D6">
          <w:rPr>
            <w:rFonts w:eastAsiaTheme="minorEastAsia"/>
            <w:color w:val="auto"/>
            <w:sz w:val="22"/>
            <w:szCs w:val="22"/>
            <w:lang w:val="en-US"/>
          </w:rPr>
          <w:tab/>
        </w:r>
        <w:r w:rsidR="00E56625" w:rsidRPr="00B603D6">
          <w:rPr>
            <w:rStyle w:val="Hyperlink"/>
            <w:lang w:val="en-US"/>
          </w:rPr>
          <w:t>Spatial distribution of economic activities</w:t>
        </w:r>
        <w:r w:rsidR="00E56625" w:rsidRPr="00B603D6">
          <w:rPr>
            <w:webHidden/>
          </w:rPr>
          <w:tab/>
        </w:r>
        <w:r w:rsidR="00E56625" w:rsidRPr="00B603D6">
          <w:rPr>
            <w:webHidden/>
          </w:rPr>
          <w:fldChar w:fldCharType="begin"/>
        </w:r>
        <w:r w:rsidR="00E56625" w:rsidRPr="00B603D6">
          <w:rPr>
            <w:webHidden/>
          </w:rPr>
          <w:instrText xml:space="preserve"> PAGEREF _Toc419468536 \h </w:instrText>
        </w:r>
        <w:r w:rsidR="00E56625" w:rsidRPr="00B603D6">
          <w:rPr>
            <w:webHidden/>
          </w:rPr>
        </w:r>
        <w:r w:rsidR="00E56625" w:rsidRPr="00B603D6">
          <w:rPr>
            <w:webHidden/>
          </w:rPr>
          <w:fldChar w:fldCharType="separate"/>
        </w:r>
        <w:r w:rsidR="002779FA">
          <w:rPr>
            <w:webHidden/>
          </w:rPr>
          <w:t>14</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37" w:history="1">
        <w:r w:rsidR="00E56625" w:rsidRPr="00B603D6">
          <w:rPr>
            <w:rStyle w:val="Hyperlink"/>
            <w:lang w:val="en-US"/>
          </w:rPr>
          <w:t>E.</w:t>
        </w:r>
        <w:r w:rsidR="00E56625" w:rsidRPr="00B603D6">
          <w:rPr>
            <w:rFonts w:eastAsiaTheme="minorEastAsia"/>
            <w:color w:val="auto"/>
            <w:sz w:val="22"/>
            <w:szCs w:val="22"/>
            <w:lang w:val="en-US"/>
          </w:rPr>
          <w:tab/>
        </w:r>
        <w:r w:rsidR="00E56625" w:rsidRPr="00B603D6">
          <w:rPr>
            <w:rStyle w:val="Hyperlink"/>
            <w:lang w:val="en-US"/>
          </w:rPr>
          <w:t>Urban expansion and income growth</w:t>
        </w:r>
        <w:r w:rsidR="00E56625" w:rsidRPr="00B603D6">
          <w:rPr>
            <w:webHidden/>
          </w:rPr>
          <w:tab/>
        </w:r>
        <w:r w:rsidR="00E56625" w:rsidRPr="00B603D6">
          <w:rPr>
            <w:webHidden/>
          </w:rPr>
          <w:fldChar w:fldCharType="begin"/>
        </w:r>
        <w:r w:rsidR="00E56625" w:rsidRPr="00B603D6">
          <w:rPr>
            <w:webHidden/>
          </w:rPr>
          <w:instrText xml:space="preserve"> PAGEREF _Toc419468537 \h </w:instrText>
        </w:r>
        <w:r w:rsidR="00E56625" w:rsidRPr="00B603D6">
          <w:rPr>
            <w:webHidden/>
          </w:rPr>
        </w:r>
        <w:r w:rsidR="00E56625" w:rsidRPr="00B603D6">
          <w:rPr>
            <w:webHidden/>
          </w:rPr>
          <w:fldChar w:fldCharType="separate"/>
        </w:r>
        <w:r w:rsidR="002779FA">
          <w:rPr>
            <w:webHidden/>
          </w:rPr>
          <w:t>19</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38" w:history="1">
        <w:r w:rsidR="00E56625" w:rsidRPr="00B603D6">
          <w:rPr>
            <w:rStyle w:val="Hyperlink"/>
            <w:lang w:val="en-US"/>
          </w:rPr>
          <w:t>F.</w:t>
        </w:r>
        <w:r w:rsidR="00E56625" w:rsidRPr="00B603D6">
          <w:rPr>
            <w:rFonts w:eastAsiaTheme="minorEastAsia"/>
            <w:color w:val="auto"/>
            <w:sz w:val="22"/>
            <w:szCs w:val="22"/>
            <w:lang w:val="en-US"/>
          </w:rPr>
          <w:tab/>
        </w:r>
        <w:r w:rsidR="00E56625" w:rsidRPr="00B603D6">
          <w:rPr>
            <w:rStyle w:val="Hyperlink"/>
            <w:lang w:val="en-US"/>
          </w:rPr>
          <w:t>Conclusion</w:t>
        </w:r>
        <w:r w:rsidR="00E56625" w:rsidRPr="00B603D6">
          <w:rPr>
            <w:webHidden/>
          </w:rPr>
          <w:tab/>
        </w:r>
        <w:r w:rsidR="00E56625" w:rsidRPr="00B603D6">
          <w:rPr>
            <w:webHidden/>
          </w:rPr>
          <w:fldChar w:fldCharType="begin"/>
        </w:r>
        <w:r w:rsidR="00E56625" w:rsidRPr="00B603D6">
          <w:rPr>
            <w:webHidden/>
          </w:rPr>
          <w:instrText xml:space="preserve"> PAGEREF _Toc419468538 \h </w:instrText>
        </w:r>
        <w:r w:rsidR="00E56625" w:rsidRPr="00B603D6">
          <w:rPr>
            <w:webHidden/>
          </w:rPr>
        </w:r>
        <w:r w:rsidR="00E56625" w:rsidRPr="00B603D6">
          <w:rPr>
            <w:webHidden/>
          </w:rPr>
          <w:fldChar w:fldCharType="separate"/>
        </w:r>
        <w:r w:rsidR="002779FA">
          <w:rPr>
            <w:webHidden/>
          </w:rPr>
          <w:t>21</w:t>
        </w:r>
        <w:r w:rsidR="00E56625" w:rsidRPr="00B603D6">
          <w:rPr>
            <w:webHidden/>
          </w:rPr>
          <w:fldChar w:fldCharType="end"/>
        </w:r>
      </w:hyperlink>
    </w:p>
    <w:p w:rsidR="00E56625" w:rsidRDefault="00B250D9">
      <w:pPr>
        <w:pStyle w:val="TOC1"/>
        <w:rPr>
          <w:rFonts w:asciiTheme="minorHAnsi" w:eastAsiaTheme="minorEastAsia" w:hAnsiTheme="minorHAnsi" w:cstheme="minorBidi"/>
          <w:noProof/>
          <w:sz w:val="22"/>
          <w:szCs w:val="22"/>
          <w:lang w:val="en-US"/>
        </w:rPr>
      </w:pPr>
      <w:hyperlink w:anchor="_Toc419468539" w:history="1">
        <w:r w:rsidR="00E56625" w:rsidRPr="00C82786">
          <w:rPr>
            <w:rStyle w:val="Hyperlink"/>
            <w:rFonts w:ascii="Times New Roman Bold" w:hAnsi="Times New Roman Bold"/>
            <w:noProof/>
          </w:rPr>
          <w:t>Chapter 3.</w:t>
        </w:r>
        <w:r w:rsidR="00E56625">
          <w:rPr>
            <w:rFonts w:asciiTheme="minorHAnsi" w:eastAsiaTheme="minorEastAsia" w:hAnsiTheme="minorHAnsi" w:cstheme="minorBidi"/>
            <w:noProof/>
            <w:sz w:val="22"/>
            <w:szCs w:val="22"/>
            <w:lang w:val="en-US"/>
          </w:rPr>
          <w:tab/>
        </w:r>
        <w:r w:rsidR="00E56625" w:rsidRPr="00B603D6">
          <w:rPr>
            <w:rStyle w:val="Hyperlink"/>
            <w:b/>
            <w:noProof/>
          </w:rPr>
          <w:t>Mali by Livelihood Zone</w:t>
        </w:r>
        <w:r w:rsidR="00E56625">
          <w:rPr>
            <w:noProof/>
            <w:webHidden/>
          </w:rPr>
          <w:tab/>
        </w:r>
        <w:r w:rsidR="00E56625">
          <w:rPr>
            <w:noProof/>
            <w:webHidden/>
          </w:rPr>
          <w:fldChar w:fldCharType="begin"/>
        </w:r>
        <w:r w:rsidR="00E56625">
          <w:rPr>
            <w:noProof/>
            <w:webHidden/>
          </w:rPr>
          <w:instrText xml:space="preserve"> PAGEREF _Toc419468539 \h </w:instrText>
        </w:r>
        <w:r w:rsidR="00E56625">
          <w:rPr>
            <w:noProof/>
            <w:webHidden/>
          </w:rPr>
        </w:r>
        <w:r w:rsidR="00E56625">
          <w:rPr>
            <w:noProof/>
            <w:webHidden/>
          </w:rPr>
          <w:fldChar w:fldCharType="separate"/>
        </w:r>
        <w:r w:rsidR="002779FA">
          <w:rPr>
            <w:noProof/>
            <w:webHidden/>
          </w:rPr>
          <w:t>24</w:t>
        </w:r>
        <w:r w:rsidR="00E56625">
          <w:rPr>
            <w:noProof/>
            <w:webHidden/>
          </w:rPr>
          <w:fldChar w:fldCharType="end"/>
        </w:r>
      </w:hyperlink>
    </w:p>
    <w:p w:rsidR="00E56625" w:rsidRPr="00B603D6" w:rsidRDefault="00B250D9">
      <w:pPr>
        <w:pStyle w:val="TOC2"/>
        <w:rPr>
          <w:rFonts w:eastAsiaTheme="minorEastAsia"/>
          <w:color w:val="auto"/>
          <w:sz w:val="22"/>
          <w:szCs w:val="22"/>
          <w:lang w:val="en-US"/>
        </w:rPr>
      </w:pPr>
      <w:hyperlink w:anchor="_Toc419468540" w:history="1">
        <w:r w:rsidR="00E56625" w:rsidRPr="00B603D6">
          <w:rPr>
            <w:rStyle w:val="Hyperlink"/>
            <w:lang w:val="en-US"/>
          </w:rPr>
          <w:t>A.</w:t>
        </w:r>
        <w:r w:rsidR="00E56625" w:rsidRPr="00B603D6">
          <w:rPr>
            <w:rFonts w:eastAsiaTheme="minorEastAsia"/>
            <w:color w:val="auto"/>
            <w:sz w:val="22"/>
            <w:szCs w:val="22"/>
            <w:lang w:val="en-US"/>
          </w:rPr>
          <w:tab/>
        </w:r>
        <w:r w:rsidR="00E56625" w:rsidRPr="00B603D6">
          <w:rPr>
            <w:rStyle w:val="Hyperlink"/>
            <w:lang w:val="en-US"/>
          </w:rPr>
          <w:t>Introduction</w:t>
        </w:r>
        <w:r w:rsidR="00E56625" w:rsidRPr="00B603D6">
          <w:rPr>
            <w:webHidden/>
          </w:rPr>
          <w:tab/>
        </w:r>
        <w:r w:rsidR="00E56625" w:rsidRPr="00B603D6">
          <w:rPr>
            <w:webHidden/>
          </w:rPr>
          <w:fldChar w:fldCharType="begin"/>
        </w:r>
        <w:r w:rsidR="00E56625" w:rsidRPr="00B603D6">
          <w:rPr>
            <w:webHidden/>
          </w:rPr>
          <w:instrText xml:space="preserve"> PAGEREF _Toc419468540 \h </w:instrText>
        </w:r>
        <w:r w:rsidR="00E56625" w:rsidRPr="00B603D6">
          <w:rPr>
            <w:webHidden/>
          </w:rPr>
        </w:r>
        <w:r w:rsidR="00E56625" w:rsidRPr="00B603D6">
          <w:rPr>
            <w:webHidden/>
          </w:rPr>
          <w:fldChar w:fldCharType="separate"/>
        </w:r>
        <w:r w:rsidR="002779FA">
          <w:rPr>
            <w:webHidden/>
          </w:rPr>
          <w:t>24</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41" w:history="1">
        <w:r w:rsidR="00E56625" w:rsidRPr="00B603D6">
          <w:rPr>
            <w:rStyle w:val="Hyperlink"/>
            <w:lang w:val="en-US"/>
          </w:rPr>
          <w:t>B.</w:t>
        </w:r>
        <w:r w:rsidR="00E56625" w:rsidRPr="00B603D6">
          <w:rPr>
            <w:rFonts w:eastAsiaTheme="minorEastAsia"/>
            <w:color w:val="auto"/>
            <w:sz w:val="22"/>
            <w:szCs w:val="22"/>
            <w:lang w:val="en-US"/>
          </w:rPr>
          <w:tab/>
        </w:r>
        <w:r w:rsidR="00E56625" w:rsidRPr="00B603D6">
          <w:rPr>
            <w:rStyle w:val="Hyperlink"/>
            <w:lang w:val="en-US"/>
          </w:rPr>
          <w:t>Livelihood zones in Mali</w:t>
        </w:r>
        <w:r w:rsidR="00E56625" w:rsidRPr="00B603D6">
          <w:rPr>
            <w:webHidden/>
          </w:rPr>
          <w:tab/>
        </w:r>
        <w:r w:rsidR="00E56625" w:rsidRPr="00B603D6">
          <w:rPr>
            <w:webHidden/>
          </w:rPr>
          <w:fldChar w:fldCharType="begin"/>
        </w:r>
        <w:r w:rsidR="00E56625" w:rsidRPr="00B603D6">
          <w:rPr>
            <w:webHidden/>
          </w:rPr>
          <w:instrText xml:space="preserve"> PAGEREF _Toc419468541 \h </w:instrText>
        </w:r>
        <w:r w:rsidR="00E56625" w:rsidRPr="00B603D6">
          <w:rPr>
            <w:webHidden/>
          </w:rPr>
        </w:r>
        <w:r w:rsidR="00E56625" w:rsidRPr="00B603D6">
          <w:rPr>
            <w:webHidden/>
          </w:rPr>
          <w:fldChar w:fldCharType="separate"/>
        </w:r>
        <w:r w:rsidR="002779FA">
          <w:rPr>
            <w:webHidden/>
          </w:rPr>
          <w:t>24</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42" w:history="1">
        <w:r w:rsidR="00E56625" w:rsidRPr="00B603D6">
          <w:rPr>
            <w:rStyle w:val="Hyperlink"/>
            <w:lang w:val="en-US"/>
          </w:rPr>
          <w:t>C.</w:t>
        </w:r>
        <w:r w:rsidR="00E56625" w:rsidRPr="00B603D6">
          <w:rPr>
            <w:rFonts w:eastAsiaTheme="minorEastAsia"/>
            <w:color w:val="auto"/>
            <w:sz w:val="22"/>
            <w:szCs w:val="22"/>
            <w:lang w:val="en-US"/>
          </w:rPr>
          <w:tab/>
        </w:r>
        <w:r w:rsidR="00E56625" w:rsidRPr="00B603D6">
          <w:rPr>
            <w:rStyle w:val="Hyperlink"/>
            <w:lang w:val="en-US"/>
          </w:rPr>
          <w:t>Income and wealth</w:t>
        </w:r>
        <w:r w:rsidR="00E56625" w:rsidRPr="00B603D6">
          <w:rPr>
            <w:webHidden/>
          </w:rPr>
          <w:tab/>
        </w:r>
        <w:r w:rsidR="00E56625" w:rsidRPr="00B603D6">
          <w:rPr>
            <w:webHidden/>
          </w:rPr>
          <w:fldChar w:fldCharType="begin"/>
        </w:r>
        <w:r w:rsidR="00E56625" w:rsidRPr="00B603D6">
          <w:rPr>
            <w:webHidden/>
          </w:rPr>
          <w:instrText xml:space="preserve"> PAGEREF _Toc419468542 \h </w:instrText>
        </w:r>
        <w:r w:rsidR="00E56625" w:rsidRPr="00B603D6">
          <w:rPr>
            <w:webHidden/>
          </w:rPr>
        </w:r>
        <w:r w:rsidR="00E56625" w:rsidRPr="00B603D6">
          <w:rPr>
            <w:webHidden/>
          </w:rPr>
          <w:fldChar w:fldCharType="separate"/>
        </w:r>
        <w:r w:rsidR="002779FA">
          <w:rPr>
            <w:webHidden/>
          </w:rPr>
          <w:t>27</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43" w:history="1">
        <w:r w:rsidR="00E56625" w:rsidRPr="00B603D6">
          <w:rPr>
            <w:rStyle w:val="Hyperlink"/>
            <w:lang w:val="en-US"/>
          </w:rPr>
          <w:t>D.</w:t>
        </w:r>
        <w:r w:rsidR="00E56625" w:rsidRPr="00B603D6">
          <w:rPr>
            <w:rFonts w:eastAsiaTheme="minorEastAsia"/>
            <w:color w:val="auto"/>
            <w:sz w:val="22"/>
            <w:szCs w:val="22"/>
            <w:lang w:val="en-US"/>
          </w:rPr>
          <w:tab/>
        </w:r>
        <w:r w:rsidR="00E56625" w:rsidRPr="00B603D6">
          <w:rPr>
            <w:rStyle w:val="Hyperlink"/>
            <w:lang w:val="en-US"/>
          </w:rPr>
          <w:t>Patterns of consumption</w:t>
        </w:r>
        <w:r w:rsidR="00E56625" w:rsidRPr="00B603D6">
          <w:rPr>
            <w:webHidden/>
          </w:rPr>
          <w:tab/>
        </w:r>
        <w:r w:rsidR="00E56625" w:rsidRPr="00B603D6">
          <w:rPr>
            <w:webHidden/>
          </w:rPr>
          <w:fldChar w:fldCharType="begin"/>
        </w:r>
        <w:r w:rsidR="00E56625" w:rsidRPr="00B603D6">
          <w:rPr>
            <w:webHidden/>
          </w:rPr>
          <w:instrText xml:space="preserve"> PAGEREF _Toc419468543 \h </w:instrText>
        </w:r>
        <w:r w:rsidR="00E56625" w:rsidRPr="00B603D6">
          <w:rPr>
            <w:webHidden/>
          </w:rPr>
        </w:r>
        <w:r w:rsidR="00E56625" w:rsidRPr="00B603D6">
          <w:rPr>
            <w:webHidden/>
          </w:rPr>
          <w:fldChar w:fldCharType="separate"/>
        </w:r>
        <w:r w:rsidR="002779FA">
          <w:rPr>
            <w:webHidden/>
          </w:rPr>
          <w:t>33</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44" w:history="1">
        <w:r w:rsidR="00E56625" w:rsidRPr="00B603D6">
          <w:rPr>
            <w:rStyle w:val="Hyperlink"/>
            <w:lang w:val="en-US"/>
          </w:rPr>
          <w:t>E.</w:t>
        </w:r>
        <w:r w:rsidR="00E56625" w:rsidRPr="00B603D6">
          <w:rPr>
            <w:rFonts w:eastAsiaTheme="minorEastAsia"/>
            <w:color w:val="auto"/>
            <w:sz w:val="22"/>
            <w:szCs w:val="22"/>
            <w:lang w:val="en-US"/>
          </w:rPr>
          <w:tab/>
        </w:r>
        <w:r w:rsidR="00E56625" w:rsidRPr="00B603D6">
          <w:rPr>
            <w:rStyle w:val="Hyperlink"/>
            <w:lang w:val="en-US"/>
          </w:rPr>
          <w:t>Access to services</w:t>
        </w:r>
        <w:r w:rsidR="00E56625" w:rsidRPr="00B603D6">
          <w:rPr>
            <w:webHidden/>
          </w:rPr>
          <w:tab/>
        </w:r>
        <w:r w:rsidR="00E56625" w:rsidRPr="00B603D6">
          <w:rPr>
            <w:webHidden/>
          </w:rPr>
          <w:fldChar w:fldCharType="begin"/>
        </w:r>
        <w:r w:rsidR="00E56625" w:rsidRPr="00B603D6">
          <w:rPr>
            <w:webHidden/>
          </w:rPr>
          <w:instrText xml:space="preserve"> PAGEREF _Toc419468544 \h </w:instrText>
        </w:r>
        <w:r w:rsidR="00E56625" w:rsidRPr="00B603D6">
          <w:rPr>
            <w:webHidden/>
          </w:rPr>
        </w:r>
        <w:r w:rsidR="00E56625" w:rsidRPr="00B603D6">
          <w:rPr>
            <w:webHidden/>
          </w:rPr>
          <w:fldChar w:fldCharType="separate"/>
        </w:r>
        <w:r w:rsidR="002779FA">
          <w:rPr>
            <w:webHidden/>
          </w:rPr>
          <w:t>35</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45" w:history="1">
        <w:r w:rsidR="00E56625" w:rsidRPr="00B603D6">
          <w:rPr>
            <w:rStyle w:val="Hyperlink"/>
            <w:lang w:val="en-US"/>
          </w:rPr>
          <w:t>F.</w:t>
        </w:r>
        <w:r w:rsidR="00E56625" w:rsidRPr="00B603D6">
          <w:rPr>
            <w:rFonts w:eastAsiaTheme="minorEastAsia"/>
            <w:color w:val="auto"/>
            <w:sz w:val="22"/>
            <w:szCs w:val="22"/>
            <w:lang w:val="en-US"/>
          </w:rPr>
          <w:tab/>
        </w:r>
        <w:r w:rsidR="00E56625" w:rsidRPr="00B603D6">
          <w:rPr>
            <w:rStyle w:val="Hyperlink"/>
            <w:lang w:val="en-US"/>
          </w:rPr>
          <w:t>Characteristics of poor households across livelihood zones</w:t>
        </w:r>
        <w:r w:rsidR="00E56625" w:rsidRPr="00B603D6">
          <w:rPr>
            <w:webHidden/>
          </w:rPr>
          <w:tab/>
        </w:r>
        <w:r w:rsidR="00E56625" w:rsidRPr="00B603D6">
          <w:rPr>
            <w:webHidden/>
          </w:rPr>
          <w:fldChar w:fldCharType="begin"/>
        </w:r>
        <w:r w:rsidR="00E56625" w:rsidRPr="00B603D6">
          <w:rPr>
            <w:webHidden/>
          </w:rPr>
          <w:instrText xml:space="preserve"> PAGEREF _Toc419468545 \h </w:instrText>
        </w:r>
        <w:r w:rsidR="00E56625" w:rsidRPr="00B603D6">
          <w:rPr>
            <w:webHidden/>
          </w:rPr>
        </w:r>
        <w:r w:rsidR="00E56625" w:rsidRPr="00B603D6">
          <w:rPr>
            <w:webHidden/>
          </w:rPr>
          <w:fldChar w:fldCharType="separate"/>
        </w:r>
        <w:r w:rsidR="002779FA">
          <w:rPr>
            <w:webHidden/>
          </w:rPr>
          <w:t>38</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46" w:history="1">
        <w:r w:rsidR="00E56625" w:rsidRPr="00B603D6">
          <w:rPr>
            <w:rStyle w:val="Hyperlink"/>
            <w:lang w:val="en-US"/>
          </w:rPr>
          <w:t>G.</w:t>
        </w:r>
        <w:r w:rsidR="00E56625" w:rsidRPr="00B603D6">
          <w:rPr>
            <w:rFonts w:eastAsiaTheme="minorEastAsia"/>
            <w:color w:val="auto"/>
            <w:sz w:val="22"/>
            <w:szCs w:val="22"/>
            <w:lang w:val="en-US"/>
          </w:rPr>
          <w:tab/>
        </w:r>
        <w:r w:rsidR="00E56625" w:rsidRPr="00B603D6">
          <w:rPr>
            <w:rStyle w:val="Hyperlink"/>
            <w:lang w:val="en-US"/>
          </w:rPr>
          <w:t>Discussion</w:t>
        </w:r>
        <w:r w:rsidR="00E56625" w:rsidRPr="00B603D6">
          <w:rPr>
            <w:webHidden/>
          </w:rPr>
          <w:tab/>
        </w:r>
        <w:r w:rsidR="00E56625" w:rsidRPr="00B603D6">
          <w:rPr>
            <w:webHidden/>
          </w:rPr>
          <w:fldChar w:fldCharType="begin"/>
        </w:r>
        <w:r w:rsidR="00E56625" w:rsidRPr="00B603D6">
          <w:rPr>
            <w:webHidden/>
          </w:rPr>
          <w:instrText xml:space="preserve"> PAGEREF _Toc419468546 \h </w:instrText>
        </w:r>
        <w:r w:rsidR="00E56625" w:rsidRPr="00B603D6">
          <w:rPr>
            <w:webHidden/>
          </w:rPr>
        </w:r>
        <w:r w:rsidR="00E56625" w:rsidRPr="00B603D6">
          <w:rPr>
            <w:webHidden/>
          </w:rPr>
          <w:fldChar w:fldCharType="separate"/>
        </w:r>
        <w:r w:rsidR="002779FA">
          <w:rPr>
            <w:webHidden/>
          </w:rPr>
          <w:t>40</w:t>
        </w:r>
        <w:r w:rsidR="00E56625" w:rsidRPr="00B603D6">
          <w:rPr>
            <w:webHidden/>
          </w:rPr>
          <w:fldChar w:fldCharType="end"/>
        </w:r>
      </w:hyperlink>
    </w:p>
    <w:p w:rsidR="00E56625" w:rsidRDefault="00B250D9">
      <w:pPr>
        <w:pStyle w:val="TOC1"/>
        <w:rPr>
          <w:rFonts w:asciiTheme="minorHAnsi" w:eastAsiaTheme="minorEastAsia" w:hAnsiTheme="minorHAnsi" w:cstheme="minorBidi"/>
          <w:noProof/>
          <w:sz w:val="22"/>
          <w:szCs w:val="22"/>
          <w:lang w:val="en-US"/>
        </w:rPr>
      </w:pPr>
      <w:hyperlink w:anchor="_Toc419468547" w:history="1">
        <w:r w:rsidR="00E56625" w:rsidRPr="00C82786">
          <w:rPr>
            <w:rStyle w:val="Hyperlink"/>
            <w:rFonts w:ascii="Times New Roman Bold" w:hAnsi="Times New Roman Bold"/>
            <w:noProof/>
          </w:rPr>
          <w:t>Chapter 4.</w:t>
        </w:r>
        <w:r w:rsidR="00E56625">
          <w:rPr>
            <w:rFonts w:asciiTheme="minorHAnsi" w:eastAsiaTheme="minorEastAsia" w:hAnsiTheme="minorHAnsi" w:cstheme="minorBidi"/>
            <w:noProof/>
            <w:sz w:val="22"/>
            <w:szCs w:val="22"/>
            <w:lang w:val="en-US"/>
          </w:rPr>
          <w:tab/>
        </w:r>
        <w:r w:rsidR="00E56625" w:rsidRPr="00B603D6">
          <w:rPr>
            <w:rStyle w:val="Hyperlink"/>
            <w:b/>
            <w:noProof/>
          </w:rPr>
          <w:t>Explaining Well-being Using a Spatial Perspective</w:t>
        </w:r>
        <w:r w:rsidR="00E56625">
          <w:rPr>
            <w:noProof/>
            <w:webHidden/>
          </w:rPr>
          <w:tab/>
        </w:r>
        <w:r w:rsidR="00E56625">
          <w:rPr>
            <w:noProof/>
            <w:webHidden/>
          </w:rPr>
          <w:fldChar w:fldCharType="begin"/>
        </w:r>
        <w:r w:rsidR="00E56625">
          <w:rPr>
            <w:noProof/>
            <w:webHidden/>
          </w:rPr>
          <w:instrText xml:space="preserve"> PAGEREF _Toc419468547 \h </w:instrText>
        </w:r>
        <w:r w:rsidR="00E56625">
          <w:rPr>
            <w:noProof/>
            <w:webHidden/>
          </w:rPr>
        </w:r>
        <w:r w:rsidR="00E56625">
          <w:rPr>
            <w:noProof/>
            <w:webHidden/>
          </w:rPr>
          <w:fldChar w:fldCharType="separate"/>
        </w:r>
        <w:r w:rsidR="002779FA">
          <w:rPr>
            <w:noProof/>
            <w:webHidden/>
          </w:rPr>
          <w:t>42</w:t>
        </w:r>
        <w:r w:rsidR="00E56625">
          <w:rPr>
            <w:noProof/>
            <w:webHidden/>
          </w:rPr>
          <w:fldChar w:fldCharType="end"/>
        </w:r>
      </w:hyperlink>
    </w:p>
    <w:p w:rsidR="00E56625" w:rsidRPr="00B603D6" w:rsidRDefault="00B250D9">
      <w:pPr>
        <w:pStyle w:val="TOC2"/>
        <w:rPr>
          <w:rFonts w:eastAsiaTheme="minorEastAsia"/>
          <w:color w:val="auto"/>
          <w:sz w:val="22"/>
          <w:szCs w:val="22"/>
          <w:lang w:val="en-US"/>
        </w:rPr>
      </w:pPr>
      <w:hyperlink w:anchor="_Toc419468548" w:history="1">
        <w:r w:rsidR="00E56625" w:rsidRPr="00B603D6">
          <w:rPr>
            <w:rStyle w:val="Hyperlink"/>
            <w:lang w:val="en-US"/>
          </w:rPr>
          <w:t>A.</w:t>
        </w:r>
        <w:r w:rsidR="00E56625" w:rsidRPr="00B603D6">
          <w:rPr>
            <w:rFonts w:eastAsiaTheme="minorEastAsia"/>
            <w:color w:val="auto"/>
            <w:sz w:val="22"/>
            <w:szCs w:val="22"/>
            <w:lang w:val="en-US"/>
          </w:rPr>
          <w:tab/>
        </w:r>
        <w:r w:rsidR="00E56625" w:rsidRPr="00B603D6">
          <w:rPr>
            <w:rStyle w:val="Hyperlink"/>
            <w:lang w:val="en-US"/>
          </w:rPr>
          <w:t>Introduction</w:t>
        </w:r>
        <w:r w:rsidR="00E56625" w:rsidRPr="00B603D6">
          <w:rPr>
            <w:webHidden/>
          </w:rPr>
          <w:tab/>
        </w:r>
        <w:r w:rsidR="00E56625" w:rsidRPr="00B603D6">
          <w:rPr>
            <w:webHidden/>
          </w:rPr>
          <w:fldChar w:fldCharType="begin"/>
        </w:r>
        <w:r w:rsidR="00E56625" w:rsidRPr="00B603D6">
          <w:rPr>
            <w:webHidden/>
          </w:rPr>
          <w:instrText xml:space="preserve"> PAGEREF _Toc419468548 \h </w:instrText>
        </w:r>
        <w:r w:rsidR="00E56625" w:rsidRPr="00B603D6">
          <w:rPr>
            <w:webHidden/>
          </w:rPr>
        </w:r>
        <w:r w:rsidR="00E56625" w:rsidRPr="00B603D6">
          <w:rPr>
            <w:webHidden/>
          </w:rPr>
          <w:fldChar w:fldCharType="separate"/>
        </w:r>
        <w:r w:rsidR="002779FA">
          <w:rPr>
            <w:webHidden/>
          </w:rPr>
          <w:t>42</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49" w:history="1">
        <w:r w:rsidR="00E56625" w:rsidRPr="00B603D6">
          <w:rPr>
            <w:rStyle w:val="Hyperlink"/>
            <w:lang w:val="en-US"/>
          </w:rPr>
          <w:t>B.</w:t>
        </w:r>
        <w:r w:rsidR="00E56625" w:rsidRPr="00B603D6">
          <w:rPr>
            <w:rFonts w:eastAsiaTheme="minorEastAsia"/>
            <w:color w:val="auto"/>
            <w:sz w:val="22"/>
            <w:szCs w:val="22"/>
            <w:lang w:val="en-US"/>
          </w:rPr>
          <w:tab/>
        </w:r>
        <w:r w:rsidR="00E56625" w:rsidRPr="00B603D6">
          <w:rPr>
            <w:rStyle w:val="Hyperlink"/>
            <w:lang w:val="en-US"/>
          </w:rPr>
          <w:t>Consumption</w:t>
        </w:r>
        <w:r w:rsidR="00E56625" w:rsidRPr="00B603D6">
          <w:rPr>
            <w:webHidden/>
          </w:rPr>
          <w:tab/>
        </w:r>
        <w:r w:rsidR="00E56625" w:rsidRPr="00B603D6">
          <w:rPr>
            <w:webHidden/>
          </w:rPr>
          <w:fldChar w:fldCharType="begin"/>
        </w:r>
        <w:r w:rsidR="00E56625" w:rsidRPr="00B603D6">
          <w:rPr>
            <w:webHidden/>
          </w:rPr>
          <w:instrText xml:space="preserve"> PAGEREF _Toc419468549 \h </w:instrText>
        </w:r>
        <w:r w:rsidR="00E56625" w:rsidRPr="00B603D6">
          <w:rPr>
            <w:webHidden/>
          </w:rPr>
        </w:r>
        <w:r w:rsidR="00E56625" w:rsidRPr="00B603D6">
          <w:rPr>
            <w:webHidden/>
          </w:rPr>
          <w:fldChar w:fldCharType="separate"/>
        </w:r>
        <w:r w:rsidR="002779FA">
          <w:rPr>
            <w:webHidden/>
          </w:rPr>
          <w:t>42</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0" w:history="1">
        <w:r w:rsidR="00E56625" w:rsidRPr="00B603D6">
          <w:rPr>
            <w:rStyle w:val="Hyperlink"/>
            <w:lang w:val="en-US"/>
          </w:rPr>
          <w:t>C.</w:t>
        </w:r>
        <w:r w:rsidR="00E56625" w:rsidRPr="00B603D6">
          <w:rPr>
            <w:rFonts w:eastAsiaTheme="minorEastAsia"/>
            <w:color w:val="auto"/>
            <w:sz w:val="22"/>
            <w:szCs w:val="22"/>
            <w:lang w:val="en-US"/>
          </w:rPr>
          <w:tab/>
        </w:r>
        <w:r w:rsidR="00E56625" w:rsidRPr="00B603D6">
          <w:rPr>
            <w:rStyle w:val="Hyperlink"/>
            <w:lang w:val="en-US"/>
          </w:rPr>
          <w:t>New poverty lines for this report</w:t>
        </w:r>
        <w:bookmarkStart w:id="0" w:name="_GoBack"/>
        <w:bookmarkEnd w:id="0"/>
        <w:r w:rsidR="00E56625" w:rsidRPr="00B603D6">
          <w:rPr>
            <w:webHidden/>
          </w:rPr>
          <w:tab/>
        </w:r>
        <w:r w:rsidR="00E56625" w:rsidRPr="00B603D6">
          <w:rPr>
            <w:webHidden/>
          </w:rPr>
          <w:fldChar w:fldCharType="begin"/>
        </w:r>
        <w:r w:rsidR="00E56625" w:rsidRPr="00B603D6">
          <w:rPr>
            <w:webHidden/>
          </w:rPr>
          <w:instrText xml:space="preserve"> PAGEREF _Toc419468550 \h </w:instrText>
        </w:r>
        <w:r w:rsidR="00E56625" w:rsidRPr="00B603D6">
          <w:rPr>
            <w:webHidden/>
          </w:rPr>
        </w:r>
        <w:r w:rsidR="00E56625" w:rsidRPr="00B603D6">
          <w:rPr>
            <w:webHidden/>
          </w:rPr>
          <w:fldChar w:fldCharType="separate"/>
        </w:r>
        <w:r w:rsidR="002779FA">
          <w:rPr>
            <w:webHidden/>
          </w:rPr>
          <w:t>46</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1" w:history="1">
        <w:r w:rsidR="00E56625" w:rsidRPr="00B603D6">
          <w:rPr>
            <w:rStyle w:val="Hyperlink"/>
            <w:lang w:val="en-US"/>
          </w:rPr>
          <w:t>D.</w:t>
        </w:r>
        <w:r w:rsidR="00E56625" w:rsidRPr="00B603D6">
          <w:rPr>
            <w:rFonts w:eastAsiaTheme="minorEastAsia"/>
            <w:color w:val="auto"/>
            <w:sz w:val="22"/>
            <w:szCs w:val="22"/>
            <w:lang w:val="en-US"/>
          </w:rPr>
          <w:tab/>
        </w:r>
        <w:r w:rsidR="00E56625" w:rsidRPr="00B603D6">
          <w:rPr>
            <w:rStyle w:val="Hyperlink"/>
            <w:lang w:val="en-US"/>
          </w:rPr>
          <w:t>Poverty and poverty trends</w:t>
        </w:r>
        <w:r w:rsidR="00E56625" w:rsidRPr="00B603D6">
          <w:rPr>
            <w:webHidden/>
          </w:rPr>
          <w:tab/>
        </w:r>
        <w:r w:rsidR="00E56625" w:rsidRPr="00B603D6">
          <w:rPr>
            <w:webHidden/>
          </w:rPr>
          <w:fldChar w:fldCharType="begin"/>
        </w:r>
        <w:r w:rsidR="00E56625" w:rsidRPr="00B603D6">
          <w:rPr>
            <w:webHidden/>
          </w:rPr>
          <w:instrText xml:space="preserve"> PAGEREF _Toc419468551 \h </w:instrText>
        </w:r>
        <w:r w:rsidR="00E56625" w:rsidRPr="00B603D6">
          <w:rPr>
            <w:webHidden/>
          </w:rPr>
        </w:r>
        <w:r w:rsidR="00E56625" w:rsidRPr="00B603D6">
          <w:rPr>
            <w:webHidden/>
          </w:rPr>
          <w:fldChar w:fldCharType="separate"/>
        </w:r>
        <w:r w:rsidR="002779FA">
          <w:rPr>
            <w:webHidden/>
          </w:rPr>
          <w:t>48</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2" w:history="1">
        <w:r w:rsidR="00E56625" w:rsidRPr="00B603D6">
          <w:rPr>
            <w:rStyle w:val="Hyperlink"/>
            <w:lang w:val="en-US"/>
          </w:rPr>
          <w:t>E.</w:t>
        </w:r>
        <w:r w:rsidR="00E56625" w:rsidRPr="00B603D6">
          <w:rPr>
            <w:rFonts w:eastAsiaTheme="minorEastAsia"/>
            <w:color w:val="auto"/>
            <w:sz w:val="22"/>
            <w:szCs w:val="22"/>
            <w:lang w:val="en-US"/>
          </w:rPr>
          <w:tab/>
        </w:r>
        <w:r w:rsidR="00E56625" w:rsidRPr="00B603D6">
          <w:rPr>
            <w:rStyle w:val="Hyperlink"/>
            <w:lang w:val="en-US"/>
          </w:rPr>
          <w:t>Caution When Interpreting poverty</w:t>
        </w:r>
        <w:r w:rsidR="00E56625" w:rsidRPr="00B603D6">
          <w:rPr>
            <w:webHidden/>
          </w:rPr>
          <w:tab/>
        </w:r>
        <w:r w:rsidR="00E56625" w:rsidRPr="00B603D6">
          <w:rPr>
            <w:webHidden/>
          </w:rPr>
          <w:fldChar w:fldCharType="begin"/>
        </w:r>
        <w:r w:rsidR="00E56625" w:rsidRPr="00B603D6">
          <w:rPr>
            <w:webHidden/>
          </w:rPr>
          <w:instrText xml:space="preserve"> PAGEREF _Toc419468552 \h </w:instrText>
        </w:r>
        <w:r w:rsidR="00E56625" w:rsidRPr="00B603D6">
          <w:rPr>
            <w:webHidden/>
          </w:rPr>
        </w:r>
        <w:r w:rsidR="00E56625" w:rsidRPr="00B603D6">
          <w:rPr>
            <w:webHidden/>
          </w:rPr>
          <w:fldChar w:fldCharType="separate"/>
        </w:r>
        <w:r w:rsidR="002779FA">
          <w:rPr>
            <w:webHidden/>
          </w:rPr>
          <w:t>58</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3" w:history="1">
        <w:r w:rsidR="00E56625" w:rsidRPr="00B603D6">
          <w:rPr>
            <w:rStyle w:val="Hyperlink"/>
            <w:lang w:val="en-US"/>
          </w:rPr>
          <w:t>F.</w:t>
        </w:r>
        <w:r w:rsidR="00E56625" w:rsidRPr="00B603D6">
          <w:rPr>
            <w:rFonts w:eastAsiaTheme="minorEastAsia"/>
            <w:color w:val="auto"/>
            <w:sz w:val="22"/>
            <w:szCs w:val="22"/>
            <w:lang w:val="en-US"/>
          </w:rPr>
          <w:tab/>
        </w:r>
        <w:r w:rsidR="00E56625" w:rsidRPr="00B603D6">
          <w:rPr>
            <w:rStyle w:val="Hyperlink"/>
            <w:lang w:val="en-US"/>
          </w:rPr>
          <w:t>Consumption and poverty and since 2010</w:t>
        </w:r>
        <w:r w:rsidR="00E56625" w:rsidRPr="00B603D6">
          <w:rPr>
            <w:webHidden/>
          </w:rPr>
          <w:tab/>
        </w:r>
        <w:r w:rsidR="00E56625" w:rsidRPr="00B603D6">
          <w:rPr>
            <w:webHidden/>
          </w:rPr>
          <w:fldChar w:fldCharType="begin"/>
        </w:r>
        <w:r w:rsidR="00E56625" w:rsidRPr="00B603D6">
          <w:rPr>
            <w:webHidden/>
          </w:rPr>
          <w:instrText xml:space="preserve"> PAGEREF _Toc419468553 \h </w:instrText>
        </w:r>
        <w:r w:rsidR="00E56625" w:rsidRPr="00B603D6">
          <w:rPr>
            <w:webHidden/>
          </w:rPr>
        </w:r>
        <w:r w:rsidR="00E56625" w:rsidRPr="00B603D6">
          <w:rPr>
            <w:webHidden/>
          </w:rPr>
          <w:fldChar w:fldCharType="separate"/>
        </w:r>
        <w:r w:rsidR="002779FA">
          <w:rPr>
            <w:webHidden/>
          </w:rPr>
          <w:t>61</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4" w:history="1">
        <w:r w:rsidR="00E56625" w:rsidRPr="00B603D6">
          <w:rPr>
            <w:rStyle w:val="Hyperlink"/>
            <w:lang w:val="en-US"/>
          </w:rPr>
          <w:t>G.</w:t>
        </w:r>
        <w:r w:rsidR="00E56625" w:rsidRPr="00B603D6">
          <w:rPr>
            <w:rFonts w:eastAsiaTheme="minorEastAsia"/>
            <w:color w:val="auto"/>
            <w:sz w:val="22"/>
            <w:szCs w:val="22"/>
            <w:lang w:val="en-US"/>
          </w:rPr>
          <w:tab/>
        </w:r>
        <w:r w:rsidR="00E56625" w:rsidRPr="00B603D6">
          <w:rPr>
            <w:rStyle w:val="Hyperlink"/>
            <w:lang w:val="en-US"/>
          </w:rPr>
          <w:t>Ownership of assets</w:t>
        </w:r>
        <w:r w:rsidR="00E56625" w:rsidRPr="00B603D6">
          <w:rPr>
            <w:webHidden/>
          </w:rPr>
          <w:tab/>
        </w:r>
        <w:r w:rsidR="00E56625" w:rsidRPr="00B603D6">
          <w:rPr>
            <w:webHidden/>
          </w:rPr>
          <w:fldChar w:fldCharType="begin"/>
        </w:r>
        <w:r w:rsidR="00E56625" w:rsidRPr="00B603D6">
          <w:rPr>
            <w:webHidden/>
          </w:rPr>
          <w:instrText xml:space="preserve"> PAGEREF _Toc419468554 \h </w:instrText>
        </w:r>
        <w:r w:rsidR="00E56625" w:rsidRPr="00B603D6">
          <w:rPr>
            <w:webHidden/>
          </w:rPr>
        </w:r>
        <w:r w:rsidR="00E56625" w:rsidRPr="00B603D6">
          <w:rPr>
            <w:webHidden/>
          </w:rPr>
          <w:fldChar w:fldCharType="separate"/>
        </w:r>
        <w:r w:rsidR="002779FA">
          <w:rPr>
            <w:webHidden/>
          </w:rPr>
          <w:t>63</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5" w:history="1">
        <w:r w:rsidR="00E56625" w:rsidRPr="00B603D6">
          <w:rPr>
            <w:rStyle w:val="Hyperlink"/>
            <w:lang w:val="en-US"/>
          </w:rPr>
          <w:t>H.</w:t>
        </w:r>
        <w:r w:rsidR="00E56625" w:rsidRPr="00B603D6">
          <w:rPr>
            <w:rFonts w:eastAsiaTheme="minorEastAsia"/>
            <w:color w:val="auto"/>
            <w:sz w:val="22"/>
            <w:szCs w:val="22"/>
            <w:lang w:val="en-US"/>
          </w:rPr>
          <w:tab/>
        </w:r>
        <w:r w:rsidR="00E56625" w:rsidRPr="00B603D6">
          <w:rPr>
            <w:rStyle w:val="Hyperlink"/>
            <w:lang w:val="en-US"/>
          </w:rPr>
          <w:t>Other correlates of welfare</w:t>
        </w:r>
        <w:r w:rsidR="00E56625" w:rsidRPr="00B603D6">
          <w:rPr>
            <w:webHidden/>
          </w:rPr>
          <w:tab/>
        </w:r>
        <w:r w:rsidR="00E56625" w:rsidRPr="00B603D6">
          <w:rPr>
            <w:webHidden/>
          </w:rPr>
          <w:fldChar w:fldCharType="begin"/>
        </w:r>
        <w:r w:rsidR="00E56625" w:rsidRPr="00B603D6">
          <w:rPr>
            <w:webHidden/>
          </w:rPr>
          <w:instrText xml:space="preserve"> PAGEREF _Toc419468555 \h </w:instrText>
        </w:r>
        <w:r w:rsidR="00E56625" w:rsidRPr="00B603D6">
          <w:rPr>
            <w:webHidden/>
          </w:rPr>
        </w:r>
        <w:r w:rsidR="00E56625" w:rsidRPr="00B603D6">
          <w:rPr>
            <w:webHidden/>
          </w:rPr>
          <w:fldChar w:fldCharType="separate"/>
        </w:r>
        <w:r w:rsidR="002779FA">
          <w:rPr>
            <w:webHidden/>
          </w:rPr>
          <w:t>64</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6" w:history="1">
        <w:r w:rsidR="00E56625" w:rsidRPr="00B603D6">
          <w:rPr>
            <w:rStyle w:val="Hyperlink"/>
            <w:lang w:val="en-US"/>
          </w:rPr>
          <w:t>I.</w:t>
        </w:r>
        <w:r w:rsidR="00E56625" w:rsidRPr="00B603D6">
          <w:rPr>
            <w:rFonts w:eastAsiaTheme="minorEastAsia"/>
            <w:color w:val="auto"/>
            <w:sz w:val="22"/>
            <w:szCs w:val="22"/>
            <w:lang w:val="en-US"/>
          </w:rPr>
          <w:tab/>
        </w:r>
        <w:r w:rsidR="00E56625" w:rsidRPr="00B603D6">
          <w:rPr>
            <w:rStyle w:val="Hyperlink"/>
            <w:lang w:val="en-US"/>
          </w:rPr>
          <w:t>Consumption regression</w:t>
        </w:r>
        <w:r w:rsidR="00E56625" w:rsidRPr="00B603D6">
          <w:rPr>
            <w:webHidden/>
          </w:rPr>
          <w:tab/>
        </w:r>
        <w:r w:rsidR="00E56625" w:rsidRPr="00B603D6">
          <w:rPr>
            <w:webHidden/>
          </w:rPr>
          <w:fldChar w:fldCharType="begin"/>
        </w:r>
        <w:r w:rsidR="00E56625" w:rsidRPr="00B603D6">
          <w:rPr>
            <w:webHidden/>
          </w:rPr>
          <w:instrText xml:space="preserve"> PAGEREF _Toc419468556 \h </w:instrText>
        </w:r>
        <w:r w:rsidR="00E56625" w:rsidRPr="00B603D6">
          <w:rPr>
            <w:webHidden/>
          </w:rPr>
        </w:r>
        <w:r w:rsidR="00E56625" w:rsidRPr="00B603D6">
          <w:rPr>
            <w:webHidden/>
          </w:rPr>
          <w:fldChar w:fldCharType="separate"/>
        </w:r>
        <w:r w:rsidR="002779FA">
          <w:rPr>
            <w:webHidden/>
          </w:rPr>
          <w:t>68</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57" w:history="1">
        <w:r w:rsidR="00E56625" w:rsidRPr="00B603D6">
          <w:rPr>
            <w:rStyle w:val="Hyperlink"/>
            <w:lang w:val="en-US"/>
          </w:rPr>
          <w:t>J.</w:t>
        </w:r>
        <w:r w:rsidR="00E56625" w:rsidRPr="00B603D6">
          <w:rPr>
            <w:rFonts w:eastAsiaTheme="minorEastAsia"/>
            <w:color w:val="auto"/>
            <w:sz w:val="22"/>
            <w:szCs w:val="22"/>
            <w:lang w:val="en-US"/>
          </w:rPr>
          <w:tab/>
        </w:r>
        <w:r w:rsidR="00E56625" w:rsidRPr="00B603D6">
          <w:rPr>
            <w:rStyle w:val="Hyperlink"/>
            <w:lang w:val="en-US"/>
          </w:rPr>
          <w:t>Discussion</w:t>
        </w:r>
        <w:r w:rsidR="00E56625" w:rsidRPr="00B603D6">
          <w:rPr>
            <w:webHidden/>
          </w:rPr>
          <w:tab/>
        </w:r>
        <w:r w:rsidR="00E56625" w:rsidRPr="00B603D6">
          <w:rPr>
            <w:webHidden/>
          </w:rPr>
          <w:fldChar w:fldCharType="begin"/>
        </w:r>
        <w:r w:rsidR="00E56625" w:rsidRPr="00B603D6">
          <w:rPr>
            <w:webHidden/>
          </w:rPr>
          <w:instrText xml:space="preserve"> PAGEREF _Toc419468557 \h </w:instrText>
        </w:r>
        <w:r w:rsidR="00E56625" w:rsidRPr="00B603D6">
          <w:rPr>
            <w:webHidden/>
          </w:rPr>
        </w:r>
        <w:r w:rsidR="00E56625" w:rsidRPr="00B603D6">
          <w:rPr>
            <w:webHidden/>
          </w:rPr>
          <w:fldChar w:fldCharType="separate"/>
        </w:r>
        <w:r w:rsidR="002779FA">
          <w:rPr>
            <w:webHidden/>
          </w:rPr>
          <w:t>72</w:t>
        </w:r>
        <w:r w:rsidR="00E56625" w:rsidRPr="00B603D6">
          <w:rPr>
            <w:webHidden/>
          </w:rPr>
          <w:fldChar w:fldCharType="end"/>
        </w:r>
      </w:hyperlink>
    </w:p>
    <w:p w:rsidR="00E56625" w:rsidRDefault="00B250D9">
      <w:pPr>
        <w:pStyle w:val="TOC1"/>
        <w:rPr>
          <w:rFonts w:asciiTheme="minorHAnsi" w:eastAsiaTheme="minorEastAsia" w:hAnsiTheme="minorHAnsi" w:cstheme="minorBidi"/>
          <w:noProof/>
          <w:sz w:val="22"/>
          <w:szCs w:val="22"/>
          <w:lang w:val="en-US"/>
        </w:rPr>
      </w:pPr>
      <w:hyperlink w:anchor="_Toc419468558" w:history="1">
        <w:r w:rsidR="00E56625" w:rsidRPr="00C82786">
          <w:rPr>
            <w:rStyle w:val="Hyperlink"/>
            <w:rFonts w:ascii="Times New Roman Bold" w:hAnsi="Times New Roman Bold"/>
            <w:noProof/>
          </w:rPr>
          <w:t>Chapter 5.</w:t>
        </w:r>
        <w:r w:rsidR="00E56625">
          <w:rPr>
            <w:rFonts w:asciiTheme="minorHAnsi" w:eastAsiaTheme="minorEastAsia" w:hAnsiTheme="minorHAnsi" w:cstheme="minorBidi"/>
            <w:noProof/>
            <w:sz w:val="22"/>
            <w:szCs w:val="22"/>
            <w:lang w:val="en-US"/>
          </w:rPr>
          <w:tab/>
        </w:r>
        <w:r w:rsidR="00E56625" w:rsidRPr="00B603D6">
          <w:rPr>
            <w:rStyle w:val="Hyperlink"/>
            <w:b/>
            <w:noProof/>
          </w:rPr>
          <w:t>Spatial Challenges to Service Delivery: Trading off Equity, Efficiency and Quality</w:t>
        </w:r>
        <w:r w:rsidR="00E56625">
          <w:rPr>
            <w:noProof/>
            <w:webHidden/>
          </w:rPr>
          <w:tab/>
        </w:r>
        <w:r w:rsidR="00B603D6">
          <w:rPr>
            <w:noProof/>
            <w:webHidden/>
          </w:rPr>
          <w:t xml:space="preserve">                                                                                                                            </w:t>
        </w:r>
        <w:r w:rsidR="00E56625" w:rsidRPr="00B603D6">
          <w:rPr>
            <w:b/>
            <w:noProof/>
            <w:webHidden/>
          </w:rPr>
          <w:fldChar w:fldCharType="begin"/>
        </w:r>
        <w:r w:rsidR="00E56625" w:rsidRPr="00B603D6">
          <w:rPr>
            <w:b/>
            <w:noProof/>
            <w:webHidden/>
          </w:rPr>
          <w:instrText xml:space="preserve"> PAGEREF _Toc419468558 \h </w:instrText>
        </w:r>
        <w:r w:rsidR="00E56625" w:rsidRPr="00B603D6">
          <w:rPr>
            <w:b/>
            <w:noProof/>
            <w:webHidden/>
          </w:rPr>
        </w:r>
        <w:r w:rsidR="00E56625" w:rsidRPr="00B603D6">
          <w:rPr>
            <w:b/>
            <w:noProof/>
            <w:webHidden/>
          </w:rPr>
          <w:fldChar w:fldCharType="separate"/>
        </w:r>
        <w:r w:rsidR="002779FA">
          <w:rPr>
            <w:b/>
            <w:noProof/>
            <w:webHidden/>
          </w:rPr>
          <w:t>75</w:t>
        </w:r>
        <w:r w:rsidR="00E56625" w:rsidRPr="00B603D6">
          <w:rPr>
            <w:b/>
            <w:noProof/>
            <w:webHidden/>
          </w:rPr>
          <w:fldChar w:fldCharType="end"/>
        </w:r>
      </w:hyperlink>
    </w:p>
    <w:p w:rsidR="00E56625" w:rsidRPr="00B603D6" w:rsidRDefault="00B250D9">
      <w:pPr>
        <w:pStyle w:val="TOC2"/>
        <w:rPr>
          <w:rFonts w:eastAsiaTheme="minorEastAsia"/>
          <w:color w:val="auto"/>
          <w:sz w:val="22"/>
          <w:szCs w:val="22"/>
          <w:lang w:val="en-US"/>
        </w:rPr>
      </w:pPr>
      <w:hyperlink w:anchor="_Toc419468559" w:history="1">
        <w:r w:rsidR="00E56625" w:rsidRPr="00B603D6">
          <w:rPr>
            <w:rStyle w:val="Hyperlink"/>
            <w:lang w:val="en-US"/>
          </w:rPr>
          <w:t>A.</w:t>
        </w:r>
        <w:r w:rsidR="00E56625" w:rsidRPr="00B603D6">
          <w:rPr>
            <w:rFonts w:eastAsiaTheme="minorEastAsia"/>
            <w:color w:val="auto"/>
            <w:sz w:val="22"/>
            <w:szCs w:val="22"/>
            <w:lang w:val="en-US"/>
          </w:rPr>
          <w:tab/>
        </w:r>
        <w:r w:rsidR="00E56625" w:rsidRPr="00B603D6">
          <w:rPr>
            <w:rStyle w:val="Hyperlink"/>
            <w:lang w:val="en-US"/>
          </w:rPr>
          <w:t>Introduction</w:t>
        </w:r>
        <w:r w:rsidR="00E56625" w:rsidRPr="00B603D6">
          <w:rPr>
            <w:webHidden/>
          </w:rPr>
          <w:tab/>
        </w:r>
        <w:r w:rsidR="00E56625" w:rsidRPr="00B603D6">
          <w:rPr>
            <w:webHidden/>
          </w:rPr>
          <w:fldChar w:fldCharType="begin"/>
        </w:r>
        <w:r w:rsidR="00E56625" w:rsidRPr="00B603D6">
          <w:rPr>
            <w:webHidden/>
          </w:rPr>
          <w:instrText xml:space="preserve"> PAGEREF _Toc419468559 \h </w:instrText>
        </w:r>
        <w:r w:rsidR="00E56625" w:rsidRPr="00B603D6">
          <w:rPr>
            <w:webHidden/>
          </w:rPr>
        </w:r>
        <w:r w:rsidR="00E56625" w:rsidRPr="00B603D6">
          <w:rPr>
            <w:webHidden/>
          </w:rPr>
          <w:fldChar w:fldCharType="separate"/>
        </w:r>
        <w:r w:rsidR="002779FA">
          <w:rPr>
            <w:webHidden/>
          </w:rPr>
          <w:t>75</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60" w:history="1">
        <w:r w:rsidR="00E56625" w:rsidRPr="00B603D6">
          <w:rPr>
            <w:rStyle w:val="Hyperlink"/>
            <w:lang w:val="en-US"/>
          </w:rPr>
          <w:t>B.</w:t>
        </w:r>
        <w:r w:rsidR="00E56625" w:rsidRPr="00B603D6">
          <w:rPr>
            <w:rFonts w:eastAsiaTheme="minorEastAsia"/>
            <w:color w:val="auto"/>
            <w:sz w:val="22"/>
            <w:szCs w:val="22"/>
            <w:lang w:val="en-US"/>
          </w:rPr>
          <w:tab/>
        </w:r>
        <w:r w:rsidR="00E56625" w:rsidRPr="00B603D6">
          <w:rPr>
            <w:rStyle w:val="Hyperlink"/>
            <w:lang w:val="en-US"/>
          </w:rPr>
          <w:t>Unit costs and the delivery of services</w:t>
        </w:r>
        <w:r w:rsidR="00E56625" w:rsidRPr="00B603D6">
          <w:rPr>
            <w:webHidden/>
          </w:rPr>
          <w:tab/>
        </w:r>
        <w:r w:rsidR="00E56625" w:rsidRPr="00B603D6">
          <w:rPr>
            <w:webHidden/>
          </w:rPr>
          <w:fldChar w:fldCharType="begin"/>
        </w:r>
        <w:r w:rsidR="00E56625" w:rsidRPr="00B603D6">
          <w:rPr>
            <w:webHidden/>
          </w:rPr>
          <w:instrText xml:space="preserve"> PAGEREF _Toc419468560 \h </w:instrText>
        </w:r>
        <w:r w:rsidR="00E56625" w:rsidRPr="00B603D6">
          <w:rPr>
            <w:webHidden/>
          </w:rPr>
        </w:r>
        <w:r w:rsidR="00E56625" w:rsidRPr="00B603D6">
          <w:rPr>
            <w:webHidden/>
          </w:rPr>
          <w:fldChar w:fldCharType="separate"/>
        </w:r>
        <w:r w:rsidR="002779FA">
          <w:rPr>
            <w:webHidden/>
          </w:rPr>
          <w:t>75</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61" w:history="1">
        <w:r w:rsidR="00E56625" w:rsidRPr="00B603D6">
          <w:rPr>
            <w:rStyle w:val="Hyperlink"/>
            <w:lang w:val="en-US"/>
          </w:rPr>
          <w:t>C.</w:t>
        </w:r>
        <w:r w:rsidR="00E56625" w:rsidRPr="00B603D6">
          <w:rPr>
            <w:rFonts w:eastAsiaTheme="minorEastAsia"/>
            <w:color w:val="auto"/>
            <w:sz w:val="22"/>
            <w:szCs w:val="22"/>
            <w:lang w:val="en-US"/>
          </w:rPr>
          <w:tab/>
        </w:r>
        <w:r w:rsidR="00E56625" w:rsidRPr="00B603D6">
          <w:rPr>
            <w:rStyle w:val="Hyperlink"/>
            <w:lang w:val="en-US"/>
          </w:rPr>
          <w:t>Education: access versus quality</w:t>
        </w:r>
        <w:r w:rsidR="00E56625" w:rsidRPr="00B603D6">
          <w:rPr>
            <w:webHidden/>
          </w:rPr>
          <w:tab/>
        </w:r>
        <w:r w:rsidR="00E56625" w:rsidRPr="00B603D6">
          <w:rPr>
            <w:webHidden/>
          </w:rPr>
          <w:fldChar w:fldCharType="begin"/>
        </w:r>
        <w:r w:rsidR="00E56625" w:rsidRPr="00B603D6">
          <w:rPr>
            <w:webHidden/>
          </w:rPr>
          <w:instrText xml:space="preserve"> PAGEREF _Toc419468561 \h </w:instrText>
        </w:r>
        <w:r w:rsidR="00E56625" w:rsidRPr="00B603D6">
          <w:rPr>
            <w:webHidden/>
          </w:rPr>
        </w:r>
        <w:r w:rsidR="00E56625" w:rsidRPr="00B603D6">
          <w:rPr>
            <w:webHidden/>
          </w:rPr>
          <w:fldChar w:fldCharType="separate"/>
        </w:r>
        <w:r w:rsidR="002779FA">
          <w:rPr>
            <w:webHidden/>
          </w:rPr>
          <w:t>77</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62" w:history="1">
        <w:r w:rsidR="00E56625" w:rsidRPr="00B603D6">
          <w:rPr>
            <w:rStyle w:val="Hyperlink"/>
            <w:lang w:val="en-US"/>
          </w:rPr>
          <w:t>D.</w:t>
        </w:r>
        <w:r w:rsidR="00E56625" w:rsidRPr="00B603D6">
          <w:rPr>
            <w:rFonts w:eastAsiaTheme="minorEastAsia"/>
            <w:color w:val="auto"/>
            <w:sz w:val="22"/>
            <w:szCs w:val="22"/>
            <w:lang w:val="en-US"/>
          </w:rPr>
          <w:tab/>
        </w:r>
        <w:r w:rsidR="00E56625" w:rsidRPr="00B603D6">
          <w:rPr>
            <w:rStyle w:val="Hyperlink"/>
            <w:lang w:val="en-US"/>
          </w:rPr>
          <w:t>Electricity</w:t>
        </w:r>
        <w:r w:rsidR="00E56625" w:rsidRPr="00B603D6">
          <w:rPr>
            <w:webHidden/>
          </w:rPr>
          <w:tab/>
        </w:r>
        <w:r w:rsidR="00E56625" w:rsidRPr="00B603D6">
          <w:rPr>
            <w:webHidden/>
          </w:rPr>
          <w:fldChar w:fldCharType="begin"/>
        </w:r>
        <w:r w:rsidR="00E56625" w:rsidRPr="00B603D6">
          <w:rPr>
            <w:webHidden/>
          </w:rPr>
          <w:instrText xml:space="preserve"> PAGEREF _Toc419468562 \h </w:instrText>
        </w:r>
        <w:r w:rsidR="00E56625" w:rsidRPr="00B603D6">
          <w:rPr>
            <w:webHidden/>
          </w:rPr>
        </w:r>
        <w:r w:rsidR="00E56625" w:rsidRPr="00B603D6">
          <w:rPr>
            <w:webHidden/>
          </w:rPr>
          <w:fldChar w:fldCharType="separate"/>
        </w:r>
        <w:r w:rsidR="002779FA">
          <w:rPr>
            <w:webHidden/>
          </w:rPr>
          <w:t>88</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63" w:history="1">
        <w:r w:rsidR="00E56625" w:rsidRPr="00B603D6">
          <w:rPr>
            <w:rStyle w:val="Hyperlink"/>
            <w:lang w:val="en-US"/>
          </w:rPr>
          <w:t>E.</w:t>
        </w:r>
        <w:r w:rsidR="00E56625" w:rsidRPr="00B603D6">
          <w:rPr>
            <w:rFonts w:eastAsiaTheme="minorEastAsia"/>
            <w:color w:val="auto"/>
            <w:sz w:val="22"/>
            <w:szCs w:val="22"/>
            <w:lang w:val="en-US"/>
          </w:rPr>
          <w:tab/>
        </w:r>
        <w:r w:rsidR="00E56625" w:rsidRPr="00B603D6">
          <w:rPr>
            <w:rStyle w:val="Hyperlink"/>
            <w:lang w:val="en-US"/>
          </w:rPr>
          <w:t>Access to markets and roads</w:t>
        </w:r>
        <w:r w:rsidR="00E56625" w:rsidRPr="00B603D6">
          <w:rPr>
            <w:webHidden/>
          </w:rPr>
          <w:tab/>
        </w:r>
        <w:r w:rsidR="00E56625" w:rsidRPr="00B603D6">
          <w:rPr>
            <w:webHidden/>
          </w:rPr>
          <w:fldChar w:fldCharType="begin"/>
        </w:r>
        <w:r w:rsidR="00E56625" w:rsidRPr="00B603D6">
          <w:rPr>
            <w:webHidden/>
          </w:rPr>
          <w:instrText xml:space="preserve"> PAGEREF _Toc419468563 \h </w:instrText>
        </w:r>
        <w:r w:rsidR="00E56625" w:rsidRPr="00B603D6">
          <w:rPr>
            <w:webHidden/>
          </w:rPr>
        </w:r>
        <w:r w:rsidR="00E56625" w:rsidRPr="00B603D6">
          <w:rPr>
            <w:webHidden/>
          </w:rPr>
          <w:fldChar w:fldCharType="separate"/>
        </w:r>
        <w:r w:rsidR="002779FA">
          <w:rPr>
            <w:webHidden/>
          </w:rPr>
          <w:t>90</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64" w:history="1">
        <w:r w:rsidR="00E56625" w:rsidRPr="00B603D6">
          <w:rPr>
            <w:rStyle w:val="Hyperlink"/>
            <w:lang w:val="en-US"/>
          </w:rPr>
          <w:t>F.</w:t>
        </w:r>
        <w:r w:rsidR="00E56625" w:rsidRPr="00B603D6">
          <w:rPr>
            <w:rFonts w:eastAsiaTheme="minorEastAsia"/>
            <w:color w:val="auto"/>
            <w:sz w:val="22"/>
            <w:szCs w:val="22"/>
            <w:lang w:val="en-US"/>
          </w:rPr>
          <w:tab/>
        </w:r>
        <w:r w:rsidR="00E56625" w:rsidRPr="00B603D6">
          <w:rPr>
            <w:rStyle w:val="Hyperlink"/>
            <w:lang w:val="en-US"/>
          </w:rPr>
          <w:t>Discussion</w:t>
        </w:r>
        <w:r w:rsidR="00E56625" w:rsidRPr="00B603D6">
          <w:rPr>
            <w:webHidden/>
          </w:rPr>
          <w:tab/>
        </w:r>
        <w:r w:rsidR="00E56625" w:rsidRPr="00B603D6">
          <w:rPr>
            <w:webHidden/>
          </w:rPr>
          <w:fldChar w:fldCharType="begin"/>
        </w:r>
        <w:r w:rsidR="00E56625" w:rsidRPr="00B603D6">
          <w:rPr>
            <w:webHidden/>
          </w:rPr>
          <w:instrText xml:space="preserve"> PAGEREF _Toc419468564 \h </w:instrText>
        </w:r>
        <w:r w:rsidR="00E56625" w:rsidRPr="00B603D6">
          <w:rPr>
            <w:webHidden/>
          </w:rPr>
        </w:r>
        <w:r w:rsidR="00E56625" w:rsidRPr="00B603D6">
          <w:rPr>
            <w:webHidden/>
          </w:rPr>
          <w:fldChar w:fldCharType="separate"/>
        </w:r>
        <w:r w:rsidR="002779FA">
          <w:rPr>
            <w:webHidden/>
          </w:rPr>
          <w:t>96</w:t>
        </w:r>
        <w:r w:rsidR="00E56625" w:rsidRPr="00B603D6">
          <w:rPr>
            <w:webHidden/>
          </w:rPr>
          <w:fldChar w:fldCharType="end"/>
        </w:r>
      </w:hyperlink>
    </w:p>
    <w:p w:rsidR="00E56625" w:rsidRDefault="00B250D9">
      <w:pPr>
        <w:pStyle w:val="TOC1"/>
        <w:rPr>
          <w:rFonts w:asciiTheme="minorHAnsi" w:eastAsiaTheme="minorEastAsia" w:hAnsiTheme="minorHAnsi" w:cstheme="minorBidi"/>
          <w:noProof/>
          <w:sz w:val="22"/>
          <w:szCs w:val="22"/>
          <w:lang w:val="en-US"/>
        </w:rPr>
      </w:pPr>
      <w:hyperlink w:anchor="_Toc419468565" w:history="1">
        <w:r w:rsidR="00E56625" w:rsidRPr="00C82786">
          <w:rPr>
            <w:rStyle w:val="Hyperlink"/>
            <w:rFonts w:ascii="Times New Roman Bold" w:hAnsi="Times New Roman Bold"/>
            <w:noProof/>
          </w:rPr>
          <w:t>Chapter 6.</w:t>
        </w:r>
        <w:r w:rsidR="00E56625">
          <w:rPr>
            <w:rFonts w:asciiTheme="minorHAnsi" w:eastAsiaTheme="minorEastAsia" w:hAnsiTheme="minorHAnsi" w:cstheme="minorBidi"/>
            <w:noProof/>
            <w:sz w:val="22"/>
            <w:szCs w:val="22"/>
            <w:lang w:val="en-US"/>
          </w:rPr>
          <w:tab/>
        </w:r>
        <w:r w:rsidR="00E56625" w:rsidRPr="00B603D6">
          <w:rPr>
            <w:rStyle w:val="Hyperlink"/>
            <w:b/>
            <w:noProof/>
          </w:rPr>
          <w:t>Poverty Reduction and Growth in the Face of Spatial Challenges</w:t>
        </w:r>
        <w:r w:rsidR="00E56625">
          <w:rPr>
            <w:noProof/>
            <w:webHidden/>
          </w:rPr>
          <w:tab/>
        </w:r>
        <w:r w:rsidR="00E56625" w:rsidRPr="00B603D6">
          <w:rPr>
            <w:b/>
            <w:noProof/>
            <w:webHidden/>
          </w:rPr>
          <w:fldChar w:fldCharType="begin"/>
        </w:r>
        <w:r w:rsidR="00E56625" w:rsidRPr="00B603D6">
          <w:rPr>
            <w:b/>
            <w:noProof/>
            <w:webHidden/>
          </w:rPr>
          <w:instrText xml:space="preserve"> PAGEREF _Toc419468565 \h </w:instrText>
        </w:r>
        <w:r w:rsidR="00E56625" w:rsidRPr="00B603D6">
          <w:rPr>
            <w:b/>
            <w:noProof/>
            <w:webHidden/>
          </w:rPr>
        </w:r>
        <w:r w:rsidR="00E56625" w:rsidRPr="00B603D6">
          <w:rPr>
            <w:b/>
            <w:noProof/>
            <w:webHidden/>
          </w:rPr>
          <w:fldChar w:fldCharType="separate"/>
        </w:r>
        <w:r w:rsidR="002779FA">
          <w:rPr>
            <w:b/>
            <w:noProof/>
            <w:webHidden/>
          </w:rPr>
          <w:t>99</w:t>
        </w:r>
        <w:r w:rsidR="00E56625" w:rsidRPr="00B603D6">
          <w:rPr>
            <w:b/>
            <w:noProof/>
            <w:webHidden/>
          </w:rPr>
          <w:fldChar w:fldCharType="end"/>
        </w:r>
      </w:hyperlink>
    </w:p>
    <w:p w:rsidR="00E56625" w:rsidRPr="00B603D6" w:rsidRDefault="00B250D9">
      <w:pPr>
        <w:pStyle w:val="TOC2"/>
        <w:rPr>
          <w:rFonts w:eastAsiaTheme="minorEastAsia"/>
          <w:color w:val="auto"/>
          <w:sz w:val="22"/>
          <w:szCs w:val="22"/>
          <w:lang w:val="en-US"/>
        </w:rPr>
      </w:pPr>
      <w:hyperlink w:anchor="_Toc419468566" w:history="1">
        <w:r w:rsidR="00E56625" w:rsidRPr="00B603D6">
          <w:rPr>
            <w:rStyle w:val="Hyperlink"/>
            <w:lang w:val="en-US"/>
          </w:rPr>
          <w:t>A.</w:t>
        </w:r>
        <w:r w:rsidR="00E56625" w:rsidRPr="00B603D6">
          <w:rPr>
            <w:rFonts w:eastAsiaTheme="minorEastAsia"/>
            <w:color w:val="auto"/>
            <w:sz w:val="22"/>
            <w:szCs w:val="22"/>
            <w:lang w:val="en-US"/>
          </w:rPr>
          <w:tab/>
        </w:r>
        <w:r w:rsidR="00E56625" w:rsidRPr="00B603D6">
          <w:rPr>
            <w:rStyle w:val="Hyperlink"/>
            <w:lang w:val="en-US"/>
          </w:rPr>
          <w:t>Introduction</w:t>
        </w:r>
        <w:r w:rsidR="00E56625" w:rsidRPr="00B603D6">
          <w:rPr>
            <w:webHidden/>
          </w:rPr>
          <w:tab/>
        </w:r>
        <w:r w:rsidR="00E56625" w:rsidRPr="00B603D6">
          <w:rPr>
            <w:webHidden/>
          </w:rPr>
          <w:fldChar w:fldCharType="begin"/>
        </w:r>
        <w:r w:rsidR="00E56625" w:rsidRPr="00B603D6">
          <w:rPr>
            <w:webHidden/>
          </w:rPr>
          <w:instrText xml:space="preserve"> PAGEREF _Toc419468566 \h </w:instrText>
        </w:r>
        <w:r w:rsidR="00E56625" w:rsidRPr="00B603D6">
          <w:rPr>
            <w:webHidden/>
          </w:rPr>
        </w:r>
        <w:r w:rsidR="00E56625" w:rsidRPr="00B603D6">
          <w:rPr>
            <w:webHidden/>
          </w:rPr>
          <w:fldChar w:fldCharType="separate"/>
        </w:r>
        <w:r w:rsidR="002779FA">
          <w:rPr>
            <w:webHidden/>
          </w:rPr>
          <w:t>99</w:t>
        </w:r>
        <w:r w:rsidR="00E56625" w:rsidRPr="00B603D6">
          <w:rPr>
            <w:webHidden/>
          </w:rPr>
          <w:fldChar w:fldCharType="end"/>
        </w:r>
      </w:hyperlink>
    </w:p>
    <w:p w:rsidR="00E56625" w:rsidRPr="00B603D6" w:rsidRDefault="00B250D9">
      <w:pPr>
        <w:pStyle w:val="TOC2"/>
        <w:rPr>
          <w:rFonts w:eastAsiaTheme="minorEastAsia"/>
          <w:color w:val="auto"/>
          <w:sz w:val="22"/>
          <w:szCs w:val="22"/>
          <w:lang w:val="en-US"/>
        </w:rPr>
      </w:pPr>
      <w:hyperlink w:anchor="_Toc419468567" w:history="1">
        <w:r w:rsidR="00E56625" w:rsidRPr="00B603D6">
          <w:rPr>
            <w:rStyle w:val="Hyperlink"/>
            <w:lang w:val="en-US"/>
          </w:rPr>
          <w:t>B.</w:t>
        </w:r>
        <w:r w:rsidR="00E56625" w:rsidRPr="00B603D6">
          <w:rPr>
            <w:rFonts w:eastAsiaTheme="minorEastAsia"/>
            <w:color w:val="auto"/>
            <w:sz w:val="22"/>
            <w:szCs w:val="22"/>
            <w:lang w:val="en-US"/>
          </w:rPr>
          <w:tab/>
        </w:r>
        <w:r w:rsidR="00E56625" w:rsidRPr="00B603D6">
          <w:rPr>
            <w:rStyle w:val="Hyperlink"/>
            <w:lang w:val="en-US"/>
          </w:rPr>
          <w:t>Poverty reduction requires accelerated growth</w:t>
        </w:r>
        <w:r w:rsidR="00E56625" w:rsidRPr="00B603D6">
          <w:rPr>
            <w:webHidden/>
          </w:rPr>
          <w:tab/>
        </w:r>
        <w:r w:rsidR="00E56625" w:rsidRPr="00B603D6">
          <w:rPr>
            <w:webHidden/>
          </w:rPr>
          <w:fldChar w:fldCharType="begin"/>
        </w:r>
        <w:r w:rsidR="00E56625" w:rsidRPr="00B603D6">
          <w:rPr>
            <w:webHidden/>
          </w:rPr>
          <w:instrText xml:space="preserve"> PAGEREF _Toc419468567 \h </w:instrText>
        </w:r>
        <w:r w:rsidR="00E56625" w:rsidRPr="00B603D6">
          <w:rPr>
            <w:webHidden/>
          </w:rPr>
        </w:r>
        <w:r w:rsidR="00E56625" w:rsidRPr="00B603D6">
          <w:rPr>
            <w:webHidden/>
          </w:rPr>
          <w:fldChar w:fldCharType="separate"/>
        </w:r>
        <w:r w:rsidR="002779FA">
          <w:rPr>
            <w:webHidden/>
          </w:rPr>
          <w:t>99</w:t>
        </w:r>
        <w:r w:rsidR="00E56625" w:rsidRPr="00B603D6">
          <w:rPr>
            <w:webHidden/>
          </w:rPr>
          <w:fldChar w:fldCharType="end"/>
        </w:r>
      </w:hyperlink>
    </w:p>
    <w:p w:rsidR="00E56625" w:rsidRPr="001145C5" w:rsidRDefault="00B250D9">
      <w:pPr>
        <w:pStyle w:val="TOC2"/>
        <w:rPr>
          <w:rFonts w:eastAsiaTheme="minorEastAsia"/>
          <w:color w:val="auto"/>
          <w:sz w:val="22"/>
          <w:szCs w:val="22"/>
          <w:lang w:val="en-US"/>
        </w:rPr>
      </w:pPr>
      <w:hyperlink w:anchor="_Toc419468568" w:history="1">
        <w:r w:rsidR="00E56625" w:rsidRPr="001145C5">
          <w:rPr>
            <w:rStyle w:val="Hyperlink"/>
            <w:lang w:val="en-US"/>
          </w:rPr>
          <w:t>C.</w:t>
        </w:r>
        <w:r w:rsidR="00E56625" w:rsidRPr="001145C5">
          <w:rPr>
            <w:rFonts w:eastAsiaTheme="minorEastAsia"/>
            <w:color w:val="auto"/>
            <w:sz w:val="22"/>
            <w:szCs w:val="22"/>
            <w:lang w:val="en-US"/>
          </w:rPr>
          <w:tab/>
        </w:r>
        <w:r w:rsidR="00E56625" w:rsidRPr="001145C5">
          <w:rPr>
            <w:rStyle w:val="Hyperlink"/>
            <w:lang w:val="en-US"/>
          </w:rPr>
          <w:t>Growth between 2000 and 2013</w:t>
        </w:r>
        <w:r w:rsidR="00E56625" w:rsidRPr="001145C5">
          <w:rPr>
            <w:webHidden/>
          </w:rPr>
          <w:tab/>
        </w:r>
        <w:r w:rsidR="00E56625" w:rsidRPr="001145C5">
          <w:rPr>
            <w:webHidden/>
          </w:rPr>
          <w:fldChar w:fldCharType="begin"/>
        </w:r>
        <w:r w:rsidR="00E56625" w:rsidRPr="001145C5">
          <w:rPr>
            <w:webHidden/>
          </w:rPr>
          <w:instrText xml:space="preserve"> PAGEREF _Toc419468568 \h </w:instrText>
        </w:r>
        <w:r w:rsidR="00E56625" w:rsidRPr="001145C5">
          <w:rPr>
            <w:webHidden/>
          </w:rPr>
        </w:r>
        <w:r w:rsidR="00E56625" w:rsidRPr="001145C5">
          <w:rPr>
            <w:webHidden/>
          </w:rPr>
          <w:fldChar w:fldCharType="separate"/>
        </w:r>
        <w:r w:rsidR="002779FA" w:rsidRPr="001145C5">
          <w:rPr>
            <w:webHidden/>
          </w:rPr>
          <w:t>102</w:t>
        </w:r>
        <w:r w:rsidR="00E56625" w:rsidRPr="001145C5">
          <w:rPr>
            <w:webHidden/>
          </w:rPr>
          <w:fldChar w:fldCharType="end"/>
        </w:r>
      </w:hyperlink>
    </w:p>
    <w:p w:rsidR="00E56625" w:rsidRPr="001145C5" w:rsidRDefault="00B250D9">
      <w:pPr>
        <w:pStyle w:val="TOC2"/>
        <w:rPr>
          <w:rFonts w:eastAsiaTheme="minorEastAsia"/>
          <w:color w:val="auto"/>
          <w:sz w:val="22"/>
          <w:szCs w:val="22"/>
          <w:lang w:val="en-US"/>
        </w:rPr>
      </w:pPr>
      <w:hyperlink w:anchor="_Toc419468569" w:history="1">
        <w:r w:rsidR="00E56625" w:rsidRPr="001145C5">
          <w:rPr>
            <w:rStyle w:val="Hyperlink"/>
            <w:lang w:val="en-US"/>
          </w:rPr>
          <w:t>D.</w:t>
        </w:r>
        <w:r w:rsidR="00E56625" w:rsidRPr="001145C5">
          <w:rPr>
            <w:rFonts w:eastAsiaTheme="minorEastAsia"/>
            <w:color w:val="auto"/>
            <w:sz w:val="22"/>
            <w:szCs w:val="22"/>
            <w:lang w:val="en-US"/>
          </w:rPr>
          <w:tab/>
        </w:r>
        <w:r w:rsidR="00E56625" w:rsidRPr="001145C5">
          <w:rPr>
            <w:rStyle w:val="Hyperlink"/>
            <w:lang w:val="en-US"/>
          </w:rPr>
          <w:t>Spatially conscious strategies for accelerating growth</w:t>
        </w:r>
        <w:r w:rsidR="00E56625" w:rsidRPr="001145C5">
          <w:rPr>
            <w:webHidden/>
          </w:rPr>
          <w:tab/>
        </w:r>
        <w:r w:rsidR="00E56625" w:rsidRPr="001145C5">
          <w:rPr>
            <w:webHidden/>
          </w:rPr>
          <w:fldChar w:fldCharType="begin"/>
        </w:r>
        <w:r w:rsidR="00E56625" w:rsidRPr="001145C5">
          <w:rPr>
            <w:webHidden/>
          </w:rPr>
          <w:instrText xml:space="preserve"> PAGEREF _Toc419468569 \h </w:instrText>
        </w:r>
        <w:r w:rsidR="00E56625" w:rsidRPr="001145C5">
          <w:rPr>
            <w:webHidden/>
          </w:rPr>
        </w:r>
        <w:r w:rsidR="00E56625" w:rsidRPr="001145C5">
          <w:rPr>
            <w:webHidden/>
          </w:rPr>
          <w:fldChar w:fldCharType="separate"/>
        </w:r>
        <w:r w:rsidR="002779FA" w:rsidRPr="001145C5">
          <w:rPr>
            <w:webHidden/>
          </w:rPr>
          <w:t>106</w:t>
        </w:r>
        <w:r w:rsidR="00E56625" w:rsidRPr="001145C5">
          <w:rPr>
            <w:webHidden/>
          </w:rPr>
          <w:fldChar w:fldCharType="end"/>
        </w:r>
      </w:hyperlink>
    </w:p>
    <w:p w:rsidR="003B679B" w:rsidRPr="00E56625" w:rsidRDefault="00CF0E26" w:rsidP="002B0376">
      <w:pPr>
        <w:spacing w:after="0"/>
        <w:rPr>
          <w:b/>
          <w:sz w:val="21"/>
          <w:szCs w:val="21"/>
          <w:lang w:val="en-US"/>
        </w:rPr>
      </w:pPr>
      <w:r w:rsidRPr="00E56625">
        <w:rPr>
          <w:b/>
          <w:sz w:val="22"/>
          <w:szCs w:val="22"/>
          <w:lang w:val="en-US"/>
        </w:rPr>
        <w:fldChar w:fldCharType="end"/>
      </w:r>
    </w:p>
    <w:p w:rsidR="00B603D6" w:rsidRDefault="00B603D6">
      <w:pPr>
        <w:spacing w:line="276" w:lineRule="auto"/>
        <w:rPr>
          <w:b/>
          <w:sz w:val="22"/>
          <w:u w:val="single"/>
          <w:lang w:val="en-US"/>
        </w:rPr>
      </w:pPr>
      <w:r>
        <w:rPr>
          <w:b/>
          <w:sz w:val="22"/>
          <w:u w:val="single"/>
          <w:lang w:val="en-US"/>
        </w:rPr>
        <w:br w:type="page"/>
      </w:r>
    </w:p>
    <w:p w:rsidR="002B0376" w:rsidRPr="00E56625" w:rsidRDefault="00CE32B0" w:rsidP="002B0376">
      <w:pPr>
        <w:spacing w:after="0"/>
        <w:rPr>
          <w:b/>
          <w:sz w:val="22"/>
          <w:u w:val="single"/>
          <w:lang w:val="en-US"/>
        </w:rPr>
      </w:pPr>
      <w:r w:rsidRPr="00E56625">
        <w:rPr>
          <w:b/>
          <w:sz w:val="22"/>
          <w:u w:val="single"/>
          <w:lang w:val="en-US"/>
        </w:rPr>
        <w:t>Annex</w:t>
      </w:r>
    </w:p>
    <w:p w:rsidR="002B0376" w:rsidRPr="00E56625" w:rsidRDefault="002B0376" w:rsidP="000C2945">
      <w:pPr>
        <w:spacing w:after="0"/>
        <w:rPr>
          <w:b/>
          <w:sz w:val="18"/>
          <w:szCs w:val="18"/>
          <w:lang w:val="en-US"/>
        </w:rPr>
      </w:pPr>
    </w:p>
    <w:p w:rsidR="005D7FCD" w:rsidRPr="008F3531" w:rsidRDefault="00962A7C">
      <w:pPr>
        <w:pStyle w:val="TableofFigures"/>
        <w:tabs>
          <w:tab w:val="right" w:leader="dot" w:pos="9350"/>
        </w:tabs>
        <w:rPr>
          <w:rFonts w:asciiTheme="minorHAnsi" w:eastAsiaTheme="minorEastAsia" w:hAnsiTheme="minorHAnsi" w:cstheme="minorBidi"/>
          <w:noProof/>
          <w:sz w:val="22"/>
          <w:szCs w:val="22"/>
          <w:lang w:val="en-US"/>
        </w:rPr>
      </w:pPr>
      <w:r w:rsidRPr="00E56625">
        <w:rPr>
          <w:b/>
          <w:sz w:val="22"/>
          <w:szCs w:val="22"/>
          <w:lang w:val="en-US"/>
        </w:rPr>
        <w:fldChar w:fldCharType="begin"/>
      </w:r>
      <w:r w:rsidRPr="00E56625">
        <w:rPr>
          <w:b/>
          <w:sz w:val="22"/>
          <w:szCs w:val="22"/>
          <w:lang w:val="en-US"/>
        </w:rPr>
        <w:instrText xml:space="preserve"> TOC \h \z \c "Annex" </w:instrText>
      </w:r>
      <w:r w:rsidRPr="00E56625">
        <w:rPr>
          <w:b/>
          <w:sz w:val="22"/>
          <w:szCs w:val="22"/>
          <w:lang w:val="en-US"/>
        </w:rPr>
        <w:fldChar w:fldCharType="separate"/>
      </w:r>
      <w:hyperlink w:anchor="_Toc390956256" w:history="1">
        <w:r w:rsidR="005D7FCD" w:rsidRPr="00E56625">
          <w:rPr>
            <w:rStyle w:val="Hyperlink"/>
            <w:noProof/>
            <w:sz w:val="22"/>
            <w:szCs w:val="22"/>
            <w:lang w:val="en-US"/>
          </w:rPr>
          <w:t>Annex 1: Services trade policies for Member States of WAEMU</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_Toc390956256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111</w:t>
        </w:r>
        <w:r w:rsidR="005D7FCD" w:rsidRPr="00E56625">
          <w:rPr>
            <w:noProof/>
            <w:webHidden/>
            <w:sz w:val="22"/>
            <w:szCs w:val="22"/>
            <w:lang w:val="en-US"/>
          </w:rPr>
          <w:fldChar w:fldCharType="end"/>
        </w:r>
      </w:hyperlink>
    </w:p>
    <w:p w:rsidR="002B0376" w:rsidRPr="00E56625" w:rsidRDefault="00962A7C" w:rsidP="000C2945">
      <w:pPr>
        <w:spacing w:after="0"/>
        <w:rPr>
          <w:b/>
          <w:sz w:val="22"/>
          <w:szCs w:val="22"/>
          <w:lang w:val="en-US"/>
        </w:rPr>
      </w:pPr>
      <w:r w:rsidRPr="00E56625">
        <w:rPr>
          <w:b/>
          <w:sz w:val="22"/>
          <w:szCs w:val="22"/>
          <w:lang w:val="en-US"/>
        </w:rPr>
        <w:fldChar w:fldCharType="end"/>
      </w:r>
    </w:p>
    <w:p w:rsidR="000C2945" w:rsidRPr="00E56625" w:rsidRDefault="000C2945" w:rsidP="000C2945">
      <w:pPr>
        <w:spacing w:after="0"/>
        <w:rPr>
          <w:b/>
          <w:sz w:val="22"/>
          <w:u w:val="single"/>
          <w:lang w:val="en-US"/>
        </w:rPr>
      </w:pPr>
      <w:r w:rsidRPr="00E56625">
        <w:rPr>
          <w:b/>
          <w:sz w:val="22"/>
          <w:u w:val="single"/>
          <w:lang w:val="en-US"/>
        </w:rPr>
        <w:t>List of Tables</w:t>
      </w:r>
    </w:p>
    <w:p w:rsidR="004E194E" w:rsidRPr="00E56625" w:rsidRDefault="004E194E" w:rsidP="00CF0E26">
      <w:pPr>
        <w:spacing w:after="0"/>
        <w:rPr>
          <w:b/>
          <w:sz w:val="18"/>
          <w:szCs w:val="18"/>
          <w:lang w:val="en-US"/>
        </w:rPr>
      </w:pPr>
    </w:p>
    <w:p w:rsidR="005D7FCD" w:rsidRPr="008F3531" w:rsidRDefault="000C2945">
      <w:pPr>
        <w:pStyle w:val="TableofFigures"/>
        <w:tabs>
          <w:tab w:val="right" w:leader="dot" w:pos="9350"/>
        </w:tabs>
        <w:rPr>
          <w:rFonts w:asciiTheme="minorHAnsi" w:eastAsiaTheme="minorEastAsia" w:hAnsiTheme="minorHAnsi" w:cstheme="minorBidi"/>
          <w:noProof/>
          <w:sz w:val="22"/>
          <w:szCs w:val="22"/>
          <w:lang w:val="en-US"/>
        </w:rPr>
      </w:pPr>
      <w:r w:rsidRPr="00E56625">
        <w:rPr>
          <w:b/>
          <w:sz w:val="22"/>
          <w:szCs w:val="22"/>
          <w:lang w:val="en-US"/>
        </w:rPr>
        <w:lastRenderedPageBreak/>
        <w:fldChar w:fldCharType="begin"/>
      </w:r>
      <w:r w:rsidRPr="00E56625">
        <w:rPr>
          <w:b/>
          <w:sz w:val="22"/>
          <w:szCs w:val="22"/>
          <w:lang w:val="en-US"/>
        </w:rPr>
        <w:instrText xml:space="preserve"> TOC \h \z \c "Table" </w:instrText>
      </w:r>
      <w:r w:rsidRPr="00E56625">
        <w:rPr>
          <w:b/>
          <w:sz w:val="22"/>
          <w:szCs w:val="22"/>
          <w:lang w:val="en-US"/>
        </w:rPr>
        <w:fldChar w:fldCharType="separate"/>
      </w:r>
      <w:hyperlink w:anchor="_Toc390956279" w:history="1">
        <w:r w:rsidR="005D7FCD" w:rsidRPr="00E56625">
          <w:rPr>
            <w:rStyle w:val="Hyperlink"/>
            <w:noProof/>
            <w:sz w:val="22"/>
            <w:szCs w:val="22"/>
            <w:lang w:val="en-US"/>
          </w:rPr>
          <w:t>Table 2.1: City size and city rank (1987, 1998 and 2009)</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_Toc390956279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9</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0" w:history="1">
        <w:r w:rsidR="005D7FCD" w:rsidRPr="00E56625">
          <w:rPr>
            <w:rStyle w:val="Hyperlink"/>
            <w:noProof/>
            <w:sz w:val="22"/>
            <w:szCs w:val="22"/>
            <w:lang w:val="en-US"/>
          </w:rPr>
          <w:t>Table 2.2: Household characteristics by agglomeration type</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_Toc390956280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10</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1" w:history="1">
        <w:r w:rsidR="005D7FCD" w:rsidRPr="00E56625">
          <w:rPr>
            <w:rStyle w:val="Hyperlink"/>
            <w:noProof/>
            <w:sz w:val="22"/>
            <w:szCs w:val="22"/>
            <w:lang w:val="en-US"/>
          </w:rPr>
          <w:t>Table 2.3: Sorting of internal migrants (ages 15-64) by education level (2009)</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_Toc390956281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12</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2" w:history="1">
        <w:r w:rsidR="005D7FCD" w:rsidRPr="00E56625">
          <w:rPr>
            <w:rStyle w:val="Hyperlink"/>
            <w:noProof/>
            <w:sz w:val="22"/>
            <w:szCs w:val="22"/>
            <w:lang w:val="en-US"/>
          </w:rPr>
          <w:t>Table 2.4: Access to basic utilities (2009)</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_Toc390956282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13</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3" w:history="1">
        <w:r w:rsidR="005D7FCD" w:rsidRPr="00E56625">
          <w:rPr>
            <w:rStyle w:val="Hyperlink"/>
            <w:noProof/>
            <w:sz w:val="22"/>
            <w:szCs w:val="22"/>
            <w:lang w:val="en-US"/>
          </w:rPr>
          <w:t>Table 2.5: Decomposition of the change in poverty between 2001 and 2010</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_Toc390956283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20</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4" w:history="1">
        <w:r w:rsidR="005D7FCD" w:rsidRPr="00E56625">
          <w:rPr>
            <w:rStyle w:val="Hyperlink"/>
            <w:noProof/>
            <w:sz w:val="22"/>
            <w:szCs w:val="22"/>
            <w:lang w:val="en-US"/>
          </w:rPr>
          <w:t>Table 3.1: Wealth Characteristics According to Livelihood Zone</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_Toc390956284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31</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5" w:history="1">
        <w:r w:rsidR="005D7FCD" w:rsidRPr="00E56625">
          <w:rPr>
            <w:rStyle w:val="Hyperlink"/>
            <w:noProof/>
            <w:sz w:val="22"/>
            <w:szCs w:val="22"/>
            <w:lang w:val="en-US"/>
          </w:rPr>
          <w:t>Table 3.2: Market access by livelihood zone</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_Toc390956285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35</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6" w:history="1">
        <w:r w:rsidR="005D7FCD" w:rsidRPr="00E56625">
          <w:rPr>
            <w:rStyle w:val="Hyperlink"/>
            <w:noProof/>
            <w:sz w:val="22"/>
            <w:szCs w:val="22"/>
            <w:lang w:val="en-US"/>
          </w:rPr>
          <w:t>Table 3.3: Population density and access to basic utilities by livelihood zone (2009)</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_Toc390956286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37</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7" w:history="1">
        <w:r w:rsidR="005D7FCD" w:rsidRPr="00E56625">
          <w:rPr>
            <w:rStyle w:val="Hyperlink"/>
            <w:noProof/>
            <w:sz w:val="22"/>
            <w:szCs w:val="22"/>
            <w:lang w:val="en-US"/>
          </w:rPr>
          <w:t>Table 4.1: Poverty incidence by livelihood zone</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_Toc390956287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50</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8" w:history="1">
        <w:r w:rsidR="005D7FCD" w:rsidRPr="00E56625">
          <w:rPr>
            <w:rStyle w:val="Hyperlink"/>
            <w:noProof/>
            <w:sz w:val="22"/>
            <w:szCs w:val="22"/>
            <w:lang w:val="en-US"/>
          </w:rPr>
          <w:t>Table 4.2: Determinants of per capita consumption</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_Toc390956288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71</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89" w:history="1">
        <w:r w:rsidR="005D7FCD" w:rsidRPr="00E56625">
          <w:rPr>
            <w:rStyle w:val="Hyperlink"/>
            <w:noProof/>
            <w:sz w:val="22"/>
            <w:szCs w:val="22"/>
            <w:lang w:val="en-US"/>
          </w:rPr>
          <w:t>Table 5.1: Net enrollment in primary and secondary schools</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_Toc390956289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77</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90" w:history="1">
        <w:r w:rsidR="005D7FCD" w:rsidRPr="00E56625">
          <w:rPr>
            <w:rStyle w:val="Hyperlink"/>
            <w:noProof/>
            <w:sz w:val="22"/>
            <w:szCs w:val="22"/>
            <w:lang w:val="en-US"/>
          </w:rPr>
          <w:t>Table 5.2: Summary Data for Primary and Secondary Schools</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_Toc390956290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85</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91" w:history="1">
        <w:r w:rsidR="005D7FCD" w:rsidRPr="00E56625">
          <w:rPr>
            <w:rStyle w:val="Hyperlink"/>
            <w:noProof/>
            <w:sz w:val="22"/>
            <w:szCs w:val="22"/>
            <w:lang w:val="en-US"/>
          </w:rPr>
          <w:t>Table 5.3: Percent of population living within a certain distance from a school</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_Toc390956291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87</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92" w:history="1">
        <w:r w:rsidR="005D7FCD" w:rsidRPr="00E56625">
          <w:rPr>
            <w:rStyle w:val="Hyperlink"/>
            <w:noProof/>
            <w:sz w:val="22"/>
            <w:szCs w:val="22"/>
            <w:lang w:val="en-US"/>
          </w:rPr>
          <w:t>Table 5.4: Road type and state of maintenance</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_Toc390956292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95</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93" w:history="1">
        <w:r w:rsidR="005D7FCD" w:rsidRPr="00E56625">
          <w:rPr>
            <w:rStyle w:val="Hyperlink"/>
            <w:noProof/>
            <w:sz w:val="22"/>
            <w:szCs w:val="22"/>
            <w:lang w:val="en-US"/>
          </w:rPr>
          <w:t>Table 7.1: Population estimates for census years</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_Toc390956293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101</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94" w:history="1">
        <w:r w:rsidR="005D7FCD" w:rsidRPr="00E56625">
          <w:rPr>
            <w:rStyle w:val="Hyperlink"/>
            <w:noProof/>
            <w:sz w:val="22"/>
            <w:szCs w:val="22"/>
            <w:lang w:val="en-US"/>
          </w:rPr>
          <w:t>Table 7.2: GDP per capita in 1987 prices</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_Toc390956294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105</w:t>
        </w:r>
        <w:r w:rsidR="005D7FCD" w:rsidRPr="00E56625">
          <w:rPr>
            <w:noProof/>
            <w:webHidden/>
            <w:sz w:val="22"/>
            <w:szCs w:val="22"/>
            <w:lang w:val="en-US"/>
          </w:rPr>
          <w:fldChar w:fldCharType="end"/>
        </w:r>
      </w:hyperlink>
    </w:p>
    <w:p w:rsidR="005D7FCD"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295" w:history="1">
        <w:r w:rsidR="005D7FCD" w:rsidRPr="00E56625">
          <w:rPr>
            <w:rStyle w:val="Hyperlink"/>
            <w:noProof/>
            <w:sz w:val="22"/>
            <w:szCs w:val="22"/>
            <w:lang w:val="en-US"/>
          </w:rPr>
          <w:t>Table 7.3: Distance and time it takes to reach the main ports serving Mali</w:t>
        </w:r>
        <w:r w:rsidR="005D7FCD" w:rsidRPr="00E56625">
          <w:rPr>
            <w:noProof/>
            <w:webHidden/>
            <w:sz w:val="22"/>
            <w:szCs w:val="22"/>
            <w:lang w:val="en-US"/>
          </w:rPr>
          <w:tab/>
        </w:r>
        <w:r w:rsidR="005D7FCD" w:rsidRPr="00E56625">
          <w:rPr>
            <w:noProof/>
            <w:webHidden/>
            <w:sz w:val="22"/>
            <w:szCs w:val="22"/>
            <w:lang w:val="en-US"/>
          </w:rPr>
          <w:fldChar w:fldCharType="begin"/>
        </w:r>
        <w:r w:rsidR="005D7FCD" w:rsidRPr="00E56625">
          <w:rPr>
            <w:noProof/>
            <w:webHidden/>
            <w:sz w:val="22"/>
            <w:szCs w:val="22"/>
            <w:lang w:val="en-US"/>
          </w:rPr>
          <w:instrText xml:space="preserve"> PAGEREF _Toc390956295 \h </w:instrText>
        </w:r>
        <w:r w:rsidR="005D7FCD" w:rsidRPr="00E56625">
          <w:rPr>
            <w:noProof/>
            <w:webHidden/>
            <w:sz w:val="22"/>
            <w:szCs w:val="22"/>
            <w:lang w:val="en-US"/>
          </w:rPr>
        </w:r>
        <w:r w:rsidR="005D7FCD" w:rsidRPr="00E56625">
          <w:rPr>
            <w:noProof/>
            <w:webHidden/>
            <w:sz w:val="22"/>
            <w:szCs w:val="22"/>
            <w:lang w:val="en-US"/>
          </w:rPr>
          <w:fldChar w:fldCharType="separate"/>
        </w:r>
        <w:r w:rsidR="002779FA">
          <w:rPr>
            <w:noProof/>
            <w:webHidden/>
            <w:sz w:val="22"/>
            <w:szCs w:val="22"/>
            <w:lang w:val="en-US"/>
          </w:rPr>
          <w:t>106</w:t>
        </w:r>
        <w:r w:rsidR="005D7FCD" w:rsidRPr="00E56625">
          <w:rPr>
            <w:noProof/>
            <w:webHidden/>
            <w:sz w:val="22"/>
            <w:szCs w:val="22"/>
            <w:lang w:val="en-US"/>
          </w:rPr>
          <w:fldChar w:fldCharType="end"/>
        </w:r>
      </w:hyperlink>
    </w:p>
    <w:p w:rsidR="004E194E" w:rsidRPr="00E56625" w:rsidRDefault="000C2945" w:rsidP="00EE0E88">
      <w:pPr>
        <w:spacing w:after="0"/>
        <w:rPr>
          <w:b/>
          <w:sz w:val="22"/>
          <w:szCs w:val="22"/>
          <w:lang w:val="en-US"/>
        </w:rPr>
      </w:pPr>
      <w:r w:rsidRPr="00E56625">
        <w:rPr>
          <w:b/>
          <w:sz w:val="22"/>
          <w:szCs w:val="22"/>
          <w:lang w:val="en-US"/>
        </w:rPr>
        <w:fldChar w:fldCharType="end"/>
      </w:r>
    </w:p>
    <w:p w:rsidR="00EE0E88" w:rsidRPr="00E56625" w:rsidRDefault="00EE0E88" w:rsidP="00EE0E88">
      <w:pPr>
        <w:spacing w:after="0"/>
        <w:rPr>
          <w:b/>
          <w:sz w:val="22"/>
          <w:u w:val="single"/>
          <w:lang w:val="en-US"/>
        </w:rPr>
      </w:pPr>
      <w:r w:rsidRPr="00E56625">
        <w:rPr>
          <w:b/>
          <w:sz w:val="22"/>
          <w:u w:val="single"/>
          <w:lang w:val="en-US"/>
        </w:rPr>
        <w:t>List of Figures</w:t>
      </w:r>
    </w:p>
    <w:p w:rsidR="00EE0E88" w:rsidRPr="00E56625" w:rsidRDefault="00EE0E88" w:rsidP="00CF0E26">
      <w:pPr>
        <w:spacing w:after="0"/>
        <w:rPr>
          <w:b/>
          <w:sz w:val="18"/>
          <w:szCs w:val="18"/>
          <w:lang w:val="en-US"/>
        </w:rPr>
      </w:pPr>
    </w:p>
    <w:p w:rsidR="002D5095" w:rsidRPr="008F3531" w:rsidRDefault="00EE0E88">
      <w:pPr>
        <w:pStyle w:val="TableofFigures"/>
        <w:tabs>
          <w:tab w:val="right" w:leader="dot" w:pos="9350"/>
        </w:tabs>
        <w:rPr>
          <w:rFonts w:eastAsiaTheme="minorEastAsia"/>
          <w:noProof/>
          <w:sz w:val="22"/>
          <w:szCs w:val="22"/>
          <w:lang w:val="en-US"/>
        </w:rPr>
      </w:pPr>
      <w:r w:rsidRPr="00E56625">
        <w:rPr>
          <w:rStyle w:val="Hyperlink"/>
          <w:noProof/>
          <w:sz w:val="22"/>
          <w:szCs w:val="22"/>
          <w:lang w:val="en-US"/>
        </w:rPr>
        <w:fldChar w:fldCharType="begin"/>
      </w:r>
      <w:r w:rsidRPr="00E56625">
        <w:rPr>
          <w:rStyle w:val="Hyperlink"/>
          <w:noProof/>
          <w:sz w:val="22"/>
          <w:szCs w:val="22"/>
          <w:lang w:val="en-US"/>
        </w:rPr>
        <w:instrText xml:space="preserve"> TOC \h \z \c "Figure" </w:instrText>
      </w:r>
      <w:r w:rsidRPr="00E56625">
        <w:rPr>
          <w:rStyle w:val="Hyperlink"/>
          <w:noProof/>
          <w:sz w:val="22"/>
          <w:szCs w:val="22"/>
          <w:lang w:val="en-US"/>
        </w:rPr>
        <w:fldChar w:fldCharType="separate"/>
      </w:r>
      <w:hyperlink w:anchor="_Toc390956366" w:history="1">
        <w:r w:rsidR="002D5095" w:rsidRPr="00E56625">
          <w:rPr>
            <w:rStyle w:val="Hyperlink"/>
            <w:noProof/>
            <w:sz w:val="22"/>
            <w:szCs w:val="22"/>
            <w:lang w:val="en-US"/>
          </w:rPr>
          <w:t>Figure 1.1: Night-time lights 2012</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_Toc390956366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67" w:history="1">
        <w:r w:rsidR="002D5095" w:rsidRPr="00E56625">
          <w:rPr>
            <w:rStyle w:val="Hyperlink"/>
            <w:noProof/>
            <w:sz w:val="22"/>
            <w:szCs w:val="22"/>
            <w:lang w:val="en-US"/>
          </w:rPr>
          <w:t>Figure 1.2: Population density</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_Toc390956367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2</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68" w:history="1">
        <w:r w:rsidR="002D5095" w:rsidRPr="00E56625">
          <w:rPr>
            <w:rStyle w:val="Hyperlink"/>
            <w:noProof/>
            <w:sz w:val="22"/>
            <w:szCs w:val="22"/>
            <w:lang w:val="en-US"/>
          </w:rPr>
          <w:t>Figure 1.3: Level of education of those aged 6 and above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_Toc390956368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69" w:history="1">
        <w:r w:rsidR="002D5095" w:rsidRPr="00E56625">
          <w:rPr>
            <w:rStyle w:val="Hyperlink"/>
            <w:noProof/>
            <w:sz w:val="22"/>
            <w:szCs w:val="22"/>
            <w:lang w:val="en-US"/>
          </w:rPr>
          <w:t>Figure 2.1: Population urbaine et rurale au Mali</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_Toc390956369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0" w:history="1">
        <w:r w:rsidR="002D5095" w:rsidRPr="00E56625">
          <w:rPr>
            <w:rStyle w:val="Hyperlink"/>
            <w:noProof/>
            <w:sz w:val="22"/>
            <w:szCs w:val="22"/>
            <w:lang w:val="en-US"/>
          </w:rPr>
          <w:t>Figure 2.2: Voronoi polygons as approximation for the urban footprint of Bamako (2009)</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_Toc390956370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1" w:history="1">
        <w:r w:rsidR="002D5095" w:rsidRPr="00E56625">
          <w:rPr>
            <w:rStyle w:val="Hyperlink"/>
            <w:noProof/>
            <w:sz w:val="22"/>
            <w:szCs w:val="22"/>
            <w:lang w:val="en-US"/>
          </w:rPr>
          <w:t xml:space="preserve">Figure 2.3: Spatial distribution of urban areas (2009) </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_Toc390956371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7</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2" w:history="1">
        <w:r w:rsidR="002D5095" w:rsidRPr="00E56625">
          <w:rPr>
            <w:rStyle w:val="Hyperlink"/>
            <w:noProof/>
            <w:sz w:val="22"/>
            <w:szCs w:val="22"/>
            <w:lang w:val="en-US"/>
          </w:rPr>
          <w:t>Figure 2.4: Spatial distribution of the population (2009)</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_Toc390956372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3" w:history="1">
        <w:r w:rsidR="002D5095" w:rsidRPr="00E56625">
          <w:rPr>
            <w:rStyle w:val="Hyperlink"/>
            <w:noProof/>
            <w:sz w:val="22"/>
            <w:szCs w:val="22"/>
            <w:lang w:val="en-US"/>
          </w:rPr>
          <w:t>Figure 2.5: Net interregional migration as percentage of population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_Toc390956373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4" w:history="1">
        <w:r w:rsidR="002D5095" w:rsidRPr="00E56625">
          <w:rPr>
            <w:rStyle w:val="Hyperlink"/>
            <w:noProof/>
            <w:sz w:val="22"/>
            <w:szCs w:val="22"/>
            <w:lang w:val="en-US"/>
          </w:rPr>
          <w:t>Figure 2.6: Level of education of internal migrants as percentage of population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_Toc390956374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5" w:history="1">
        <w:r w:rsidR="002D5095" w:rsidRPr="00E56625">
          <w:rPr>
            <w:rStyle w:val="Hyperlink"/>
            <w:noProof/>
            <w:sz w:val="22"/>
            <w:szCs w:val="22"/>
            <w:lang w:val="en-US"/>
          </w:rPr>
          <w:t>Figure 2.7: Sectoral composition of employment by location (2009)</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_Toc390956375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6" w:history="1">
        <w:r w:rsidR="002D5095" w:rsidRPr="00E56625">
          <w:rPr>
            <w:rStyle w:val="Hyperlink"/>
            <w:noProof/>
            <w:sz w:val="22"/>
            <w:szCs w:val="22"/>
            <w:lang w:val="en-US"/>
          </w:rPr>
          <w:t>Figure 2.8: Turnover of formal enterprises (2009-2010) and population (2009)</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15</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7" w:history="1">
        <w:r w:rsidR="002D5095" w:rsidRPr="00E56625">
          <w:rPr>
            <w:rStyle w:val="Hyperlink"/>
            <w:noProof/>
            <w:sz w:val="22"/>
            <w:szCs w:val="22"/>
            <w:lang w:val="en-US"/>
          </w:rPr>
          <w:t>Figure 2.9: Spatial distribution of jobs (1987, 1998 and 2009)</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17</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8" w:history="1">
        <w:r w:rsidR="002D5095" w:rsidRPr="00E56625">
          <w:rPr>
            <w:rStyle w:val="Hyperlink"/>
            <w:noProof/>
            <w:sz w:val="22"/>
            <w:szCs w:val="22"/>
            <w:lang w:val="en-US"/>
          </w:rPr>
          <w:t>Figure 2.10: Contribution sectorielle par région et PIB par habitant (2009)</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_Toc390956378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79" w:history="1">
        <w:r w:rsidR="002D5095" w:rsidRPr="00E56625">
          <w:rPr>
            <w:rStyle w:val="Hyperlink"/>
            <w:noProof/>
            <w:sz w:val="22"/>
            <w:szCs w:val="22"/>
            <w:lang w:val="en-US"/>
          </w:rPr>
          <w:t>Figure 2.11: GDP per capita and the degree of urbanization (1970-2012)</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_Toc390956379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20</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0" w:history="1">
        <w:r w:rsidR="002D5095" w:rsidRPr="00E56625">
          <w:rPr>
            <w:rStyle w:val="Hyperlink"/>
            <w:noProof/>
            <w:sz w:val="22"/>
            <w:szCs w:val="22"/>
            <w:lang w:val="en-US"/>
          </w:rPr>
          <w:t>Figure 2.12: Growth incidence curve for Bamako: 2001-2010</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_Toc390956380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21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1" w:history="1">
        <w:r w:rsidR="002D5095" w:rsidRPr="00E56625">
          <w:rPr>
            <w:rStyle w:val="Hyperlink"/>
            <w:noProof/>
            <w:sz w:val="22"/>
            <w:szCs w:val="22"/>
            <w:lang w:val="en-US"/>
          </w:rPr>
          <w:t>Figure 2.13: Changes in economic sector of employment (*)</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_Toc390956381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22</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2" w:history="1">
        <w:r w:rsidR="002D5095" w:rsidRPr="00E56625">
          <w:rPr>
            <w:rStyle w:val="Hyperlink"/>
            <w:noProof/>
            <w:sz w:val="22"/>
            <w:szCs w:val="22"/>
            <w:lang w:val="en-US"/>
          </w:rPr>
          <w:t>Figure 3.1: Livelihood Zones in Mali</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_Toc390956382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25</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3" w:history="1">
        <w:r w:rsidR="002D5095" w:rsidRPr="00E56625">
          <w:rPr>
            <w:rStyle w:val="Hyperlink"/>
            <w:noProof/>
            <w:sz w:val="22"/>
            <w:szCs w:val="22"/>
            <w:lang w:val="en-US"/>
          </w:rPr>
          <w:t>Figure 3.2: Household size by livelihood zone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_Toc390956383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26</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4" w:history="1">
        <w:r w:rsidR="002D5095" w:rsidRPr="00E56625">
          <w:rPr>
            <w:rStyle w:val="Hyperlink"/>
            <w:noProof/>
            <w:sz w:val="22"/>
            <w:szCs w:val="22"/>
            <w:lang w:val="en-US"/>
          </w:rPr>
          <w:t>Figure 3.3: Coping mechanisms for households affected by a crisis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_Toc390956384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28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5" w:history="1">
        <w:r w:rsidR="002D5095" w:rsidRPr="00E56625">
          <w:rPr>
            <w:rStyle w:val="Hyperlink"/>
            <w:noProof/>
            <w:sz w:val="22"/>
            <w:szCs w:val="22"/>
            <w:lang w:val="en-US"/>
          </w:rPr>
          <w:t>Figure 3.4: Patterns of income generation by zone and household wealth</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_Toc390956385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30</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6" w:history="1">
        <w:r w:rsidR="002D5095" w:rsidRPr="00E56625">
          <w:rPr>
            <w:rStyle w:val="Hyperlink"/>
            <w:noProof/>
            <w:sz w:val="22"/>
            <w:szCs w:val="22"/>
            <w:lang w:val="en-US"/>
          </w:rPr>
          <w:t>Figure 3.5: Patterns of food consumption by zone and household wealth</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33</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7" w:history="1">
        <w:r w:rsidR="002D5095" w:rsidRPr="00E56625">
          <w:rPr>
            <w:rStyle w:val="Hyperlink"/>
            <w:noProof/>
            <w:sz w:val="22"/>
            <w:szCs w:val="22"/>
            <w:lang w:val="en-US"/>
          </w:rPr>
          <w:t>Figure 3.6: Quantities of milk and meat consumed by region (2001)</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34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8" w:history="1">
        <w:r w:rsidR="002D5095" w:rsidRPr="00E56625">
          <w:rPr>
            <w:rStyle w:val="Hyperlink"/>
            <w:noProof/>
            <w:sz w:val="22"/>
            <w:szCs w:val="22"/>
            <w:lang w:val="en-US"/>
          </w:rPr>
          <w:t>Figure 3.7: Daily and weekly markets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_Toc390956388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39</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89" w:history="1">
        <w:r w:rsidR="002D5095" w:rsidRPr="00E56625">
          <w:rPr>
            <w:rStyle w:val="Hyperlink"/>
            <w:noProof/>
            <w:sz w:val="22"/>
            <w:szCs w:val="22"/>
            <w:lang w:val="en-US"/>
          </w:rPr>
          <w:t>Figure 3.8: Percent of adult, non-pregnant women (15-49) that is anemic</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_Toc390956389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0" w:history="1">
        <w:r w:rsidR="002D5095" w:rsidRPr="00E56625">
          <w:rPr>
            <w:rStyle w:val="Hyperlink"/>
            <w:noProof/>
            <w:sz w:val="22"/>
            <w:szCs w:val="22"/>
            <w:lang w:val="en-US"/>
          </w:rPr>
          <w:t>Figure 4.1: Distribution of rural and urban households by consumption quintile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_Toc390956390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43</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1" w:history="1">
        <w:r w:rsidR="002D5095" w:rsidRPr="00E56625">
          <w:rPr>
            <w:rStyle w:val="Hyperlink"/>
            <w:noProof/>
            <w:sz w:val="22"/>
            <w:szCs w:val="22"/>
            <w:lang w:val="en-US"/>
          </w:rPr>
          <w:t>Figure 4.2: Consommation par région: définitions différentes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_Toc390956391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2" w:history="1">
        <w:r w:rsidR="002D5095" w:rsidRPr="00E56625">
          <w:rPr>
            <w:rStyle w:val="Hyperlink"/>
            <w:noProof/>
            <w:sz w:val="22"/>
            <w:szCs w:val="22"/>
            <w:lang w:val="en-US"/>
          </w:rPr>
          <w:t>Figure 4.3: Consumption per capita by livelihood zone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_Toc390956392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45</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3" w:history="1">
        <w:r w:rsidR="002D5095" w:rsidRPr="00E56625">
          <w:rPr>
            <w:rStyle w:val="Hyperlink"/>
            <w:noProof/>
            <w:sz w:val="22"/>
            <w:szCs w:val="22"/>
            <w:lang w:val="en-US"/>
          </w:rPr>
          <w:t>Figure 4.4: Distribution of households by livelihood zone and by consumption quintile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_Toc390956393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46</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4" w:history="1">
        <w:r w:rsidR="002D5095" w:rsidRPr="00E56625">
          <w:rPr>
            <w:rStyle w:val="Hyperlink"/>
            <w:noProof/>
            <w:sz w:val="22"/>
            <w:szCs w:val="22"/>
            <w:lang w:val="en-US"/>
          </w:rPr>
          <w:t>Figure 4.5</w:t>
        </w:r>
        <w:r w:rsidR="002D5095" w:rsidRPr="00E56625">
          <w:rPr>
            <w:rStyle w:val="Hyperlink"/>
            <w:rFonts w:eastAsia="Calibri"/>
            <w:noProof/>
            <w:sz w:val="22"/>
            <w:szCs w:val="22"/>
            <w:lang w:val="en-US"/>
          </w:rPr>
          <w:t>: Decomposition of the 2001 regional poverty lines in food and non-food components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_Toc390956394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47</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5" w:history="1">
        <w:r w:rsidR="002D5095" w:rsidRPr="00E56625">
          <w:rPr>
            <w:rStyle w:val="Hyperlink"/>
            <w:noProof/>
            <w:sz w:val="22"/>
            <w:szCs w:val="22"/>
            <w:lang w:val="en-US"/>
          </w:rPr>
          <w:t>Figure 4.6</w:t>
        </w:r>
        <w:r w:rsidR="002D5095" w:rsidRPr="00E56625">
          <w:rPr>
            <w:rStyle w:val="Hyperlink"/>
            <w:rFonts w:eastAsia="Calibri"/>
            <w:noProof/>
            <w:sz w:val="22"/>
            <w:szCs w:val="22"/>
            <w:lang w:val="en-US"/>
          </w:rPr>
          <w:t>: Decomposition of the newly estimated 2001 regional poverty lines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_Toc390956395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47</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6" w:history="1">
        <w:r w:rsidR="002D5095" w:rsidRPr="00E56625">
          <w:rPr>
            <w:rStyle w:val="Hyperlink"/>
            <w:noProof/>
            <w:sz w:val="22"/>
            <w:szCs w:val="22"/>
            <w:lang w:val="en-US"/>
          </w:rPr>
          <w:t>Figure 4.7: Poverty trends: 2001-2010 by rural and urban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7" w:history="1">
        <w:r w:rsidR="002D5095" w:rsidRPr="00E56625">
          <w:rPr>
            <w:rStyle w:val="Hyperlink"/>
            <w:noProof/>
            <w:sz w:val="22"/>
            <w:szCs w:val="22"/>
            <w:lang w:val="en-US"/>
          </w:rPr>
          <w:t>Figure 4.8: Growth incidence curve national level: 2001-2010</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49</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8" w:history="1">
        <w:r w:rsidR="002D5095" w:rsidRPr="00E56625">
          <w:rPr>
            <w:rStyle w:val="Hyperlink"/>
            <w:noProof/>
            <w:sz w:val="22"/>
            <w:szCs w:val="22"/>
            <w:lang w:val="en-US"/>
          </w:rPr>
          <w:t>Figure 4.9: Poverty trends: 2001-2010, by region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_Toc390956398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50</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399" w:history="1">
        <w:r w:rsidR="002D5095" w:rsidRPr="00E56625">
          <w:rPr>
            <w:rStyle w:val="Hyperlink"/>
            <w:noProof/>
            <w:sz w:val="22"/>
            <w:szCs w:val="22"/>
            <w:lang w:val="en-US"/>
          </w:rPr>
          <w:t>Figure 4.10: Index of cereal production per capita (2000/1=100)</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_Toc390956399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0" w:history="1">
        <w:r w:rsidR="002D5095" w:rsidRPr="00E56625">
          <w:rPr>
            <w:rStyle w:val="Hyperlink"/>
            <w:noProof/>
            <w:sz w:val="22"/>
            <w:szCs w:val="22"/>
            <w:lang w:val="en-US"/>
          </w:rPr>
          <w:t>Figure 4.11: Production and value of production for cotton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_Toc390956400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52</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1" w:history="1">
        <w:r w:rsidR="002D5095" w:rsidRPr="00E56625">
          <w:rPr>
            <w:rStyle w:val="Hyperlink"/>
            <w:noProof/>
            <w:sz w:val="22"/>
            <w:szCs w:val="22"/>
            <w:lang w:val="en-US"/>
          </w:rPr>
          <w:t>Figure 4.12: Index of per capita remittances from workers (2000=100)</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_Toc390956401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53</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2" w:history="1">
        <w:r w:rsidR="002D5095" w:rsidRPr="00E56625">
          <w:rPr>
            <w:rStyle w:val="Hyperlink"/>
            <w:noProof/>
            <w:sz w:val="22"/>
            <w:szCs w:val="22"/>
            <w:lang w:val="en-US"/>
          </w:rPr>
          <w:t>Figure 4.13: Road infrastructure in 1994 and 2007</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_Toc390956402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3" w:history="1">
        <w:r w:rsidR="002D5095" w:rsidRPr="00E56625">
          <w:rPr>
            <w:rStyle w:val="Hyperlink"/>
            <w:noProof/>
            <w:sz w:val="22"/>
            <w:szCs w:val="22"/>
            <w:lang w:val="en-US"/>
          </w:rPr>
          <w:t>Figure 4.14: Growth incidence curves by livelihood zone (2001-2010)</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_Toc390956403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4" w:history="1">
        <w:r w:rsidR="002D5095" w:rsidRPr="00E56625">
          <w:rPr>
            <w:rStyle w:val="Hyperlink"/>
            <w:noProof/>
            <w:sz w:val="22"/>
            <w:szCs w:val="22"/>
            <w:lang w:val="en-US"/>
          </w:rPr>
          <w:t>Figure 4.15: Distribution of poor people across livelihood zones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_Toc390956404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58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5" w:history="1">
        <w:r w:rsidR="002D5095" w:rsidRPr="00E56625">
          <w:rPr>
            <w:rStyle w:val="Hyperlink"/>
            <w:noProof/>
            <w:sz w:val="22"/>
            <w:szCs w:val="22"/>
            <w:lang w:val="en-US"/>
          </w:rPr>
          <w:t>Figure 4.16: Real consumption per capita between April-October in 2011 and 2013</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_Toc390956405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62</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6" w:history="1">
        <w:r w:rsidR="002D5095" w:rsidRPr="00E56625">
          <w:rPr>
            <w:rStyle w:val="Hyperlink"/>
            <w:noProof/>
            <w:sz w:val="22"/>
            <w:szCs w:val="22"/>
            <w:lang w:val="en-US"/>
          </w:rPr>
          <w:t>Figure 4.17: Projected poverty for 2013 calculated using EMOP consumption data</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63</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7" w:history="1">
        <w:r w:rsidR="002D5095" w:rsidRPr="00E56625">
          <w:rPr>
            <w:rStyle w:val="Hyperlink"/>
            <w:noProof/>
            <w:sz w:val="22"/>
            <w:szCs w:val="22"/>
            <w:lang w:val="en-US"/>
          </w:rPr>
          <w:t>Figure 4.18: Ownership of televisions and motorbikes since 2001, by region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8" w:history="1">
        <w:r w:rsidR="002D5095" w:rsidRPr="00E56625">
          <w:rPr>
            <w:rStyle w:val="Hyperlink"/>
            <w:noProof/>
            <w:sz w:val="22"/>
            <w:szCs w:val="22"/>
            <w:lang w:val="en-US"/>
          </w:rPr>
          <w:t>Figure 4.19: Life expectancy and GDP per capita across Africa</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_Toc390956408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65</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09" w:history="1">
        <w:r w:rsidR="002D5095" w:rsidRPr="00E56625">
          <w:rPr>
            <w:rStyle w:val="Hyperlink"/>
            <w:noProof/>
            <w:sz w:val="22"/>
            <w:szCs w:val="22"/>
            <w:lang w:val="en-US"/>
          </w:rPr>
          <w:t>Figure 4.20: Mortality rate and life expectancy by region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_Toc390956409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66</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0" w:history="1">
        <w:r w:rsidR="002D5095" w:rsidRPr="00E56625">
          <w:rPr>
            <w:rStyle w:val="Hyperlink"/>
            <w:noProof/>
            <w:sz w:val="22"/>
            <w:szCs w:val="22"/>
            <w:lang w:val="en-US"/>
          </w:rPr>
          <w:t>Figure 4.21: Life expectancy (2009) and consumption per capita (‘000 FCFA)</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_Toc390956410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66</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1" w:history="1">
        <w:r w:rsidR="002D5095" w:rsidRPr="00E56625">
          <w:rPr>
            <w:rStyle w:val="Hyperlink"/>
            <w:noProof/>
            <w:sz w:val="22"/>
            <w:szCs w:val="22"/>
            <w:lang w:val="en-US"/>
          </w:rPr>
          <w:t>Figure 4.22: Malnutrition parmi des enfants 0-59 mois: 2006-2013</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_Toc390956411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66</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2" w:history="1">
        <w:r w:rsidR="002D5095" w:rsidRPr="00E56625">
          <w:rPr>
            <w:rStyle w:val="Hyperlink"/>
            <w:noProof/>
            <w:sz w:val="22"/>
            <w:szCs w:val="22"/>
            <w:lang w:val="en-US"/>
          </w:rPr>
          <w:t>Figure 4.23: Life expectancy and the degree of stunting (by region)</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_Toc390956412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67</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3" w:history="1">
        <w:r w:rsidR="002D5095" w:rsidRPr="00E56625">
          <w:rPr>
            <w:rStyle w:val="Hyperlink"/>
            <w:noProof/>
            <w:sz w:val="22"/>
            <w:szCs w:val="22"/>
            <w:lang w:val="en-US"/>
          </w:rPr>
          <w:t>Figure 4.24: Malnutrition and poverty incidence ((by region) for children less than 5 years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_Toc390956413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68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4" w:history="1">
        <w:r w:rsidR="002D5095" w:rsidRPr="00E56625">
          <w:rPr>
            <w:rStyle w:val="Hyperlink"/>
            <w:noProof/>
            <w:sz w:val="22"/>
            <w:szCs w:val="22"/>
            <w:lang w:val="en-US"/>
          </w:rPr>
          <w:t>Figure 5.1: Population par densité</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_Toc390956414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76</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5" w:history="1">
        <w:r w:rsidR="002D5095" w:rsidRPr="00E56625">
          <w:rPr>
            <w:rStyle w:val="Hyperlink"/>
            <w:noProof/>
            <w:sz w:val="22"/>
            <w:szCs w:val="22"/>
            <w:lang w:val="en-US"/>
          </w:rPr>
          <w:t>Figure 5.2: Net enrollment in primary school 2011 and 2013</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_Toc390956415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78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6" w:history="1">
        <w:r w:rsidR="002D5095" w:rsidRPr="00E56625">
          <w:rPr>
            <w:rStyle w:val="Hyperlink"/>
            <w:noProof/>
            <w:sz w:val="22"/>
            <w:szCs w:val="22"/>
            <w:lang w:val="en-US"/>
          </w:rPr>
          <w:t>Figure 5.3: Net primary school enrollment and fraction of population living within 2 km and 5 km from primary school</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79</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7" w:history="1">
        <w:r w:rsidR="002D5095" w:rsidRPr="00E56625">
          <w:rPr>
            <w:rStyle w:val="Hyperlink"/>
            <w:noProof/>
            <w:sz w:val="22"/>
            <w:szCs w:val="22"/>
            <w:lang w:val="en-US"/>
          </w:rPr>
          <w:t>Figure 5.4: Map showing a 5km radius around every public schools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80</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8" w:history="1">
        <w:r w:rsidR="002D5095" w:rsidRPr="00E56625">
          <w:rPr>
            <w:rStyle w:val="Hyperlink"/>
            <w:noProof/>
            <w:sz w:val="22"/>
            <w:szCs w:val="22"/>
            <w:lang w:val="en-US"/>
          </w:rPr>
          <w:t>Figure 5.5: How school inputs would be reallocated for every region to be at the national average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_Toc390956418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81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19" w:history="1">
        <w:r w:rsidR="002D5095" w:rsidRPr="00E56625">
          <w:rPr>
            <w:rStyle w:val="Hyperlink"/>
            <w:noProof/>
            <w:sz w:val="22"/>
            <w:szCs w:val="22"/>
            <w:lang w:val="en-US"/>
          </w:rPr>
          <w:t>Figure 5.6 a &amp; b: Distribution of newly constructed schools across regions (2009/10) and existing schools (top panel) and people living within 2 km of a school (bottom panel)</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_Toc390956419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82</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0" w:history="1">
        <w:r w:rsidR="002D5095" w:rsidRPr="00E56625">
          <w:rPr>
            <w:rStyle w:val="Hyperlink"/>
            <w:noProof/>
            <w:sz w:val="22"/>
            <w:szCs w:val="22"/>
            <w:lang w:val="en-US"/>
          </w:rPr>
          <w:t>Figure 5.7</w:t>
        </w:r>
        <w:r w:rsidR="002D5095" w:rsidRPr="00E56625">
          <w:rPr>
            <w:rStyle w:val="Hyperlink"/>
            <w:rFonts w:eastAsia="Times New Roman"/>
            <w:noProof/>
            <w:sz w:val="22"/>
            <w:szCs w:val="22"/>
            <w:lang w:val="en-US"/>
          </w:rPr>
          <w:t>: Percent of children passing from one grade to the next in 2013</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_Toc390956420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84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1" w:history="1">
        <w:r w:rsidR="002D5095" w:rsidRPr="00E56625">
          <w:rPr>
            <w:rStyle w:val="Hyperlink"/>
            <w:noProof/>
            <w:sz w:val="22"/>
            <w:szCs w:val="22"/>
            <w:lang w:val="en-US"/>
          </w:rPr>
          <w:t>Figure 5.8: Number of households with access to electricity, by consumption quintile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_Toc390956421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88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2" w:history="1">
        <w:r w:rsidR="002D5095" w:rsidRPr="00E56625">
          <w:rPr>
            <w:rStyle w:val="Hyperlink"/>
            <w:noProof/>
            <w:sz w:val="22"/>
            <w:szCs w:val="22"/>
            <w:lang w:val="en-US"/>
          </w:rPr>
          <w:t>Figure 5.9: Access to Roads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_Toc390956422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91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3" w:history="1">
        <w:r w:rsidR="002D5095" w:rsidRPr="00E56625">
          <w:rPr>
            <w:rStyle w:val="Hyperlink"/>
            <w:noProof/>
            <w:sz w:val="22"/>
            <w:szCs w:val="22"/>
            <w:lang w:val="en-US"/>
          </w:rPr>
          <w:t>Figure 5.10</w:t>
        </w:r>
        <w:r w:rsidR="002D5095" w:rsidRPr="00E56625">
          <w:rPr>
            <w:rStyle w:val="Hyperlink"/>
            <w:noProof/>
            <w:sz w:val="22"/>
            <w:szCs w:val="22"/>
            <w:shd w:val="clear" w:color="auto" w:fill="FFFFFF"/>
            <w:lang w:val="en-US"/>
          </w:rPr>
          <w:t>: Percent of population living within 10 km of a market, by livelihood zone.</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_Toc390956423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92</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4" w:history="1">
        <w:r w:rsidR="002D5095" w:rsidRPr="00E56625">
          <w:rPr>
            <w:rStyle w:val="Hyperlink"/>
            <w:noProof/>
            <w:sz w:val="22"/>
            <w:szCs w:val="22"/>
            <w:lang w:val="en-US"/>
          </w:rPr>
          <w:t>Figure 5.11</w:t>
        </w:r>
        <w:r w:rsidR="002D5095" w:rsidRPr="00E56625">
          <w:rPr>
            <w:rStyle w:val="Hyperlink"/>
            <w:noProof/>
            <w:sz w:val="22"/>
            <w:szCs w:val="22"/>
            <w:shd w:val="clear" w:color="auto" w:fill="FFFFFF"/>
            <w:lang w:val="en-US"/>
          </w:rPr>
          <w:t>: Minimum and maximum levels of quarterly per capita consumption, 2011.</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_Toc390956424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93</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5" w:history="1">
        <w:r w:rsidR="002D5095" w:rsidRPr="00E56625">
          <w:rPr>
            <w:rStyle w:val="Hyperlink"/>
            <w:noProof/>
            <w:sz w:val="22"/>
            <w:szCs w:val="22"/>
            <w:lang w:val="en-US"/>
          </w:rPr>
          <w:t>Figure 5.12</w:t>
        </w:r>
        <w:r w:rsidR="002D5095" w:rsidRPr="00E56625">
          <w:rPr>
            <w:rStyle w:val="Hyperlink"/>
            <w:noProof/>
            <w:sz w:val="22"/>
            <w:szCs w:val="22"/>
            <w:shd w:val="clear" w:color="auto" w:fill="FFFFFF"/>
            <w:lang w:val="en-US"/>
          </w:rPr>
          <w:t>: Number of people per zone, living further than 10km from a market</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_Toc390956425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94</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6" w:history="1">
        <w:r w:rsidR="002D5095" w:rsidRPr="00E56625">
          <w:rPr>
            <w:rStyle w:val="Hyperlink"/>
            <w:noProof/>
            <w:sz w:val="22"/>
            <w:szCs w:val="22"/>
            <w:lang w:val="en-US"/>
          </w:rPr>
          <w:t>Figure 5.13: Number of checkpoints per 100 km (1</w:t>
        </w:r>
        <w:r w:rsidR="002D5095" w:rsidRPr="00E56625">
          <w:rPr>
            <w:rStyle w:val="Hyperlink"/>
            <w:noProof/>
            <w:sz w:val="22"/>
            <w:szCs w:val="22"/>
            <w:vertAlign w:val="superscript"/>
            <w:lang w:val="en-US"/>
          </w:rPr>
          <w:t>st</w:t>
        </w:r>
        <w:r w:rsidR="002D5095" w:rsidRPr="00E56625">
          <w:rPr>
            <w:rStyle w:val="Hyperlink"/>
            <w:noProof/>
            <w:sz w:val="22"/>
            <w:szCs w:val="22"/>
            <w:lang w:val="en-US"/>
          </w:rPr>
          <w:t xml:space="preserve"> quarter of 2013)</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95</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27" w:history="1">
        <w:r w:rsidR="002D5095" w:rsidRPr="00E56625">
          <w:rPr>
            <w:rStyle w:val="Hyperlink"/>
            <w:noProof/>
            <w:sz w:val="22"/>
            <w:szCs w:val="22"/>
            <w:lang w:val="en-US"/>
          </w:rPr>
          <w:t>Figure 5.14: Location of savings banks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_Toc390956427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98</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32" w:history="1">
        <w:r w:rsidR="002D5095" w:rsidRPr="00E56625">
          <w:rPr>
            <w:rStyle w:val="Hyperlink"/>
            <w:noProof/>
            <w:sz w:val="22"/>
            <w:szCs w:val="22"/>
            <w:lang w:val="en-US"/>
          </w:rPr>
          <w:t xml:space="preserve">Figure </w:t>
        </w:r>
        <w:r w:rsidR="008F3531" w:rsidRPr="00E56625">
          <w:rPr>
            <w:rStyle w:val="Hyperlink"/>
            <w:noProof/>
            <w:sz w:val="22"/>
            <w:szCs w:val="22"/>
            <w:lang w:val="en-US"/>
          </w:rPr>
          <w:t>6</w:t>
        </w:r>
        <w:r w:rsidR="002D5095" w:rsidRPr="00E56625">
          <w:rPr>
            <w:rStyle w:val="Hyperlink"/>
            <w:noProof/>
            <w:sz w:val="22"/>
            <w:szCs w:val="22"/>
            <w:lang w:val="en-US"/>
          </w:rPr>
          <w:t>.1: Gini coefficients for selected countries in West Africa</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_Toc390956432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100</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33" w:history="1">
        <w:r w:rsidR="002D5095" w:rsidRPr="00E56625">
          <w:rPr>
            <w:rStyle w:val="Hyperlink"/>
            <w:noProof/>
            <w:sz w:val="22"/>
            <w:szCs w:val="22"/>
            <w:lang w:val="en-US"/>
          </w:rPr>
          <w:t xml:space="preserve">Figure </w:t>
        </w:r>
        <w:r w:rsidR="008F3531" w:rsidRPr="00E56625">
          <w:rPr>
            <w:rStyle w:val="Hyperlink"/>
            <w:noProof/>
            <w:sz w:val="22"/>
            <w:szCs w:val="22"/>
            <w:lang w:val="en-US"/>
          </w:rPr>
          <w:t>6</w:t>
        </w:r>
        <w:r w:rsidR="002D5095" w:rsidRPr="00E56625">
          <w:rPr>
            <w:rStyle w:val="Hyperlink"/>
            <w:noProof/>
            <w:sz w:val="22"/>
            <w:szCs w:val="22"/>
            <w:lang w:val="en-US"/>
          </w:rPr>
          <w:t>.2: GDP growth rates and growth rates needed to achieve various poverty targets by 2030</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_Toc390956433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101</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34" w:history="1">
        <w:r w:rsidR="002D5095" w:rsidRPr="00E56625">
          <w:rPr>
            <w:rStyle w:val="Hyperlink"/>
            <w:noProof/>
            <w:sz w:val="22"/>
            <w:szCs w:val="22"/>
            <w:lang w:val="en-US"/>
          </w:rPr>
          <w:t xml:space="preserve">Figure </w:t>
        </w:r>
        <w:r w:rsidR="008F3531" w:rsidRPr="00E56625">
          <w:rPr>
            <w:rStyle w:val="Hyperlink"/>
            <w:noProof/>
            <w:sz w:val="22"/>
            <w:szCs w:val="22"/>
            <w:lang w:val="en-US"/>
          </w:rPr>
          <w:t>6</w:t>
        </w:r>
        <w:r w:rsidR="002D5095" w:rsidRPr="00E56625">
          <w:rPr>
            <w:rStyle w:val="Hyperlink"/>
            <w:noProof/>
            <w:sz w:val="22"/>
            <w:szCs w:val="22"/>
            <w:lang w:val="en-US"/>
          </w:rPr>
          <w:t>.3: GDP per capita (columns) and its decomposition by sector</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_Toc390956434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103</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35" w:history="1">
        <w:r w:rsidR="002D5095" w:rsidRPr="00E56625">
          <w:rPr>
            <w:rStyle w:val="Hyperlink"/>
            <w:noProof/>
            <w:sz w:val="22"/>
            <w:szCs w:val="22"/>
            <w:lang w:val="en-US"/>
          </w:rPr>
          <w:t xml:space="preserve">Figure </w:t>
        </w:r>
        <w:r w:rsidR="008F3531" w:rsidRPr="00E56625">
          <w:rPr>
            <w:rStyle w:val="Hyperlink"/>
            <w:noProof/>
            <w:sz w:val="22"/>
            <w:szCs w:val="22"/>
            <w:lang w:val="en-US"/>
          </w:rPr>
          <w:t>6</w:t>
        </w:r>
        <w:r w:rsidR="002D5095" w:rsidRPr="00E56625">
          <w:rPr>
            <w:rStyle w:val="Hyperlink"/>
            <w:noProof/>
            <w:sz w:val="22"/>
            <w:szCs w:val="22"/>
            <w:lang w:val="en-US"/>
          </w:rPr>
          <w:t>.4: Public and private investments as a percent of GDP</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_Toc390956435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103</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36" w:history="1">
        <w:r w:rsidR="002D5095" w:rsidRPr="00E56625">
          <w:rPr>
            <w:rStyle w:val="Hyperlink"/>
            <w:noProof/>
            <w:sz w:val="22"/>
            <w:szCs w:val="22"/>
            <w:lang w:val="en-US"/>
          </w:rPr>
          <w:t xml:space="preserve">Figure </w:t>
        </w:r>
        <w:r w:rsidR="008F3531" w:rsidRPr="00E56625">
          <w:rPr>
            <w:rStyle w:val="Hyperlink"/>
            <w:noProof/>
            <w:sz w:val="22"/>
            <w:szCs w:val="22"/>
            <w:lang w:val="en-US"/>
          </w:rPr>
          <w:t>6</w:t>
        </w:r>
        <w:r w:rsidR="002D5095" w:rsidRPr="00E56625">
          <w:rPr>
            <w:rStyle w:val="Hyperlink"/>
            <w:noProof/>
            <w:sz w:val="22"/>
            <w:szCs w:val="22"/>
            <w:lang w:val="en-US"/>
          </w:rPr>
          <w:t>.5: Cost to import a 20 foot container, 2005-2013</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_Toc390956436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107</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r:id="rId11" w:anchor="_Toc390956437" w:history="1">
        <w:r w:rsidR="002D5095" w:rsidRPr="00E56625">
          <w:rPr>
            <w:rStyle w:val="Hyperlink"/>
            <w:noProof/>
            <w:sz w:val="22"/>
            <w:szCs w:val="22"/>
            <w:lang w:val="en-US"/>
          </w:rPr>
          <w:t xml:space="preserve">Figure </w:t>
        </w:r>
        <w:r w:rsidR="008F3531" w:rsidRPr="00E56625">
          <w:rPr>
            <w:rStyle w:val="Hyperlink"/>
            <w:noProof/>
            <w:sz w:val="22"/>
            <w:szCs w:val="22"/>
            <w:lang w:val="en-US"/>
          </w:rPr>
          <w:t>6</w:t>
        </w:r>
        <w:r w:rsidR="002D5095" w:rsidRPr="00E56625">
          <w:rPr>
            <w:rStyle w:val="Hyperlink"/>
            <w:noProof/>
            <w:sz w:val="22"/>
            <w:szCs w:val="22"/>
            <w:lang w:val="en-US"/>
          </w:rPr>
          <w:t>.6: Internet Connectivity</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_Toc390956437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109</w:t>
        </w:r>
        <w:r w:rsidR="002D5095" w:rsidRPr="00E56625">
          <w:rPr>
            <w:noProof/>
            <w:webHidden/>
            <w:sz w:val="22"/>
            <w:szCs w:val="22"/>
            <w:lang w:val="en-US"/>
          </w:rPr>
          <w:fldChar w:fldCharType="end"/>
        </w:r>
      </w:hyperlink>
    </w:p>
    <w:p w:rsidR="002D5095" w:rsidRPr="008F3531" w:rsidRDefault="00B250D9">
      <w:pPr>
        <w:pStyle w:val="TableofFigures"/>
        <w:tabs>
          <w:tab w:val="right" w:leader="dot" w:pos="9350"/>
        </w:tabs>
        <w:rPr>
          <w:rFonts w:eastAsiaTheme="minorEastAsia"/>
          <w:noProof/>
          <w:sz w:val="22"/>
          <w:szCs w:val="22"/>
          <w:lang w:val="en-US"/>
        </w:rPr>
      </w:pPr>
      <w:hyperlink w:anchor="_Toc390956438" w:history="1">
        <w:r w:rsidR="002D5095" w:rsidRPr="00E56625">
          <w:rPr>
            <w:rStyle w:val="Hyperlink"/>
            <w:noProof/>
            <w:sz w:val="22"/>
            <w:szCs w:val="22"/>
            <w:lang w:val="en-US"/>
          </w:rPr>
          <w:t xml:space="preserve">Figure </w:t>
        </w:r>
        <w:r w:rsidR="008F3531" w:rsidRPr="00E56625">
          <w:rPr>
            <w:rStyle w:val="Hyperlink"/>
            <w:noProof/>
            <w:sz w:val="22"/>
            <w:szCs w:val="22"/>
            <w:lang w:val="en-US"/>
          </w:rPr>
          <w:t>6</w:t>
        </w:r>
        <w:r w:rsidR="002D5095" w:rsidRPr="00E56625">
          <w:rPr>
            <w:rStyle w:val="Hyperlink"/>
            <w:noProof/>
            <w:sz w:val="22"/>
            <w:szCs w:val="22"/>
            <w:lang w:val="en-US"/>
          </w:rPr>
          <w:t>.7: Map of Mineral Deposits</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_Toc390956438 \h </w:instrText>
        </w:r>
        <w:r w:rsidR="002D5095" w:rsidRPr="00E56625">
          <w:rPr>
            <w:noProof/>
            <w:webHidden/>
            <w:sz w:val="22"/>
            <w:szCs w:val="22"/>
            <w:lang w:val="en-US"/>
          </w:rPr>
        </w:r>
        <w:r w:rsidR="002D5095" w:rsidRPr="00E56625">
          <w:rPr>
            <w:noProof/>
            <w:webHidden/>
            <w:sz w:val="22"/>
            <w:szCs w:val="22"/>
            <w:lang w:val="en-US"/>
          </w:rPr>
          <w:fldChar w:fldCharType="separate"/>
        </w:r>
        <w:r w:rsidR="001145C5">
          <w:rPr>
            <w:noProof/>
            <w:webHidden/>
            <w:sz w:val="22"/>
            <w:szCs w:val="22"/>
            <w:lang w:val="en-US"/>
          </w:rPr>
          <w:t>110</w:t>
        </w:r>
        <w:r w:rsidR="002D5095" w:rsidRPr="00E56625">
          <w:rPr>
            <w:noProof/>
            <w:webHidden/>
            <w:sz w:val="22"/>
            <w:szCs w:val="22"/>
            <w:lang w:val="en-US"/>
          </w:rPr>
          <w:fldChar w:fldCharType="end"/>
        </w:r>
      </w:hyperlink>
    </w:p>
    <w:p w:rsidR="002B0376" w:rsidRPr="00E56625" w:rsidRDefault="00EE0E88" w:rsidP="00E025A2">
      <w:pPr>
        <w:pStyle w:val="TableofFigures"/>
        <w:tabs>
          <w:tab w:val="right" w:leader="dot" w:pos="9016"/>
        </w:tabs>
        <w:rPr>
          <w:b/>
          <w:sz w:val="22"/>
          <w:lang w:val="en-US"/>
        </w:rPr>
      </w:pPr>
      <w:r w:rsidRPr="00E56625">
        <w:rPr>
          <w:rStyle w:val="Hyperlink"/>
          <w:noProof/>
          <w:sz w:val="22"/>
          <w:szCs w:val="22"/>
          <w:lang w:val="en-US"/>
        </w:rPr>
        <w:fldChar w:fldCharType="end"/>
      </w:r>
    </w:p>
    <w:p w:rsidR="002B0376" w:rsidRPr="00E56625" w:rsidRDefault="002B0376" w:rsidP="002B0376">
      <w:pPr>
        <w:spacing w:after="0"/>
        <w:rPr>
          <w:b/>
          <w:sz w:val="22"/>
          <w:u w:val="single"/>
          <w:lang w:val="en-US"/>
        </w:rPr>
      </w:pPr>
      <w:r w:rsidRPr="00E56625">
        <w:rPr>
          <w:b/>
          <w:sz w:val="22"/>
          <w:u w:val="single"/>
          <w:lang w:val="en-US"/>
        </w:rPr>
        <w:t>List of Boxes</w:t>
      </w:r>
    </w:p>
    <w:p w:rsidR="002D5095" w:rsidRPr="008F3531" w:rsidRDefault="002B0376">
      <w:pPr>
        <w:pStyle w:val="TableofFigures"/>
        <w:tabs>
          <w:tab w:val="right" w:leader="dot" w:pos="9350"/>
        </w:tabs>
        <w:rPr>
          <w:rFonts w:asciiTheme="minorHAnsi" w:eastAsiaTheme="minorEastAsia" w:hAnsiTheme="minorHAnsi" w:cstheme="minorBidi"/>
          <w:noProof/>
          <w:sz w:val="22"/>
          <w:szCs w:val="22"/>
          <w:lang w:val="en-US"/>
        </w:rPr>
      </w:pPr>
      <w:r w:rsidRPr="00E56625">
        <w:rPr>
          <w:b/>
          <w:sz w:val="22"/>
          <w:szCs w:val="22"/>
          <w:lang w:val="en-US"/>
        </w:rPr>
        <w:fldChar w:fldCharType="begin"/>
      </w:r>
      <w:r w:rsidRPr="00E56625">
        <w:rPr>
          <w:b/>
          <w:sz w:val="22"/>
          <w:szCs w:val="22"/>
          <w:lang w:val="en-US"/>
        </w:rPr>
        <w:instrText xml:space="preserve"> TOC \h \z \c "Box" </w:instrText>
      </w:r>
      <w:r w:rsidRPr="00E56625">
        <w:rPr>
          <w:b/>
          <w:sz w:val="22"/>
          <w:szCs w:val="22"/>
          <w:lang w:val="en-US"/>
        </w:rPr>
        <w:fldChar w:fldCharType="separate"/>
      </w:r>
      <w:hyperlink w:anchor="_Toc390956497" w:history="1"/>
    </w:p>
    <w:p w:rsidR="002D5095" w:rsidRPr="008F3531" w:rsidRDefault="00B250D9">
      <w:pPr>
        <w:pStyle w:val="TableofFigures"/>
        <w:tabs>
          <w:tab w:val="right" w:leader="dot" w:pos="9350"/>
        </w:tabs>
        <w:rPr>
          <w:rFonts w:asciiTheme="minorHAnsi" w:eastAsiaTheme="minorEastAsia" w:hAnsiTheme="minorHAnsi" w:cstheme="minorBidi"/>
          <w:noProof/>
          <w:sz w:val="22"/>
          <w:szCs w:val="22"/>
          <w:lang w:val="en-US"/>
        </w:rPr>
      </w:pPr>
      <w:hyperlink w:anchor="_Toc390956499" w:history="1">
        <w:r w:rsidR="002D5095" w:rsidRPr="00E56625">
          <w:rPr>
            <w:rStyle w:val="Hyperlink"/>
            <w:noProof/>
            <w:sz w:val="22"/>
            <w:szCs w:val="22"/>
            <w:lang w:val="en-US"/>
          </w:rPr>
          <w:t xml:space="preserve">Box </w:t>
        </w:r>
        <w:r w:rsidR="008F3531" w:rsidRPr="00E56625">
          <w:rPr>
            <w:rStyle w:val="Hyperlink"/>
            <w:noProof/>
            <w:sz w:val="22"/>
            <w:szCs w:val="22"/>
            <w:lang w:val="en-US"/>
          </w:rPr>
          <w:t>6</w:t>
        </w:r>
        <w:r w:rsidR="002D5095" w:rsidRPr="00E56625">
          <w:rPr>
            <w:rStyle w:val="Hyperlink"/>
            <w:noProof/>
            <w:sz w:val="22"/>
            <w:szCs w:val="22"/>
            <w:lang w:val="en-US"/>
          </w:rPr>
          <w:t>.1: An active industrial policy helps Ethiopia’s leather sector accelerate its growth</w:t>
        </w:r>
        <w:r w:rsidR="002D5095" w:rsidRPr="00E56625">
          <w:rPr>
            <w:noProof/>
            <w:webHidden/>
            <w:sz w:val="22"/>
            <w:szCs w:val="22"/>
            <w:lang w:val="en-US"/>
          </w:rPr>
          <w:tab/>
        </w:r>
        <w:r w:rsidR="002D5095" w:rsidRPr="00E56625">
          <w:rPr>
            <w:noProof/>
            <w:webHidden/>
            <w:sz w:val="22"/>
            <w:szCs w:val="22"/>
            <w:lang w:val="en-US"/>
          </w:rPr>
          <w:fldChar w:fldCharType="begin"/>
        </w:r>
        <w:r w:rsidR="002D5095" w:rsidRPr="00E56625">
          <w:rPr>
            <w:noProof/>
            <w:webHidden/>
            <w:sz w:val="22"/>
            <w:szCs w:val="22"/>
            <w:lang w:val="en-US"/>
          </w:rPr>
          <w:instrText xml:space="preserve"> PAGEREF _Toc390956499 \h </w:instrText>
        </w:r>
        <w:r w:rsidR="002D5095" w:rsidRPr="00E56625">
          <w:rPr>
            <w:noProof/>
            <w:webHidden/>
            <w:sz w:val="22"/>
            <w:szCs w:val="22"/>
            <w:lang w:val="en-US"/>
          </w:rPr>
        </w:r>
        <w:r w:rsidR="002D5095" w:rsidRPr="00E56625">
          <w:rPr>
            <w:noProof/>
            <w:webHidden/>
            <w:sz w:val="22"/>
            <w:szCs w:val="22"/>
            <w:lang w:val="en-US"/>
          </w:rPr>
          <w:fldChar w:fldCharType="separate"/>
        </w:r>
        <w:r w:rsidR="002779FA">
          <w:rPr>
            <w:noProof/>
            <w:webHidden/>
            <w:sz w:val="22"/>
            <w:szCs w:val="22"/>
            <w:lang w:val="en-US"/>
          </w:rPr>
          <w:t>107</w:t>
        </w:r>
        <w:r w:rsidR="002D5095" w:rsidRPr="00E56625">
          <w:rPr>
            <w:noProof/>
            <w:webHidden/>
            <w:sz w:val="22"/>
            <w:szCs w:val="22"/>
            <w:lang w:val="en-US"/>
          </w:rPr>
          <w:fldChar w:fldCharType="end"/>
        </w:r>
      </w:hyperlink>
    </w:p>
    <w:p w:rsidR="00751FAA" w:rsidRPr="00E56625" w:rsidRDefault="002B0376" w:rsidP="00B603D6">
      <w:pPr>
        <w:pStyle w:val="TableofFigures"/>
        <w:tabs>
          <w:tab w:val="right" w:leader="dot" w:pos="9016"/>
        </w:tabs>
        <w:rPr>
          <w:lang w:val="en-US"/>
        </w:rPr>
      </w:pPr>
      <w:r w:rsidRPr="00E56625">
        <w:rPr>
          <w:b/>
          <w:sz w:val="22"/>
          <w:szCs w:val="22"/>
          <w:lang w:val="en-US"/>
        </w:rPr>
        <w:fldChar w:fldCharType="end"/>
      </w:r>
      <w:bookmarkStart w:id="1" w:name="_Toc383519737"/>
      <w:r w:rsidR="00751FAA" w:rsidRPr="00E56625">
        <w:rPr>
          <w:lang w:val="en-US"/>
        </w:rPr>
        <w:br w:type="page"/>
      </w:r>
    </w:p>
    <w:p w:rsidR="00CF0E26" w:rsidRPr="008F3531" w:rsidRDefault="00874483" w:rsidP="00B72196">
      <w:pPr>
        <w:pStyle w:val="Title"/>
        <w:jc w:val="left"/>
        <w:rPr>
          <w:b/>
          <w:sz w:val="22"/>
          <w:szCs w:val="24"/>
        </w:rPr>
      </w:pPr>
      <w:bookmarkStart w:id="2" w:name="_Toc419468529"/>
      <w:r w:rsidRPr="008F3531">
        <w:rPr>
          <w:rFonts w:eastAsiaTheme="majorEastAsia"/>
          <w:b/>
          <w:sz w:val="32"/>
        </w:rPr>
        <w:t>Aknowledgements</w:t>
      </w:r>
      <w:bookmarkEnd w:id="1"/>
      <w:bookmarkEnd w:id="2"/>
    </w:p>
    <w:p w:rsidR="00874483" w:rsidRPr="008F3531" w:rsidRDefault="00874483" w:rsidP="003C7828">
      <w:pPr>
        <w:autoSpaceDE w:val="0"/>
        <w:autoSpaceDN w:val="0"/>
        <w:adjustRightInd w:val="0"/>
        <w:jc w:val="both"/>
        <w:rPr>
          <w:color w:val="000000"/>
          <w:sz w:val="22"/>
          <w:szCs w:val="22"/>
          <w:lang w:val="en-US"/>
        </w:rPr>
      </w:pPr>
    </w:p>
    <w:p w:rsidR="00867670" w:rsidRPr="008F3531" w:rsidRDefault="00874483" w:rsidP="003C7828">
      <w:pPr>
        <w:autoSpaceDE w:val="0"/>
        <w:autoSpaceDN w:val="0"/>
        <w:adjustRightInd w:val="0"/>
        <w:jc w:val="both"/>
        <w:rPr>
          <w:color w:val="000000"/>
          <w:sz w:val="22"/>
          <w:szCs w:val="22"/>
          <w:lang w:val="en-US"/>
        </w:rPr>
      </w:pPr>
      <w:r w:rsidRPr="00E56625">
        <w:rPr>
          <w:lang w:val="en-US"/>
        </w:rPr>
        <w:t xml:space="preserve">This study was prepared under the leadership of M. </w:t>
      </w:r>
      <w:r w:rsidRPr="00E56625">
        <w:rPr>
          <w:color w:val="222222"/>
          <w:lang w:val="en-US"/>
        </w:rPr>
        <w:t xml:space="preserve">Sékouba Diarra Coordinator </w:t>
      </w:r>
      <w:r w:rsidRPr="00E56625">
        <w:rPr>
          <w:lang w:val="en-US"/>
        </w:rPr>
        <w:t xml:space="preserve">of the Cellule-Technique of the CSLP, in collaboration with INSTAT and the World Bank. </w:t>
      </w:r>
      <w:r w:rsidRPr="00E56625">
        <w:rPr>
          <w:lang w:val="fr-FR"/>
        </w:rPr>
        <w:t>The INSTAT team led by the Directeur G</w:t>
      </w:r>
      <w:r w:rsidRPr="000370E2">
        <w:rPr>
          <w:color w:val="222222"/>
          <w:lang w:val="fr-FR"/>
        </w:rPr>
        <w:t>é</w:t>
      </w:r>
      <w:r w:rsidRPr="000370E2">
        <w:rPr>
          <w:lang w:val="fr-FR"/>
        </w:rPr>
        <w:t>n</w:t>
      </w:r>
      <w:r w:rsidRPr="000370E2">
        <w:rPr>
          <w:color w:val="222222"/>
          <w:lang w:val="fr-FR"/>
        </w:rPr>
        <w:t>é</w:t>
      </w:r>
      <w:r w:rsidRPr="000370E2">
        <w:rPr>
          <w:lang w:val="fr-FR"/>
        </w:rPr>
        <w:t xml:space="preserve">ral, M. Seydou Moussa Traore, comprised </w:t>
      </w:r>
      <w:r w:rsidRPr="000370E2">
        <w:rPr>
          <w:color w:val="222222"/>
          <w:lang w:val="fr-FR"/>
        </w:rPr>
        <w:t>Assa Doumbia-Gakou (Chef de Département des Statistiques Démographiques et Sociales, M. Vinima Traore (Chef de Division de la Cartographie), Abdoul Kdiawara (Chargé de Cartographie) and Siaka CISSE (Chef de Division des Statistiques Démographiques et Sociales)</w:t>
      </w:r>
      <w:r w:rsidRPr="000370E2">
        <w:rPr>
          <w:lang w:val="fr-FR"/>
        </w:rPr>
        <w:t xml:space="preserve">. </w:t>
      </w:r>
      <w:r w:rsidRPr="00E56625">
        <w:rPr>
          <w:lang w:val="en-US"/>
        </w:rPr>
        <w:t>The World Bank team led by M. Johannes Hoogeveen (Senior Economist) comprised Yele Batana (Senior Economist), Brian Blankespoor (GIS Specialist), Sebastien Dessus (Lead Economist), Cheikh Diop (Senior Economist),  Judite Fernandes (Team Assistant), Julia Lendorfer (Consultant), Yishen Liu (consultant), Kristin Panier (Consultant), Mathieu Pellerin (Consultant), Harris Selod (Senior Economist), Gael Raballand (Senior Economist) and Souleymane Traore (Team Assistant).</w:t>
      </w:r>
    </w:p>
    <w:p w:rsidR="00CF0E26" w:rsidRPr="00E56625" w:rsidRDefault="00CF0E26" w:rsidP="00B72196">
      <w:pPr>
        <w:spacing w:after="240"/>
        <w:rPr>
          <w:b/>
          <w:sz w:val="22"/>
          <w:lang w:val="en-US"/>
        </w:rPr>
      </w:pPr>
    </w:p>
    <w:p w:rsidR="00CF0E26" w:rsidRPr="00E56625" w:rsidRDefault="00CF0E26" w:rsidP="00B72196">
      <w:pPr>
        <w:spacing w:after="240"/>
        <w:rPr>
          <w:b/>
          <w:sz w:val="22"/>
          <w:lang w:val="en-US"/>
        </w:rPr>
      </w:pPr>
    </w:p>
    <w:p w:rsidR="00874483" w:rsidRPr="008F3531" w:rsidRDefault="00874483">
      <w:pPr>
        <w:rPr>
          <w:rFonts w:eastAsiaTheme="majorEastAsia"/>
          <w:b/>
          <w:color w:val="17365D" w:themeColor="text2" w:themeShade="BF"/>
          <w:spacing w:val="5"/>
          <w:kern w:val="28"/>
          <w:sz w:val="32"/>
          <w:szCs w:val="32"/>
          <w:lang w:val="en-US"/>
        </w:rPr>
      </w:pPr>
      <w:bookmarkStart w:id="3" w:name="_Toc332266177"/>
      <w:bookmarkStart w:id="4" w:name="_Toc383519738"/>
      <w:r w:rsidRPr="00E56625">
        <w:rPr>
          <w:rFonts w:eastAsiaTheme="majorEastAsia"/>
          <w:b/>
          <w:color w:val="17365D" w:themeColor="text2" w:themeShade="BF"/>
          <w:sz w:val="32"/>
          <w:szCs w:val="32"/>
          <w:lang w:val="en-US"/>
        </w:rPr>
        <w:br w:type="page"/>
      </w:r>
    </w:p>
    <w:p w:rsidR="00CF0E26" w:rsidRPr="008F3531" w:rsidRDefault="00090652" w:rsidP="00600838">
      <w:pPr>
        <w:pStyle w:val="Title"/>
        <w:pBdr>
          <w:bottom w:val="single" w:sz="8" w:space="4" w:color="4F81BD" w:themeColor="accent1"/>
        </w:pBdr>
        <w:tabs>
          <w:tab w:val="left" w:pos="1260"/>
        </w:tabs>
        <w:spacing w:after="360"/>
        <w:contextualSpacing w:val="0"/>
        <w:jc w:val="left"/>
        <w:rPr>
          <w:rFonts w:eastAsiaTheme="majorEastAsia"/>
          <w:b/>
          <w:color w:val="17365D" w:themeColor="text2" w:themeShade="BF"/>
          <w:sz w:val="32"/>
          <w:szCs w:val="32"/>
        </w:rPr>
      </w:pPr>
      <w:bookmarkStart w:id="5" w:name="_Toc419468530"/>
      <w:r w:rsidRPr="008F3531">
        <w:rPr>
          <w:rFonts w:eastAsiaTheme="majorEastAsia"/>
          <w:b/>
          <w:color w:val="17365D" w:themeColor="text2" w:themeShade="BF"/>
          <w:sz w:val="32"/>
          <w:szCs w:val="32"/>
        </w:rPr>
        <w:t>Executive Summary</w:t>
      </w:r>
      <w:bookmarkEnd w:id="3"/>
      <w:bookmarkEnd w:id="4"/>
      <w:bookmarkEnd w:id="5"/>
    </w:p>
    <w:p w:rsidR="00B72196" w:rsidRPr="00E56625" w:rsidRDefault="00B72196" w:rsidP="00600838">
      <w:pPr>
        <w:spacing w:before="280"/>
        <w:rPr>
          <w:rFonts w:ascii="Times New Roman Bold" w:hAnsi="Times New Roman Bold"/>
          <w:b/>
          <w:color w:val="1F497D" w:themeColor="text2"/>
          <w:sz w:val="28"/>
          <w:szCs w:val="28"/>
          <w:lang w:val="en-US"/>
        </w:rPr>
      </w:pPr>
      <w:r w:rsidRPr="00E56625">
        <w:rPr>
          <w:rFonts w:ascii="Times New Roman Bold" w:hAnsi="Times New Roman Bold"/>
          <w:b/>
          <w:color w:val="1F497D" w:themeColor="text2"/>
          <w:sz w:val="28"/>
          <w:szCs w:val="28"/>
          <w:lang w:val="en-US"/>
        </w:rPr>
        <w:t>Introduction</w:t>
      </w:r>
    </w:p>
    <w:p w:rsidR="00F019D0" w:rsidRPr="00E56625" w:rsidRDefault="00F019D0" w:rsidP="00D87258">
      <w:pPr>
        <w:pStyle w:val="ListParagraph"/>
        <w:numPr>
          <w:ilvl w:val="0"/>
          <w:numId w:val="13"/>
        </w:numPr>
        <w:tabs>
          <w:tab w:val="left" w:pos="720"/>
        </w:tabs>
        <w:ind w:left="0" w:firstLine="0"/>
        <w:rPr>
          <w:b/>
          <w:lang w:val="en-US"/>
        </w:rPr>
      </w:pPr>
      <w:r w:rsidRPr="00E56625">
        <w:rPr>
          <w:b/>
          <w:lang w:val="en-US"/>
        </w:rPr>
        <w:t xml:space="preserve">This study discusses the impact of economic geography and (low) population density on development outcomes in Mali and explores how policies to reduce poverty could be made more effective by taking these two factors into account. </w:t>
      </w:r>
    </w:p>
    <w:p w:rsidR="00D87258" w:rsidRPr="00E56625" w:rsidRDefault="00D87258" w:rsidP="00D87258">
      <w:pPr>
        <w:pStyle w:val="ListParagraph"/>
        <w:tabs>
          <w:tab w:val="left" w:pos="720"/>
        </w:tabs>
        <w:ind w:left="0"/>
        <w:rPr>
          <w:b/>
          <w:lang w:val="en-US"/>
        </w:rPr>
      </w:pPr>
    </w:p>
    <w:p w:rsidR="00F019D0" w:rsidRPr="00E56625" w:rsidRDefault="00F019D0" w:rsidP="00D87258">
      <w:pPr>
        <w:pStyle w:val="ListParagraph"/>
        <w:numPr>
          <w:ilvl w:val="0"/>
          <w:numId w:val="13"/>
        </w:numPr>
        <w:tabs>
          <w:tab w:val="left" w:pos="720"/>
        </w:tabs>
        <w:ind w:left="0" w:firstLine="0"/>
        <w:rPr>
          <w:lang w:val="en-US"/>
        </w:rPr>
      </w:pPr>
      <w:r w:rsidRPr="00E56625">
        <w:rPr>
          <w:b/>
          <w:lang w:val="en-US"/>
        </w:rPr>
        <w:t>Economic geography and development are intricately related, globally and locally</w:t>
      </w:r>
      <w:r w:rsidRPr="00E56625">
        <w:rPr>
          <w:lang w:val="en-US"/>
        </w:rPr>
        <w:t>. This can be illustrated with the map of night-time light intensity (Figure 1). The map not only demonstrates the footprint humans leave on the earth, night-time light intensity is a good proxy for the amount of income earned in a given location. The brightest spots on the map are found in the northern hemisphere (Europe, the east coast of North America, the Indian subcontinent) and in coastal areas (particularly in south-east Asia). Africa is the continent with the lowest light intensity. Within Africa the Sahel is particularly dark, a reflection of the combined effects o</w:t>
      </w:r>
      <w:r w:rsidR="00C8297A">
        <w:rPr>
          <w:lang w:val="en-US"/>
        </w:rPr>
        <w:t>f</w:t>
      </w:r>
      <w:r w:rsidRPr="00E56625">
        <w:rPr>
          <w:lang w:val="en-US"/>
        </w:rPr>
        <w:t xml:space="preserve"> low population density and low per capita incomes.</w:t>
      </w:r>
      <w:r w:rsidR="00C8297A">
        <w:rPr>
          <w:lang w:val="en-US"/>
        </w:rPr>
        <w:t xml:space="preserve"> </w:t>
      </w:r>
      <w:r w:rsidRPr="00E56625">
        <w:rPr>
          <w:lang w:val="en-US"/>
        </w:rPr>
        <w:t>M</w:t>
      </w:r>
      <w:r w:rsidR="00C8297A">
        <w:rPr>
          <w:lang w:val="en-US"/>
        </w:rPr>
        <w:t>ali,</w:t>
      </w:r>
      <w:r w:rsidRPr="00E56625">
        <w:rPr>
          <w:lang w:val="en-US"/>
        </w:rPr>
        <w:t xml:space="preserve"> wh</w:t>
      </w:r>
      <w:r w:rsidR="00C8297A">
        <w:rPr>
          <w:lang w:val="en-US"/>
        </w:rPr>
        <w:t xml:space="preserve">ich </w:t>
      </w:r>
      <w:r w:rsidRPr="00E56625">
        <w:rPr>
          <w:lang w:val="en-US"/>
        </w:rPr>
        <w:t xml:space="preserve">borders are depicted on the map, only has one bright spot (Bamako), if it can be discerned at all. The map serves as reminder of the inequalities that exist between countries, and illustrates how markets favor certain locations over others: bright areas come in clusters suggesting that it is easier to develop in locations close to areas of great wealth. For those who do not live in such locations, the ability to trade goods is important: one finds greater night-time light intensity in coastal areas. </w:t>
      </w:r>
    </w:p>
    <w:p w:rsidR="00F019D0" w:rsidRPr="00E56625" w:rsidRDefault="00F019D0" w:rsidP="00636F8D">
      <w:pPr>
        <w:jc w:val="center"/>
        <w:rPr>
          <w:b/>
          <w:lang w:val="en-US"/>
        </w:rPr>
      </w:pPr>
      <w:r w:rsidRPr="00E56625">
        <w:rPr>
          <w:b/>
          <w:lang w:val="en-US"/>
        </w:rPr>
        <w:t>Figure 1: Night-time light intensity in 2012</w:t>
      </w:r>
    </w:p>
    <w:p w:rsidR="00F019D0" w:rsidRPr="00E56625" w:rsidRDefault="00F019D0" w:rsidP="003D20DD">
      <w:pPr>
        <w:rPr>
          <w:lang w:val="en-US"/>
        </w:rPr>
      </w:pPr>
      <w:r w:rsidRPr="000370E2">
        <w:rPr>
          <w:noProof/>
          <w:lang w:val="en-US"/>
        </w:rPr>
        <w:drawing>
          <wp:inline distT="0" distB="0" distL="0" distR="0" wp14:anchorId="65993AA2" wp14:editId="426B56A8">
            <wp:extent cx="5481145" cy="290009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5927" cy="2902622"/>
                    </a:xfrm>
                    <a:prstGeom prst="rect">
                      <a:avLst/>
                    </a:prstGeom>
                    <a:noFill/>
                    <a:ln>
                      <a:noFill/>
                    </a:ln>
                  </pic:spPr>
                </pic:pic>
              </a:graphicData>
            </a:graphic>
          </wp:inline>
        </w:drawing>
      </w:r>
    </w:p>
    <w:p w:rsidR="00F019D0" w:rsidRPr="00E56625" w:rsidRDefault="00F019D0" w:rsidP="003D20DD">
      <w:pPr>
        <w:rPr>
          <w:sz w:val="20"/>
          <w:szCs w:val="20"/>
          <w:lang w:val="en-US"/>
        </w:rPr>
      </w:pPr>
      <w:r w:rsidRPr="00E56625">
        <w:rPr>
          <w:sz w:val="20"/>
          <w:szCs w:val="20"/>
          <w:lang w:val="en-US"/>
        </w:rPr>
        <w:t>Source: Staff calculations, using DMSP stable lights 2012.</w:t>
      </w:r>
    </w:p>
    <w:p w:rsidR="00F019D0" w:rsidRPr="00E56625" w:rsidRDefault="00F019D0" w:rsidP="00D87258">
      <w:pPr>
        <w:pStyle w:val="ListParagraph"/>
        <w:numPr>
          <w:ilvl w:val="0"/>
          <w:numId w:val="13"/>
        </w:numPr>
        <w:tabs>
          <w:tab w:val="left" w:pos="720"/>
        </w:tabs>
        <w:ind w:left="0" w:firstLine="0"/>
        <w:rPr>
          <w:lang w:val="en-US"/>
        </w:rPr>
      </w:pPr>
      <w:r w:rsidRPr="00E56625">
        <w:rPr>
          <w:b/>
          <w:lang w:val="en-US"/>
        </w:rPr>
        <w:t>Many of Mali’s development challenges have a spatial dimension.</w:t>
      </w:r>
      <w:r w:rsidRPr="00E56625">
        <w:rPr>
          <w:lang w:val="en-US"/>
        </w:rPr>
        <w:t xml:space="preserve"> Mali is the 5th largest country in Africa, it covers 4.1 percent of Africa’s land mass and hosts1.5 percent of its population. Per capita incomes are amongst the lowest in the world and being land-locked and located in a neighborhood of limited wealth, its opportunities for growth and development are constrained. Mali cannot benefit from wealthy neighbors, population density is low and large distances to West Africa’s coast limit opportunities for trade. Poverty is widespread and significant spatial economic inequalities exist within the country. 40 percent of GDP is earned in Bamako for instance. This economic dominance of the capital city spills over into welfare outcomes: a person born in Bamako can expect to enjoy a level of per capita consumption that is two and a half times higher than that of a person born in Ségou or Sikasso. The same person from Bamako can also expect to live more than 6 years longer. </w:t>
      </w:r>
    </w:p>
    <w:p w:rsidR="001044D8" w:rsidRPr="00E56625" w:rsidRDefault="001044D8" w:rsidP="001044D8">
      <w:pPr>
        <w:pStyle w:val="ListParagraph"/>
        <w:tabs>
          <w:tab w:val="left" w:pos="720"/>
        </w:tabs>
        <w:ind w:left="0"/>
        <w:rPr>
          <w:lang w:val="en-US"/>
        </w:rPr>
      </w:pPr>
    </w:p>
    <w:p w:rsidR="00F019D0" w:rsidRPr="00E56625" w:rsidRDefault="00F019D0" w:rsidP="00D87258">
      <w:pPr>
        <w:pStyle w:val="ListParagraph"/>
        <w:numPr>
          <w:ilvl w:val="0"/>
          <w:numId w:val="13"/>
        </w:numPr>
        <w:tabs>
          <w:tab w:val="left" w:pos="720"/>
        </w:tabs>
        <w:ind w:left="0" w:firstLine="0"/>
        <w:rPr>
          <w:lang w:val="en-US"/>
        </w:rPr>
      </w:pPr>
      <w:r w:rsidRPr="00E56625">
        <w:rPr>
          <w:b/>
          <w:lang w:val="en-US"/>
        </w:rPr>
        <w:t xml:space="preserve">The crisis in north Mali which started in 2012 and continues to date has brought questions of economic geography to the </w:t>
      </w:r>
      <w:r w:rsidR="008F3531" w:rsidRPr="00E56625">
        <w:rPr>
          <w:b/>
          <w:lang w:val="en-US"/>
        </w:rPr>
        <w:t>cent</w:t>
      </w:r>
      <w:r w:rsidR="00B70A16">
        <w:rPr>
          <w:b/>
          <w:lang w:val="en-US"/>
        </w:rPr>
        <w:t>er o</w:t>
      </w:r>
      <w:r w:rsidRPr="00E56625">
        <w:rPr>
          <w:b/>
          <w:lang w:val="en-US"/>
        </w:rPr>
        <w:t>f attention</w:t>
      </w:r>
      <w:r w:rsidRPr="00E56625">
        <w:rPr>
          <w:lang w:val="en-US"/>
        </w:rPr>
        <w:t xml:space="preserve">. The crisis raised questions about whether it was </w:t>
      </w:r>
      <w:r w:rsidR="008F3531" w:rsidRPr="00E56625">
        <w:rPr>
          <w:lang w:val="en-US"/>
        </w:rPr>
        <w:t>fuelled</w:t>
      </w:r>
      <w:r w:rsidRPr="00E56625">
        <w:rPr>
          <w:lang w:val="en-US"/>
        </w:rPr>
        <w:t xml:space="preserve"> by high levels of poverty and low levels of service delivery, whether too many, or too few resources were spent in the north, whether it is reasonable to expect a comparable level of service delivery in low density areas (the north) where unit costs are higher and whether improved service delivery in the north could help secure peace.</w:t>
      </w:r>
    </w:p>
    <w:p w:rsidR="001044D8" w:rsidRPr="00E56625" w:rsidRDefault="001044D8" w:rsidP="001044D8">
      <w:pPr>
        <w:pStyle w:val="ListParagraph"/>
        <w:rPr>
          <w:lang w:val="en-US"/>
        </w:rPr>
      </w:pPr>
    </w:p>
    <w:p w:rsidR="00F019D0" w:rsidRPr="00E56625" w:rsidRDefault="00F019D0" w:rsidP="00D87258">
      <w:pPr>
        <w:pStyle w:val="ListParagraph"/>
        <w:numPr>
          <w:ilvl w:val="0"/>
          <w:numId w:val="13"/>
        </w:numPr>
        <w:tabs>
          <w:tab w:val="left" w:pos="720"/>
        </w:tabs>
        <w:ind w:left="0" w:firstLine="0"/>
        <w:rPr>
          <w:lang w:val="en-US"/>
        </w:rPr>
      </w:pPr>
      <w:r w:rsidRPr="00E56625">
        <w:rPr>
          <w:b/>
          <w:lang w:val="en-US"/>
        </w:rPr>
        <w:t>To help answer such questions, and to analyze how to reduce poverty in Mali as a whole, this study uses different sources of information to analyze the diversity of livelihood patterns, in access to services and in living standards</w:t>
      </w:r>
      <w:r w:rsidRPr="00E56625">
        <w:rPr>
          <w:lang w:val="en-US"/>
        </w:rPr>
        <w:t xml:space="preserve">. The study uses quantitative information from household surveys, population and firm censuses, administrative and geographic data and qualitative information about livelihoods. By combining </w:t>
      </w:r>
      <w:r w:rsidR="00C8297A">
        <w:rPr>
          <w:lang w:val="en-US"/>
        </w:rPr>
        <w:t xml:space="preserve">data from </w:t>
      </w:r>
      <w:r w:rsidRPr="00E56625">
        <w:rPr>
          <w:lang w:val="en-US"/>
        </w:rPr>
        <w:t xml:space="preserve">different sources we are able to shed new light on various development issues: how different sources of income are associated to poverty reduction, why poverty in Sikasso remains stubbornly high </w:t>
      </w:r>
      <w:r w:rsidR="00C8297A">
        <w:rPr>
          <w:lang w:val="en-US"/>
        </w:rPr>
        <w:t xml:space="preserve">(though it may be lower than previously thought) </w:t>
      </w:r>
      <w:r w:rsidRPr="00E56625">
        <w:rPr>
          <w:lang w:val="en-US"/>
        </w:rPr>
        <w:t>as well as the relationship between improved access to markets, poverty and vulnerability. We discuss how differences in service delivery are associated with population density</w:t>
      </w:r>
      <w:r w:rsidR="00C8297A">
        <w:rPr>
          <w:lang w:val="en-US"/>
        </w:rPr>
        <w:t xml:space="preserve"> and</w:t>
      </w:r>
      <w:r w:rsidRPr="00E56625">
        <w:rPr>
          <w:lang w:val="en-US"/>
        </w:rPr>
        <w:t xml:space="preserve"> show the primacy of Bamako in the formal economy of the country. In the final section we explore what it would take to reduce poverty by half by 2030.</w:t>
      </w:r>
    </w:p>
    <w:p w:rsidR="00B10455" w:rsidRPr="00E56625" w:rsidRDefault="00B10455" w:rsidP="00B10455">
      <w:pPr>
        <w:pStyle w:val="ListParagraph"/>
        <w:tabs>
          <w:tab w:val="left" w:pos="720"/>
        </w:tabs>
        <w:ind w:left="0"/>
        <w:rPr>
          <w:lang w:val="en-US"/>
        </w:rPr>
      </w:pPr>
    </w:p>
    <w:p w:rsidR="00F019D0" w:rsidRPr="00E56625" w:rsidRDefault="00F019D0" w:rsidP="00D87258">
      <w:pPr>
        <w:pStyle w:val="ListParagraph"/>
        <w:numPr>
          <w:ilvl w:val="0"/>
          <w:numId w:val="13"/>
        </w:numPr>
        <w:tabs>
          <w:tab w:val="left" w:pos="720"/>
        </w:tabs>
        <w:ind w:left="0" w:firstLine="0"/>
        <w:rPr>
          <w:lang w:val="en-US"/>
        </w:rPr>
      </w:pPr>
      <w:r w:rsidRPr="00E56625">
        <w:rPr>
          <w:b/>
          <w:lang w:val="en-US"/>
        </w:rPr>
        <w:t>The 2009 World Development Report (WDR) on Economic Geography offers useful guidance to policy makers grappling with issues of economic geography</w:t>
      </w:r>
      <w:r w:rsidRPr="00E56625">
        <w:rPr>
          <w:lang w:val="en-US"/>
        </w:rPr>
        <w:t xml:space="preserve">. The WDR argues that to reduce poverty, economies need to integrate economically. To this end, policy makers have three instruments at their disposal: spatially-blind institutions (i.e. services that are offered to all, irrespective of where one lives); connectivity (such as roads and railways), and spatially targeted interventions (such as special incentives for enterprises, public works, agriculture extension schemes, training programs). This study argues that the authorities will need to employ all three policy instruments, </w:t>
      </w:r>
      <w:r w:rsidR="00C8297A">
        <w:rPr>
          <w:lang w:val="en-US"/>
        </w:rPr>
        <w:t xml:space="preserve">while </w:t>
      </w:r>
      <w:r w:rsidR="00C8297A" w:rsidRPr="00E56625">
        <w:rPr>
          <w:lang w:val="en-US"/>
        </w:rPr>
        <w:t>emphasiz</w:t>
      </w:r>
      <w:r w:rsidR="00C8297A">
        <w:rPr>
          <w:lang w:val="en-US"/>
        </w:rPr>
        <w:t>ing</w:t>
      </w:r>
      <w:r w:rsidR="00C8297A" w:rsidRPr="00E56625">
        <w:rPr>
          <w:lang w:val="en-US"/>
        </w:rPr>
        <w:t xml:space="preserve"> </w:t>
      </w:r>
      <w:r w:rsidR="00C8297A">
        <w:rPr>
          <w:lang w:val="en-US"/>
        </w:rPr>
        <w:t xml:space="preserve">that if the objective is poverty reduction, most attention should be focused on </w:t>
      </w:r>
      <w:r w:rsidRPr="00E56625">
        <w:rPr>
          <w:lang w:val="en-US"/>
        </w:rPr>
        <w:t xml:space="preserve">spatially blind </w:t>
      </w:r>
      <w:r w:rsidR="00C8297A">
        <w:rPr>
          <w:lang w:val="en-US"/>
        </w:rPr>
        <w:t>approaches</w:t>
      </w:r>
      <w:r w:rsidRPr="00E56625">
        <w:rPr>
          <w:lang w:val="en-US"/>
        </w:rPr>
        <w:t>.</w:t>
      </w:r>
    </w:p>
    <w:p w:rsidR="00B10455" w:rsidRPr="00E56625" w:rsidRDefault="00B10455" w:rsidP="00B10455">
      <w:pPr>
        <w:pStyle w:val="ListParagraph"/>
        <w:tabs>
          <w:tab w:val="left" w:pos="720"/>
        </w:tabs>
        <w:ind w:left="0"/>
        <w:rPr>
          <w:lang w:val="en-US"/>
        </w:rPr>
      </w:pPr>
    </w:p>
    <w:p w:rsidR="00F019D0" w:rsidRPr="00E56625" w:rsidRDefault="00F019D0" w:rsidP="00D87258">
      <w:pPr>
        <w:pStyle w:val="ListParagraph"/>
        <w:numPr>
          <w:ilvl w:val="0"/>
          <w:numId w:val="13"/>
        </w:numPr>
        <w:tabs>
          <w:tab w:val="left" w:pos="720"/>
        </w:tabs>
        <w:ind w:left="0" w:firstLine="0"/>
        <w:rPr>
          <w:lang w:val="en-US"/>
        </w:rPr>
      </w:pPr>
      <w:r w:rsidRPr="00E56625">
        <w:rPr>
          <w:b/>
          <w:lang w:val="en-US"/>
        </w:rPr>
        <w:t>A number of new analyses have been prepared to inform this study</w:t>
      </w:r>
      <w:r w:rsidRPr="00E56625">
        <w:rPr>
          <w:lang w:val="en-US"/>
        </w:rPr>
        <w:t xml:space="preserve">. A reclassification of Mali’s rural and urban areas based on population density allows us to re-estimate the degree of urbanization; a re-estimation of the poverty line addresses problems with food-shares </w:t>
      </w:r>
      <w:r w:rsidR="00B70A16">
        <w:rPr>
          <w:lang w:val="en-US"/>
        </w:rPr>
        <w:t xml:space="preserve">in </w:t>
      </w:r>
      <w:r w:rsidRPr="00E56625">
        <w:rPr>
          <w:lang w:val="en-US"/>
        </w:rPr>
        <w:t>the existing poverty line</w:t>
      </w:r>
      <w:r w:rsidR="00B70A16">
        <w:rPr>
          <w:lang w:val="en-US"/>
        </w:rPr>
        <w:t>s</w:t>
      </w:r>
      <w:r w:rsidR="00C8297A">
        <w:rPr>
          <w:lang w:val="en-US"/>
        </w:rPr>
        <w:t>, while a comparison between asset based and consumption based poverty measures raises questions about the accuracy of the (consumption based) poverty estimates for Sikasso. I</w:t>
      </w:r>
      <w:r w:rsidRPr="00E56625">
        <w:rPr>
          <w:lang w:val="en-US"/>
        </w:rPr>
        <w:t xml:space="preserve">ntegration of census and household surveys with information on livelihoods permits us to link information about changes in poverty to sources of income and growth –something that was not possible before. The study is informed by new estimates of market access (using population density and infrastructure) and of the size of informal cross-border trade between Mali and Algeria. Finally, poverty- growth projections shed light on the question whether significant reduction in poverty can be achieved by 2030. </w:t>
      </w:r>
    </w:p>
    <w:p w:rsidR="00F019D0" w:rsidRPr="00E56625" w:rsidRDefault="00F019D0" w:rsidP="00586F0A">
      <w:pPr>
        <w:spacing w:before="280"/>
        <w:rPr>
          <w:rFonts w:ascii="Times New Roman Bold" w:hAnsi="Times New Roman Bold"/>
          <w:b/>
          <w:color w:val="1F497D" w:themeColor="text2"/>
          <w:sz w:val="28"/>
          <w:szCs w:val="28"/>
          <w:lang w:val="en-US"/>
        </w:rPr>
      </w:pPr>
      <w:r w:rsidRPr="00E56625">
        <w:rPr>
          <w:rFonts w:ascii="Times New Roman Bold" w:hAnsi="Times New Roman Bold"/>
          <w:b/>
          <w:color w:val="1F497D" w:themeColor="text2"/>
          <w:sz w:val="28"/>
          <w:szCs w:val="28"/>
          <w:lang w:val="en-US"/>
        </w:rPr>
        <w:t>Location, Population and Livelihood</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Using a measure of population density to define rural and urban areas, we find that Mali’s economy is predominantly rural:</w:t>
      </w:r>
      <w:r w:rsidRPr="00E56625">
        <w:rPr>
          <w:lang w:val="en-US"/>
        </w:rPr>
        <w:t xml:space="preserve"> 73 percent of the population resides in rural areas. We identify 75 towns and cities hosting 3.9 million people—out of a population of 14.5 million. Bamako is the dominant city. It hosts more than 2.1 million people (15 percent of the population), five times more than the next three largest cities combined: in Ségou, Sikasso and Kayes live 166,000, 143,000 and 127,000 people respectively (3 percent of the population).  </w:t>
      </w:r>
    </w:p>
    <w:p w:rsidR="00B10455" w:rsidRPr="00E56625" w:rsidRDefault="00B10455" w:rsidP="00B10455">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Agriculture remains important, in rural areas but also in cities</w:t>
      </w:r>
      <w:r w:rsidRPr="00E56625">
        <w:rPr>
          <w:lang w:val="en-US"/>
        </w:rPr>
        <w:t xml:space="preserve">. In rural areas 86 percent of all jobs are in agriculture as opposed to 3 percent in Bamako. Agricultural jobs represent a significant portion of employment; in small cities with less than 30,000 people, 43 percent of people work in agriculture; in cities with over 30,000 inhabitants this is 24 percent (it is 3 percent in Bamako).  Inversely, the shares of administrative jobs, of service jobs and, above all, of trade activities increase with city size.  In the four largest cities, trade jobs account for 28 to 32 percent of employment. </w:t>
      </w:r>
    </w:p>
    <w:p w:rsidR="00B10455" w:rsidRPr="00E56625" w:rsidRDefault="00B10455" w:rsidP="00B10455">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The location of formal activities is skewed towards Bamako</w:t>
      </w:r>
      <w:r w:rsidRPr="00E56625">
        <w:rPr>
          <w:lang w:val="en-US"/>
        </w:rPr>
        <w:t>. Irrespective of whether one considers the number of formal enterprises, or their turnover, Bamako is the dominant location. The primacy of Bamako in generating income is such that with 15 percent of the population about 40 percent of GDP is generated. With 18 percent of GDP, the region of Kayes is another important contributor to GDP followed by Sikasso (12 percent) and Koulikoro (11 percent).</w:t>
      </w:r>
    </w:p>
    <w:p w:rsidR="00B10455" w:rsidRPr="00E56625" w:rsidRDefault="00B10455" w:rsidP="00B10455">
      <w:pPr>
        <w:pStyle w:val="ListParagraph"/>
        <w:rPr>
          <w:lang w:val="en-US"/>
        </w:rPr>
      </w:pPr>
    </w:p>
    <w:p w:rsidR="003D20DD" w:rsidRDefault="003D20DD" w:rsidP="00D87258">
      <w:pPr>
        <w:pStyle w:val="ListParagraph"/>
        <w:numPr>
          <w:ilvl w:val="0"/>
          <w:numId w:val="13"/>
        </w:numPr>
        <w:tabs>
          <w:tab w:val="left" w:pos="720"/>
        </w:tabs>
        <w:ind w:left="0" w:firstLine="0"/>
        <w:rPr>
          <w:lang w:val="en-US"/>
        </w:rPr>
      </w:pPr>
      <w:r w:rsidRPr="00E56625">
        <w:rPr>
          <w:b/>
          <w:lang w:val="en-US"/>
        </w:rPr>
        <w:t>In the face of rapid population growth, Mali is urbanizing</w:t>
      </w:r>
      <w:r w:rsidRPr="00E56625">
        <w:rPr>
          <w:lang w:val="en-US"/>
        </w:rPr>
        <w:t>.  The population of Bamako grew at 3.7 percent on average per year between 1987 and 1998; between 1998 and 2009 growth accelerated to an annual average of 6.1 percent. At this rate of growth, the population of Bamako will exceed 4 million by 2020.</w:t>
      </w:r>
      <w:r w:rsidRPr="00E56625">
        <w:rPr>
          <w:vertAlign w:val="superscript"/>
          <w:lang w:val="en-US"/>
        </w:rPr>
        <w:footnoteReference w:id="1"/>
      </w:r>
      <w:r w:rsidRPr="00E56625">
        <w:rPr>
          <w:lang w:val="en-US"/>
        </w:rPr>
        <w:t xml:space="preserve"> By contrast, between 1998 and 2009, secondary cities and rural locations grew at 3.6 percent and 2.3 percent respectively. Because cities grow at a faster pace than rural areas the country is urbanizing. In this context it is worthwhile to note the rapid, and increasing, rate of general population growth: the population growth rate accelerated from about 1.6-1.7 percent between 1976 and 1987, to 3.1-3.6 percent between 1998 and 2009. Such a rapid rate of population growth has consequences for jobs, unemployment and the demand for social services. It increases pressure on cultivable (irrigated) land and access to water and has the potential to become a driver of social change and possibly even conflict in the future. </w:t>
      </w:r>
    </w:p>
    <w:p w:rsidR="008F3531" w:rsidRPr="00E56625" w:rsidRDefault="008F3531" w:rsidP="00E56625">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While Bamako’s population increased rapidly, agglomeration effects are not leading to a process of economic growth and transformatio</w:t>
      </w:r>
      <w:r w:rsidRPr="00E56625">
        <w:rPr>
          <w:lang w:val="en-US"/>
        </w:rPr>
        <w:t>n. Between 2001 and 2010 per capita income growth hovered around 1 percent per annum for most households, except for the top 10 percent who became less well off. Decomposing the overall change into two periods, 2001-2006 and 2006-2010, we find that the city transformed from a place with high levels of per capita growth in the early 2000s to a place in which per capita consumption growth is negative. This lack of dynamism is corroborated by other evidence: a comparison of the 2009 and 1998 population censuses shows that the sectoral composition of jobs has changed little; macro-economic statistics show that the secondary sector (which is largely located in Bamako) did not grow – at least not in per capita terms.</w:t>
      </w:r>
    </w:p>
    <w:p w:rsidR="00565F30" w:rsidRPr="00E56625" w:rsidRDefault="00565F30" w:rsidP="00565F30">
      <w:pPr>
        <w:pStyle w:val="ListParagraph"/>
        <w:tabs>
          <w:tab w:val="left" w:pos="720"/>
        </w:tabs>
        <w:ind w:left="0"/>
        <w:rPr>
          <w:lang w:val="en-US"/>
        </w:rPr>
      </w:pPr>
    </w:p>
    <w:p w:rsidR="00565F30" w:rsidRPr="00E56625" w:rsidRDefault="003D20DD" w:rsidP="00D87258">
      <w:pPr>
        <w:pStyle w:val="ListParagraph"/>
        <w:numPr>
          <w:ilvl w:val="0"/>
          <w:numId w:val="13"/>
        </w:numPr>
        <w:tabs>
          <w:tab w:val="left" w:pos="720"/>
        </w:tabs>
        <w:ind w:left="0" w:firstLine="0"/>
        <w:rPr>
          <w:lang w:val="en-US"/>
        </w:rPr>
      </w:pPr>
      <w:r w:rsidRPr="00E56625">
        <w:rPr>
          <w:b/>
          <w:lang w:val="en-US"/>
        </w:rPr>
        <w:t>Higher levels of consumption in Bamako are largely explained by higher levels of education</w:t>
      </w:r>
      <w:r w:rsidRPr="00E56625">
        <w:rPr>
          <w:lang w:val="en-US"/>
        </w:rPr>
        <w:t>. Levels of consumption in Bamako are on average twice as high as elsewhere in the country. This can be attributed to levels of education being much higher in Bamako. Bamako also attracts the most qualified migrants (79 percent of internal migrants with a tertiary education end up in Bamako; by contrast only 55 percent of migrants with no education go to Bamako).</w:t>
      </w:r>
    </w:p>
    <w:p w:rsidR="00565F30" w:rsidRPr="00E56625" w:rsidRDefault="00565F30" w:rsidP="00565F30">
      <w:pPr>
        <w:pStyle w:val="ListParagraph"/>
        <w:rPr>
          <w:lang w:val="en-US"/>
        </w:rPr>
      </w:pPr>
    </w:p>
    <w:p w:rsidR="003D20DD" w:rsidRPr="00E56625" w:rsidRDefault="000471F6" w:rsidP="00D87258">
      <w:pPr>
        <w:pStyle w:val="ListParagraph"/>
        <w:numPr>
          <w:ilvl w:val="0"/>
          <w:numId w:val="13"/>
        </w:numPr>
        <w:tabs>
          <w:tab w:val="left" w:pos="720"/>
        </w:tabs>
        <w:ind w:left="0" w:firstLine="0"/>
        <w:rPr>
          <w:lang w:val="en-US"/>
        </w:rPr>
      </w:pPr>
      <w:r w:rsidRPr="000370E2">
        <w:rPr>
          <w:b/>
          <w:noProof/>
          <w:lang w:val="en-US"/>
        </w:rPr>
        <mc:AlternateContent>
          <mc:Choice Requires="wps">
            <w:drawing>
              <wp:anchor distT="0" distB="0" distL="114300" distR="114300" simplePos="0" relativeHeight="251693056" behindDoc="0" locked="0" layoutInCell="1" allowOverlap="1" wp14:anchorId="2AE843E6" wp14:editId="2B81925E">
                <wp:simplePos x="0" y="0"/>
                <wp:positionH relativeFrom="column">
                  <wp:posOffset>2216785</wp:posOffset>
                </wp:positionH>
                <wp:positionV relativeFrom="paragraph">
                  <wp:posOffset>1537970</wp:posOffset>
                </wp:positionV>
                <wp:extent cx="4165600" cy="3865880"/>
                <wp:effectExtent l="0" t="0" r="635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865880"/>
                        </a:xfrm>
                        <a:prstGeom prst="rect">
                          <a:avLst/>
                        </a:prstGeom>
                        <a:solidFill>
                          <a:srgbClr val="FFFFFF"/>
                        </a:solidFill>
                        <a:ln w="9525">
                          <a:noFill/>
                          <a:miter lim="800000"/>
                          <a:headEnd/>
                          <a:tailEnd/>
                        </a:ln>
                      </wps:spPr>
                      <wps:txbx>
                        <w:txbxContent>
                          <w:p w:rsidR="00B276C3" w:rsidRPr="00943A02" w:rsidRDefault="00B276C3" w:rsidP="003D20DD">
                            <w:pPr>
                              <w:autoSpaceDE w:val="0"/>
                              <w:autoSpaceDN w:val="0"/>
                              <w:adjustRightInd w:val="0"/>
                              <w:spacing w:after="120"/>
                              <w:jc w:val="center"/>
                              <w:rPr>
                                <w:b/>
                              </w:rPr>
                            </w:pPr>
                            <w:r w:rsidRPr="00943A02">
                              <w:rPr>
                                <w:b/>
                              </w:rPr>
                              <w:t>Figure 2: Livelihood zones identified for Mali</w:t>
                            </w:r>
                          </w:p>
                          <w:p w:rsidR="00B276C3" w:rsidRPr="00405A13" w:rsidRDefault="00B276C3" w:rsidP="003D20DD">
                            <w:pPr>
                              <w:spacing w:after="120"/>
                              <w:rPr>
                                <w:shd w:val="clear" w:color="auto" w:fill="FFFFFF"/>
                              </w:rPr>
                            </w:pPr>
                            <w:r w:rsidRPr="00DC3629">
                              <w:rPr>
                                <w:noProof/>
                                <w:lang w:val="en-US"/>
                              </w:rPr>
                              <w:drawing>
                                <wp:inline distT="0" distB="0" distL="0" distR="0" wp14:anchorId="1B0B74D3" wp14:editId="218D821E">
                                  <wp:extent cx="3841532" cy="3215014"/>
                                  <wp:effectExtent l="19050" t="19050" r="26035" b="2349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0675" cy="3231035"/>
                                          </a:xfrm>
                                          <a:prstGeom prst="rect">
                                            <a:avLst/>
                                          </a:prstGeom>
                                          <a:noFill/>
                                          <a:ln>
                                            <a:solidFill>
                                              <a:srgbClr val="000000"/>
                                            </a:solidFill>
                                          </a:ln>
                                        </pic:spPr>
                                      </pic:pic>
                                    </a:graphicData>
                                  </a:graphic>
                                </wp:inline>
                              </w:drawing>
                            </w:r>
                          </w:p>
                          <w:p w:rsidR="00B276C3" w:rsidRPr="00D666E4" w:rsidRDefault="00B276C3" w:rsidP="00D666E4">
                            <w:pPr>
                              <w:rPr>
                                <w:sz w:val="20"/>
                                <w:szCs w:val="20"/>
                              </w:rPr>
                            </w:pPr>
                            <w:r w:rsidRPr="00D666E4">
                              <w:rPr>
                                <w:sz w:val="20"/>
                                <w:szCs w:val="20"/>
                              </w:rPr>
                              <w:t>Source: FEWSNET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843E6" id="_x0000_t202" coordsize="21600,21600" o:spt="202" path="m,l,21600r21600,l21600,xe">
                <v:stroke joinstyle="miter"/>
                <v:path gradientshapeok="t" o:connecttype="rect"/>
              </v:shapetype>
              <v:shape id="Text Box 2" o:spid="_x0000_s1026" type="#_x0000_t202" style="position:absolute;left:0;text-align:left;margin-left:174.55pt;margin-top:121.1pt;width:328pt;height:30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23HwIAAB0EAAAOAAAAZHJzL2Uyb0RvYy54bWysU9tuGyEQfa/Uf0C817t2bddZeR2lTl1V&#10;Si9S0g9ggfWiAkMBezf9+gys41jpW1UeEMMMhzNnZtbXg9HkKH1QYGs6nZSUSMtBKLuv6c+H3bsV&#10;JSEyK5gGK2v6KAO93rx9s+5dJWfQgRbSEwSxoepdTbsYXVUUgXfSsDABJy06W/CGRTT9vhCe9Yhu&#10;dDEry2XRgxfOA5ch4O3t6KSbjN+2ksfvbRtkJLqmyC3m3ee9SXuxWbNq75nrFD/RYP/AwjBl8dMz&#10;1C2LjBy8+gvKKO4hQBsnHEwBbau4zDlgNtPyVTb3HXMy54LiBHeWKfw/WP7t+MMTJbB2KI9lBmv0&#10;IIdIPsJAZkme3oUKo+4dxsUBrzE0pxrcHfBfgVjYdszu5Y330HeSCaQ3TS+Li6cjTkggTf8VBH7D&#10;DhEy0NB6k7RDNQiiI4/Hc2kSFY6X8+lysSzRxdH3frVcrFa5eAWrnp87H+JnCYakQ0091j7Ds+Nd&#10;iIkOq55D0m8BtBI7pXU2/L7Zak+ODPtkl1fO4FWYtqSv6dVitsjIFtL73EJGRexjrUxNV2VaY2cl&#10;OT5ZkUMiU3o8IxNtT/okSUZx4tAMGJhEa0A8olIexn7F+cJDB/4PJT32ak3D7wPzkhL9xaLaV9P5&#10;PDV3NuaLDzM0/KWnufQwyxGqppGS8biNeSCSDhZusCqtynq9MDlxxR7MMp7mJTX5pZ2jXqZ68wQA&#10;AP//AwBQSwMEFAAGAAgAAAAhADNbe6DgAAAADAEAAA8AAABkcnMvZG93bnJldi54bWxMj91Og0AQ&#10;Ru9NfIfNmHhj7C4I/UGWRk003rb2AQaYApGdJey20Ld3e2UvZ+bkm/Pl29n04kyj6yxriBYKBHFl&#10;644bDYefz+c1COeRa+wtk4YLOdgW93c5ZrWdeEfnvW9ECGGXoYbW+yGT0lUtGXQLOxCH29GOBn0Y&#10;x0bWI04h3PQyVmopDXYcPrQ40EdL1e/+ZDQcv6endDOVX/6w2iXLd+xWpb1o/fgwv72C8DT7fxiu&#10;+kEdiuBU2hPXTvQaXpJNFFANcRLHIK6EUmlYlRrWaaRAFrm8LVH8AQAA//8DAFBLAQItABQABgAI&#10;AAAAIQC2gziS/gAAAOEBAAATAAAAAAAAAAAAAAAAAAAAAABbQ29udGVudF9UeXBlc10ueG1sUEsB&#10;Ai0AFAAGAAgAAAAhADj9If/WAAAAlAEAAAsAAAAAAAAAAAAAAAAALwEAAF9yZWxzLy5yZWxzUEsB&#10;Ai0AFAAGAAgAAAAhADgEnbcfAgAAHQQAAA4AAAAAAAAAAAAAAAAALgIAAGRycy9lMm9Eb2MueG1s&#10;UEsBAi0AFAAGAAgAAAAhADNbe6DgAAAADAEAAA8AAAAAAAAAAAAAAAAAeQQAAGRycy9kb3ducmV2&#10;LnhtbFBLBQYAAAAABAAEAPMAAACGBQAAAAA=&#10;" stroked="f">
                <v:textbox>
                  <w:txbxContent>
                    <w:p w:rsidR="00B276C3" w:rsidRPr="00943A02" w:rsidRDefault="00B276C3" w:rsidP="003D20DD">
                      <w:pPr>
                        <w:autoSpaceDE w:val="0"/>
                        <w:autoSpaceDN w:val="0"/>
                        <w:adjustRightInd w:val="0"/>
                        <w:spacing w:after="120"/>
                        <w:jc w:val="center"/>
                        <w:rPr>
                          <w:b/>
                        </w:rPr>
                      </w:pPr>
                      <w:r w:rsidRPr="00943A02">
                        <w:rPr>
                          <w:b/>
                        </w:rPr>
                        <w:t>Figure 2: Livelihood zones identified for Mali</w:t>
                      </w:r>
                    </w:p>
                    <w:p w:rsidR="00B276C3" w:rsidRPr="00405A13" w:rsidRDefault="00B276C3" w:rsidP="003D20DD">
                      <w:pPr>
                        <w:spacing w:after="120"/>
                        <w:rPr>
                          <w:shd w:val="clear" w:color="auto" w:fill="FFFFFF"/>
                        </w:rPr>
                      </w:pPr>
                      <w:r w:rsidRPr="00DC3629">
                        <w:rPr>
                          <w:noProof/>
                          <w:lang w:val="en-US"/>
                        </w:rPr>
                        <w:drawing>
                          <wp:inline distT="0" distB="0" distL="0" distR="0" wp14:anchorId="1B0B74D3" wp14:editId="218D821E">
                            <wp:extent cx="3841532" cy="3215014"/>
                            <wp:effectExtent l="19050" t="19050" r="26035" b="2349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675" cy="3231035"/>
                                    </a:xfrm>
                                    <a:prstGeom prst="rect">
                                      <a:avLst/>
                                    </a:prstGeom>
                                    <a:noFill/>
                                    <a:ln>
                                      <a:solidFill>
                                        <a:srgbClr val="000000"/>
                                      </a:solidFill>
                                    </a:ln>
                                  </pic:spPr>
                                </pic:pic>
                              </a:graphicData>
                            </a:graphic>
                          </wp:inline>
                        </w:drawing>
                      </w:r>
                    </w:p>
                    <w:p w:rsidR="00B276C3" w:rsidRPr="00D666E4" w:rsidRDefault="00B276C3" w:rsidP="00D666E4">
                      <w:pPr>
                        <w:rPr>
                          <w:sz w:val="20"/>
                          <w:szCs w:val="20"/>
                        </w:rPr>
                      </w:pPr>
                      <w:r w:rsidRPr="00D666E4">
                        <w:rPr>
                          <w:sz w:val="20"/>
                          <w:szCs w:val="20"/>
                        </w:rPr>
                        <w:t>Source: FEWSNET 2010.</w:t>
                      </w:r>
                    </w:p>
                  </w:txbxContent>
                </v:textbox>
                <w10:wrap type="square"/>
              </v:shape>
            </w:pict>
          </mc:Fallback>
        </mc:AlternateContent>
      </w:r>
      <w:r w:rsidR="003D20DD" w:rsidRPr="00E56625">
        <w:rPr>
          <w:b/>
          <w:lang w:val="en-US"/>
        </w:rPr>
        <w:t>Livelihoods in Mali vary from nomadic trade and pastoralism, to sedentary farming and fishing to living as city dweller and come with a clear spatial demarcation</w:t>
      </w:r>
      <w:r w:rsidR="003D20DD" w:rsidRPr="00E56625">
        <w:rPr>
          <w:lang w:val="en-US"/>
        </w:rPr>
        <w:t xml:space="preserve">. Rainfall is a decisive factor in identifying different rural livelihood areas as rainfall drives the degree of dependence on livestock herding in certain areas, the use of arable land in others and the degree of dependence on labor and other sources of income. Following the rainfall pattern, four broad livelihood areas are identified: (i) the dry area of the north, (ii) a transitional area stretching from Kayes in the west to the border with Niger in the east, (iii) the agricultural area of the south and (iv) various smaller areas defined by the potential to irrigate using water from the Niger river. Each of these areas can be further subdivided into a total of 12 rural livelihood zones and one urban livelihood zone (Bamako). </w:t>
      </w:r>
    </w:p>
    <w:p w:rsidR="003D4270" w:rsidRPr="00E56625" w:rsidRDefault="003D4270" w:rsidP="003D4270">
      <w:pPr>
        <w:pStyle w:val="ListParagraph"/>
        <w:tabs>
          <w:tab w:val="left" w:pos="720"/>
        </w:tabs>
        <w:ind w:left="0"/>
        <w:rPr>
          <w:lang w:val="en-US"/>
        </w:rPr>
      </w:pPr>
    </w:p>
    <w:p w:rsidR="003D20DD" w:rsidRPr="00E56625" w:rsidRDefault="003D20DD" w:rsidP="003D4270">
      <w:pPr>
        <w:pStyle w:val="ListParagraph"/>
        <w:numPr>
          <w:ilvl w:val="0"/>
          <w:numId w:val="14"/>
        </w:numPr>
        <w:ind w:left="360"/>
        <w:rPr>
          <w:lang w:val="en-US"/>
        </w:rPr>
      </w:pPr>
      <w:r w:rsidRPr="00E56625">
        <w:rPr>
          <w:i/>
          <w:lang w:val="en-US"/>
        </w:rPr>
        <w:t>In the dry area nomadism, transhumant pastoralism and long distance trade are dominant. Kidal, Gao and Tombouctou lie in this area.</w:t>
      </w:r>
      <w:r w:rsidRPr="00E56625">
        <w:rPr>
          <w:lang w:val="en-US"/>
        </w:rPr>
        <w:t xml:space="preserve"> Households living in this area have strong commercial and social ties with Algeria, but also with Niger, Burkina Faso and Mauritania (livelihood zones 1 &amp; 2 in Figure 2). </w:t>
      </w:r>
    </w:p>
    <w:p w:rsidR="000471F6" w:rsidRPr="00E56625" w:rsidRDefault="000471F6" w:rsidP="000471F6">
      <w:pPr>
        <w:pStyle w:val="ListParagraph"/>
        <w:rPr>
          <w:lang w:val="en-US"/>
        </w:rPr>
      </w:pPr>
    </w:p>
    <w:p w:rsidR="003D20DD" w:rsidRPr="00E56625" w:rsidRDefault="003D20DD" w:rsidP="003D4270">
      <w:pPr>
        <w:pStyle w:val="ListParagraph"/>
        <w:numPr>
          <w:ilvl w:val="0"/>
          <w:numId w:val="14"/>
        </w:numPr>
        <w:ind w:left="360"/>
        <w:rPr>
          <w:lang w:val="en-US"/>
        </w:rPr>
      </w:pPr>
      <w:r w:rsidRPr="00E56625">
        <w:rPr>
          <w:i/>
          <w:lang w:val="en-US"/>
        </w:rPr>
        <w:t>In the transitional area households rely on a mix of income derived from transhumant livestock rearing, remittances from migration and agriculture as rainfall is too low to make a living based on crop income alone.</w:t>
      </w:r>
      <w:r w:rsidRPr="00E56625">
        <w:rPr>
          <w:lang w:val="en-US"/>
        </w:rPr>
        <w:t xml:space="preserve"> The further south one goes in this area, the less the dependence on livestock and the greater the importance of cultivation. The location of this transitional zone means that it dominates the north-south commercial axis with grain moving from the south towards the food deficit dry area in the north, and with livestock and seasonal migrants moving from the north towards the south (livelihood zones 4, 5, 8 &amp; 9 in Figure 2).</w:t>
      </w:r>
    </w:p>
    <w:p w:rsidR="000471F6" w:rsidRPr="00E56625" w:rsidRDefault="000471F6" w:rsidP="000471F6">
      <w:pPr>
        <w:pStyle w:val="ListParagraph"/>
        <w:rPr>
          <w:lang w:val="en-US"/>
        </w:rPr>
      </w:pPr>
    </w:p>
    <w:p w:rsidR="003D20DD" w:rsidRPr="00E56625" w:rsidRDefault="003D20DD" w:rsidP="003D4270">
      <w:pPr>
        <w:pStyle w:val="ListParagraph"/>
        <w:numPr>
          <w:ilvl w:val="0"/>
          <w:numId w:val="14"/>
        </w:numPr>
        <w:ind w:left="360"/>
        <w:rPr>
          <w:lang w:val="en-US"/>
        </w:rPr>
      </w:pPr>
      <w:r w:rsidRPr="00E56625">
        <w:rPr>
          <w:i/>
          <w:lang w:val="en-US"/>
        </w:rPr>
        <w:t>The agricultural area in the south where farming is most productive.</w:t>
      </w:r>
      <w:r w:rsidRPr="00E56625">
        <w:rPr>
          <w:lang w:val="en-US"/>
        </w:rPr>
        <w:t xml:space="preserve"> Income from livestock is no longer important in this area as rainfall is adequate for households to fully depend on income from cultivation. The main crops grown are cereals (sorghum, millet and maize), cotton as well as fruits. It is the area with the highest population density but also the area with the largest number of poor people (livelihood zones 10, 11 &amp; 12 in Figure 2). </w:t>
      </w:r>
    </w:p>
    <w:p w:rsidR="000471F6" w:rsidRPr="00E56625" w:rsidRDefault="000471F6" w:rsidP="000471F6">
      <w:pPr>
        <w:pStyle w:val="ListParagraph"/>
        <w:rPr>
          <w:lang w:val="en-US"/>
        </w:rPr>
      </w:pPr>
    </w:p>
    <w:p w:rsidR="003D20DD" w:rsidRPr="00E56625" w:rsidRDefault="003D20DD" w:rsidP="003D4270">
      <w:pPr>
        <w:pStyle w:val="ListParagraph"/>
        <w:numPr>
          <w:ilvl w:val="0"/>
          <w:numId w:val="14"/>
        </w:numPr>
        <w:ind w:left="360"/>
        <w:rPr>
          <w:lang w:val="en-US"/>
        </w:rPr>
      </w:pPr>
      <w:r w:rsidRPr="00E56625">
        <w:rPr>
          <w:i/>
          <w:lang w:val="en-US"/>
        </w:rPr>
        <w:t>The potential to irrigate defines the last livelihood area.</w:t>
      </w:r>
      <w:r w:rsidRPr="00E56625">
        <w:rPr>
          <w:lang w:val="en-US"/>
        </w:rPr>
        <w:t xml:space="preserve"> This area includes the fluvial basin of the Niger stretching from Tombouctou to the international border between Mali and Niger, it includes the de</w:t>
      </w:r>
      <w:r w:rsidR="00E703F0" w:rsidRPr="00E56625">
        <w:rPr>
          <w:lang w:val="en-US"/>
        </w:rPr>
        <w:t xml:space="preserve">lta stretching from Tombouctou </w:t>
      </w:r>
      <w:r w:rsidRPr="00E56625">
        <w:rPr>
          <w:lang w:val="en-US"/>
        </w:rPr>
        <w:t>to south of Mopti as well as the Office du Niger, a manmade irrigation scheme reclaimed from the Sahel by irrigation canals and dams (livelihood zones 3, 6 &amp; 7 in Figure 2).</w:t>
      </w:r>
    </w:p>
    <w:p w:rsidR="000471F6" w:rsidRPr="00E56625" w:rsidRDefault="000471F6" w:rsidP="000471F6">
      <w:pPr>
        <w:pStyle w:val="ListParagraph"/>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Livelihood areas not only characterize the ways household earn a living, they are associated with other factors such as population density and household size.</w:t>
      </w:r>
      <w:r w:rsidRPr="00E56625">
        <w:rPr>
          <w:lang w:val="en-US"/>
        </w:rPr>
        <w:t xml:space="preserve"> Population density increases with the productivity of the land and varies from less than 2 inhabitants / </w:t>
      </w:r>
      <w:r w:rsidR="00C8297A" w:rsidRPr="00C8297A">
        <w:rPr>
          <w:lang w:val="en-US"/>
        </w:rPr>
        <w:t>km</w:t>
      </w:r>
      <w:r w:rsidR="00C8297A" w:rsidRPr="00E56625">
        <w:rPr>
          <w:vertAlign w:val="superscript"/>
          <w:lang w:val="en-US"/>
        </w:rPr>
        <w:t>2</w:t>
      </w:r>
      <w:r w:rsidRPr="00E56625">
        <w:rPr>
          <w:lang w:val="en-US"/>
        </w:rPr>
        <w:t xml:space="preserve"> in the dry and inhospitable livelihood area of the north, to 18 in the transitional area to over 52 inhabitants / </w:t>
      </w:r>
      <w:r w:rsidR="00C8297A" w:rsidRPr="00C8297A">
        <w:rPr>
          <w:lang w:val="en-US"/>
        </w:rPr>
        <w:t>km</w:t>
      </w:r>
      <w:r w:rsidR="00C8297A" w:rsidRPr="00E56625">
        <w:rPr>
          <w:vertAlign w:val="superscript"/>
          <w:lang w:val="en-US"/>
        </w:rPr>
        <w:t>2</w:t>
      </w:r>
      <w:r w:rsidRPr="00E56625">
        <w:rPr>
          <w:lang w:val="en-US"/>
        </w:rPr>
        <w:t xml:space="preserve"> in southern Mali. Livelihood zones with irrigation potential have higher levels of population density than their surrounding areas: 27 inhabitants / </w:t>
      </w:r>
      <w:r w:rsidR="00C8297A" w:rsidRPr="00C8297A">
        <w:rPr>
          <w:lang w:val="en-US"/>
        </w:rPr>
        <w:t>km</w:t>
      </w:r>
      <w:r w:rsidR="00C8297A" w:rsidRPr="00E56625">
        <w:rPr>
          <w:vertAlign w:val="superscript"/>
          <w:lang w:val="en-US"/>
        </w:rPr>
        <w:t>2</w:t>
      </w:r>
      <w:r w:rsidRPr="00E56625">
        <w:rPr>
          <w:lang w:val="en-US"/>
        </w:rPr>
        <w:t xml:space="preserve"> in zone 3 along the borders of the river Niger as opposed to 1.9 in zone 2 through which the river flows; 33 inhabitants / </w:t>
      </w:r>
      <w:r w:rsidR="00C8297A" w:rsidRPr="00C8297A">
        <w:rPr>
          <w:lang w:val="en-US"/>
        </w:rPr>
        <w:t>km</w:t>
      </w:r>
      <w:r w:rsidR="00C8297A" w:rsidRPr="00E56625">
        <w:rPr>
          <w:vertAlign w:val="superscript"/>
          <w:lang w:val="en-US"/>
        </w:rPr>
        <w:t>2</w:t>
      </w:r>
      <w:r w:rsidRPr="00E56625">
        <w:rPr>
          <w:lang w:val="en-US"/>
        </w:rPr>
        <w:t xml:space="preserve"> in zone 6, the Niger delta as opposed to 7.7 in zone 4 in which the delta lies; 181 inhabitants / </w:t>
      </w:r>
      <w:r w:rsidR="00C8297A" w:rsidRPr="00C8297A">
        <w:rPr>
          <w:lang w:val="en-US"/>
        </w:rPr>
        <w:t>km</w:t>
      </w:r>
      <w:r w:rsidR="00C8297A" w:rsidRPr="00E56625">
        <w:rPr>
          <w:vertAlign w:val="superscript"/>
          <w:lang w:val="en-US"/>
        </w:rPr>
        <w:t>2</w:t>
      </w:r>
      <w:r w:rsidRPr="00E56625">
        <w:rPr>
          <w:lang w:val="en-US"/>
        </w:rPr>
        <w:t xml:space="preserve"> in the Office du Niger as opposed to 28 in the surrounding livelihood zones. Family size is also correlated with the different types of livelihood. The largest families (around 11 household members) are found in the southern agricultural area and smaller families (average household size of 7 to 8) in zones where fisheries and commerce are dominant (the dry area and zones with irrigation potential). The presence of large families in livelihood zones where agriculture is dominant is explained by the fact that labor markets function poorly (a characteristic common to all land-abundant tropical, rain-fed agriculture), which in combination with very high demands for labor during the short planting season, creates a preference for family labor.</w:t>
      </w:r>
    </w:p>
    <w:p w:rsidR="003D20DD" w:rsidRPr="00E56625" w:rsidRDefault="003D20DD" w:rsidP="00D87258">
      <w:pPr>
        <w:pStyle w:val="ListParagraph"/>
        <w:numPr>
          <w:ilvl w:val="0"/>
          <w:numId w:val="13"/>
        </w:numPr>
        <w:tabs>
          <w:tab w:val="left" w:pos="720"/>
        </w:tabs>
        <w:ind w:left="0" w:firstLine="0"/>
        <w:rPr>
          <w:lang w:val="en-US"/>
        </w:rPr>
      </w:pPr>
      <w:r w:rsidRPr="000370E2">
        <w:rPr>
          <w:b/>
          <w:noProof/>
          <w:lang w:val="en-US"/>
        </w:rPr>
        <mc:AlternateContent>
          <mc:Choice Requires="wps">
            <w:drawing>
              <wp:anchor distT="0" distB="0" distL="114300" distR="114300" simplePos="0" relativeHeight="251692032" behindDoc="0" locked="0" layoutInCell="1" allowOverlap="1" wp14:anchorId="24D8E263" wp14:editId="2F71B952">
                <wp:simplePos x="0" y="0"/>
                <wp:positionH relativeFrom="column">
                  <wp:posOffset>2061845</wp:posOffset>
                </wp:positionH>
                <wp:positionV relativeFrom="paragraph">
                  <wp:posOffset>1203325</wp:posOffset>
                </wp:positionV>
                <wp:extent cx="4070350" cy="1403985"/>
                <wp:effectExtent l="0" t="0" r="635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1403985"/>
                        </a:xfrm>
                        <a:prstGeom prst="rect">
                          <a:avLst/>
                        </a:prstGeom>
                        <a:solidFill>
                          <a:srgbClr val="FFFFFF"/>
                        </a:solidFill>
                        <a:ln w="9525">
                          <a:noFill/>
                          <a:miter lim="800000"/>
                          <a:headEnd/>
                          <a:tailEnd/>
                        </a:ln>
                      </wps:spPr>
                      <wps:txbx>
                        <w:txbxContent>
                          <w:p w:rsidR="00B276C3" w:rsidRDefault="00B276C3" w:rsidP="003D20DD">
                            <w:pPr>
                              <w:spacing w:after="120"/>
                              <w:jc w:val="center"/>
                              <w:rPr>
                                <w:shd w:val="clear" w:color="auto" w:fill="FFFFFF"/>
                              </w:rPr>
                            </w:pPr>
                            <w:r w:rsidRPr="00943A02">
                              <w:rPr>
                                <w:b/>
                              </w:rPr>
                              <w:t>Figure 3: Access to Markets</w:t>
                            </w:r>
                            <w:r w:rsidRPr="00DC3629">
                              <w:rPr>
                                <w:shd w:val="clear" w:color="auto" w:fill="FFFFFF"/>
                              </w:rPr>
                              <w:t>.</w:t>
                            </w:r>
                          </w:p>
                          <w:p w:rsidR="00B276C3" w:rsidRPr="00405A13" w:rsidRDefault="00B276C3" w:rsidP="003D20DD">
                            <w:pPr>
                              <w:spacing w:after="120"/>
                              <w:jc w:val="center"/>
                              <w:rPr>
                                <w:shd w:val="clear" w:color="auto" w:fill="FFFFFF"/>
                              </w:rPr>
                            </w:pPr>
                            <w:r w:rsidRPr="00405A13">
                              <w:rPr>
                                <w:noProof/>
                                <w:lang w:val="en-US"/>
                              </w:rPr>
                              <w:drawing>
                                <wp:inline distT="0" distB="0" distL="0" distR="0" wp14:anchorId="4CC58CF8" wp14:editId="51BDD84A">
                                  <wp:extent cx="3810000" cy="3841750"/>
                                  <wp:effectExtent l="0" t="0" r="0" b="6350"/>
                                  <wp:docPr id="66" name="Picture 66" descr="C:\Users\wb198498\Documents\Mali\Analysis\market access\mli_accessibility_route2009acc_lowdst_livelihood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8498\Documents\Mali\Analysis\market access\mli_accessibility_route2009acc_lowdst_livelihoods_v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343" cy="3842096"/>
                                          </a:xfrm>
                                          <a:prstGeom prst="rect">
                                            <a:avLst/>
                                          </a:prstGeom>
                                          <a:noFill/>
                                          <a:ln>
                                            <a:noFill/>
                                          </a:ln>
                                        </pic:spPr>
                                      </pic:pic>
                                    </a:graphicData>
                                  </a:graphic>
                                </wp:inline>
                              </w:drawing>
                            </w:r>
                          </w:p>
                          <w:p w:rsidR="00B276C3" w:rsidRPr="00943A02" w:rsidRDefault="00B276C3" w:rsidP="00D666E4">
                            <w:pPr>
                              <w:rPr>
                                <w:sz w:val="20"/>
                                <w:szCs w:val="20"/>
                              </w:rPr>
                            </w:pPr>
                            <w:r w:rsidRPr="00405A13">
                              <w:rPr>
                                <w:sz w:val="20"/>
                                <w:szCs w:val="20"/>
                              </w:rPr>
                              <w:t>Source: RGPH 2009. Authors’ calculations.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8E263" id="_x0000_s1027" type="#_x0000_t202" style="position:absolute;left:0;text-align:left;margin-left:162.35pt;margin-top:94.75pt;width:320.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bPIgIAACMEAAAOAAAAZHJzL2Uyb0RvYy54bWysU81u2zAMvg/YOwi6L3bSZE2MOEWXLsOA&#10;7gdo9wC0LMfCZFGTlNjd04+S0zTbbsN0EEiR/ER+JNc3Q6fZUTqv0JR8Osk5k0Zgrcy+5N8ed2+W&#10;nPkApgaNRpb8SXp+s3n9at3bQs6wRV1LxwjE+KK3JW9DsEWWedHKDvwErTRkbNB1EEh1+6x20BN6&#10;p7NZnr/NenS1dSik9/R6Nxr5JuE3jRThS9N4GZguOeUW0u3SXcU726yh2DuwrRKnNOAfsuhAGfr0&#10;DHUHAdjBqb+gOiUcemzCRGCXYdMoIVMNVM00/6OahxasTLUQOd6eafL/D1Z8Pn51TNUlX3FmoKMW&#10;PcohsHc4sFlkp7e+IKcHS25hoGfqcqrU23sU3z0zuG3B7OWtc9i3EmrKbhojs4vQEcdHkKr/hDV9&#10;A4eACWhoXBepIzIYoVOXns6diakIepzn1/nVgkyCbNN5frVaLtIfUDyHW+fDB4kdi0LJHbU+wcPx&#10;3oeYDhTPLvE3j1rVO6V1Uty+2mrHjkBjskvnhP6bmzasJ6IWs0VCNhjj0wR1KtAYa9WVfJnHE8Oh&#10;iHS8N3WSAyg9ypSJNid+IiUjOWGohtSIRF7krsL6iQhzOE4tbRkJLbqfnPU0sSX3Pw7gJGf6oyHS&#10;V9P5PI54UuaL6xkp7tJSXVrACIIqeeBsFLchrUWiw95Sc3Yq0faSySllmsTE5mlr4qhf6snrZbc3&#10;vwAAAP//AwBQSwMEFAAGAAgAAAAhAFgkbTLgAAAACwEAAA8AAABkcnMvZG93bnJldi54bWxMj8FO&#10;wzAMhu9IvENkJG4s3VjLVppOExMXDkgMpO2YNWlT0ThRknXl7TEndrT/T78/V5vJDmzUIfYOBcxn&#10;GTCNjVM9dgK+Pl8fVsBikqjk4FAL+NERNvXtTSVL5S74ocd96hiVYCylAJOSLzmPjdFWxpnzGilr&#10;XbAy0Rg6roK8ULkd+CLLCm5lj3TBSK9fjG6+92cr4GBNr3bh/diqYdy9tdvcT8ELcX83bZ+BJT2l&#10;fxj+9EkdanI6uTOqyAYBj4vlE6EUrNY5MCLWRU6bk4DlPCuA1xW//qH+BQAA//8DAFBLAQItABQA&#10;BgAIAAAAIQC2gziS/gAAAOEBAAATAAAAAAAAAAAAAAAAAAAAAABbQ29udGVudF9UeXBlc10ueG1s&#10;UEsBAi0AFAAGAAgAAAAhADj9If/WAAAAlAEAAAsAAAAAAAAAAAAAAAAALwEAAF9yZWxzLy5yZWxz&#10;UEsBAi0AFAAGAAgAAAAhABJIls8iAgAAIwQAAA4AAAAAAAAAAAAAAAAALgIAAGRycy9lMm9Eb2Mu&#10;eG1sUEsBAi0AFAAGAAgAAAAhAFgkbTLgAAAACwEAAA8AAAAAAAAAAAAAAAAAfAQAAGRycy9kb3du&#10;cmV2LnhtbFBLBQYAAAAABAAEAPMAAACJBQAAAAA=&#10;" stroked="f">
                <v:textbox style="mso-fit-shape-to-text:t">
                  <w:txbxContent>
                    <w:p w:rsidR="00B276C3" w:rsidRDefault="00B276C3" w:rsidP="003D20DD">
                      <w:pPr>
                        <w:spacing w:after="120"/>
                        <w:jc w:val="center"/>
                        <w:rPr>
                          <w:shd w:val="clear" w:color="auto" w:fill="FFFFFF"/>
                        </w:rPr>
                      </w:pPr>
                      <w:r w:rsidRPr="00943A02">
                        <w:rPr>
                          <w:b/>
                        </w:rPr>
                        <w:t>Figure 3: Access to Markets</w:t>
                      </w:r>
                      <w:r w:rsidRPr="00DC3629">
                        <w:rPr>
                          <w:shd w:val="clear" w:color="auto" w:fill="FFFFFF"/>
                        </w:rPr>
                        <w:t>.</w:t>
                      </w:r>
                    </w:p>
                    <w:p w:rsidR="00B276C3" w:rsidRPr="00405A13" w:rsidRDefault="00B276C3" w:rsidP="003D20DD">
                      <w:pPr>
                        <w:spacing w:after="120"/>
                        <w:jc w:val="center"/>
                        <w:rPr>
                          <w:shd w:val="clear" w:color="auto" w:fill="FFFFFF"/>
                        </w:rPr>
                      </w:pPr>
                      <w:r w:rsidRPr="00405A13">
                        <w:rPr>
                          <w:noProof/>
                          <w:lang w:val="en-US"/>
                        </w:rPr>
                        <w:drawing>
                          <wp:inline distT="0" distB="0" distL="0" distR="0" wp14:anchorId="4CC58CF8" wp14:editId="51BDD84A">
                            <wp:extent cx="3810000" cy="3841750"/>
                            <wp:effectExtent l="0" t="0" r="0" b="6350"/>
                            <wp:docPr id="66" name="Picture 66" descr="C:\Users\wb198498\Documents\Mali\Analysis\market access\mli_accessibility_route2009acc_lowdst_livelihood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8498\Documents\Mali\Analysis\market access\mli_accessibility_route2009acc_lowdst_livelihoods_v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343" cy="3842096"/>
                                    </a:xfrm>
                                    <a:prstGeom prst="rect">
                                      <a:avLst/>
                                    </a:prstGeom>
                                    <a:noFill/>
                                    <a:ln>
                                      <a:noFill/>
                                    </a:ln>
                                  </pic:spPr>
                                </pic:pic>
                              </a:graphicData>
                            </a:graphic>
                          </wp:inline>
                        </w:drawing>
                      </w:r>
                    </w:p>
                    <w:p w:rsidR="00B276C3" w:rsidRPr="00943A02" w:rsidRDefault="00B276C3" w:rsidP="00D666E4">
                      <w:pPr>
                        <w:rPr>
                          <w:sz w:val="20"/>
                          <w:szCs w:val="20"/>
                        </w:rPr>
                      </w:pPr>
                      <w:r w:rsidRPr="00405A13">
                        <w:rPr>
                          <w:sz w:val="20"/>
                          <w:szCs w:val="20"/>
                        </w:rPr>
                        <w:t>Source: RGPH 2009. Authors’ calculations.</w:t>
                      </w:r>
                    </w:p>
                  </w:txbxContent>
                </v:textbox>
                <w10:wrap type="square"/>
              </v:shape>
            </w:pict>
          </mc:Fallback>
        </mc:AlternateContent>
      </w:r>
      <w:r w:rsidRPr="00E56625">
        <w:rPr>
          <w:b/>
          <w:lang w:val="en-US"/>
        </w:rPr>
        <w:t>Access to markets, seasonal variations in consumption and differences in malnutrition are associated with different livelihood zones</w:t>
      </w:r>
      <w:r w:rsidRPr="00E56625">
        <w:rPr>
          <w:lang w:val="en-US"/>
        </w:rPr>
        <w:t xml:space="preserve">. Access to markets (calculated as the number of consumers that can be reached within a given time frame) is best around the urban centers of south Mali (Figure 3), it is relatively good in the high agricultural potential areas of the south and poor in all other areas. The livelihood area with (irrigated) agricultural potential in the north such as the fluvial basin of the Niger (zone 3) and the Niger delta (zone 6) are characterized by limited market access. Differences in market access are, in turn, associated with differences in consumption vulnerability, which is the combined effect of low average levels of consumption and seasonal differences in consumption (possibly because the poorest who depend on food purchases pay higher prices in isolated areas). Of particular concern is the variation that occurs in the northern livelihood zones in which households practice agriculture (zones 3, 4, 5 and 6) but not in the desert (zones 1 and 2) where –at least prior to the security crisis,  levels of household consumption were relatively elevated and its seasonal variation limited. The northern agricultural zones are also the zones where levels of acute malnutrition (wasting) are highest. By contrast, levels of chronic malnutrition (stunting) are particularly high in the southern parts of the country, where households rely almost exclusively on income from farming and where little animal protein is consumed. </w:t>
      </w:r>
    </w:p>
    <w:p w:rsidR="003D20DD" w:rsidRPr="00E56625" w:rsidRDefault="003D20DD" w:rsidP="00586F0A">
      <w:pPr>
        <w:spacing w:before="280"/>
        <w:rPr>
          <w:rFonts w:ascii="Times New Roman Bold" w:hAnsi="Times New Roman Bold"/>
          <w:b/>
          <w:color w:val="1F497D" w:themeColor="text2"/>
          <w:sz w:val="28"/>
          <w:szCs w:val="28"/>
          <w:lang w:val="en-US"/>
        </w:rPr>
      </w:pPr>
      <w:r w:rsidRPr="00E56625">
        <w:rPr>
          <w:rFonts w:ascii="Times New Roman Bold" w:hAnsi="Times New Roman Bold"/>
          <w:b/>
          <w:color w:val="1F497D" w:themeColor="text2"/>
          <w:sz w:val="28"/>
          <w:szCs w:val="28"/>
          <w:lang w:val="en-US"/>
        </w:rPr>
        <w:t>Poverty and Inequality</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Between 2001 and 2010 poverty as well as inequality decreased rapidly. Poverty incidence declined from 51 percent to 41 percent; the Gini coefficient dropped from 0.40 to 0.33</w:t>
      </w:r>
      <w:r w:rsidRPr="00E56625">
        <w:rPr>
          <w:lang w:val="en-US"/>
        </w:rPr>
        <w:t xml:space="preserve">. Despite the decline in poverty incidence the number of poor increased by around 360,000 as a consequence of Mali’s high population growth. The number of non-poor increased by approximately 3 million. </w:t>
      </w:r>
    </w:p>
    <w:p w:rsidR="003E0523" w:rsidRPr="00E56625" w:rsidRDefault="003E0523" w:rsidP="003E052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The evolution of poverty since 2010 is not clear. In 2001, 2006 and 2010 EMEP/ELIM surveys collected comparable consumption information from w</w:t>
      </w:r>
      <w:r w:rsidR="008120D1">
        <w:rPr>
          <w:b/>
          <w:lang w:val="en-US"/>
        </w:rPr>
        <w:t xml:space="preserve">hich </w:t>
      </w:r>
      <w:r w:rsidRPr="00E56625">
        <w:rPr>
          <w:b/>
          <w:lang w:val="en-US"/>
        </w:rPr>
        <w:t>poverty estimates could be derived.</w:t>
      </w:r>
      <w:r w:rsidRPr="00E56625">
        <w:rPr>
          <w:lang w:val="en-US"/>
        </w:rPr>
        <w:t xml:space="preserve"> </w:t>
      </w:r>
      <w:r w:rsidR="00C8297A">
        <w:rPr>
          <w:lang w:val="en-US"/>
        </w:rPr>
        <w:t xml:space="preserve"> </w:t>
      </w:r>
      <w:r w:rsidRPr="00E56625">
        <w:rPr>
          <w:lang w:val="en-US"/>
        </w:rPr>
        <w:t>In 2011 and 2013 EMOP surveys were fielded which collect consumption information differently. Consequently poverty estimates before and after 2010 should not be compared. A comparison of information from EMOP 2011 and 2013 suggest</w:t>
      </w:r>
      <w:r w:rsidR="008120D1">
        <w:rPr>
          <w:lang w:val="en-US"/>
        </w:rPr>
        <w:t>s</w:t>
      </w:r>
      <w:r w:rsidRPr="00E56625">
        <w:rPr>
          <w:lang w:val="en-US"/>
        </w:rPr>
        <w:t xml:space="preserve"> that in south Mali (the north was not covered by EMOP 2013) per capita consumption declined by 10 percentage points. Macro data and predictions from a general equilibrium model of the economy contradict this and suggest consumption declined by 2 percent per capita. Depending on which estimates are used to predict poverty starting from the latest comparable survey, one finds that all gains in poverty reduction were wiped out (poverty incidence returned to 51 percent) or that there was hardly any change since 2010. The EMOP data for 2013 are preliminary and it is critical that a final dataset becomes available. It is even more important that a survey is fielded that collects consumption information that is comparable to what was collected by EMEP/ELIM.</w:t>
      </w:r>
    </w:p>
    <w:p w:rsidR="003E0523" w:rsidRPr="00E56625" w:rsidRDefault="003E0523" w:rsidP="003E052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0370E2">
        <w:rPr>
          <w:b/>
          <w:noProof/>
          <w:lang w:val="en-US"/>
        </w:rPr>
        <mc:AlternateContent>
          <mc:Choice Requires="wps">
            <w:drawing>
              <wp:anchor distT="0" distB="0" distL="114300" distR="114300" simplePos="0" relativeHeight="251694080" behindDoc="0" locked="0" layoutInCell="1" allowOverlap="1" wp14:anchorId="38DF51F6" wp14:editId="6A5815AB">
                <wp:simplePos x="0" y="0"/>
                <wp:positionH relativeFrom="column">
                  <wp:posOffset>1744345</wp:posOffset>
                </wp:positionH>
                <wp:positionV relativeFrom="paragraph">
                  <wp:posOffset>1189355</wp:posOffset>
                </wp:positionV>
                <wp:extent cx="4286885" cy="3959225"/>
                <wp:effectExtent l="0" t="0" r="0"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3959225"/>
                        </a:xfrm>
                        <a:prstGeom prst="rect">
                          <a:avLst/>
                        </a:prstGeom>
                        <a:noFill/>
                        <a:ln w="9525">
                          <a:noFill/>
                          <a:miter lim="800000"/>
                          <a:headEnd/>
                          <a:tailEnd/>
                        </a:ln>
                      </wps:spPr>
                      <wps:txbx>
                        <w:txbxContent>
                          <w:p w:rsidR="00B276C3" w:rsidRPr="008C5C4E" w:rsidRDefault="00B276C3" w:rsidP="003D20DD">
                            <w:pPr>
                              <w:spacing w:after="120"/>
                              <w:jc w:val="center"/>
                              <w:rPr>
                                <w:shd w:val="clear" w:color="auto" w:fill="FFFFFF"/>
                              </w:rPr>
                            </w:pPr>
                            <w:r w:rsidRPr="008C5C4E">
                              <w:rPr>
                                <w:b/>
                              </w:rPr>
                              <w:t>Figure 4: Growth incidence curve national level: 2001-2010</w:t>
                            </w:r>
                            <w:r>
                              <w:rPr>
                                <w:shd w:val="clear" w:color="auto" w:fill="FFFFFF"/>
                              </w:rPr>
                              <w:t>(*)</w:t>
                            </w:r>
                          </w:p>
                          <w:p w:rsidR="00B276C3" w:rsidRPr="00405A13" w:rsidRDefault="00B276C3" w:rsidP="003D20DD">
                            <w:pPr>
                              <w:spacing w:after="120"/>
                              <w:rPr>
                                <w:shd w:val="clear" w:color="auto" w:fill="FFFFFF"/>
                              </w:rPr>
                            </w:pPr>
                            <w:r w:rsidRPr="008C5C4E">
                              <w:rPr>
                                <w:noProof/>
                                <w:lang w:val="en-US"/>
                              </w:rPr>
                              <w:drawing>
                                <wp:inline distT="0" distB="0" distL="0" distR="0" wp14:anchorId="7B1F72AF" wp14:editId="007FA1AF">
                                  <wp:extent cx="4088921" cy="3174486"/>
                                  <wp:effectExtent l="0" t="0" r="698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4252" cy="3178625"/>
                                          </a:xfrm>
                                          <a:prstGeom prst="rect">
                                            <a:avLst/>
                                          </a:prstGeom>
                                          <a:noFill/>
                                          <a:ln>
                                            <a:noFill/>
                                          </a:ln>
                                        </pic:spPr>
                                      </pic:pic>
                                    </a:graphicData>
                                  </a:graphic>
                                </wp:inline>
                              </w:drawing>
                            </w:r>
                          </w:p>
                          <w:p w:rsidR="00B276C3" w:rsidRPr="00A203B7" w:rsidRDefault="00B276C3" w:rsidP="003D20DD">
                            <w:pPr>
                              <w:pStyle w:val="MainParawithChapter"/>
                              <w:spacing w:after="0"/>
                              <w:rPr>
                                <w:sz w:val="20"/>
                                <w:szCs w:val="22"/>
                              </w:rPr>
                            </w:pPr>
                            <w:r w:rsidRPr="00A203B7">
                              <w:rPr>
                                <w:sz w:val="20"/>
                                <w:szCs w:val="22"/>
                              </w:rPr>
                              <w:t>(*) The band around the line represents the 95% confidence interval</w:t>
                            </w:r>
                          </w:p>
                          <w:p w:rsidR="00B276C3" w:rsidRPr="00DC3629" w:rsidRDefault="00B276C3" w:rsidP="003D20DD">
                            <w:pPr>
                              <w:pStyle w:val="MainParawithChapter"/>
                              <w:spacing w:after="120"/>
                              <w:rPr>
                                <w:sz w:val="22"/>
                                <w:szCs w:val="22"/>
                              </w:rPr>
                            </w:pPr>
                            <w:r w:rsidRPr="00DC3629">
                              <w:rPr>
                                <w:sz w:val="22"/>
                                <w:szCs w:val="22"/>
                              </w:rPr>
                              <w:t xml:space="preserve">Source: EMEP 2001, ELIM 2006 and ELIM 2010. Authors’ calculations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F51F6" id="_x0000_s1028" type="#_x0000_t202" style="position:absolute;left:0;text-align:left;margin-left:137.35pt;margin-top:93.65pt;width:337.55pt;height:3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bDQIAAPsDAAAOAAAAZHJzL2Uyb0RvYy54bWysU9tu2zAMfR+wfxD0vjjxki4x4hRduw4D&#10;ugvQ7gMYWY6FSaImKbG7rx8lJ1nQvQ3Tg0CJ1CHPIbW+HoxmB+mDQlvz2WTKmbQCG2V3Nf/+dP9m&#10;yVmIYBvQaGXNn2Xg15vXr9a9q2SJHepGekYgNlS9q3kXo6uKIohOGggTdNKSs0VvINLR74rGQ0/o&#10;RhfldHpV9Ogb51HIEOj2bnTyTcZvWyni17YNMjJdc6ot5t3nfZv2YrOGaufBdUocy4B/qMKAspT0&#10;DHUHEdjeq7+gjBIeA7ZxItAU2LZKyMyB2MymL9g8duBk5kLiBHeWKfw/WPHl8M0z1dS8LDmzYKhH&#10;T3KI7D0OrEzy9C5UFPXoKC4OdE1tzlSDe0DxIzCLtx3YnbzxHvtOQkPlzdLL4uLpiBMSyLb/jA2l&#10;gX3EDDS03iTtSA1G6NSm53NrUimCLufl8mq5XHAmyPd2tViV5SLngOr03PkQP0o0LBk199T7DA+H&#10;hxBTOVCdQlI2i/dK69x/bVlf89WCIF94jIo0nlqZmi+naY0Dk1h+sE1+HEHp0aYE2h5pJ6Yj5zhs&#10;h1Hgk5pbbJ5JB4/jNNLvIaND/4uzniax5uHnHrzkTH+ypOVqNp+n0c2H+eJdSQd/6dleesAKgqp5&#10;5Gw0b2Me95HYDWneqqxGas5YybFkmrAs0vE3pBG+POeoP3928xsAAP//AwBQSwMEFAAGAAgAAAAh&#10;ANBHrM/fAAAACwEAAA8AAABkcnMvZG93bnJldi54bWxMj8tOwzAQRfdI/IM1SOyo3RLIgzgVArEF&#10;tdBK7Nx4mkTE4yh2m/D3DCtYju7RnXPL9ex6ccYxdJ40LBcKBFLtbUeNho/3l5sMRIiGrOk9oYZv&#10;DLCuLi9KU1g/0QbP29gILqFQGA1tjEMhZahbdCYs/IDE2dGPzkQ+x0ba0Uxc7nq5UupeOtMRf2jN&#10;gE8t1l/bk9Owez1+7hP11jy7u2Hys5Lkcqn19dX8+AAi4hz/YPjVZ3Wo2OngT2SD6DWs0iRllIMs&#10;vQXBRJ7kPOagIVuqDGRVyv8bqh8AAAD//wMAUEsBAi0AFAAGAAgAAAAhALaDOJL+AAAA4QEAABMA&#10;AAAAAAAAAAAAAAAAAAAAAFtDb250ZW50X1R5cGVzXS54bWxQSwECLQAUAAYACAAAACEAOP0h/9YA&#10;AACUAQAACwAAAAAAAAAAAAAAAAAvAQAAX3JlbHMvLnJlbHNQSwECLQAUAAYACAAAACEAv2R5mw0C&#10;AAD7AwAADgAAAAAAAAAAAAAAAAAuAgAAZHJzL2Uyb0RvYy54bWxQSwECLQAUAAYACAAAACEA0Ees&#10;z98AAAALAQAADwAAAAAAAAAAAAAAAABnBAAAZHJzL2Rvd25yZXYueG1sUEsFBgAAAAAEAAQA8wAA&#10;AHMFAAAAAA==&#10;" filled="f" stroked="f">
                <v:textbox>
                  <w:txbxContent>
                    <w:p w:rsidR="00B276C3" w:rsidRPr="008C5C4E" w:rsidRDefault="00B276C3" w:rsidP="003D20DD">
                      <w:pPr>
                        <w:spacing w:after="120"/>
                        <w:jc w:val="center"/>
                        <w:rPr>
                          <w:shd w:val="clear" w:color="auto" w:fill="FFFFFF"/>
                        </w:rPr>
                      </w:pPr>
                      <w:r w:rsidRPr="008C5C4E">
                        <w:rPr>
                          <w:b/>
                        </w:rPr>
                        <w:t>Figure 4: Growth incidence curve national level: 2001-2010</w:t>
                      </w:r>
                      <w:r>
                        <w:rPr>
                          <w:shd w:val="clear" w:color="auto" w:fill="FFFFFF"/>
                        </w:rPr>
                        <w:t>(*)</w:t>
                      </w:r>
                    </w:p>
                    <w:p w:rsidR="00B276C3" w:rsidRPr="00405A13" w:rsidRDefault="00B276C3" w:rsidP="003D20DD">
                      <w:pPr>
                        <w:spacing w:after="120"/>
                        <w:rPr>
                          <w:shd w:val="clear" w:color="auto" w:fill="FFFFFF"/>
                        </w:rPr>
                      </w:pPr>
                      <w:r w:rsidRPr="008C5C4E">
                        <w:rPr>
                          <w:noProof/>
                          <w:lang w:val="en-US"/>
                        </w:rPr>
                        <w:drawing>
                          <wp:inline distT="0" distB="0" distL="0" distR="0" wp14:anchorId="7B1F72AF" wp14:editId="007FA1AF">
                            <wp:extent cx="4088921" cy="3174486"/>
                            <wp:effectExtent l="0" t="0" r="698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4252" cy="3178625"/>
                                    </a:xfrm>
                                    <a:prstGeom prst="rect">
                                      <a:avLst/>
                                    </a:prstGeom>
                                    <a:noFill/>
                                    <a:ln>
                                      <a:noFill/>
                                    </a:ln>
                                  </pic:spPr>
                                </pic:pic>
                              </a:graphicData>
                            </a:graphic>
                          </wp:inline>
                        </w:drawing>
                      </w:r>
                    </w:p>
                    <w:p w:rsidR="00B276C3" w:rsidRPr="00A203B7" w:rsidRDefault="00B276C3" w:rsidP="003D20DD">
                      <w:pPr>
                        <w:pStyle w:val="MainParawithChapter"/>
                        <w:spacing w:after="0"/>
                        <w:rPr>
                          <w:sz w:val="20"/>
                          <w:szCs w:val="22"/>
                        </w:rPr>
                      </w:pPr>
                      <w:r w:rsidRPr="00A203B7">
                        <w:rPr>
                          <w:sz w:val="20"/>
                          <w:szCs w:val="22"/>
                        </w:rPr>
                        <w:t>(*) The band around the line represents the 95% confidence interval</w:t>
                      </w:r>
                    </w:p>
                    <w:p w:rsidR="00B276C3" w:rsidRPr="00DC3629" w:rsidRDefault="00B276C3" w:rsidP="003D20DD">
                      <w:pPr>
                        <w:pStyle w:val="MainParawithChapter"/>
                        <w:spacing w:after="120"/>
                        <w:rPr>
                          <w:sz w:val="22"/>
                          <w:szCs w:val="22"/>
                        </w:rPr>
                      </w:pPr>
                      <w:r w:rsidRPr="00DC3629">
                        <w:rPr>
                          <w:sz w:val="22"/>
                          <w:szCs w:val="22"/>
                        </w:rPr>
                        <w:t xml:space="preserve">Source: EMEP 2001, ELIM 2006 and ELIM 2010. Authors’ calculations </w:t>
                      </w:r>
                    </w:p>
                  </w:txbxContent>
                </v:textbox>
                <w10:wrap type="square"/>
              </v:shape>
            </w:pict>
          </mc:Fallback>
        </mc:AlternateContent>
      </w:r>
      <w:r w:rsidRPr="00E56625">
        <w:rPr>
          <w:b/>
          <w:lang w:val="en-US"/>
        </w:rPr>
        <w:t>Information on the ownership of consumer durables is comparable across surveys.</w:t>
      </w:r>
      <w:r w:rsidRPr="00E56625">
        <w:rPr>
          <w:lang w:val="en-US"/>
        </w:rPr>
        <w:t xml:space="preserve"> Ownership increased significantly between 2001 (EMEP) and 2011 (EMOP) and stagnated thereafter. Since 2001 the fraction of households owning fridges doubled from 5 percent to 11 percent, while the ownership of televisions almost tripled going from 14 percent to 37 percent. The increase of mobile phone ownership amongst households is remarkable. It increased from virtually zero in 2001 to 67 percent in 2011.  A similar trend is observed with respect to motor bikes. Over the course of one decade ownership more than tripled from 17 percent to 48 percent. The increase in asset ownership among households can be attributed to the drop in real prices for many consumer durables and the increase in disposable income amongst the poorest households. Post 2011 asset ownership declined slightly.</w:t>
      </w:r>
    </w:p>
    <w:p w:rsidR="003E0523" w:rsidRPr="00E56625" w:rsidRDefault="003E0523" w:rsidP="003E0523">
      <w:pPr>
        <w:pStyle w:val="ListParagraph"/>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To better understand the drivers of change in poverty, we focus our analysis on the 2001-2010 period for which three comparable household surveys are available</w:t>
      </w:r>
      <w:r w:rsidRPr="00E56625">
        <w:rPr>
          <w:lang w:val="en-US"/>
        </w:rPr>
        <w:t xml:space="preserve">. </w:t>
      </w:r>
      <w:r w:rsidR="008120D1">
        <w:rPr>
          <w:lang w:val="en-US"/>
        </w:rPr>
        <w:t xml:space="preserve">Over </w:t>
      </w:r>
      <w:r w:rsidR="008120D1" w:rsidRPr="009E570B">
        <w:rPr>
          <w:lang w:val="en-US"/>
        </w:rPr>
        <w:t>th</w:t>
      </w:r>
      <w:r w:rsidR="008120D1">
        <w:rPr>
          <w:lang w:val="en-US"/>
        </w:rPr>
        <w:t xml:space="preserve">is </w:t>
      </w:r>
      <w:r w:rsidR="008120D1" w:rsidRPr="009E570B">
        <w:rPr>
          <w:lang w:val="en-US"/>
        </w:rPr>
        <w:t xml:space="preserve">period per capita consumption increased 2.2 percent, from FCFA 142,000 to FCFA 145,000. That this tiny increase in consumption is associated with a 10 percentage point decline in poverty is explained by the fact that for the poorest consumption grew most rapidly, while for better off households consumption grew slowly or even declined (for households in the top wealth quintile consumption fell – see Figure 4). </w:t>
      </w:r>
      <w:r w:rsidR="008120D1">
        <w:rPr>
          <w:lang w:val="en-US"/>
        </w:rPr>
        <w:t xml:space="preserve">These </w:t>
      </w:r>
      <w:r w:rsidRPr="00E56625">
        <w:rPr>
          <w:lang w:val="en-US"/>
        </w:rPr>
        <w:t xml:space="preserve">results have to be interpreted with care because the large dependence on rain fed agriculture implies that weather differences are likely to have more consequences for (short-term) welfare than policy changes. </w:t>
      </w:r>
      <w:r w:rsidR="008120D1">
        <w:rPr>
          <w:lang w:val="en-US"/>
        </w:rPr>
        <w:t xml:space="preserve">Moreover difficulties with the way in which consumption quantities are ‘priced’ (using local prices, implying low monetary levels of consumption in the grain baskets of the country) call for caution in the interpretation of consumption and poverty data, including the data presented on the 2009 poverty map. </w:t>
      </w:r>
    </w:p>
    <w:p w:rsidR="003E0523" w:rsidRPr="00E56625" w:rsidRDefault="003E0523" w:rsidP="003E052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Most of the decline in poverty was realized between 2001 and 2006, while between 2006 and 2010 little changed.</w:t>
      </w:r>
      <w:r w:rsidRPr="00E56625">
        <w:rPr>
          <w:lang w:val="en-US"/>
        </w:rPr>
        <w:t xml:space="preserve"> This is illustrated by the growth incidence curves at the bottom of Figure 4. It shows how between 2001 and 2006 per capita incomes increased for all wealth groups. This changed in the period between 2006 and 2010. Now only the poorest households experienced positive consumption growth. The middle class experience no growth and per capita consumption for those in the top 30 percentiles declined. </w:t>
      </w:r>
    </w:p>
    <w:p w:rsidR="003E0523" w:rsidRPr="00E56625" w:rsidRDefault="003E0523" w:rsidP="00037CDF">
      <w:pPr>
        <w:pStyle w:val="ListParagraph"/>
        <w:spacing w:after="0"/>
        <w:rPr>
          <w:lang w:val="en-US"/>
        </w:rPr>
      </w:pPr>
    </w:p>
    <w:p w:rsidR="003D20DD" w:rsidRPr="00E56625" w:rsidRDefault="003D20DD" w:rsidP="00636F8D">
      <w:pPr>
        <w:jc w:val="center"/>
        <w:rPr>
          <w:b/>
          <w:lang w:val="en-US"/>
        </w:rPr>
      </w:pPr>
      <w:r w:rsidRPr="00E56625">
        <w:rPr>
          <w:b/>
          <w:lang w:val="en-US"/>
        </w:rPr>
        <w:t xml:space="preserve">Table 1: Poverty incidence, population and population density by livelihood zone </w:t>
      </w:r>
    </w:p>
    <w:tbl>
      <w:tblPr>
        <w:tblW w:w="5085" w:type="pct"/>
        <w:tblLayout w:type="fixed"/>
        <w:tblLook w:val="04A0" w:firstRow="1" w:lastRow="0" w:firstColumn="1" w:lastColumn="0" w:noHBand="0" w:noVBand="1"/>
      </w:tblPr>
      <w:tblGrid>
        <w:gridCol w:w="721"/>
        <w:gridCol w:w="4225"/>
        <w:gridCol w:w="973"/>
        <w:gridCol w:w="697"/>
        <w:gridCol w:w="741"/>
        <w:gridCol w:w="1197"/>
        <w:gridCol w:w="965"/>
      </w:tblGrid>
      <w:tr w:rsidR="003D20DD" w:rsidRPr="008F3531" w:rsidTr="0043044E">
        <w:trPr>
          <w:trHeight w:hRule="exact" w:val="245"/>
        </w:trPr>
        <w:tc>
          <w:tcPr>
            <w:tcW w:w="379" w:type="pct"/>
            <w:tcBorders>
              <w:top w:val="single" w:sz="4" w:space="0" w:color="auto"/>
              <w:left w:val="nil"/>
              <w:bottom w:val="single" w:sz="4" w:space="0" w:color="auto"/>
              <w:right w:val="nil"/>
            </w:tcBorders>
          </w:tcPr>
          <w:p w:rsidR="003D20DD" w:rsidRPr="00E56625" w:rsidRDefault="003D20DD" w:rsidP="003D20DD">
            <w:pPr>
              <w:rPr>
                <w:sz w:val="20"/>
                <w:szCs w:val="20"/>
                <w:lang w:val="en-US"/>
              </w:rPr>
            </w:pPr>
            <w:r w:rsidRPr="00E56625">
              <w:rPr>
                <w:sz w:val="20"/>
                <w:szCs w:val="20"/>
                <w:lang w:val="en-US"/>
              </w:rPr>
              <w:t>Zone</w:t>
            </w:r>
          </w:p>
        </w:tc>
        <w:tc>
          <w:tcPr>
            <w:tcW w:w="2219" w:type="pct"/>
            <w:tcBorders>
              <w:top w:val="single" w:sz="4" w:space="0" w:color="auto"/>
              <w:left w:val="nil"/>
              <w:bottom w:val="single" w:sz="4" w:space="0" w:color="auto"/>
              <w:right w:val="nil"/>
            </w:tcBorders>
            <w:shd w:val="clear" w:color="auto" w:fill="auto"/>
            <w:noWrap/>
            <w:vAlign w:val="bottom"/>
            <w:hideMark/>
          </w:tcPr>
          <w:p w:rsidR="003D20DD" w:rsidRPr="00E56625" w:rsidRDefault="003D20DD" w:rsidP="003D20DD">
            <w:pPr>
              <w:rPr>
                <w:sz w:val="20"/>
                <w:szCs w:val="20"/>
                <w:lang w:val="en-US"/>
              </w:rPr>
            </w:pPr>
            <w:r w:rsidRPr="00E56625">
              <w:rPr>
                <w:sz w:val="20"/>
                <w:szCs w:val="20"/>
                <w:lang w:val="en-US"/>
              </w:rPr>
              <w:t>Description</w:t>
            </w:r>
          </w:p>
        </w:tc>
        <w:tc>
          <w:tcPr>
            <w:tcW w:w="511" w:type="pct"/>
            <w:tcBorders>
              <w:top w:val="single" w:sz="4" w:space="0" w:color="auto"/>
              <w:left w:val="nil"/>
              <w:bottom w:val="single" w:sz="4" w:space="0" w:color="auto"/>
              <w:right w:val="nil"/>
            </w:tcBorders>
            <w:shd w:val="clear" w:color="auto" w:fill="auto"/>
            <w:vAlign w:val="center"/>
            <w:hideMark/>
          </w:tcPr>
          <w:p w:rsidR="003D20DD" w:rsidRPr="00E56625" w:rsidRDefault="003D20DD" w:rsidP="003D20DD">
            <w:pPr>
              <w:rPr>
                <w:sz w:val="20"/>
                <w:szCs w:val="20"/>
                <w:lang w:val="en-US"/>
              </w:rPr>
            </w:pPr>
            <w:r w:rsidRPr="00E56625">
              <w:rPr>
                <w:sz w:val="20"/>
                <w:szCs w:val="20"/>
                <w:lang w:val="en-US"/>
              </w:rPr>
              <w:t>2001</w:t>
            </w:r>
          </w:p>
        </w:tc>
        <w:tc>
          <w:tcPr>
            <w:tcW w:w="366" w:type="pct"/>
            <w:tcBorders>
              <w:top w:val="single" w:sz="4" w:space="0" w:color="auto"/>
              <w:left w:val="nil"/>
              <w:bottom w:val="single" w:sz="4" w:space="0" w:color="auto"/>
              <w:right w:val="nil"/>
            </w:tcBorders>
            <w:shd w:val="clear" w:color="auto" w:fill="auto"/>
            <w:vAlign w:val="center"/>
            <w:hideMark/>
          </w:tcPr>
          <w:p w:rsidR="003D20DD" w:rsidRPr="00E56625" w:rsidRDefault="003D20DD" w:rsidP="003D20DD">
            <w:pPr>
              <w:rPr>
                <w:sz w:val="20"/>
                <w:szCs w:val="20"/>
                <w:lang w:val="en-US"/>
              </w:rPr>
            </w:pPr>
            <w:r w:rsidRPr="00E56625">
              <w:rPr>
                <w:sz w:val="20"/>
                <w:szCs w:val="20"/>
                <w:lang w:val="en-US"/>
              </w:rPr>
              <w:t>2006</w:t>
            </w:r>
          </w:p>
        </w:tc>
        <w:tc>
          <w:tcPr>
            <w:tcW w:w="389" w:type="pct"/>
            <w:tcBorders>
              <w:top w:val="single" w:sz="4" w:space="0" w:color="auto"/>
              <w:left w:val="nil"/>
              <w:bottom w:val="single" w:sz="4" w:space="0" w:color="auto"/>
              <w:right w:val="nil"/>
            </w:tcBorders>
            <w:shd w:val="clear" w:color="auto" w:fill="auto"/>
            <w:vAlign w:val="center"/>
            <w:hideMark/>
          </w:tcPr>
          <w:p w:rsidR="003D20DD" w:rsidRPr="00E56625" w:rsidRDefault="003D20DD" w:rsidP="003D20DD">
            <w:pPr>
              <w:rPr>
                <w:sz w:val="20"/>
                <w:szCs w:val="20"/>
                <w:lang w:val="en-US"/>
              </w:rPr>
            </w:pPr>
            <w:r w:rsidRPr="00E56625">
              <w:rPr>
                <w:sz w:val="20"/>
                <w:szCs w:val="20"/>
                <w:lang w:val="en-US"/>
              </w:rPr>
              <w:t>2010</w:t>
            </w:r>
          </w:p>
        </w:tc>
        <w:tc>
          <w:tcPr>
            <w:tcW w:w="629" w:type="pct"/>
            <w:tcBorders>
              <w:top w:val="single" w:sz="4" w:space="0" w:color="auto"/>
              <w:left w:val="nil"/>
              <w:bottom w:val="single" w:sz="4" w:space="0" w:color="auto"/>
              <w:right w:val="nil"/>
            </w:tcBorders>
          </w:tcPr>
          <w:p w:rsidR="003D20DD" w:rsidRPr="00E56625" w:rsidRDefault="003D20DD" w:rsidP="003D20DD">
            <w:pPr>
              <w:rPr>
                <w:sz w:val="20"/>
                <w:szCs w:val="20"/>
                <w:lang w:val="en-US"/>
              </w:rPr>
            </w:pPr>
            <w:r w:rsidRPr="00E56625">
              <w:rPr>
                <w:sz w:val="20"/>
                <w:szCs w:val="20"/>
                <w:lang w:val="en-US"/>
              </w:rPr>
              <w:t>Population</w:t>
            </w:r>
          </w:p>
        </w:tc>
        <w:tc>
          <w:tcPr>
            <w:tcW w:w="507" w:type="pct"/>
            <w:tcBorders>
              <w:top w:val="single" w:sz="4" w:space="0" w:color="auto"/>
              <w:left w:val="nil"/>
              <w:bottom w:val="single" w:sz="4" w:space="0" w:color="auto"/>
              <w:right w:val="nil"/>
            </w:tcBorders>
          </w:tcPr>
          <w:p w:rsidR="003D20DD" w:rsidRPr="00E56625" w:rsidRDefault="003D20DD" w:rsidP="003D20DD">
            <w:pPr>
              <w:rPr>
                <w:sz w:val="20"/>
                <w:szCs w:val="20"/>
                <w:lang w:val="en-US"/>
              </w:rPr>
            </w:pPr>
            <w:r w:rsidRPr="00E56625">
              <w:rPr>
                <w:sz w:val="20"/>
                <w:szCs w:val="20"/>
                <w:lang w:val="en-US"/>
              </w:rPr>
              <w:t>Density</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1</w:t>
            </w: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Nomadism and trans-Saharan trade</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12.7</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42.3</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37.5</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69,762</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0.2</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3.4</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10.4</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5.0</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2</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Nomadic and transhumant pastoralism</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20.6</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17.1</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22.3</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593,743</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1.9</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7.9</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4.6</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2.3</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3</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Fluvial rice and transhumant livestock rearing (agropastoral)</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46.0</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37.8</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29.7</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165,566</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27.3</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8.9</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9.6</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3.7</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4</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Millet and transhumant livestock rearing</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68.2</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42.5</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58.2</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1,043,451</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7.7</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4.7</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4.2</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4.3</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5</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Dogon plateau -- millet, shallots, wild foods and tourism</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82.4</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87.5</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40.7</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264,780</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44.5</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4.0</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9.9</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9.2</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6</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Niger delta - rice and livestock rearing (agropastoral)</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23.7</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19.5</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29.6</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881,758</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33.0</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4.9</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5.3</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2.9</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7</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Office du Niger (irrigated rice)</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40.8</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57.0</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21.2</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351,805</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180.9</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8.3</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9.2</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6.3</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8</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North-west remittances, sorghum and transhumant livestock rearing</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62.6</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30.4</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19.6</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791,037</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18.4</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4.4</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3.7</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3.8</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9</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West and central rain-fed millet/sorghum</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49.9</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45.7</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42.5</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3,357,547</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27.7</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I</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2.6</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2.9</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10</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Sorghum, millet and cotton</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54.6</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70.9</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74.3</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1,291,649</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52.3</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6.7</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5.4</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3.9</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11</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South maize, cotton and fruits</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71.8</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56.2</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52.0</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3,393,992</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33.7</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3.0</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2.8</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3.1</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12</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South-west maize, sorghum and fruits</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80.1</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63.0</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52.7</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510,350</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19.2</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5.6</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6.4</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6.0</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p>
        </w:tc>
        <w:tc>
          <w:tcPr>
            <w:tcW w:w="507" w:type="pct"/>
            <w:tcBorders>
              <w:top w:val="nil"/>
              <w:left w:val="nil"/>
              <w:bottom w:val="nil"/>
              <w:right w:val="nil"/>
            </w:tcBorders>
            <w:vAlign w:val="bottom"/>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r w:rsidRPr="00E56625">
              <w:rPr>
                <w:sz w:val="20"/>
                <w:szCs w:val="20"/>
                <w:lang w:val="en-US"/>
              </w:rPr>
              <w:t>13</w:t>
            </w:r>
          </w:p>
        </w:tc>
        <w:tc>
          <w:tcPr>
            <w:tcW w:w="221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Bamako</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14.1</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6.3</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7.6</w:t>
            </w:r>
          </w:p>
        </w:tc>
        <w:tc>
          <w:tcPr>
            <w:tcW w:w="629"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1,810,366</w:t>
            </w:r>
          </w:p>
        </w:tc>
        <w:tc>
          <w:tcPr>
            <w:tcW w:w="507" w:type="pct"/>
            <w:tcBorders>
              <w:top w:val="nil"/>
              <w:left w:val="nil"/>
              <w:bottom w:val="nil"/>
              <w:right w:val="nil"/>
            </w:tcBorders>
            <w:vAlign w:val="bottom"/>
          </w:tcPr>
          <w:p w:rsidR="003D20DD" w:rsidRPr="00E56625" w:rsidRDefault="003D20DD" w:rsidP="003D20DD">
            <w:pPr>
              <w:rPr>
                <w:sz w:val="20"/>
                <w:szCs w:val="20"/>
                <w:lang w:val="en-US"/>
              </w:rPr>
            </w:pPr>
            <w:r w:rsidRPr="00E56625">
              <w:rPr>
                <w:sz w:val="20"/>
                <w:szCs w:val="20"/>
                <w:lang w:val="en-US"/>
              </w:rPr>
              <w:t>7,380.0</w:t>
            </w: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3.4</w:t>
            </w:r>
          </w:p>
        </w:tc>
        <w:tc>
          <w:tcPr>
            <w:tcW w:w="366"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2.3</w:t>
            </w:r>
          </w:p>
        </w:tc>
        <w:tc>
          <w:tcPr>
            <w:tcW w:w="389" w:type="pct"/>
            <w:tcBorders>
              <w:top w:val="nil"/>
              <w:left w:val="nil"/>
              <w:bottom w:val="nil"/>
              <w:right w:val="nil"/>
            </w:tcBorders>
            <w:shd w:val="clear" w:color="auto" w:fill="auto"/>
            <w:noWrap/>
            <w:vAlign w:val="center"/>
            <w:hideMark/>
          </w:tcPr>
          <w:p w:rsidR="003D20DD" w:rsidRPr="00E56625" w:rsidRDefault="003D20DD" w:rsidP="003D20DD">
            <w:pPr>
              <w:rPr>
                <w:sz w:val="20"/>
                <w:szCs w:val="20"/>
                <w:lang w:val="en-US"/>
              </w:rPr>
            </w:pPr>
            <w:r w:rsidRPr="00E56625">
              <w:rPr>
                <w:sz w:val="20"/>
                <w:szCs w:val="20"/>
                <w:lang w:val="en-US"/>
              </w:rPr>
              <w:t>1.1</w:t>
            </w:r>
          </w:p>
        </w:tc>
        <w:tc>
          <w:tcPr>
            <w:tcW w:w="629" w:type="pct"/>
            <w:tcBorders>
              <w:top w:val="nil"/>
              <w:left w:val="nil"/>
              <w:bottom w:val="nil"/>
              <w:right w:val="nil"/>
            </w:tcBorders>
          </w:tcPr>
          <w:p w:rsidR="003D20DD" w:rsidRPr="00E56625" w:rsidRDefault="003D20DD" w:rsidP="003D20DD">
            <w:pPr>
              <w:rPr>
                <w:sz w:val="20"/>
                <w:szCs w:val="20"/>
                <w:lang w:val="en-US"/>
              </w:rPr>
            </w:pPr>
          </w:p>
        </w:tc>
        <w:tc>
          <w:tcPr>
            <w:tcW w:w="507" w:type="pct"/>
            <w:tcBorders>
              <w:top w:val="nil"/>
              <w:left w:val="nil"/>
              <w:bottom w:val="nil"/>
              <w:right w:val="nil"/>
            </w:tcBorders>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nil"/>
              <w:right w:val="nil"/>
            </w:tcBorders>
            <w:vAlign w:val="center"/>
          </w:tcPr>
          <w:p w:rsidR="003D20DD" w:rsidRPr="00E56625" w:rsidRDefault="003D20DD" w:rsidP="003D20DD">
            <w:pPr>
              <w:rPr>
                <w:sz w:val="20"/>
                <w:szCs w:val="20"/>
                <w:lang w:val="en-US"/>
              </w:rPr>
            </w:pPr>
          </w:p>
        </w:tc>
        <w:tc>
          <w:tcPr>
            <w:tcW w:w="221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Mali</w:t>
            </w:r>
          </w:p>
        </w:tc>
        <w:tc>
          <w:tcPr>
            <w:tcW w:w="511"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50.9</w:t>
            </w:r>
          </w:p>
        </w:tc>
        <w:tc>
          <w:tcPr>
            <w:tcW w:w="366"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41.7</w:t>
            </w:r>
          </w:p>
        </w:tc>
        <w:tc>
          <w:tcPr>
            <w:tcW w:w="389" w:type="pct"/>
            <w:tcBorders>
              <w:top w:val="nil"/>
              <w:left w:val="nil"/>
              <w:bottom w:val="nil"/>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41.1</w:t>
            </w:r>
          </w:p>
        </w:tc>
        <w:tc>
          <w:tcPr>
            <w:tcW w:w="629" w:type="pct"/>
            <w:tcBorders>
              <w:top w:val="nil"/>
              <w:left w:val="nil"/>
              <w:bottom w:val="nil"/>
              <w:right w:val="nil"/>
            </w:tcBorders>
          </w:tcPr>
          <w:p w:rsidR="003D20DD" w:rsidRPr="00E56625" w:rsidRDefault="003D20DD" w:rsidP="003D20DD">
            <w:pPr>
              <w:rPr>
                <w:sz w:val="20"/>
                <w:szCs w:val="20"/>
                <w:lang w:val="en-US"/>
              </w:rPr>
            </w:pPr>
          </w:p>
        </w:tc>
        <w:tc>
          <w:tcPr>
            <w:tcW w:w="507" w:type="pct"/>
            <w:tcBorders>
              <w:top w:val="nil"/>
              <w:left w:val="nil"/>
              <w:bottom w:val="nil"/>
              <w:right w:val="nil"/>
            </w:tcBorders>
          </w:tcPr>
          <w:p w:rsidR="003D20DD" w:rsidRPr="00E56625" w:rsidRDefault="003D20DD" w:rsidP="003D20DD">
            <w:pPr>
              <w:rPr>
                <w:sz w:val="20"/>
                <w:szCs w:val="20"/>
                <w:lang w:val="en-US"/>
              </w:rPr>
            </w:pPr>
          </w:p>
        </w:tc>
      </w:tr>
      <w:tr w:rsidR="003D20DD" w:rsidRPr="008F3531" w:rsidTr="0043044E">
        <w:trPr>
          <w:trHeight w:hRule="exact" w:val="245"/>
        </w:trPr>
        <w:tc>
          <w:tcPr>
            <w:tcW w:w="379" w:type="pct"/>
            <w:tcBorders>
              <w:top w:val="nil"/>
              <w:left w:val="nil"/>
              <w:bottom w:val="single" w:sz="4" w:space="0" w:color="auto"/>
              <w:right w:val="nil"/>
            </w:tcBorders>
            <w:vAlign w:val="center"/>
          </w:tcPr>
          <w:p w:rsidR="003D20DD" w:rsidRPr="00E56625" w:rsidRDefault="003D20DD" w:rsidP="003D20DD">
            <w:pPr>
              <w:rPr>
                <w:sz w:val="20"/>
                <w:szCs w:val="20"/>
                <w:lang w:val="en-US"/>
              </w:rPr>
            </w:pPr>
          </w:p>
        </w:tc>
        <w:tc>
          <w:tcPr>
            <w:tcW w:w="2219" w:type="pct"/>
            <w:tcBorders>
              <w:top w:val="nil"/>
              <w:left w:val="nil"/>
              <w:bottom w:val="single" w:sz="4" w:space="0" w:color="auto"/>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Standard error</w:t>
            </w:r>
          </w:p>
        </w:tc>
        <w:tc>
          <w:tcPr>
            <w:tcW w:w="511" w:type="pct"/>
            <w:tcBorders>
              <w:top w:val="nil"/>
              <w:left w:val="nil"/>
              <w:bottom w:val="single" w:sz="4" w:space="0" w:color="auto"/>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1.7</w:t>
            </w:r>
          </w:p>
        </w:tc>
        <w:tc>
          <w:tcPr>
            <w:tcW w:w="366" w:type="pct"/>
            <w:tcBorders>
              <w:top w:val="nil"/>
              <w:left w:val="nil"/>
              <w:bottom w:val="single" w:sz="4" w:space="0" w:color="auto"/>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1.5</w:t>
            </w:r>
          </w:p>
        </w:tc>
        <w:tc>
          <w:tcPr>
            <w:tcW w:w="389" w:type="pct"/>
            <w:tcBorders>
              <w:top w:val="nil"/>
              <w:left w:val="nil"/>
              <w:bottom w:val="single" w:sz="4" w:space="0" w:color="auto"/>
              <w:right w:val="nil"/>
            </w:tcBorders>
            <w:shd w:val="clear" w:color="auto" w:fill="auto"/>
            <w:noWrap/>
            <w:vAlign w:val="center"/>
          </w:tcPr>
          <w:p w:rsidR="003D20DD" w:rsidRPr="00E56625" w:rsidRDefault="003D20DD" w:rsidP="003D20DD">
            <w:pPr>
              <w:rPr>
                <w:sz w:val="20"/>
                <w:szCs w:val="20"/>
                <w:lang w:val="en-US"/>
              </w:rPr>
            </w:pPr>
            <w:r w:rsidRPr="00E56625">
              <w:rPr>
                <w:sz w:val="20"/>
                <w:szCs w:val="20"/>
                <w:lang w:val="en-US"/>
              </w:rPr>
              <w:t>1.3</w:t>
            </w:r>
          </w:p>
        </w:tc>
        <w:tc>
          <w:tcPr>
            <w:tcW w:w="629" w:type="pct"/>
            <w:tcBorders>
              <w:top w:val="nil"/>
              <w:left w:val="nil"/>
              <w:bottom w:val="single" w:sz="4" w:space="0" w:color="auto"/>
              <w:right w:val="nil"/>
            </w:tcBorders>
          </w:tcPr>
          <w:p w:rsidR="003D20DD" w:rsidRPr="00E56625" w:rsidRDefault="003D20DD" w:rsidP="003D20DD">
            <w:pPr>
              <w:rPr>
                <w:sz w:val="20"/>
                <w:szCs w:val="20"/>
                <w:lang w:val="en-US"/>
              </w:rPr>
            </w:pPr>
            <w:r w:rsidRPr="00E56625">
              <w:rPr>
                <w:sz w:val="20"/>
                <w:szCs w:val="20"/>
                <w:lang w:val="en-US"/>
              </w:rPr>
              <w:t>14,525,806</w:t>
            </w:r>
          </w:p>
        </w:tc>
        <w:tc>
          <w:tcPr>
            <w:tcW w:w="507" w:type="pct"/>
            <w:tcBorders>
              <w:top w:val="nil"/>
              <w:left w:val="nil"/>
              <w:bottom w:val="single" w:sz="4" w:space="0" w:color="auto"/>
              <w:right w:val="nil"/>
            </w:tcBorders>
          </w:tcPr>
          <w:p w:rsidR="003D20DD" w:rsidRPr="00E56625" w:rsidRDefault="003D20DD" w:rsidP="003D20DD">
            <w:pPr>
              <w:rPr>
                <w:sz w:val="20"/>
                <w:szCs w:val="20"/>
                <w:lang w:val="en-US"/>
              </w:rPr>
            </w:pPr>
            <w:r w:rsidRPr="00E56625">
              <w:rPr>
                <w:sz w:val="20"/>
                <w:szCs w:val="20"/>
                <w:lang w:val="en-US"/>
              </w:rPr>
              <w:t>11.6</w:t>
            </w:r>
          </w:p>
        </w:tc>
      </w:tr>
    </w:tbl>
    <w:p w:rsidR="003D20DD" w:rsidRPr="00E56625" w:rsidRDefault="003D20DD" w:rsidP="003D20DD">
      <w:pPr>
        <w:rPr>
          <w:sz w:val="20"/>
          <w:szCs w:val="20"/>
          <w:lang w:val="en-US"/>
        </w:rPr>
      </w:pPr>
      <w:r w:rsidRPr="00E56625">
        <w:rPr>
          <w:sz w:val="20"/>
          <w:szCs w:val="20"/>
          <w:lang w:val="en-US"/>
        </w:rPr>
        <w:t>Source: ELIM 2001, 2006 and 2010. RHPH 2009. Authors’ calculations</w:t>
      </w:r>
      <w:r w:rsidR="00710927" w:rsidRPr="00E56625">
        <w:rPr>
          <w:sz w:val="20"/>
          <w:szCs w:val="20"/>
          <w:lang w:val="en-US"/>
        </w:rPr>
        <w:t>.</w:t>
      </w:r>
    </w:p>
    <w:p w:rsidR="00037CDF" w:rsidRPr="00E56625" w:rsidRDefault="00037CDF" w:rsidP="00037CDF">
      <w:pPr>
        <w:pStyle w:val="ListParagraph"/>
        <w:numPr>
          <w:ilvl w:val="0"/>
          <w:numId w:val="13"/>
        </w:numPr>
        <w:tabs>
          <w:tab w:val="left" w:pos="720"/>
        </w:tabs>
        <w:ind w:left="0" w:firstLine="0"/>
        <w:rPr>
          <w:lang w:val="en-US"/>
        </w:rPr>
      </w:pPr>
      <w:r w:rsidRPr="00E56625">
        <w:rPr>
          <w:b/>
          <w:lang w:val="en-US"/>
        </w:rPr>
        <w:t>Internal (permanent) migration was not a driver of poverty reduction</w:t>
      </w:r>
      <w:r w:rsidRPr="00E56625">
        <w:rPr>
          <w:lang w:val="en-US"/>
        </w:rPr>
        <w:t>. Decomposing the change in poverty that occurred between 2001 and 2010 (a decline by 9.9 percentage points) we find that most of this change (9.4 percent) was due to a reduction in poverty amongst people who continued to reside in their location of origin (mostly in rural areas). The contribution to poverty reduction of people shifting from rural to urban areas is tiny (0.3 percent) suggesting that most of the migrants who move to urban areas were non-poor in their location of origin.</w:t>
      </w:r>
    </w:p>
    <w:p w:rsidR="00710927" w:rsidRPr="00E56625" w:rsidRDefault="00710927" w:rsidP="00710927">
      <w:pPr>
        <w:pStyle w:val="ListParagraph"/>
        <w:tabs>
          <w:tab w:val="left" w:pos="720"/>
        </w:tabs>
        <w:ind w:left="0"/>
        <w:rPr>
          <w:lang w:val="en-US"/>
        </w:rPr>
      </w:pPr>
    </w:p>
    <w:p w:rsidR="00037CDF" w:rsidRPr="00E56625" w:rsidRDefault="00037CDF" w:rsidP="00037CDF">
      <w:pPr>
        <w:pStyle w:val="ListParagraph"/>
        <w:numPr>
          <w:ilvl w:val="0"/>
          <w:numId w:val="13"/>
        </w:numPr>
        <w:tabs>
          <w:tab w:val="left" w:pos="720"/>
        </w:tabs>
        <w:ind w:left="0" w:firstLine="0"/>
        <w:rPr>
          <w:lang w:val="en-US"/>
        </w:rPr>
      </w:pPr>
      <w:r w:rsidRPr="00E56625">
        <w:rPr>
          <w:b/>
          <w:lang w:val="en-US"/>
        </w:rPr>
        <w:t xml:space="preserve">Even though the household surveys were not designed to be representative by livelihood zone it is possible to </w:t>
      </w:r>
      <w:r w:rsidR="008120D1">
        <w:rPr>
          <w:b/>
          <w:lang w:val="en-US"/>
        </w:rPr>
        <w:t xml:space="preserve">estimate </w:t>
      </w:r>
      <w:r w:rsidRPr="00E56625">
        <w:rPr>
          <w:b/>
          <w:lang w:val="en-US"/>
        </w:rPr>
        <w:t>poverty by zone</w:t>
      </w:r>
      <w:r w:rsidRPr="00E56625">
        <w:rPr>
          <w:lang w:val="en-US"/>
        </w:rPr>
        <w:t>. We present these estimates in table 1 but urge the reader to take into account the standard errors when interpreting the results as in some instances they are larger than usual.</w:t>
      </w:r>
    </w:p>
    <w:p w:rsidR="00037CDF" w:rsidRPr="00E56625" w:rsidRDefault="00037CDF" w:rsidP="00037CDF">
      <w:pPr>
        <w:pStyle w:val="ListParagraph"/>
        <w:tabs>
          <w:tab w:val="left" w:pos="720"/>
        </w:tabs>
        <w:ind w:left="0"/>
        <w:rPr>
          <w:sz w:val="20"/>
          <w:szCs w:val="20"/>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As rule of thumb poverty is highest in southern zones where households rely on rain fed agriculture (zones 4, 5, 9, 10, 11 and 12) and lower in the north of the country</w:t>
      </w:r>
      <w:r w:rsidRPr="00E56625">
        <w:rPr>
          <w:lang w:val="en-US"/>
        </w:rPr>
        <w:t>. Households depending on nomadic and transhumant pastoralism living in zone 2, those depending on irrigated agriculture (zones 3, 6 and 7) and those in north west Kayes who combine income from remittances with livestock rearing (zone 8) are comparatively better off: their levels of poverty are below 30 percent. With a rate of poverty of 74.3 percent the incidence of poverty is highest in the area south of Ségou where sorghum, millet and cotton are grown (zone 10). The incidence of poverty is lowest in Bamako (7.6 percent) and in zone 8 in north-west Kayes (19.6 percent).</w:t>
      </w:r>
    </w:p>
    <w:p w:rsidR="00037CDF" w:rsidRPr="00E56625" w:rsidRDefault="00037CDF" w:rsidP="00037CDF">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In south Mali’s most populous areas (zones 9, 10, 11 and 12) divergent poverty trends are observed</w:t>
      </w:r>
      <w:r w:rsidRPr="00E56625">
        <w:rPr>
          <w:lang w:val="en-US"/>
        </w:rPr>
        <w:t>. In zone 10, the area south of Ségou, poverty increased from 55 percent in 2001 to 74 percent in 2010. By contrast in west and central Mali (zone 9: millet and sorghum) and in the two most southern zones (zones 11 and 12 where maize, cotton, fruits and sorghum are grown) poverty decreased. Particularly in the latter two zones did poverty decline significantly from 72 percent in 2001 to 52 percent in 2010. The divergent patterns of poverty reduction within the region of Sikasso (zones 10, 11 and 12 lie in Sikasso region) challenge the view that poverty in Sikasso is stagnant. Whereas this is holds for the regional as a whole, at sub-regional (zonal) level considerable dynamism.</w:t>
      </w:r>
    </w:p>
    <w:p w:rsidR="00037CDF" w:rsidRPr="00E56625" w:rsidRDefault="00037CDF" w:rsidP="00037CDF">
      <w:pPr>
        <w:pStyle w:val="ListParagraph"/>
        <w:tabs>
          <w:tab w:val="left" w:pos="720"/>
        </w:tabs>
        <w:ind w:left="0"/>
        <w:rPr>
          <w:lang w:val="en-US"/>
        </w:rPr>
      </w:pPr>
    </w:p>
    <w:p w:rsidR="003D20DD" w:rsidRDefault="00176698" w:rsidP="00D87258">
      <w:pPr>
        <w:pStyle w:val="ListParagraph"/>
        <w:numPr>
          <w:ilvl w:val="0"/>
          <w:numId w:val="13"/>
        </w:numPr>
        <w:tabs>
          <w:tab w:val="left" w:pos="720"/>
        </w:tabs>
        <w:ind w:left="0" w:firstLine="0"/>
        <w:rPr>
          <w:lang w:val="en-US"/>
        </w:rPr>
      </w:pPr>
      <w:r w:rsidRPr="000370E2">
        <w:rPr>
          <w:noProof/>
          <w:lang w:val="en-US"/>
        </w:rPr>
        <mc:AlternateContent>
          <mc:Choice Requires="wps">
            <w:drawing>
              <wp:anchor distT="0" distB="0" distL="114300" distR="114300" simplePos="0" relativeHeight="251695104" behindDoc="1" locked="0" layoutInCell="1" allowOverlap="1" wp14:anchorId="50443004" wp14:editId="62F2DCB2">
                <wp:simplePos x="0" y="0"/>
                <wp:positionH relativeFrom="column">
                  <wp:posOffset>2781300</wp:posOffset>
                </wp:positionH>
                <wp:positionV relativeFrom="paragraph">
                  <wp:posOffset>525145</wp:posOffset>
                </wp:positionV>
                <wp:extent cx="3175000" cy="2943225"/>
                <wp:effectExtent l="0" t="0" r="6350" b="9525"/>
                <wp:wrapTight wrapText="bothSides">
                  <wp:wrapPolygon edited="0">
                    <wp:start x="0" y="0"/>
                    <wp:lineTo x="0" y="21530"/>
                    <wp:lineTo x="21514" y="21530"/>
                    <wp:lineTo x="21514"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943225"/>
                        </a:xfrm>
                        <a:prstGeom prst="rect">
                          <a:avLst/>
                        </a:prstGeom>
                        <a:solidFill>
                          <a:srgbClr val="FFFFFF"/>
                        </a:solidFill>
                        <a:ln w="9525">
                          <a:noFill/>
                          <a:miter lim="800000"/>
                          <a:headEnd/>
                          <a:tailEnd/>
                        </a:ln>
                      </wps:spPr>
                      <wps:txbx>
                        <w:txbxContent>
                          <w:p w:rsidR="00B276C3" w:rsidRDefault="00B276C3" w:rsidP="00176698">
                            <w:pPr>
                              <w:spacing w:after="0"/>
                              <w:jc w:val="center"/>
                              <w:rPr>
                                <w:b/>
                              </w:rPr>
                            </w:pPr>
                            <w:r w:rsidRPr="00DC3629">
                              <w:rPr>
                                <w:b/>
                              </w:rPr>
                              <w:t xml:space="preserve">Figure </w:t>
                            </w:r>
                            <w:r>
                              <w:rPr>
                                <w:b/>
                              </w:rPr>
                              <w:t>5</w:t>
                            </w:r>
                            <w:r w:rsidRPr="00DC3629">
                              <w:rPr>
                                <w:b/>
                              </w:rPr>
                              <w:t xml:space="preserve">: </w:t>
                            </w:r>
                            <w:r>
                              <w:rPr>
                                <w:b/>
                              </w:rPr>
                              <w:t>C</w:t>
                            </w:r>
                            <w:r w:rsidRPr="00DC3629">
                              <w:rPr>
                                <w:b/>
                              </w:rPr>
                              <w:t>ereal produ</w:t>
                            </w:r>
                            <w:r>
                              <w:rPr>
                                <w:b/>
                              </w:rPr>
                              <w:t>ction per capita</w:t>
                            </w:r>
                          </w:p>
                          <w:p w:rsidR="00B276C3" w:rsidRDefault="00B276C3" w:rsidP="00176698">
                            <w:pPr>
                              <w:spacing w:after="0"/>
                              <w:jc w:val="center"/>
                              <w:rPr>
                                <w:b/>
                              </w:rPr>
                            </w:pPr>
                            <w:r w:rsidRPr="00DC3629">
                              <w:rPr>
                                <w:b/>
                              </w:rPr>
                              <w:t>(</w:t>
                            </w:r>
                            <w:r>
                              <w:rPr>
                                <w:b/>
                              </w:rPr>
                              <w:t>annual averages</w:t>
                            </w:r>
                            <w:r w:rsidRPr="00DC3629">
                              <w:rPr>
                                <w:b/>
                              </w:rPr>
                              <w:t>)</w:t>
                            </w:r>
                          </w:p>
                          <w:p w:rsidR="00B276C3" w:rsidRPr="00DC3629" w:rsidRDefault="00B276C3" w:rsidP="003D20DD">
                            <w:pPr>
                              <w:spacing w:after="120"/>
                              <w:jc w:val="center"/>
                            </w:pPr>
                            <w:r>
                              <w:rPr>
                                <w:noProof/>
                                <w:lang w:val="en-US"/>
                              </w:rPr>
                              <w:drawing>
                                <wp:inline distT="0" distB="0" distL="0" distR="0" wp14:anchorId="3B6A5EA9" wp14:editId="7ABE5A0D">
                                  <wp:extent cx="3155950" cy="2190750"/>
                                  <wp:effectExtent l="0" t="0" r="635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76C3" w:rsidRDefault="00B276C3" w:rsidP="003D20DD">
                            <w:pPr>
                              <w:spacing w:after="120"/>
                              <w:jc w:val="center"/>
                            </w:pPr>
                            <w:r w:rsidRPr="00DC3629">
                              <w:t xml:space="preserve">Source: </w:t>
                            </w:r>
                            <w:r>
                              <w:t xml:space="preserve">Ministry of Agriculture </w:t>
                            </w:r>
                            <w:r w:rsidRPr="00DC3629">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43004" id="_x0000_s1029" type="#_x0000_t202" style="position:absolute;left:0;text-align:left;margin-left:219pt;margin-top:41.35pt;width:250pt;height:23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OIwIAACQEAAAOAAAAZHJzL2Uyb0RvYy54bWysU9tu2zAMfR+wfxD0vthxkqUx4hRdugwD&#10;ugvQ7gNkWY6FSaImKbGzrx8lp2m2vQ3zgyGK5OHhIbW+HbQiR+G8BFPR6SSnRBgOjTT7in572r25&#10;ocQHZhqmwIiKnoSnt5vXr9a9LUUBHahGOIIgxpe9rWgXgi2zzPNOaOYnYIVBZwtOs4Cm22eNYz2i&#10;a5UVef4268E11gEX3uPt/eikm4TftoKHL23rRSCqosgtpL9L/zr+s82alXvHbCf5mQb7BxaaSYNF&#10;L1D3LDBycPIvKC25Aw9tmHDQGbSt5CL1gN1M8z+6eeyYFakXFMfbi0z+/8Hyz8evjsimosWSEsM0&#10;zuhJDIG8g4EUUZ7e+hKjHi3GhQGvccypVW8fgH/3xMC2Y2Yv7pyDvhOsQXrTmJldpY44PoLU/Sdo&#10;sAw7BEhAQ+t01A7VIIiOYzpdRhOpcLycTZeLPEcXR1+xms+KYpFqsPI53TofPgjQJB4q6nD2CZ4d&#10;H3yIdFj5HBKreVCy2UmlkuH29VY5cmS4J7v0ndF/C1OG9BVdLbB2zDIQ89MKaRlwj5XUFb1Bnsg0&#10;XUc53psmnQOTajwjE2XO+kRJRnHCUA9pErOYG7WroTmhYA7GtcVnhocO3E9KelzZivofB+YEJeqj&#10;QdFX0/k87ngy5otlgYa79tTXHmY4QlU0UDIetyG9i7GxOxxOK5NsL0zOlHEVk5rnZxN3/dpOUS+P&#10;e/MLAAD//wMAUEsDBBQABgAIAAAAIQDOScpP3gAAAAoBAAAPAAAAZHJzL2Rvd25yZXYueG1sTI9B&#10;T4NAEIXvJv6HzZh4MXYRKVBkadRE47W1P2Bgp0BkZwm7LfTfu3rR45v38uZ75XYxgzjT5HrLCh5W&#10;EQjixuqeWwWHz7f7HITzyBoHy6TgQg621fVViYW2M+/ovPetCCXsClTQeT8WUrqmI4NuZUfi4B3t&#10;ZNAHObVSTziHcjPIOIpSabDn8KHDkV47ar72J6Pg+DHfrTdz/e4P2S5JX7DPantR6vZmeX4C4Wnx&#10;f2H4wQ/oUAWm2p5YOzEoSB7zsMUryOMMRAhsfg+1gnWSxiCrUv6fUH0DAAD//wMAUEsBAi0AFAAG&#10;AAgAAAAhALaDOJL+AAAA4QEAABMAAAAAAAAAAAAAAAAAAAAAAFtDb250ZW50X1R5cGVzXS54bWxQ&#10;SwECLQAUAAYACAAAACEAOP0h/9YAAACUAQAACwAAAAAAAAAAAAAAAAAvAQAAX3JlbHMvLnJlbHNQ&#10;SwECLQAUAAYACAAAACEAft9CDiMCAAAkBAAADgAAAAAAAAAAAAAAAAAuAgAAZHJzL2Uyb0RvYy54&#10;bWxQSwECLQAUAAYACAAAACEAzknKT94AAAAKAQAADwAAAAAAAAAAAAAAAAB9BAAAZHJzL2Rvd25y&#10;ZXYueG1sUEsFBgAAAAAEAAQA8wAAAIgFAAAAAA==&#10;" stroked="f">
                <v:textbox>
                  <w:txbxContent>
                    <w:p w:rsidR="00B276C3" w:rsidRDefault="00B276C3" w:rsidP="00176698">
                      <w:pPr>
                        <w:spacing w:after="0"/>
                        <w:jc w:val="center"/>
                        <w:rPr>
                          <w:b/>
                        </w:rPr>
                      </w:pPr>
                      <w:r w:rsidRPr="00DC3629">
                        <w:rPr>
                          <w:b/>
                        </w:rPr>
                        <w:t xml:space="preserve">Figure </w:t>
                      </w:r>
                      <w:r>
                        <w:rPr>
                          <w:b/>
                        </w:rPr>
                        <w:t>5</w:t>
                      </w:r>
                      <w:r w:rsidRPr="00DC3629">
                        <w:rPr>
                          <w:b/>
                        </w:rPr>
                        <w:t xml:space="preserve">: </w:t>
                      </w:r>
                      <w:r>
                        <w:rPr>
                          <w:b/>
                        </w:rPr>
                        <w:t>C</w:t>
                      </w:r>
                      <w:r w:rsidRPr="00DC3629">
                        <w:rPr>
                          <w:b/>
                        </w:rPr>
                        <w:t>ereal produ</w:t>
                      </w:r>
                      <w:r>
                        <w:rPr>
                          <w:b/>
                        </w:rPr>
                        <w:t>ction per capita</w:t>
                      </w:r>
                    </w:p>
                    <w:p w:rsidR="00B276C3" w:rsidRDefault="00B276C3" w:rsidP="00176698">
                      <w:pPr>
                        <w:spacing w:after="0"/>
                        <w:jc w:val="center"/>
                        <w:rPr>
                          <w:b/>
                        </w:rPr>
                      </w:pPr>
                      <w:r w:rsidRPr="00DC3629">
                        <w:rPr>
                          <w:b/>
                        </w:rPr>
                        <w:t>(</w:t>
                      </w:r>
                      <w:r>
                        <w:rPr>
                          <w:b/>
                        </w:rPr>
                        <w:t>annual averages</w:t>
                      </w:r>
                      <w:r w:rsidRPr="00DC3629">
                        <w:rPr>
                          <w:b/>
                        </w:rPr>
                        <w:t>)</w:t>
                      </w:r>
                    </w:p>
                    <w:p w:rsidR="00B276C3" w:rsidRPr="00DC3629" w:rsidRDefault="00B276C3" w:rsidP="003D20DD">
                      <w:pPr>
                        <w:spacing w:after="120"/>
                        <w:jc w:val="center"/>
                      </w:pPr>
                      <w:r>
                        <w:rPr>
                          <w:noProof/>
                          <w:lang w:val="en-US"/>
                        </w:rPr>
                        <w:drawing>
                          <wp:inline distT="0" distB="0" distL="0" distR="0" wp14:anchorId="3B6A5EA9" wp14:editId="7ABE5A0D">
                            <wp:extent cx="3155950" cy="2190750"/>
                            <wp:effectExtent l="0" t="0" r="635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76C3" w:rsidRDefault="00B276C3" w:rsidP="003D20DD">
                      <w:pPr>
                        <w:spacing w:after="120"/>
                        <w:jc w:val="center"/>
                      </w:pPr>
                      <w:r w:rsidRPr="00DC3629">
                        <w:t xml:space="preserve">Source: </w:t>
                      </w:r>
                      <w:r>
                        <w:t xml:space="preserve">Ministry of Agriculture </w:t>
                      </w:r>
                      <w:r w:rsidRPr="00DC3629">
                        <w:t>2014</w:t>
                      </w:r>
                    </w:p>
                  </w:txbxContent>
                </v:textbox>
                <w10:wrap type="tight"/>
              </v:shape>
            </w:pict>
          </mc:Fallback>
        </mc:AlternateContent>
      </w:r>
      <w:r w:rsidR="003D20DD" w:rsidRPr="00E56625">
        <w:rPr>
          <w:b/>
          <w:lang w:val="en-US"/>
        </w:rPr>
        <w:t>Rapid reductions in poverty and in inequality in livelihood zones 7, 11 and 12 where rice and maize are grown are closely associated with increased production of cereals</w:t>
      </w:r>
      <w:r w:rsidR="003D20DD" w:rsidRPr="00E56625">
        <w:rPr>
          <w:lang w:val="en-US"/>
        </w:rPr>
        <w:t>. Driven by increases in the production of maize and rice, per capita cereal production doubled between 2000 and 2010 (Figure 5). The close association between reductions in poverty and cereal production is no surprise. For poor households who rely, in part, on casual labor to supplement their income from cultivation and who purchase much of their food needs, increased cereal production affects their standard of living positively through three channels: (i) increased own production means higher incomes, (ii) increased cereal production leads to more demand for farm labor, and (iii) increased cereal production exercises downward pressure on (rural) food prices. It is noteworthy that poverty amongst households living in the Niger delta (zone 6) has increased, suggesting that they have not been able to benefit from increased rice production – the reason why deserves to be explored.</w:t>
      </w:r>
    </w:p>
    <w:p w:rsidR="008120D1" w:rsidRPr="00E56625" w:rsidRDefault="008120D1" w:rsidP="00E56625">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For households in livelihood zone 8 whose incomes come from remittances, sorghum cultivation and transhumant livestock rearing, the rapid decline in poverty is the combined effect of increases sorghum production (Figure 5) and a three-fold increase in per capita remittances.</w:t>
      </w:r>
      <w:r w:rsidRPr="00E56625">
        <w:rPr>
          <w:lang w:val="en-US"/>
        </w:rPr>
        <w:t xml:space="preserve"> We find no association between (the value of) cotton production and poverty reduction. This may be because ever since financial and management problems started to plague the CMDT, cotton is primarily grown by non-poor households while poor households switched to cereals. Consequently increased cotton production only benefits poor households indirectly through the labor market and through improved market accessibility and the increased availability of inputs brought about by the CMDT. </w:t>
      </w:r>
    </w:p>
    <w:p w:rsidR="0043044E" w:rsidRPr="00E56625" w:rsidRDefault="0043044E" w:rsidP="0043044E">
      <w:pPr>
        <w:pStyle w:val="ListParagraph"/>
        <w:rPr>
          <w:lang w:val="en-US"/>
        </w:rPr>
      </w:pPr>
    </w:p>
    <w:p w:rsidR="003D20DD" w:rsidRPr="00E56625" w:rsidRDefault="003D20DD" w:rsidP="00176698">
      <w:pPr>
        <w:pStyle w:val="ListParagraph"/>
        <w:numPr>
          <w:ilvl w:val="0"/>
          <w:numId w:val="13"/>
        </w:numPr>
        <w:tabs>
          <w:tab w:val="left" w:pos="720"/>
        </w:tabs>
        <w:spacing w:after="180"/>
        <w:ind w:left="0" w:firstLine="0"/>
        <w:rPr>
          <w:lang w:val="en-US"/>
        </w:rPr>
      </w:pPr>
      <w:r w:rsidRPr="00E56625">
        <w:rPr>
          <w:b/>
          <w:lang w:val="en-US"/>
        </w:rPr>
        <w:t>The steady decline in poverty in livelihood zone 9 (west and central), but also in zones 8 (north of Kayes) and 12 (south of Kayes) coincides with increases in infrastructure (Figure 7).</w:t>
      </w:r>
      <w:r w:rsidRPr="00E56625">
        <w:rPr>
          <w:lang w:val="en-US"/>
        </w:rPr>
        <w:t xml:space="preserve"> The newly built infrastructure has substantially improved connectivity between Bamako and Senegal, a response, in part to the civil war that broke out in Côte d’Ivoire in 2002 and the opening of large gold mines in the region. Beyond that, infrastructure development kept pace with increases in population (between 1994 and 2007 Mali’s population almost doubled).</w:t>
      </w:r>
    </w:p>
    <w:p w:rsidR="003D20DD" w:rsidRPr="00E56625" w:rsidRDefault="003D20DD" w:rsidP="00176698">
      <w:pPr>
        <w:spacing w:after="120"/>
        <w:jc w:val="center"/>
        <w:rPr>
          <w:b/>
          <w:lang w:val="en-US"/>
        </w:rPr>
      </w:pPr>
      <w:r w:rsidRPr="00E56625">
        <w:rPr>
          <w:b/>
          <w:lang w:val="en-US"/>
        </w:rPr>
        <w:t>Figure 6: Road infrastructure in 1994 and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90"/>
      </w:tblGrid>
      <w:tr w:rsidR="003D20DD" w:rsidRPr="008F3531" w:rsidTr="0043044E">
        <w:tc>
          <w:tcPr>
            <w:tcW w:w="4788" w:type="dxa"/>
          </w:tcPr>
          <w:p w:rsidR="003D20DD" w:rsidRPr="00E56625" w:rsidRDefault="003D20DD" w:rsidP="0043044E">
            <w:pPr>
              <w:rPr>
                <w:b/>
                <w:lang w:val="en-US"/>
              </w:rPr>
            </w:pPr>
            <w:r w:rsidRPr="00E56625">
              <w:rPr>
                <w:b/>
                <w:lang w:val="en-US"/>
              </w:rPr>
              <w:t>1994</w:t>
            </w:r>
          </w:p>
        </w:tc>
        <w:tc>
          <w:tcPr>
            <w:tcW w:w="4788" w:type="dxa"/>
          </w:tcPr>
          <w:p w:rsidR="003D20DD" w:rsidRPr="00E56625" w:rsidRDefault="003D20DD" w:rsidP="0043044E">
            <w:pPr>
              <w:rPr>
                <w:b/>
                <w:lang w:val="en-US"/>
              </w:rPr>
            </w:pPr>
            <w:r w:rsidRPr="00E56625">
              <w:rPr>
                <w:b/>
                <w:lang w:val="en-US"/>
              </w:rPr>
              <w:t>2007</w:t>
            </w:r>
          </w:p>
        </w:tc>
      </w:tr>
      <w:tr w:rsidR="003D20DD" w:rsidRPr="008F3531" w:rsidTr="0043044E">
        <w:tc>
          <w:tcPr>
            <w:tcW w:w="4788" w:type="dxa"/>
          </w:tcPr>
          <w:p w:rsidR="003D20DD" w:rsidRPr="00E56625" w:rsidRDefault="003D20DD" w:rsidP="003D20DD">
            <w:pPr>
              <w:rPr>
                <w:lang w:val="en-US"/>
              </w:rPr>
            </w:pPr>
            <w:r w:rsidRPr="000370E2">
              <w:rPr>
                <w:noProof/>
                <w:lang w:val="en-US"/>
              </w:rPr>
              <w:drawing>
                <wp:inline distT="0" distB="0" distL="0" distR="0" wp14:anchorId="1A09914D" wp14:editId="7C17FB61">
                  <wp:extent cx="2567754" cy="23304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routes_199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2051" cy="2334350"/>
                          </a:xfrm>
                          <a:prstGeom prst="rect">
                            <a:avLst/>
                          </a:prstGeom>
                        </pic:spPr>
                      </pic:pic>
                    </a:graphicData>
                  </a:graphic>
                </wp:inline>
              </w:drawing>
            </w:r>
          </w:p>
        </w:tc>
        <w:tc>
          <w:tcPr>
            <w:tcW w:w="4788" w:type="dxa"/>
          </w:tcPr>
          <w:p w:rsidR="003D20DD" w:rsidRPr="00E56625" w:rsidRDefault="003D20DD" w:rsidP="003D20DD">
            <w:pPr>
              <w:rPr>
                <w:lang w:val="en-US"/>
              </w:rPr>
            </w:pPr>
            <w:r w:rsidRPr="000370E2">
              <w:rPr>
                <w:noProof/>
                <w:lang w:val="en-US"/>
              </w:rPr>
              <w:drawing>
                <wp:inline distT="0" distB="0" distL="0" distR="0" wp14:anchorId="3F13B239" wp14:editId="71A90374">
                  <wp:extent cx="2630411" cy="2330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routes_200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9084" cy="2338134"/>
                          </a:xfrm>
                          <a:prstGeom prst="rect">
                            <a:avLst/>
                          </a:prstGeom>
                        </pic:spPr>
                      </pic:pic>
                    </a:graphicData>
                  </a:graphic>
                </wp:inline>
              </w:drawing>
            </w:r>
          </w:p>
        </w:tc>
      </w:tr>
    </w:tbl>
    <w:p w:rsidR="00176698" w:rsidRPr="00E56625" w:rsidRDefault="00176698" w:rsidP="00176698">
      <w:pPr>
        <w:pStyle w:val="ListParagraph"/>
        <w:tabs>
          <w:tab w:val="left" w:pos="720"/>
        </w:tabs>
        <w:ind w:left="0"/>
        <w:rPr>
          <w:lang w:val="en-US"/>
        </w:rPr>
      </w:pPr>
    </w:p>
    <w:p w:rsidR="003D20DD" w:rsidRPr="00E56625" w:rsidRDefault="00415574" w:rsidP="00D87258">
      <w:pPr>
        <w:pStyle w:val="ListParagraph"/>
        <w:numPr>
          <w:ilvl w:val="0"/>
          <w:numId w:val="13"/>
        </w:numPr>
        <w:tabs>
          <w:tab w:val="left" w:pos="720"/>
        </w:tabs>
        <w:ind w:left="0" w:firstLine="0"/>
        <w:rPr>
          <w:lang w:val="en-US"/>
        </w:rPr>
      </w:pPr>
      <w:r w:rsidRPr="000370E2">
        <w:rPr>
          <w:b/>
          <w:noProof/>
          <w:lang w:val="en-US"/>
        </w:rPr>
        <mc:AlternateContent>
          <mc:Choice Requires="wps">
            <w:drawing>
              <wp:anchor distT="0" distB="0" distL="114300" distR="114300" simplePos="0" relativeHeight="251696128" behindDoc="1" locked="0" layoutInCell="1" allowOverlap="1" wp14:anchorId="7BF675AB" wp14:editId="390D1D21">
                <wp:simplePos x="0" y="0"/>
                <wp:positionH relativeFrom="column">
                  <wp:posOffset>1009650</wp:posOffset>
                </wp:positionH>
                <wp:positionV relativeFrom="paragraph">
                  <wp:posOffset>1562100</wp:posOffset>
                </wp:positionV>
                <wp:extent cx="5035550" cy="31718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3171825"/>
                        </a:xfrm>
                        <a:prstGeom prst="rect">
                          <a:avLst/>
                        </a:prstGeom>
                        <a:solidFill>
                          <a:srgbClr val="FFFFFF"/>
                        </a:solidFill>
                        <a:ln w="9525">
                          <a:noFill/>
                          <a:miter lim="800000"/>
                          <a:headEnd/>
                          <a:tailEnd/>
                        </a:ln>
                      </wps:spPr>
                      <wps:txbx>
                        <w:txbxContent>
                          <w:p w:rsidR="00B276C3" w:rsidRPr="002A35C0" w:rsidRDefault="00B276C3" w:rsidP="003D20DD">
                            <w:pPr>
                              <w:pStyle w:val="Caption"/>
                              <w:rPr>
                                <w:b w:val="0"/>
                              </w:rPr>
                            </w:pPr>
                            <w:r>
                              <w:rPr>
                                <w:b w:val="0"/>
                              </w:rPr>
                              <w:t xml:space="preserve">Figure 7: </w:t>
                            </w:r>
                            <w:r w:rsidRPr="002A35C0">
                              <w:rPr>
                                <w:b w:val="0"/>
                              </w:rPr>
                              <w:t xml:space="preserve">Distribution of poor </w:t>
                            </w:r>
                            <w:r>
                              <w:rPr>
                                <w:b w:val="0"/>
                              </w:rPr>
                              <w:t xml:space="preserve">people </w:t>
                            </w:r>
                            <w:r w:rsidRPr="002A35C0">
                              <w:rPr>
                                <w:b w:val="0"/>
                              </w:rPr>
                              <w:t>across livelihood zones</w:t>
                            </w:r>
                          </w:p>
                          <w:p w:rsidR="00B276C3" w:rsidRDefault="00B276C3" w:rsidP="003D20DD">
                            <w:pPr>
                              <w:spacing w:after="0"/>
                              <w:jc w:val="center"/>
                            </w:pPr>
                            <w:r>
                              <w:rPr>
                                <w:noProof/>
                                <w:lang w:val="en-US"/>
                              </w:rPr>
                              <w:drawing>
                                <wp:inline distT="0" distB="0" distL="0" distR="0" wp14:anchorId="73919629" wp14:editId="333AA366">
                                  <wp:extent cx="4457700" cy="2686050"/>
                                  <wp:effectExtent l="0" t="0" r="0"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76C3" w:rsidRPr="00BD3BEE" w:rsidRDefault="00B276C3" w:rsidP="00176698">
                            <w:pPr>
                              <w:spacing w:after="0"/>
                              <w:rPr>
                                <w:sz w:val="20"/>
                                <w:szCs w:val="20"/>
                              </w:rPr>
                            </w:pPr>
                            <w:r w:rsidRPr="00BD3BEE">
                              <w:rPr>
                                <w:sz w:val="20"/>
                                <w:szCs w:val="20"/>
                              </w:rPr>
                              <w:t>Source: ELIM 2010. Authors’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75AB" id="_x0000_s1030" type="#_x0000_t202" style="position:absolute;left:0;text-align:left;margin-left:79.5pt;margin-top:123pt;width:396.5pt;height:24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lxIwIAACQEAAAOAAAAZHJzL2Uyb0RvYy54bWysU81u2zAMvg/YOwi6L3bceE2NOEWXLsOA&#10;7gdo9wCyLMfCJFGTlNjZ04+S0zTbbsN0EEiR/Eh+pFa3o1bkIJyXYGo6n+WUCMOhlWZX029P2zdL&#10;SnxgpmUKjKjpUXh6u379ajXYShTQg2qFIwhifDXYmvYh2CrLPO+FZn4GVhg0duA0C6i6XdY6NiC6&#10;VlmR52+zAVxrHXDhPb7eT0a6TvhdJ3j40nVeBKJqirWFdLt0N/HO1itW7RyzveSnMtg/VKGZNJj0&#10;DHXPAiN7J/+C0pI78NCFGQedQddJLlIP2M08/6Obx55ZkXpBcrw90+T/Hyz/fPjqiGxrWuCkDNM4&#10;oycxBvIORlJEegbrK/R6tOgXRnzGMadWvX0A/t0TA5uemZ24cw6GXrAWy5vHyOwidMLxEaQZPkGL&#10;adg+QAIaO6cjd8gGQXQc0/E8mlgKx8cyvyrLEk0cbVfz6/myKFMOVj2HW+fDBwGaRKGmDmef4Nnh&#10;wYdYDqueXWI2D0q2W6lUUtyu2ShHDgz3ZJvOCf03N2XIUNObEnPHKAMxPq2QlgH3WEld02UeTwxn&#10;VaTjvWmTHJhUk4yVKHPiJ1IykRPGZkyTWMTYyF0D7REJczCtLX4zFHpwPykZcGVr6n/smROUqI8G&#10;Sb+ZLxZxx5OyKK8LVNylpbm0MMMRqqaBkknchPQvpsbucDidTLS9VHIqGVcxsXn6NnHXL/Xk9fK5&#10;178AAAD//wMAUEsDBBQABgAIAAAAIQDcyAnG3gAAAAsBAAAPAAAAZHJzL2Rvd25yZXYueG1sTI/N&#10;ToRAEITvJr7DpE28GHeQ8CPIsFETjdf9eYCB6QUi00OY2YV9e9uT3qrSleqvqu1qR3HB2Q+OFDxt&#10;IhBIrTMDdQqOh4/HZxA+aDJ6dIQKruhhW9/eVLo0bqEdXvahE1xCvtQK+hCmUkrf9mi137gJiW8n&#10;N1sd2M6dNLNeuNyOMo6iTFo9EH/o9YTvPbbf+7NVcPpaHtJiaT7DMd8l2Zse8sZdlbq/W19fQARc&#10;w18YfvEZHWpmatyZjBcj+7TgLUFBnGQsOFGkMYtGQZ6kKci6kv831D8AAAD//wMAUEsBAi0AFAAG&#10;AAgAAAAhALaDOJL+AAAA4QEAABMAAAAAAAAAAAAAAAAAAAAAAFtDb250ZW50X1R5cGVzXS54bWxQ&#10;SwECLQAUAAYACAAAACEAOP0h/9YAAACUAQAACwAAAAAAAAAAAAAAAAAvAQAAX3JlbHMvLnJlbHNQ&#10;SwECLQAUAAYACAAAACEAJdqZcSMCAAAkBAAADgAAAAAAAAAAAAAAAAAuAgAAZHJzL2Uyb0RvYy54&#10;bWxQSwECLQAUAAYACAAAACEA3MgJxt4AAAALAQAADwAAAAAAAAAAAAAAAAB9BAAAZHJzL2Rvd25y&#10;ZXYueG1sUEsFBgAAAAAEAAQA8wAAAIgFAAAAAA==&#10;" stroked="f">
                <v:textbox>
                  <w:txbxContent>
                    <w:p w:rsidR="00B276C3" w:rsidRPr="002A35C0" w:rsidRDefault="00B276C3" w:rsidP="003D20DD">
                      <w:pPr>
                        <w:pStyle w:val="Caption"/>
                        <w:rPr>
                          <w:b w:val="0"/>
                        </w:rPr>
                      </w:pPr>
                      <w:r>
                        <w:rPr>
                          <w:b w:val="0"/>
                        </w:rPr>
                        <w:t xml:space="preserve">Figure 7: </w:t>
                      </w:r>
                      <w:r w:rsidRPr="002A35C0">
                        <w:rPr>
                          <w:b w:val="0"/>
                        </w:rPr>
                        <w:t xml:space="preserve">Distribution of poor </w:t>
                      </w:r>
                      <w:r>
                        <w:rPr>
                          <w:b w:val="0"/>
                        </w:rPr>
                        <w:t xml:space="preserve">people </w:t>
                      </w:r>
                      <w:r w:rsidRPr="002A35C0">
                        <w:rPr>
                          <w:b w:val="0"/>
                        </w:rPr>
                        <w:t>across livelihood zones</w:t>
                      </w:r>
                    </w:p>
                    <w:p w:rsidR="00B276C3" w:rsidRDefault="00B276C3" w:rsidP="003D20DD">
                      <w:pPr>
                        <w:spacing w:after="0"/>
                        <w:jc w:val="center"/>
                      </w:pPr>
                      <w:r>
                        <w:rPr>
                          <w:noProof/>
                          <w:lang w:val="en-US"/>
                        </w:rPr>
                        <w:drawing>
                          <wp:inline distT="0" distB="0" distL="0" distR="0" wp14:anchorId="73919629" wp14:editId="333AA366">
                            <wp:extent cx="4457700" cy="2686050"/>
                            <wp:effectExtent l="0" t="0" r="0"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76C3" w:rsidRPr="00BD3BEE" w:rsidRDefault="00B276C3" w:rsidP="00176698">
                      <w:pPr>
                        <w:spacing w:after="0"/>
                        <w:rPr>
                          <w:sz w:val="20"/>
                          <w:szCs w:val="20"/>
                        </w:rPr>
                      </w:pPr>
                      <w:r w:rsidRPr="00BD3BEE">
                        <w:rPr>
                          <w:sz w:val="20"/>
                          <w:szCs w:val="20"/>
                        </w:rPr>
                        <w:t>Source: ELIM 2010. Authors’ calculations.</w:t>
                      </w:r>
                    </w:p>
                  </w:txbxContent>
                </v:textbox>
                <w10:wrap type="square"/>
              </v:shape>
            </w:pict>
          </mc:Fallback>
        </mc:AlternateContent>
      </w:r>
      <w:r w:rsidR="00782B0C">
        <w:rPr>
          <w:b/>
          <w:lang w:val="en-US"/>
        </w:rPr>
        <w:t xml:space="preserve">Using consumption as metric to identity the poor we find that </w:t>
      </w:r>
      <w:r w:rsidR="003D20DD" w:rsidRPr="00E56625">
        <w:rPr>
          <w:b/>
          <w:lang w:val="en-US"/>
        </w:rPr>
        <w:t>70 percent of all poor reside in three livelihood zones: zones 9 (west and central rain-fed millet/sorghum), 10 (north Sikasso: sorghum, millet and cotton) and 11 (south Sikasso, maize, cotton and fruits).</w:t>
      </w:r>
      <w:r w:rsidR="003D20DD" w:rsidRPr="00E56625">
        <w:rPr>
          <w:lang w:val="en-US"/>
        </w:rPr>
        <w:t xml:space="preserve"> Amongst these zone 10 stands out as poverty in this area is on the increase! The high incidence of poverty in this zone 10 remains a puzzle. The agricultural potential of this zone is high and because of its association with cotton, market accessibility and the availability of inputs are relatively good. One explanation for the increase in poverty may be that data collection for ELIM 2010 coincided with a period of adverse weather. Another explanation is that high levels of population density (over 52 inhabitants/ </w:t>
      </w:r>
      <w:r w:rsidR="00C8297A" w:rsidRPr="00C8297A">
        <w:rPr>
          <w:lang w:val="en-US"/>
        </w:rPr>
        <w:t>km</w:t>
      </w:r>
      <w:r w:rsidR="00C8297A" w:rsidRPr="00E56625">
        <w:rPr>
          <w:vertAlign w:val="superscript"/>
          <w:lang w:val="en-US"/>
        </w:rPr>
        <w:t>2</w:t>
      </w:r>
      <w:r w:rsidR="003D20DD" w:rsidRPr="00E56625">
        <w:rPr>
          <w:lang w:val="en-US"/>
        </w:rPr>
        <w:t xml:space="preserve">) and increasing land scarcity have made it difficult for households in this region to recover from the collapse in cotton production. </w:t>
      </w:r>
      <w:r w:rsidR="00782B0C">
        <w:rPr>
          <w:lang w:val="en-US"/>
        </w:rPr>
        <w:t xml:space="preserve">A third explanation is that there may be a measurement problem as food prices in cotton production areas tend to be low (cotton and maize are often cultivated together), leading to a low valuation of quantities consumed (as local prices are used). </w:t>
      </w:r>
      <w:r w:rsidR="003D20DD" w:rsidRPr="00E56625">
        <w:rPr>
          <w:lang w:val="en-US"/>
        </w:rPr>
        <w:t>Additional research will need to shed light on this</w:t>
      </w:r>
      <w:r w:rsidR="00782B0C">
        <w:rPr>
          <w:lang w:val="en-US"/>
        </w:rPr>
        <w:t>, but one piece of conflicting evidence comes from measuring poverty using an asset index. When this index is used the vast majority of the poor are still in south Mali, but now distributed more evenly across space.</w:t>
      </w:r>
      <w:r w:rsidR="003D20DD" w:rsidRPr="00E56625">
        <w:rPr>
          <w:lang w:val="en-US"/>
        </w:rPr>
        <w:t xml:space="preserve"> </w:t>
      </w:r>
    </w:p>
    <w:p w:rsidR="001259F3" w:rsidRPr="00E56625" w:rsidRDefault="001259F3" w:rsidP="001259F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As land for rain-fed farming is still relatively abundant the difference between poor and non-poor households in agricultural areas is largely determined by the ability to bring land under cultivation</w:t>
      </w:r>
      <w:r w:rsidRPr="00E56625">
        <w:rPr>
          <w:lang w:val="en-US"/>
        </w:rPr>
        <w:t xml:space="preserve">. Poor households lack the able-bodied household members, the assets and access to inputs to cultivate substantial areas. Because poor households cultivate relatively small areas of land, own production is insufficient to cover their needs. As a consequence they purchase a large share of their food needs using cash earned through paid labor. This is illustrated in Figure 8 which shows how the poorest households in all agro-ecological zones (with the exception of zone 2) obtain the bulk of their food from purchases. Wealthy households, by contrast, meet most of their food needs from own-production. Poor households are thus dependent on food and labor markets, a dependence that may seem at odds with the perception of poor households as subsistence farmers. </w:t>
      </w:r>
    </w:p>
    <w:p w:rsidR="001259F3" w:rsidRPr="00E56625" w:rsidRDefault="001259F3" w:rsidP="001259F3">
      <w:pPr>
        <w:pStyle w:val="ListParagraph"/>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As net purchasers of food and as active participants in the labor market, well-functioning markets are critical to the welfare of poor households</w:t>
      </w:r>
      <w:r w:rsidRPr="00E56625">
        <w:rPr>
          <w:lang w:val="en-US"/>
        </w:rPr>
        <w:t xml:space="preserve">. Low food prices –often considered critical for the urban poor - are equally important for poor people living in rural areas. Poor households are particularly vulnerable when food prices rise and casual labor opportunities are absent; for pastoralists the worst possible combination is one of falling livestock prices and rising food prices, a combination that typically occurs when a covariate shock (drought, insects, insecurity) affects an area. </w:t>
      </w:r>
    </w:p>
    <w:p w:rsidR="00176698" w:rsidRPr="00E56625" w:rsidRDefault="00176698" w:rsidP="00176698">
      <w:pPr>
        <w:pStyle w:val="ListParagraph"/>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Policies that increase the demand for labor from poor pastoralists (the Office du Niger typically offers ample opportunities for seasonal labor) may be more astute to reducing poverty than interventions aimed at cattle or other large animals</w:t>
      </w:r>
      <w:r w:rsidRPr="00E56625">
        <w:rPr>
          <w:lang w:val="en-US"/>
        </w:rPr>
        <w:t>. In zones where pastoralism is important, the poorest lack the livestock to be considered true pastoralists and their ownership of animals remains limited to poultry and at times a goat, a donkey or a sheep. Like poor farmers, the poorest ‘pastoralists’ thus depend on labor opportunities offered by middle class and better-off households and even interventions that focus on small ruminants can be expected to benefit non-poor households disproportionately.</w:t>
      </w:r>
    </w:p>
    <w:p w:rsidR="003D20DD" w:rsidRPr="00E56625" w:rsidRDefault="003D20DD" w:rsidP="00C8297A">
      <w:pPr>
        <w:jc w:val="center"/>
        <w:rPr>
          <w:b/>
          <w:lang w:val="en-US"/>
        </w:rPr>
      </w:pPr>
      <w:r w:rsidRPr="00E56625">
        <w:rPr>
          <w:b/>
          <w:lang w:val="en-US"/>
        </w:rPr>
        <w:t>Figure 8: Origin of food consumed by livelihood zone and household wealth</w:t>
      </w:r>
    </w:p>
    <w:p w:rsidR="003D20DD" w:rsidRPr="00E56625" w:rsidRDefault="003D20DD" w:rsidP="003D20DD">
      <w:pPr>
        <w:rPr>
          <w:lang w:val="en-US"/>
        </w:rPr>
      </w:pPr>
      <w:r w:rsidRPr="000370E2">
        <w:rPr>
          <w:noProof/>
          <w:lang w:val="en-US"/>
        </w:rPr>
        <w:drawing>
          <wp:inline distT="0" distB="0" distL="0" distR="0" wp14:anchorId="47234624" wp14:editId="2F46B409">
            <wp:extent cx="5710687" cy="3597215"/>
            <wp:effectExtent l="0" t="0" r="4445"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20DD" w:rsidRPr="00E56625" w:rsidRDefault="003D20DD" w:rsidP="003D20DD">
      <w:pPr>
        <w:rPr>
          <w:sz w:val="20"/>
          <w:szCs w:val="20"/>
          <w:lang w:val="en-US"/>
        </w:rPr>
      </w:pPr>
      <w:r w:rsidRPr="00E56625">
        <w:rPr>
          <w:sz w:val="20"/>
          <w:szCs w:val="20"/>
          <w:lang w:val="en-US"/>
        </w:rPr>
        <w:t>Source: FEWSNET 2010.</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 xml:space="preserve">Poor health reduces labor productivity and affects poor households disproportionately. </w:t>
      </w:r>
      <w:r w:rsidRPr="00E56625">
        <w:rPr>
          <w:lang w:val="en-US"/>
        </w:rPr>
        <w:t xml:space="preserve">Malaria is a particularly important acute source of risk. Malnutrition is a more chronic risk: high levels of anemia (in part caused by frequent bouts of malaria and regular infections) and stunting caused by poor diets (poor households rarely drink milk) reduce labor productivity. Interventions to improve the health of Malians would not only be desirable in their own right, it would have an immediate economic benefit as it would improve labor productivity. Moreover it would be a pro-poor policy measure. Not only is the capacity to work is the main (and often only) asset of poor households, with fewer able bodied household members, poor households are particularly vulnerable to the negative welfare consequences of a health shock. </w:t>
      </w:r>
    </w:p>
    <w:p w:rsidR="00075773" w:rsidRPr="00E56625" w:rsidRDefault="00075773" w:rsidP="0007577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The poorest often lack the means to migrate to casual labor opportunities, either because they have too few able-bodied household members or lack the cash to pay for transport</w:t>
      </w:r>
      <w:r w:rsidRPr="00E56625">
        <w:rPr>
          <w:lang w:val="en-US"/>
        </w:rPr>
        <w:t xml:space="preserve">. Many households engage in temporary labor migration as it offers an important source of cash, more so to households in the north where livelihoods are more uncertain and opportunities for work more restricted. Very poor households, however, lack the means to move to where demand for labor is highest and depend on casual labor opportunities nearby. </w:t>
      </w:r>
    </w:p>
    <w:p w:rsidR="003D20DD" w:rsidRPr="00E56625" w:rsidRDefault="003D20DD" w:rsidP="00586F0A">
      <w:pPr>
        <w:spacing w:before="280"/>
        <w:rPr>
          <w:rFonts w:ascii="Times New Roman Bold" w:hAnsi="Times New Roman Bold"/>
          <w:b/>
          <w:color w:val="1F497D" w:themeColor="text2"/>
          <w:sz w:val="28"/>
          <w:szCs w:val="28"/>
          <w:lang w:val="en-US"/>
        </w:rPr>
      </w:pPr>
      <w:r w:rsidRPr="00E56625">
        <w:rPr>
          <w:rFonts w:ascii="Times New Roman Bold" w:hAnsi="Times New Roman Bold"/>
          <w:b/>
          <w:color w:val="1F497D" w:themeColor="text2"/>
          <w:sz w:val="28"/>
          <w:szCs w:val="28"/>
          <w:lang w:val="en-US"/>
        </w:rPr>
        <w:t>Population density and service delivery</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Low population density creates trade-offs between equity (access to public services for all) and efficiency (providing service access to as many people as possible for a given budget).</w:t>
      </w:r>
      <w:r w:rsidRPr="00E56625">
        <w:rPr>
          <w:lang w:val="en-US"/>
        </w:rPr>
        <w:t xml:space="preserve"> The unit cost of service provision is largely determined by fixed costs in relation to the number of people that use a service. Services requiring large investments such as piped water or electricity can only be offered in a cost-effective manner in areas where population density is high: cities. To offer a comparable service in a low density area, a service would have to require lower fixed costs. This explains why tarmacked roads are found in cities, and dirt tracks in low density areas like rural villages. It also explains why the provision of the same level of service in north Mali (where population density is low) will cost mor</w:t>
      </w:r>
      <w:r w:rsidR="00075773" w:rsidRPr="00E56625">
        <w:rPr>
          <w:lang w:val="en-US"/>
        </w:rPr>
        <w:t>e than elsewhere in the country.</w:t>
      </w:r>
    </w:p>
    <w:p w:rsidR="00075773" w:rsidRPr="00E56625" w:rsidRDefault="00075773" w:rsidP="0007577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Low levels of income, a small public resource envelope, low population density and a large unmet demand for public services, make the question how to make public services cost-effective, pressing</w:t>
      </w:r>
      <w:r w:rsidRPr="00E56625">
        <w:rPr>
          <w:lang w:val="en-US"/>
        </w:rPr>
        <w:t xml:space="preserve">. How pressing this problem is can be illustrated with an example for secondary schools. Imagine that the maximum distance a secondary student can be expected to travel is 7 km (one way). The catchment area of a school is then 154 </w:t>
      </w:r>
      <w:r w:rsidR="00C8297A" w:rsidRPr="00C8297A">
        <w:rPr>
          <w:lang w:val="en-US"/>
        </w:rPr>
        <w:t>km</w:t>
      </w:r>
      <w:r w:rsidR="007619AA" w:rsidRPr="00E56625">
        <w:rPr>
          <w:vertAlign w:val="superscript"/>
          <w:lang w:val="en-US"/>
        </w:rPr>
        <w:t>2</w:t>
      </w:r>
      <w:r w:rsidRPr="00E56625">
        <w:rPr>
          <w:lang w:val="en-US"/>
        </w:rPr>
        <w:t xml:space="preserve"> (πr</w:t>
      </w:r>
      <w:r w:rsidRPr="00E56625">
        <w:rPr>
          <w:vertAlign w:val="superscript"/>
          <w:lang w:val="en-US"/>
        </w:rPr>
        <w:t>2</w:t>
      </w:r>
      <w:r w:rsidRPr="00E56625">
        <w:rPr>
          <w:lang w:val="en-US"/>
        </w:rPr>
        <w:t xml:space="preserve">). Next assume that a secondary school requires at least 250 students to operate in a cost-efficient manner. We know that 30 out of every 100 children complete primary school and are eligible to go to secondary school (Figure 11) and that children of secondary school age (those aged 13-18) make up 14 percent of the population. We can now calculate that to run a secondary school efficiently, population density needs to be about 39 people per square kilometer. Only 50 percent of the population of Mali lives in such areas. Does this mean that half the population should be deprived of the opportunity access to a secondary school? This example illustrates not only how efficiency is a prerequisite to achieve equity (spatially blind service delivery), it also shows that efficiency and equity are related to aspects of quality (if the primary school retention rate were higher, the density requirement for secondary schools would go down). The example also makes clear that the challenges of service delivery in low population density areas extend beyond north Mali. Only 12 of the 50 percent who live in areas with too low a density to offer secondary education stay in the north. The remainder lives elsewhere. </w:t>
      </w:r>
    </w:p>
    <w:p w:rsidR="00075773" w:rsidRPr="00E56625" w:rsidRDefault="00075773" w:rsidP="0007577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To explore how to make public services available to all three case studies are presented.</w:t>
      </w:r>
      <w:r w:rsidRPr="00E56625">
        <w:rPr>
          <w:lang w:val="en-US"/>
        </w:rPr>
        <w:t xml:space="preserve"> They have been selected because they require different levels of fixed costs (relatively low in the case of primary education; high in the case of electricity) and because of their relevance for economic integration (access to markets). Based on these case studies some policy implications are presented at the end of the section.</w:t>
      </w:r>
    </w:p>
    <w:p w:rsidR="003D20DD" w:rsidRPr="00E56625" w:rsidRDefault="003D20DD" w:rsidP="003D20DD">
      <w:pPr>
        <w:rPr>
          <w:b/>
          <w:lang w:val="en-US"/>
        </w:rPr>
      </w:pPr>
      <w:r w:rsidRPr="00E56625">
        <w:rPr>
          <w:b/>
          <w:lang w:val="en-US"/>
        </w:rPr>
        <w:t>Primary education</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Levels of education in Mali are very low.</w:t>
      </w:r>
      <w:r w:rsidRPr="00E56625">
        <w:rPr>
          <w:lang w:val="en-US"/>
        </w:rPr>
        <w:t xml:space="preserve"> Almost sixty percent of the population aged six and above has no education at all, approximately 35 percent has primary education and less than eight percent has secondary education or higher. In the northern regions of the country, Mopti, Tombouctou and Kidal more than 80 percent of the population has not gone to school at all. In Bamako the situation is better but even here as many as 34 percent of the population never went to school. With an average of 2.38 years of education, Malians aged 15 and above are the third least educated in the world.</w:t>
      </w:r>
      <w:r w:rsidRPr="00E56625">
        <w:rPr>
          <w:vertAlign w:val="superscript"/>
          <w:lang w:val="en-US"/>
        </w:rPr>
        <w:footnoteReference w:id="2"/>
      </w:r>
      <w:r w:rsidRPr="00E56625">
        <w:rPr>
          <w:lang w:val="en-US"/>
        </w:rPr>
        <w:t xml:space="preserve"> </w:t>
      </w:r>
      <w:r w:rsidR="00D666E4" w:rsidRPr="00E56625">
        <w:rPr>
          <w:lang w:val="en-US"/>
        </w:rPr>
        <w:t xml:space="preserve"> </w:t>
      </w:r>
      <w:r w:rsidRPr="00E56625">
        <w:rPr>
          <w:lang w:val="en-US"/>
        </w:rPr>
        <w:t>Only Mozambique and Niger do worse.</w:t>
      </w:r>
    </w:p>
    <w:p w:rsidR="00075773" w:rsidRPr="00E56625" w:rsidRDefault="00075773" w:rsidP="0007577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Despite improvements, school enrollment remains low.</w:t>
      </w:r>
      <w:r w:rsidRPr="00E56625">
        <w:rPr>
          <w:lang w:val="en-US"/>
        </w:rPr>
        <w:t xml:space="preserve"> According to the EMEP/ELIM surveys net primary school enrollment increased from 31 percent in 2001 to 54 percent by 2010. Enrollment varies across the country from as low as 35 percent in Tombouctou and Mopti to 83 percent in Bamako (Figure 9). The poorest households who had the lowest enrollment rate in 2001 benefited most (in relative terms), but failed to close the gap in enrollment with the richest households. In 2010, the net enrollment rate for children from the poorest households was 46 percent; for children from the wealthiest households it was 71 percent. Enrollment in secondary schools went up from 10 percent in 2001 to 28 percent by 2010.</w:t>
      </w:r>
    </w:p>
    <w:p w:rsidR="003D20DD" w:rsidRPr="00E56625" w:rsidRDefault="003D20DD" w:rsidP="00D666E4">
      <w:pPr>
        <w:jc w:val="center"/>
        <w:rPr>
          <w:b/>
          <w:lang w:val="en-US"/>
        </w:rPr>
      </w:pPr>
      <w:r w:rsidRPr="00E56625">
        <w:rPr>
          <w:b/>
          <w:lang w:val="en-US"/>
        </w:rPr>
        <w:t>Figure 9: Net primary school enrollment an</w:t>
      </w:r>
      <w:r w:rsidR="00D666E4" w:rsidRPr="00E56625">
        <w:rPr>
          <w:b/>
          <w:lang w:val="en-US"/>
        </w:rPr>
        <w:t>d fraction of population living</w:t>
      </w:r>
      <w:r w:rsidR="00D666E4" w:rsidRPr="00E56625">
        <w:rPr>
          <w:b/>
          <w:lang w:val="en-US"/>
        </w:rPr>
        <w:br/>
      </w:r>
      <w:r w:rsidRPr="00E56625">
        <w:rPr>
          <w:b/>
          <w:lang w:val="en-US"/>
        </w:rPr>
        <w:t>within 2km and 5km from primary school</w:t>
      </w:r>
    </w:p>
    <w:p w:rsidR="003D20DD" w:rsidRPr="00E56625" w:rsidRDefault="003D20DD" w:rsidP="003D20DD">
      <w:pPr>
        <w:rPr>
          <w:lang w:val="en-US"/>
        </w:rPr>
      </w:pPr>
      <w:r w:rsidRPr="000370E2">
        <w:rPr>
          <w:noProof/>
          <w:lang w:val="en-US"/>
        </w:rPr>
        <w:drawing>
          <wp:inline distT="0" distB="0" distL="0" distR="0" wp14:anchorId="467598C2" wp14:editId="28721C00">
            <wp:extent cx="5943600" cy="2501661"/>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20DD" w:rsidRPr="00E56625" w:rsidRDefault="003D20DD" w:rsidP="003D20DD">
      <w:pPr>
        <w:rPr>
          <w:sz w:val="20"/>
          <w:szCs w:val="20"/>
          <w:lang w:val="en-US"/>
        </w:rPr>
      </w:pPr>
      <w:r w:rsidRPr="00E56625">
        <w:rPr>
          <w:sz w:val="20"/>
          <w:szCs w:val="20"/>
          <w:lang w:val="en-US"/>
        </w:rPr>
        <w:t>Source: EMOP 2011 (enrollment) and RGPH 2009 (distance). Authors’ calculations.</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In terms of school construction much has been achieved: more than 80 percent of the population lives within 2 km of a school. Comparisons of the fraction of the population that live within 2 km from a school with enrollment rates, suggest that access is not the binding constraint to increased enrollment.</w:t>
      </w:r>
      <w:r w:rsidRPr="00E56625">
        <w:rPr>
          <w:lang w:val="en-US"/>
        </w:rPr>
        <w:t xml:space="preserve"> As Figure 9 illustrates, in all regions does the percentage of households with access exceed the enrollment rate. The largest difference between enrollment and the fraction of households living close to school is found in Mopti and Tombouctou where more than 60 percent of the population lives within two kilometers of a school, while attendance rates are 35 percent. The size of the gap, particularly in these two regions, argues for a better understanding of the reasons for (non)enrollment.</w:t>
      </w:r>
    </w:p>
    <w:p w:rsidR="00075773" w:rsidRPr="00E56625" w:rsidRDefault="00075773" w:rsidP="00075773">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There are differences in the allocations of school inputs by region, but there is no obvious evidence of one region being favored over another.</w:t>
      </w:r>
      <w:r w:rsidRPr="00E56625">
        <w:rPr>
          <w:lang w:val="en-US"/>
        </w:rPr>
        <w:t xml:space="preserve"> To explore the spatial allocation of schools, classrooms and teachers we calculate how many additional (fewer) schools, classrooms and teachers a region should get obtain an allocation that is spatially blind (i.e. it is equal to the national (per capita) average). Doing so (Figure 10) suggests that Bamako, Ségou and Mopti are underserved (they should receive additional schools, classrooms and teachers) while Kidal, Koulikoro, and particularly Sikasso, Kidal and Gao are over-served (they should have less). This approach is only a first approximation as many other factors determine whether a region should get additional or fewer scholastic inputs. Population density in Bamako is so high (and the cost of land so elevated) that it makes sense to have fewer but larger schools. Enrollment rates in Mopti are so low, that it may make sense to expect teachers to teach multiple grades. Gao, Tombouctou and Kidal are so lightly populated that it makes sense to build relatively more schools but schools that are small. This indeed happens. The average primary school in Bamako has 5.7 classrooms, in Tombouctou it only has 3.1 and in Gao and Mopti 3.4. </w:t>
      </w:r>
    </w:p>
    <w:p w:rsidR="003D20DD" w:rsidRPr="00E56625" w:rsidRDefault="003D20DD" w:rsidP="00D666E4">
      <w:pPr>
        <w:jc w:val="center"/>
        <w:rPr>
          <w:b/>
          <w:lang w:val="en-US"/>
        </w:rPr>
      </w:pPr>
      <w:r w:rsidRPr="00E56625">
        <w:rPr>
          <w:b/>
          <w:lang w:val="en-US"/>
        </w:rPr>
        <w:t xml:space="preserve">Figure 10: How school inputs would be reallocated if </w:t>
      </w:r>
      <w:r w:rsidR="00D666E4" w:rsidRPr="00E56625">
        <w:rPr>
          <w:b/>
          <w:lang w:val="en-US"/>
        </w:rPr>
        <w:t>every region</w:t>
      </w:r>
      <w:r w:rsidR="00D666E4" w:rsidRPr="00E56625">
        <w:rPr>
          <w:b/>
          <w:lang w:val="en-US"/>
        </w:rPr>
        <w:br/>
      </w:r>
      <w:r w:rsidRPr="00E56625">
        <w:rPr>
          <w:b/>
          <w:lang w:val="en-US"/>
        </w:rPr>
        <w:t>had to be at the national average (2010/11)</w:t>
      </w:r>
    </w:p>
    <w:p w:rsidR="003D20DD" w:rsidRPr="00E56625" w:rsidRDefault="003D20DD" w:rsidP="003D20DD">
      <w:pPr>
        <w:rPr>
          <w:lang w:val="en-US"/>
        </w:rPr>
      </w:pPr>
      <w:r w:rsidRPr="000370E2">
        <w:rPr>
          <w:noProof/>
          <w:lang w:val="en-US"/>
        </w:rPr>
        <w:drawing>
          <wp:inline distT="0" distB="0" distL="0" distR="0" wp14:anchorId="3CA8F774" wp14:editId="3929F39C">
            <wp:extent cx="5753819" cy="2682815"/>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20DD" w:rsidRPr="00E56625" w:rsidRDefault="003D20DD" w:rsidP="003D20DD">
      <w:pPr>
        <w:rPr>
          <w:sz w:val="20"/>
          <w:szCs w:val="20"/>
          <w:lang w:val="en-US"/>
        </w:rPr>
      </w:pPr>
      <w:r w:rsidRPr="00E56625">
        <w:rPr>
          <w:sz w:val="20"/>
          <w:szCs w:val="20"/>
          <w:lang w:val="en-US"/>
        </w:rPr>
        <w:t>Source: Ministry of Education Statistical Abstract. Authors’ calculations</w:t>
      </w:r>
    </w:p>
    <w:p w:rsidR="003D20DD" w:rsidRPr="00E56625" w:rsidRDefault="003D20DD" w:rsidP="00D87258">
      <w:pPr>
        <w:pStyle w:val="ListParagraph"/>
        <w:numPr>
          <w:ilvl w:val="0"/>
          <w:numId w:val="13"/>
        </w:numPr>
        <w:tabs>
          <w:tab w:val="left" w:pos="720"/>
        </w:tabs>
        <w:ind w:left="0" w:firstLine="0"/>
        <w:rPr>
          <w:lang w:val="en-US"/>
        </w:rPr>
      </w:pPr>
      <w:r w:rsidRPr="000370E2">
        <w:rPr>
          <w:b/>
          <w:noProof/>
          <w:lang w:val="en-US"/>
        </w:rPr>
        <mc:AlternateContent>
          <mc:Choice Requires="wps">
            <w:drawing>
              <wp:anchor distT="0" distB="0" distL="114300" distR="114300" simplePos="0" relativeHeight="251697152" behindDoc="1" locked="0" layoutInCell="1" allowOverlap="1" wp14:anchorId="197372AE" wp14:editId="7D0329DD">
                <wp:simplePos x="0" y="0"/>
                <wp:positionH relativeFrom="column">
                  <wp:posOffset>2492375</wp:posOffset>
                </wp:positionH>
                <wp:positionV relativeFrom="paragraph">
                  <wp:posOffset>339725</wp:posOffset>
                </wp:positionV>
                <wp:extent cx="3561715" cy="2837815"/>
                <wp:effectExtent l="0" t="0" r="635" b="635"/>
                <wp:wrapTight wrapText="bothSides">
                  <wp:wrapPolygon edited="0">
                    <wp:start x="0" y="0"/>
                    <wp:lineTo x="0" y="21460"/>
                    <wp:lineTo x="21488" y="21460"/>
                    <wp:lineTo x="21488"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837815"/>
                        </a:xfrm>
                        <a:prstGeom prst="rect">
                          <a:avLst/>
                        </a:prstGeom>
                        <a:solidFill>
                          <a:srgbClr val="FFFFFF"/>
                        </a:solidFill>
                        <a:ln w="9525">
                          <a:noFill/>
                          <a:miter lim="800000"/>
                          <a:headEnd/>
                          <a:tailEnd/>
                        </a:ln>
                      </wps:spPr>
                      <wps:txbx>
                        <w:txbxContent>
                          <w:p w:rsidR="00B276C3" w:rsidRPr="00DC3629" w:rsidRDefault="00B276C3" w:rsidP="003D20DD">
                            <w:pPr>
                              <w:spacing w:after="120"/>
                              <w:jc w:val="center"/>
                              <w:rPr>
                                <w:rFonts w:eastAsia="Times New Roman"/>
                                <w:b/>
                                <w:color w:val="000000"/>
                              </w:rPr>
                            </w:pPr>
                            <w:r w:rsidRPr="00DC3629">
                              <w:rPr>
                                <w:rFonts w:eastAsia="Times New Roman"/>
                                <w:b/>
                                <w:color w:val="000000"/>
                              </w:rPr>
                              <w:t>Figure 1</w:t>
                            </w:r>
                            <w:r>
                              <w:rPr>
                                <w:rFonts w:eastAsia="Times New Roman"/>
                                <w:b/>
                                <w:color w:val="000000"/>
                              </w:rPr>
                              <w:t>1</w:t>
                            </w:r>
                            <w:r w:rsidRPr="00DC3629">
                              <w:rPr>
                                <w:rFonts w:eastAsia="Times New Roman"/>
                                <w:b/>
                                <w:color w:val="000000"/>
                              </w:rPr>
                              <w:t xml:space="preserve">: </w:t>
                            </w:r>
                            <w:r>
                              <w:rPr>
                                <w:rFonts w:eastAsia="Times New Roman"/>
                                <w:b/>
                                <w:color w:val="000000"/>
                              </w:rPr>
                              <w:t xml:space="preserve">Retention rates in </w:t>
                            </w:r>
                            <w:r w:rsidRPr="00DC3629">
                              <w:rPr>
                                <w:rFonts w:eastAsia="Times New Roman"/>
                                <w:b/>
                                <w:color w:val="000000"/>
                              </w:rPr>
                              <w:t>2013</w:t>
                            </w:r>
                          </w:p>
                          <w:p w:rsidR="00B276C3" w:rsidRPr="00DC3629" w:rsidRDefault="00B276C3" w:rsidP="003D20DD">
                            <w:pPr>
                              <w:spacing w:after="120"/>
                              <w:jc w:val="center"/>
                            </w:pPr>
                            <w:r w:rsidRPr="00DC3629">
                              <w:rPr>
                                <w:noProof/>
                                <w:lang w:val="en-US"/>
                              </w:rPr>
                              <w:drawing>
                                <wp:inline distT="0" distB="0" distL="0" distR="0" wp14:anchorId="6B9B474F" wp14:editId="3F0B97F0">
                                  <wp:extent cx="3407434" cy="2242868"/>
                                  <wp:effectExtent l="0" t="0" r="2540" b="508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76C3" w:rsidRPr="00D666E4" w:rsidRDefault="00B276C3" w:rsidP="003D20DD">
                            <w:pPr>
                              <w:spacing w:after="120"/>
                              <w:jc w:val="center"/>
                              <w:rPr>
                                <w:sz w:val="20"/>
                                <w:szCs w:val="20"/>
                              </w:rPr>
                            </w:pPr>
                            <w:r w:rsidRPr="00D666E4">
                              <w:rPr>
                                <w:sz w:val="20"/>
                                <w:szCs w:val="20"/>
                              </w:rPr>
                              <w:t>Source: EMOP, 2013 wave 1. Authors’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372AE" id="_x0000_s1031" type="#_x0000_t202" style="position:absolute;left:0;text-align:left;margin-left:196.25pt;margin-top:26.75pt;width:280.45pt;height:223.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9JAIAACQ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KpaLGkxDCN&#10;PXoSQyDvYSBFpKe3vkSvR4t+YcBnbHMq1dsH4D88MbDpmNmJO+eg7wRrML08RmYXoSOOjyB1/xka&#10;/IbtAySgoXU6codsEETHNh3PrYmpcHy8ml/nN/mcEo62YnF1s0Al/sHKl3DrfPgoQJMoVNRh7xM8&#10;Ozz4MLq+uMTfPCjZbKVSSXG7eqMcOTCck206J/Tf3JQhfUWX82KekA3EeIRmpZYB51hJXdHFNJ4Y&#10;zspIxwfTJDkwqUYZk1bmxE+kZCQnDPWQOpEKi9zV0ByRMAfj2OKaodCB+0VJjyNbUf9zz5ygRH0y&#10;SPoyn83ijCdlNr8pUHGXlvrSwgxHqIoGSkZxE9JexLQN3GFzWploe83klDKOYiL+tDZx1i/15PW6&#10;3OtnAAAA//8DAFBLAwQUAAYACAAAACEAlMk+Sd8AAAAKAQAADwAAAGRycy9kb3ducmV2LnhtbEyP&#10;wU7DMAyG70i8Q2QkLoilrO1Gu6YTIIG4buwB0sZrqzVO1WRr9/aYEztZtj/9/lxsZ9uLC46+c6Tg&#10;ZRGBQKqd6ahRcPj5fH4F4YMmo3tHqOCKHrbl/V2hc+Mm2uFlHxrBIeRzraANYcil9HWLVvuFG5B4&#10;d3Sj1YHbsZFm1BOH214uo2glre6IL7R6wI8W69P+bBUcv6enNJuqr3BY75LVu+7Wlbsq9fgwv21A&#10;BJzDPwx/+qwOJTtV7kzGi15BnC1TRhWkMVcGsjROQFQ8iKIEZFnI2xfKXwAAAP//AwBQSwECLQAU&#10;AAYACAAAACEAtoM4kv4AAADhAQAAEwAAAAAAAAAAAAAAAAAAAAAAW0NvbnRlbnRfVHlwZXNdLnht&#10;bFBLAQItABQABgAIAAAAIQA4/SH/1gAAAJQBAAALAAAAAAAAAAAAAAAAAC8BAABfcmVscy8ucmVs&#10;c1BLAQItABQABgAIAAAAIQDP+pH9JAIAACQEAAAOAAAAAAAAAAAAAAAAAC4CAABkcnMvZTJvRG9j&#10;LnhtbFBLAQItABQABgAIAAAAIQCUyT5J3wAAAAoBAAAPAAAAAAAAAAAAAAAAAH4EAABkcnMvZG93&#10;bnJldi54bWxQSwUGAAAAAAQABADzAAAAigUAAAAA&#10;" stroked="f">
                <v:textbox>
                  <w:txbxContent>
                    <w:p w:rsidR="00B276C3" w:rsidRPr="00DC3629" w:rsidRDefault="00B276C3" w:rsidP="003D20DD">
                      <w:pPr>
                        <w:spacing w:after="120"/>
                        <w:jc w:val="center"/>
                        <w:rPr>
                          <w:rFonts w:eastAsia="Times New Roman"/>
                          <w:b/>
                          <w:color w:val="000000"/>
                        </w:rPr>
                      </w:pPr>
                      <w:r w:rsidRPr="00DC3629">
                        <w:rPr>
                          <w:rFonts w:eastAsia="Times New Roman"/>
                          <w:b/>
                          <w:color w:val="000000"/>
                        </w:rPr>
                        <w:t>Figure 1</w:t>
                      </w:r>
                      <w:r>
                        <w:rPr>
                          <w:rFonts w:eastAsia="Times New Roman"/>
                          <w:b/>
                          <w:color w:val="000000"/>
                        </w:rPr>
                        <w:t>1</w:t>
                      </w:r>
                      <w:r w:rsidRPr="00DC3629">
                        <w:rPr>
                          <w:rFonts w:eastAsia="Times New Roman"/>
                          <w:b/>
                          <w:color w:val="000000"/>
                        </w:rPr>
                        <w:t xml:space="preserve">: </w:t>
                      </w:r>
                      <w:r>
                        <w:rPr>
                          <w:rFonts w:eastAsia="Times New Roman"/>
                          <w:b/>
                          <w:color w:val="000000"/>
                        </w:rPr>
                        <w:t xml:space="preserve">Retention rates in </w:t>
                      </w:r>
                      <w:r w:rsidRPr="00DC3629">
                        <w:rPr>
                          <w:rFonts w:eastAsia="Times New Roman"/>
                          <w:b/>
                          <w:color w:val="000000"/>
                        </w:rPr>
                        <w:t>2013</w:t>
                      </w:r>
                    </w:p>
                    <w:p w:rsidR="00B276C3" w:rsidRPr="00DC3629" w:rsidRDefault="00B276C3" w:rsidP="003D20DD">
                      <w:pPr>
                        <w:spacing w:after="120"/>
                        <w:jc w:val="center"/>
                      </w:pPr>
                      <w:r w:rsidRPr="00DC3629">
                        <w:rPr>
                          <w:noProof/>
                          <w:lang w:val="en-US"/>
                        </w:rPr>
                        <w:drawing>
                          <wp:inline distT="0" distB="0" distL="0" distR="0" wp14:anchorId="6B9B474F" wp14:editId="3F0B97F0">
                            <wp:extent cx="3407434" cy="2242868"/>
                            <wp:effectExtent l="0" t="0" r="2540" b="508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76C3" w:rsidRPr="00D666E4" w:rsidRDefault="00B276C3" w:rsidP="003D20DD">
                      <w:pPr>
                        <w:spacing w:after="120"/>
                        <w:jc w:val="center"/>
                        <w:rPr>
                          <w:sz w:val="20"/>
                          <w:szCs w:val="20"/>
                        </w:rPr>
                      </w:pPr>
                      <w:r w:rsidRPr="00D666E4">
                        <w:rPr>
                          <w:sz w:val="20"/>
                          <w:szCs w:val="20"/>
                        </w:rPr>
                        <w:t>Source: EMOP, 2013 wave 1. Authors’ calculations.</w:t>
                      </w:r>
                    </w:p>
                  </w:txbxContent>
                </v:textbox>
                <w10:wrap type="tight"/>
              </v:shape>
            </w:pict>
          </mc:Fallback>
        </mc:AlternateContent>
      </w:r>
      <w:r w:rsidRPr="00E56625">
        <w:rPr>
          <w:b/>
          <w:lang w:val="en-US"/>
        </w:rPr>
        <w:t>Addressing the low quality of primary education (a spatially blind policy) is more urgent than reducing differences in the allocation of school infrastructure through spatially targeted interventions</w:t>
      </w:r>
      <w:r w:rsidRPr="00E56625">
        <w:rPr>
          <w:lang w:val="en-US"/>
        </w:rPr>
        <w:t>. Whereas 63 percent of eligible children go to school, only 41 percent reach grade 5 (Figure 11). Education experts consider students who does not complete at least grade 5 a loss as they leave school before they master basic skills in reading, writing and arithmetic. The implication is that because 22 percent of children never make it till grade 5, there are huge efficiency losses. The actual situation is even worse as a national study carried out by PASEC in 2012/13 found that of the students that complete grade 5 only 13 percent are able to analyze a text in French and the express themselves in writing; 16 percent does not have any competence in French while 70 percent is able to extract specific information. The results for mathematics are even more devastating: almost half the students in grade 5 do not master the most basic math skills and only 10 percent performs at grade level.</w:t>
      </w:r>
    </w:p>
    <w:p w:rsidR="00BB0F9B" w:rsidRPr="00E56625" w:rsidRDefault="00BB0F9B" w:rsidP="00BB0F9B">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Low education quality is sustained by high student–teacher and student-classroom ratios and inadequate study materials</w:t>
      </w:r>
      <w:r w:rsidRPr="00E56625">
        <w:rPr>
          <w:lang w:val="en-US"/>
        </w:rPr>
        <w:t xml:space="preserve">. The student-teacher ratio (60 to 1) and the number of students per classroom (62) are so high that it is hard to imagine how effective learning can take place. Moreover, the budget that is made available for education is not used efficiently. A financial audit of the management of school textbooks and teaching materials in 2008 conducted by the Office of the Auditor General revealed (i) the total absence of textbooks in some schools; (ii) overestimated contract amounts and overcharges; (iii) failure to deliver textbooks under several contracts; (iv) non-existence in most cases of allocative keys; and (v) unjustified commitments of CFAF 2.4 billion. Low retention rates, teacher shortages and inadequate procurement processes suggest a need to prioritize the quality of education while exploring the scope for ways to increase enrollment and efficiency in spending. There is an obvious crisis in the primary education sector that needs to be resolved. </w:t>
      </w:r>
    </w:p>
    <w:p w:rsidR="003D20DD" w:rsidRPr="00E56625" w:rsidRDefault="003D20DD" w:rsidP="003D20DD">
      <w:pPr>
        <w:rPr>
          <w:b/>
          <w:lang w:val="en-US"/>
        </w:rPr>
      </w:pPr>
      <w:r w:rsidRPr="00E56625">
        <w:rPr>
          <w:b/>
          <w:lang w:val="en-US"/>
        </w:rPr>
        <w:t>Electricity</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Unsurprising for a sector characterized by high fixed costs, access to electricity is spatially unequal</w:t>
      </w:r>
      <w:r w:rsidRPr="00E56625">
        <w:rPr>
          <w:lang w:val="en-US"/>
        </w:rPr>
        <w:t>. As predicted, access is closely correlated to population density. Only 1 percent of households in villages have access to electricity, 8 percent in rural towns, 17 percent in towns, 45 percent in cities and 68 percent in Bamako where population density is highest. Between 2001 and 2010 access to electricity increased: in urban areas access more than doubled from 28 percent in 2001 to 60 percent in 2010; in rural areas it quadrupled from 2.4 to 11.0 percent but remains strongly associated with rural towns. Access in the country’s 10,000 villages remains negligible.</w:t>
      </w:r>
    </w:p>
    <w:p w:rsidR="00BB0F9B" w:rsidRPr="00E56625" w:rsidRDefault="00BB0F9B" w:rsidP="00BB0F9B">
      <w:pPr>
        <w:pStyle w:val="ListParagraph"/>
        <w:tabs>
          <w:tab w:val="left" w:pos="720"/>
        </w:tabs>
        <w:ind w:left="0"/>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 xml:space="preserve">The electricity sector faces three distinct challenges. </w:t>
      </w:r>
      <w:r w:rsidRPr="00E56625">
        <w:rPr>
          <w:lang w:val="en-US"/>
        </w:rPr>
        <w:t xml:space="preserve">First, demand exceeds supply, necessitating load shedding which, in turn, has a negative impact on productivity. A second problem is that the sector is heavily subsidized. In 2014 alone, a subsidy of FCFA 50 billion (USD 100 million) has been budgeted to go to EDM. The third issue is that electricity is not available in rural areas, delaying growth and the reduction of poverty precisely in those areas where most progress needs to be made.  </w:t>
      </w:r>
    </w:p>
    <w:p w:rsidR="00BB0F9B" w:rsidRPr="00E56625" w:rsidRDefault="00BB0F9B" w:rsidP="00BB0F9B">
      <w:pPr>
        <w:pStyle w:val="ListParagraph"/>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If the objective is for all households to access electricity that can be used by demanding appliances then inequitable access is likely to persist as the entire nation would have to be connected to a network</w:t>
      </w:r>
      <w:r w:rsidRPr="00E56625">
        <w:rPr>
          <w:lang w:val="en-US"/>
        </w:rPr>
        <w:t xml:space="preserve">. If the ambition is re-formulated and the objective is for households to have access to electricity for at least basic appliances then more equitable access is feasible. In that case limited investments in generating power and a network have to be made (mostly to connect urban centers where electricity will be needed for productive purposes) while most of the rural population could be served by local networks in rural towns (to support productive activities) and home based solar devices for less demanding uses such as lighting, playing a radio or charging a mobile phone. </w:t>
      </w:r>
    </w:p>
    <w:p w:rsidR="00BB0F9B" w:rsidRPr="00E56625" w:rsidRDefault="00BB0F9B" w:rsidP="00BB0F9B">
      <w:pPr>
        <w:pStyle w:val="ListParagraph"/>
        <w:rPr>
          <w:lang w:val="en-US"/>
        </w:rPr>
      </w:pP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Greater spatial equity in access to electricity could be funded by a re-allocation of the existing electricity subsidy which is targeted to non-poor urbanites, requiring an increase in tariffs</w:t>
      </w:r>
      <w:r w:rsidRPr="00E56625">
        <w:rPr>
          <w:lang w:val="en-US"/>
        </w:rPr>
        <w:t xml:space="preserve">. A reallocated subsidy would probably suffice to purchase one solar unit for every rural household (there are approximately 1.1 rural million households so as much as USD 90 is available per household). Such an approach would enhance equity and help close the rural-urban divide by making electricity provision more spatially blind. The impact of a tariff increase (which would be needed to compensate for the re-allocation of the subsidy) on enterprises can be expected to be limited as most spending on electricity does not make up a large share of their cost: load shedding and power surges are typically much more costly. The impact on urban poverty is insignificant, because the average share of spending on electricity is limited, because incomes in urban areas are amongst the highest in the country and because the poorest households have limited access to electricity in any case. </w:t>
      </w:r>
    </w:p>
    <w:p w:rsidR="003D20DD" w:rsidRPr="00E56625" w:rsidRDefault="003D20DD" w:rsidP="003D20DD">
      <w:pPr>
        <w:rPr>
          <w:b/>
          <w:lang w:val="en-US"/>
        </w:rPr>
      </w:pPr>
      <w:r w:rsidRPr="00E56625">
        <w:rPr>
          <w:b/>
          <w:lang w:val="en-US"/>
        </w:rPr>
        <w:t>Access to markets</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To assess where to prioritize improving accessibility we estimate the number of households within each livelihood zone that do not live within 10 km of a road</w:t>
      </w:r>
      <w:r w:rsidRPr="00E56625">
        <w:rPr>
          <w:lang w:val="en-US"/>
        </w:rPr>
        <w:t xml:space="preserve"> (Figure 12). It suggests that despite relatively favorable access additional infrastructure in zones 9 and 11 (zones with good agricultural potential) could connect more than 1.2 million people to markets. Also the Niger delta deserves to benefit from better access. Not only is current access poor, the agro-ecological potential is high and the number of people that can be reached substantial. Moreover, as will be argued in the next section, better connectivity to the Niger delta would fit well a strategy to enhance security in north Mali through a stepwise approach.</w:t>
      </w:r>
    </w:p>
    <w:p w:rsidR="00BB0F9B" w:rsidRPr="00E56625" w:rsidRDefault="00BB0F9B" w:rsidP="003C6204">
      <w:pPr>
        <w:pStyle w:val="ListParagraph"/>
        <w:tabs>
          <w:tab w:val="left" w:pos="720"/>
        </w:tabs>
        <w:spacing w:after="0"/>
        <w:ind w:left="0"/>
        <w:rPr>
          <w:lang w:val="en-US"/>
        </w:rPr>
      </w:pPr>
    </w:p>
    <w:p w:rsidR="002779FA" w:rsidRDefault="002779FA">
      <w:pPr>
        <w:spacing w:line="276" w:lineRule="auto"/>
        <w:rPr>
          <w:b/>
          <w:lang w:val="en-US"/>
        </w:rPr>
      </w:pPr>
      <w:r>
        <w:rPr>
          <w:b/>
          <w:lang w:val="en-US"/>
        </w:rPr>
        <w:br w:type="page"/>
      </w:r>
    </w:p>
    <w:p w:rsidR="003D20DD" w:rsidRPr="00E56625" w:rsidRDefault="003D20DD" w:rsidP="00636F8D">
      <w:pPr>
        <w:jc w:val="center"/>
        <w:rPr>
          <w:b/>
          <w:lang w:val="en-US"/>
        </w:rPr>
      </w:pPr>
      <w:r w:rsidRPr="00E56625">
        <w:rPr>
          <w:b/>
          <w:lang w:val="en-US"/>
        </w:rPr>
        <w:t>Figure 12: Number of people per zone, living further than 10 km from a market</w:t>
      </w:r>
    </w:p>
    <w:p w:rsidR="003D20DD" w:rsidRPr="00E56625" w:rsidRDefault="003D20DD" w:rsidP="003D20DD">
      <w:pPr>
        <w:rPr>
          <w:lang w:val="en-US"/>
        </w:rPr>
      </w:pPr>
      <w:r w:rsidRPr="000370E2">
        <w:rPr>
          <w:noProof/>
          <w:lang w:val="en-US"/>
        </w:rPr>
        <w:drawing>
          <wp:inline distT="0" distB="0" distL="0" distR="0" wp14:anchorId="7D6A0D60" wp14:editId="68901315">
            <wp:extent cx="5607170" cy="2889849"/>
            <wp:effectExtent l="0" t="0" r="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20DD" w:rsidRPr="00E56625" w:rsidRDefault="003D20DD" w:rsidP="003D20DD">
      <w:pPr>
        <w:rPr>
          <w:sz w:val="20"/>
          <w:szCs w:val="20"/>
          <w:lang w:val="en-US"/>
        </w:rPr>
      </w:pPr>
      <w:r w:rsidRPr="00E56625">
        <w:rPr>
          <w:sz w:val="20"/>
          <w:szCs w:val="20"/>
          <w:lang w:val="en-US"/>
        </w:rPr>
        <w:t xml:space="preserve">Source: RGPH 2009. Authors’ calculations. </w:t>
      </w:r>
    </w:p>
    <w:p w:rsidR="003C6204" w:rsidRPr="00E56625" w:rsidRDefault="003C6204" w:rsidP="003C6204">
      <w:pPr>
        <w:pStyle w:val="ListParagraph"/>
        <w:numPr>
          <w:ilvl w:val="0"/>
          <w:numId w:val="13"/>
        </w:numPr>
        <w:tabs>
          <w:tab w:val="left" w:pos="720"/>
        </w:tabs>
        <w:ind w:left="0" w:firstLine="0"/>
        <w:rPr>
          <w:lang w:val="en-US"/>
        </w:rPr>
      </w:pPr>
      <w:r w:rsidRPr="00E56625">
        <w:rPr>
          <w:b/>
          <w:lang w:val="en-US"/>
        </w:rPr>
        <w:t>Improving accessibility requires more than constructing new roads alone</w:t>
      </w:r>
      <w:r w:rsidRPr="00E56625">
        <w:rPr>
          <w:lang w:val="en-US"/>
        </w:rPr>
        <w:t>. Limited road maintenance renders many roads unusable especially during the rainy season. Only 5 percent of the rural roads are in a good condition and as many as 47 percent are listed as being in a poor condition. Accessibility also means the absence of unnecessary road blocks. There is much to be improved in this respect as Mali is the worst performer in the UEMOA regarding the number of checkpoints per 100 km (2.8 / 100 km as opposed to 1.6 / 100 km in Burkina Faso).</w:t>
      </w:r>
    </w:p>
    <w:p w:rsidR="003C6204" w:rsidRPr="00E56625" w:rsidRDefault="003C6204" w:rsidP="00BC55B2">
      <w:pPr>
        <w:pStyle w:val="ListParagraph"/>
        <w:tabs>
          <w:tab w:val="left" w:pos="720"/>
        </w:tabs>
        <w:ind w:left="0"/>
        <w:rPr>
          <w:lang w:val="en-US"/>
        </w:rPr>
      </w:pPr>
    </w:p>
    <w:p w:rsidR="003C6204" w:rsidRPr="00E56625" w:rsidRDefault="003C6204" w:rsidP="003C6204">
      <w:pPr>
        <w:pStyle w:val="ListParagraph"/>
        <w:numPr>
          <w:ilvl w:val="0"/>
          <w:numId w:val="13"/>
        </w:numPr>
        <w:tabs>
          <w:tab w:val="left" w:pos="720"/>
        </w:tabs>
        <w:ind w:left="0" w:firstLine="0"/>
        <w:rPr>
          <w:lang w:val="en-US"/>
        </w:rPr>
      </w:pPr>
      <w:r w:rsidRPr="00E56625">
        <w:rPr>
          <w:b/>
          <w:lang w:val="en-US"/>
        </w:rPr>
        <w:t>These three illustrations show the importance of enhancing cost-effectiveness if the intention is to offer services in a spatially blind way and to make them accessible to as many people as possible</w:t>
      </w:r>
      <w:r w:rsidRPr="00E56625">
        <w:rPr>
          <w:lang w:val="en-US"/>
        </w:rPr>
        <w:t xml:space="preserve">. Where fixed costs remain high, spatial targeting of investments remains unavoidable (as in the case of roads).  </w:t>
      </w:r>
    </w:p>
    <w:p w:rsidR="003C6204" w:rsidRPr="00E56625" w:rsidRDefault="003C6204" w:rsidP="003C6204">
      <w:pPr>
        <w:pStyle w:val="ListParagraph"/>
        <w:tabs>
          <w:tab w:val="left" w:pos="720"/>
        </w:tabs>
        <w:ind w:left="0"/>
        <w:rPr>
          <w:lang w:val="en-US"/>
        </w:rPr>
      </w:pPr>
    </w:p>
    <w:p w:rsidR="003C6204" w:rsidRPr="00E56625" w:rsidRDefault="003C6204" w:rsidP="00E703F0">
      <w:pPr>
        <w:pStyle w:val="ListParagraph"/>
        <w:numPr>
          <w:ilvl w:val="0"/>
          <w:numId w:val="14"/>
        </w:numPr>
        <w:ind w:left="360"/>
        <w:rPr>
          <w:lang w:val="en-US"/>
        </w:rPr>
      </w:pPr>
      <w:r w:rsidRPr="00E56625">
        <w:rPr>
          <w:b/>
          <w:lang w:val="en-US"/>
        </w:rPr>
        <w:t>A need for prioritization requires clarity about the objectives of public policy.</w:t>
      </w:r>
      <w:r w:rsidRPr="00E56625">
        <w:rPr>
          <w:lang w:val="en-US"/>
        </w:rPr>
        <w:t xml:space="preserve"> This is clear for the case of electricity. If the sector pursues an equity objective in addition to serving the productive sector then a strong case exists to increase tariffs and to abolish the existing subsidies in favor of the distribution of solar devices in rural areas. Also the primary education sector could benefit from clearer prioritization: given the discrepancy between enrollment and the percent of households living within 2 km from a school, a re-allocation of investment budget towards additional teachers, the purchase of scholastic materials and other activities that improve the quality of learning seems desirable.</w:t>
      </w:r>
    </w:p>
    <w:p w:rsidR="003C6204" w:rsidRPr="00E56625" w:rsidRDefault="003C6204" w:rsidP="00BC55B2">
      <w:pPr>
        <w:pStyle w:val="ListParagraph"/>
        <w:tabs>
          <w:tab w:val="left" w:pos="720"/>
        </w:tabs>
        <w:ind w:left="0"/>
        <w:rPr>
          <w:lang w:val="en-US"/>
        </w:rPr>
      </w:pPr>
    </w:p>
    <w:p w:rsidR="00BB0F9B" w:rsidRPr="00E56625" w:rsidRDefault="003D20DD" w:rsidP="00E703F0">
      <w:pPr>
        <w:pStyle w:val="ListParagraph"/>
        <w:numPr>
          <w:ilvl w:val="0"/>
          <w:numId w:val="14"/>
        </w:numPr>
        <w:ind w:left="360"/>
        <w:rPr>
          <w:lang w:val="en-US"/>
        </w:rPr>
      </w:pPr>
      <w:r w:rsidRPr="00E56625">
        <w:rPr>
          <w:b/>
          <w:lang w:val="en-US"/>
        </w:rPr>
        <w:t>A commitment to efficiency.</w:t>
      </w:r>
      <w:r w:rsidRPr="00E56625">
        <w:rPr>
          <w:lang w:val="en-US"/>
        </w:rPr>
        <w:t xml:space="preserve"> Wastage is never acceptable and the public sector needs to be vigilant about the unit cost at which various services are provided in different locations. High unit costs in one location imply the service cannot be offered somewhere else. Good planning is essential to avoiding wastage: constructing roads in the absence of means to maintain them, amounts to waste that could easily be avoided. Poor procurement processes and low retention rates and little learning in primary school equally lead to waste that can be ill afforded.</w:t>
      </w:r>
    </w:p>
    <w:p w:rsidR="00BB0F9B" w:rsidRPr="00E56625" w:rsidRDefault="00BB0F9B" w:rsidP="00BB0F9B">
      <w:pPr>
        <w:pStyle w:val="ListParagraph"/>
        <w:tabs>
          <w:tab w:val="left" w:pos="720"/>
        </w:tabs>
        <w:ind w:left="0"/>
        <w:rPr>
          <w:lang w:val="en-US"/>
        </w:rPr>
      </w:pPr>
    </w:p>
    <w:p w:rsidR="003D20DD" w:rsidRPr="00E56625" w:rsidRDefault="003D20DD" w:rsidP="00E703F0">
      <w:pPr>
        <w:pStyle w:val="ListParagraph"/>
        <w:numPr>
          <w:ilvl w:val="0"/>
          <w:numId w:val="14"/>
        </w:numPr>
        <w:ind w:left="360"/>
        <w:rPr>
          <w:lang w:val="en-US"/>
        </w:rPr>
      </w:pPr>
      <w:r w:rsidRPr="00E56625">
        <w:rPr>
          <w:b/>
          <w:lang w:val="en-US"/>
        </w:rPr>
        <w:t xml:space="preserve">Unit cost reducing innovations. </w:t>
      </w:r>
      <w:r w:rsidRPr="00E56625">
        <w:rPr>
          <w:lang w:val="en-US"/>
        </w:rPr>
        <w:t>In a context of budgetary constraints the choice will often be between adopting an innovation and the non-delivery of the service. To address high student-teacher and high student - classroom ratios for example, the authorities could consider the introduction of a double shift system in which teachers teach two classes on the same day: one in the mornings and one in the afternoon. If a double shift system is too demanding for the available teachers, the system could be introduced while hiring additional teachers (maybe from neighboring countries). Instead of building schools in areas where nomadic pastoralism is the norm, ambulant teachers who move with the people could be considered. Identifying successful and scalable innovations and implementing these is an important task for the public sector, particularly in an environment in which (low) population density is such a dominant factor.</w:t>
      </w:r>
    </w:p>
    <w:p w:rsidR="003C6204" w:rsidRPr="00E56625" w:rsidRDefault="003C6204" w:rsidP="003C6204">
      <w:pPr>
        <w:pStyle w:val="ListParagraph"/>
        <w:rPr>
          <w:lang w:val="en-US"/>
        </w:rPr>
      </w:pPr>
    </w:p>
    <w:p w:rsidR="003D20DD" w:rsidRPr="00E56625" w:rsidRDefault="003D20DD" w:rsidP="00E703F0">
      <w:pPr>
        <w:pStyle w:val="ListParagraph"/>
        <w:numPr>
          <w:ilvl w:val="0"/>
          <w:numId w:val="14"/>
        </w:numPr>
        <w:ind w:left="360"/>
        <w:rPr>
          <w:lang w:val="en-US"/>
        </w:rPr>
      </w:pPr>
      <w:r w:rsidRPr="00E56625">
        <w:rPr>
          <w:b/>
          <w:lang w:val="en-US"/>
        </w:rPr>
        <w:t>Migration.</w:t>
      </w:r>
      <w:r w:rsidRPr="00E56625">
        <w:rPr>
          <w:lang w:val="en-US"/>
        </w:rPr>
        <w:t xml:space="preserve"> Temporary labor migration as well as permanent migration are already common, and particularly in very low density areas, motivating people (and businesses) to move to the service rather than the service to the people deserves to be explored as a potentially cost-effective way of dealing with low-density problems. Policies could facilitate permanent internal migration (of businesses and people) by reducing its cost and by increasing its success rate (educated migrants are more likely to succeed than uneducated ones). Policies could also facilitate temporary migration to a service such as through boarding schools or outpatient facilities for pregnant women close to their delivery date. </w:t>
      </w:r>
    </w:p>
    <w:p w:rsidR="003D20DD" w:rsidRPr="00E56625" w:rsidRDefault="003D20DD" w:rsidP="00586F0A">
      <w:pPr>
        <w:spacing w:before="280"/>
        <w:rPr>
          <w:rFonts w:ascii="Times New Roman Bold" w:hAnsi="Times New Roman Bold"/>
          <w:b/>
          <w:color w:val="1F497D" w:themeColor="text2"/>
          <w:sz w:val="28"/>
          <w:szCs w:val="28"/>
          <w:lang w:val="en-US"/>
        </w:rPr>
      </w:pPr>
      <w:r w:rsidRPr="00E56625">
        <w:rPr>
          <w:rFonts w:ascii="Times New Roman Bold" w:hAnsi="Times New Roman Bold"/>
          <w:b/>
          <w:color w:val="1F497D" w:themeColor="text2"/>
          <w:sz w:val="28"/>
          <w:szCs w:val="28"/>
          <w:lang w:val="en-US"/>
        </w:rPr>
        <w:t>What will it take to reduce poverty by 2030?</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Projections starting at 41 percent poverty in 2010, show that to reduce poverty to 20 percent by 2030 GDP growth has to reach 5.9 percent per annum.</w:t>
      </w:r>
      <w:r w:rsidRPr="00E56625">
        <w:rPr>
          <w:lang w:val="en-US"/>
        </w:rPr>
        <w:t xml:space="preserve"> Mali’s low degree of inequality implies that even though the incidence of poverty is high, the average distance to the poverty line is not too large. Consequently much poverty reduction can be attained with relatively little growth. Projections show that if the objective is to reduce poverty by half by 2030, the GDP growth rate has to reach 5.9 percent per year on average. If the objectives are more ambitious then the average growth rate would have to be higher. Still even the target of 3 percent poverty by 2030 is attainable with a GDP growth rate that is less than 10 percent per year on average. </w:t>
      </w:r>
    </w:p>
    <w:p w:rsidR="002243C6" w:rsidRPr="00E56625" w:rsidRDefault="002243C6" w:rsidP="002243C6">
      <w:pPr>
        <w:pStyle w:val="ListParagraph"/>
        <w:tabs>
          <w:tab w:val="left" w:pos="720"/>
        </w:tabs>
        <w:ind w:left="0"/>
        <w:rPr>
          <w:lang w:val="en-US"/>
        </w:rPr>
      </w:pPr>
    </w:p>
    <w:p w:rsidR="00A8398F" w:rsidRDefault="003D20DD" w:rsidP="00D87258">
      <w:pPr>
        <w:pStyle w:val="ListParagraph"/>
        <w:numPr>
          <w:ilvl w:val="0"/>
          <w:numId w:val="13"/>
        </w:numPr>
        <w:tabs>
          <w:tab w:val="left" w:pos="720"/>
        </w:tabs>
        <w:ind w:left="0" w:firstLine="0"/>
        <w:rPr>
          <w:lang w:val="en-US"/>
        </w:rPr>
      </w:pPr>
      <w:r w:rsidRPr="00E56625">
        <w:rPr>
          <w:b/>
          <w:lang w:val="en-US"/>
        </w:rPr>
        <w:t>The growth rates required to significantly reduce poverty in Mali, exceed the growth achieved over the past two decades.</w:t>
      </w:r>
      <w:r w:rsidRPr="00E56625">
        <w:rPr>
          <w:lang w:val="en-US"/>
        </w:rPr>
        <w:t xml:space="preserve"> As Figure 15 shows, growth rates in Mali have fluctuated considerably over the past 20 years and rarely did they reach 5.9 percent. It implies that halving poverty by 2030 is already an ambitious objective (the World Bank’s objective is to reduce poverty to 3 percent) which requires a concerted effort to increase growth. </w:t>
      </w:r>
    </w:p>
    <w:p w:rsidR="00A8398F" w:rsidRDefault="00A8398F">
      <w:pPr>
        <w:spacing w:line="276" w:lineRule="auto"/>
        <w:rPr>
          <w:lang w:val="en-US"/>
        </w:rPr>
      </w:pPr>
      <w:r>
        <w:rPr>
          <w:lang w:val="en-US"/>
        </w:rPr>
        <w:br w:type="page"/>
      </w:r>
    </w:p>
    <w:p w:rsidR="003D20DD" w:rsidRPr="00E56625" w:rsidRDefault="003D20DD" w:rsidP="00176698">
      <w:pPr>
        <w:spacing w:after="0"/>
        <w:jc w:val="center"/>
        <w:rPr>
          <w:b/>
          <w:lang w:val="en-US"/>
        </w:rPr>
      </w:pPr>
      <w:r w:rsidRPr="00E56625">
        <w:rPr>
          <w:b/>
          <w:lang w:val="en-US"/>
        </w:rPr>
        <w:t>Figure 15: GDP growth rates and</w:t>
      </w:r>
      <w:r w:rsidR="002C2355" w:rsidRPr="00E56625">
        <w:rPr>
          <w:b/>
          <w:lang w:val="en-US"/>
        </w:rPr>
        <w:t xml:space="preserve"> growth rates needed to achieve</w:t>
      </w:r>
      <w:r w:rsidR="002C2355" w:rsidRPr="00E56625">
        <w:rPr>
          <w:b/>
          <w:lang w:val="en-US"/>
        </w:rPr>
        <w:br/>
      </w:r>
      <w:r w:rsidRPr="00E56625">
        <w:rPr>
          <w:b/>
          <w:lang w:val="en-US"/>
        </w:rPr>
        <w:t>various poverty targets by 2030</w:t>
      </w:r>
    </w:p>
    <w:p w:rsidR="003D20DD" w:rsidRPr="00E56625" w:rsidRDefault="003D20DD" w:rsidP="003D20DD">
      <w:pPr>
        <w:rPr>
          <w:lang w:val="en-US"/>
        </w:rPr>
      </w:pPr>
      <w:r w:rsidRPr="000370E2">
        <w:rPr>
          <w:noProof/>
          <w:lang w:val="en-US"/>
        </w:rPr>
        <w:drawing>
          <wp:inline distT="0" distB="0" distL="0" distR="0" wp14:anchorId="1C3DD1D9" wp14:editId="0AA820BE">
            <wp:extent cx="5779698"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20DD" w:rsidRPr="00E56625" w:rsidRDefault="003D20DD" w:rsidP="003D20DD">
      <w:pPr>
        <w:rPr>
          <w:sz w:val="20"/>
          <w:szCs w:val="20"/>
          <w:lang w:val="en-US"/>
        </w:rPr>
      </w:pPr>
      <w:r w:rsidRPr="00E56625">
        <w:rPr>
          <w:sz w:val="20"/>
          <w:szCs w:val="20"/>
          <w:lang w:val="en-US"/>
        </w:rPr>
        <w:t>Source: Staff calculation using ELIM 2010 and IMF.</w:t>
      </w:r>
    </w:p>
    <w:p w:rsidR="003D20DD" w:rsidRPr="00E56625" w:rsidRDefault="003D20DD" w:rsidP="00D87258">
      <w:pPr>
        <w:pStyle w:val="ListParagraph"/>
        <w:numPr>
          <w:ilvl w:val="0"/>
          <w:numId w:val="13"/>
        </w:numPr>
        <w:tabs>
          <w:tab w:val="left" w:pos="720"/>
        </w:tabs>
        <w:ind w:left="0" w:firstLine="0"/>
        <w:rPr>
          <w:lang w:val="en-US"/>
        </w:rPr>
      </w:pPr>
      <w:r w:rsidRPr="00E56625">
        <w:rPr>
          <w:b/>
          <w:lang w:val="en-US"/>
        </w:rPr>
        <w:t>When it comes to designing a strategy to accelerate growth, security will need to be restored in the north.</w:t>
      </w:r>
      <w:r w:rsidRPr="00E56625">
        <w:rPr>
          <w:lang w:val="en-US"/>
        </w:rPr>
        <w:t xml:space="preserve"> In addition Mali’s landlocked status and the large distances to the nearest ports need to be taken into account. Broadly speaking two growth enhancing approaches can be envisaged: (i) a strategy that takes the high transport cost as a natural advantage; and (ii) an export strategy for products in which Mali has a comparative advantage or for products of high value. </w:t>
      </w:r>
    </w:p>
    <w:p w:rsidR="002C2355" w:rsidRPr="00E56625" w:rsidRDefault="002C2355" w:rsidP="002C2355">
      <w:pPr>
        <w:pStyle w:val="ListParagraph"/>
        <w:tabs>
          <w:tab w:val="left" w:pos="720"/>
        </w:tabs>
        <w:ind w:left="0"/>
        <w:rPr>
          <w:lang w:val="en-US"/>
        </w:rPr>
      </w:pPr>
    </w:p>
    <w:p w:rsidR="002C2355" w:rsidRPr="00E56625" w:rsidRDefault="003D20DD" w:rsidP="00E703F0">
      <w:pPr>
        <w:pStyle w:val="ListParagraph"/>
        <w:numPr>
          <w:ilvl w:val="0"/>
          <w:numId w:val="14"/>
        </w:numPr>
        <w:ind w:left="360"/>
        <w:rPr>
          <w:lang w:val="en-US"/>
        </w:rPr>
      </w:pPr>
      <w:r w:rsidRPr="00E56625">
        <w:rPr>
          <w:b/>
          <w:lang w:val="en-US"/>
        </w:rPr>
        <w:t>Taking advantage of Mali’s landlocked status by expanding the production of cereals.</w:t>
      </w:r>
      <w:r w:rsidRPr="00E56625">
        <w:rPr>
          <w:lang w:val="en-US"/>
        </w:rPr>
        <w:t xml:space="preserve"> The first approach is de facto being followed by the manufacturing sector, which focuses on products that are too bulky, or too costly to be imported from elsewhere. This gives specific local industries a local comparative advantage (production of beverages, electricity; cotton ginning; construction). The potential for growth in this area is limited (although the construction sector may have potential) but Mali has huge potential to export cereals to the regional market for cereals. The Sahel is structurally food deficient (despite the increases in cereal production even Mali imports food) and with its irrigation potential (much of which still needs to be developed) and closeness to these markets, Mali is well placed to serve other landlocked countries with maize, rice and other cereals. Doing so would boost poverty reduction (i) as a strong link has been found between increasing cereal production and reducing poverty, and (ii) as the areas with good potential for cereal production are those where most poor people live. The poverty impact will be particularly large when poor households are able to cultivate more land for instance because investments in human capital improve their capacity to work (labor is the main asset of poor households) or when access to productive assets (including irrigated land) is expanded.</w:t>
      </w:r>
    </w:p>
    <w:p w:rsidR="003D20DD" w:rsidRPr="00E56625" w:rsidRDefault="003D20DD" w:rsidP="002C2355">
      <w:pPr>
        <w:pStyle w:val="ListParagraph"/>
        <w:ind w:left="360"/>
        <w:rPr>
          <w:lang w:val="en-US"/>
        </w:rPr>
      </w:pPr>
    </w:p>
    <w:p w:rsidR="00B276C3" w:rsidRDefault="003D20DD" w:rsidP="00E56625">
      <w:pPr>
        <w:pStyle w:val="ListParagraph"/>
        <w:numPr>
          <w:ilvl w:val="0"/>
          <w:numId w:val="14"/>
        </w:numPr>
        <w:ind w:left="360"/>
        <w:rPr>
          <w:lang w:val="en-US"/>
        </w:rPr>
      </w:pPr>
      <w:r w:rsidRPr="00E56625">
        <w:rPr>
          <w:b/>
          <w:lang w:val="en-US"/>
        </w:rPr>
        <w:t>Export strategy for high value added products.</w:t>
      </w:r>
      <w:r w:rsidRPr="00E56625">
        <w:rPr>
          <w:lang w:val="en-US"/>
        </w:rPr>
        <w:t xml:space="preserve"> In the short run a growth strategy could focus on enhanced agricultural production, but at some point the domestic and regional markets will be saturated and other sources of growth will need to be found. As domestic demand is too limited to fuel growth and export markets will need to be tapped more systematically. The growth potential of Mali’s main exports, cotton and gold, seems limited, and markets will need to be developed for other products. Given the long distances to the port, it seems unlikely that Mali will </w:t>
      </w:r>
      <w:r w:rsidR="00A8398F">
        <w:rPr>
          <w:lang w:val="en-US"/>
        </w:rPr>
        <w:t>soon</w:t>
      </w:r>
      <w:r w:rsidR="00A8398F" w:rsidRPr="00E56625">
        <w:rPr>
          <w:lang w:val="en-US"/>
        </w:rPr>
        <w:t xml:space="preserve"> </w:t>
      </w:r>
      <w:r w:rsidRPr="00E56625">
        <w:rPr>
          <w:lang w:val="en-US"/>
        </w:rPr>
        <w:t>develop a comparative advantage in the production of low value bulk produce, but with Paris only 5 hours away by plane, there is scope for developing exports of high value per unit of volume or services that could be traded through IT technology. High value products that could be considered include leather and leather products, cut flowers, dried fruits or horticultural products. On the service side Bamako is the music capital of West Africa, and Mali’s colorful crafts and leather work are appreciated across the globe. Stimulating migration (and the remittances that are associated with it) and tourism present yet another approach to exporting services. Developing any of these markets is a long term objective requiring an educated labor force (which currently does not exist), cheap and reliable communication and internet (does not exist) as well concerted government action for which it is unclear whether the capacity exists.</w:t>
      </w:r>
    </w:p>
    <w:p w:rsidR="001C7567" w:rsidRPr="00E56625" w:rsidRDefault="001C7567" w:rsidP="00E56625">
      <w:pPr>
        <w:pStyle w:val="ListParagraph"/>
        <w:ind w:left="360"/>
        <w:rPr>
          <w:lang w:val="en-US"/>
        </w:rPr>
      </w:pPr>
    </w:p>
    <w:p w:rsidR="00B276C3" w:rsidRPr="00E56625" w:rsidRDefault="00B276C3" w:rsidP="00D87258">
      <w:pPr>
        <w:pStyle w:val="ListParagraph"/>
        <w:numPr>
          <w:ilvl w:val="0"/>
          <w:numId w:val="13"/>
        </w:numPr>
        <w:tabs>
          <w:tab w:val="left" w:pos="720"/>
        </w:tabs>
        <w:ind w:left="0" w:firstLine="0"/>
        <w:rPr>
          <w:b/>
          <w:lang w:val="en-US"/>
        </w:rPr>
      </w:pPr>
      <w:r>
        <w:rPr>
          <w:b/>
          <w:lang w:val="en-US"/>
        </w:rPr>
        <w:t>Poverty can also be reduced through (cash) transfers: t</w:t>
      </w:r>
      <w:r w:rsidRPr="00BE18D3">
        <w:rPr>
          <w:b/>
          <w:lang w:eastAsia="en-GB"/>
        </w:rPr>
        <w:t>he potential of safety nets to sign</w:t>
      </w:r>
      <w:r>
        <w:rPr>
          <w:b/>
          <w:lang w:eastAsia="en-GB"/>
        </w:rPr>
        <w:t>ificantly reduce poverty</w:t>
      </w:r>
      <w:r w:rsidRPr="00BE18D3">
        <w:rPr>
          <w:b/>
          <w:lang w:eastAsia="en-GB"/>
        </w:rPr>
        <w:t xml:space="preserve"> is </w:t>
      </w:r>
      <w:r>
        <w:rPr>
          <w:b/>
          <w:lang w:eastAsia="en-GB"/>
        </w:rPr>
        <w:t>substantial</w:t>
      </w:r>
      <w:r w:rsidRPr="00BE18D3">
        <w:rPr>
          <w:b/>
          <w:lang w:eastAsia="en-GB"/>
        </w:rPr>
        <w:t>.</w:t>
      </w:r>
      <w:r w:rsidRPr="00BE18D3">
        <w:rPr>
          <w:lang w:eastAsia="en-GB"/>
        </w:rPr>
        <w:t xml:space="preserve"> </w:t>
      </w:r>
      <w:r w:rsidR="001C7567">
        <w:rPr>
          <w:lang w:eastAsia="en-GB"/>
        </w:rPr>
        <w:t>Reducing</w:t>
      </w:r>
      <w:r>
        <w:rPr>
          <w:lang w:eastAsia="en-GB"/>
        </w:rPr>
        <w:t xml:space="preserve"> poverty </w:t>
      </w:r>
      <w:r w:rsidR="001C7567">
        <w:rPr>
          <w:lang w:eastAsia="en-GB"/>
        </w:rPr>
        <w:t xml:space="preserve">to 3percent </w:t>
      </w:r>
      <w:r>
        <w:rPr>
          <w:lang w:eastAsia="en-GB"/>
        </w:rPr>
        <w:t>by 2030 would take l</w:t>
      </w:r>
      <w:r w:rsidRPr="00BE18D3">
        <w:t>ess than 2 percent of GDP in perfectly targeted transfers in combination with 2 percent per capita</w:t>
      </w:r>
      <w:r>
        <w:t xml:space="preserve"> growth</w:t>
      </w:r>
      <w:r w:rsidRPr="00BE18D3">
        <w:t xml:space="preserve"> (</w:t>
      </w:r>
      <w:r w:rsidR="001C7567">
        <w:t xml:space="preserve">amongst </w:t>
      </w:r>
      <w:r w:rsidRPr="00BE18D3">
        <w:t>the poorest households).</w:t>
      </w:r>
      <w:r>
        <w:t xml:space="preserve"> Done well, </w:t>
      </w:r>
      <w:r w:rsidR="001C7567">
        <w:t xml:space="preserve">a </w:t>
      </w:r>
      <w:r>
        <w:t>transfer</w:t>
      </w:r>
      <w:r w:rsidR="001C7567">
        <w:t xml:space="preserve"> program</w:t>
      </w:r>
      <w:r>
        <w:t xml:space="preserve"> would not only boost the consumption of households who are currently poor (and hence reduce their poverty), some transfers </w:t>
      </w:r>
      <w:r w:rsidR="001C7567">
        <w:t xml:space="preserve">will </w:t>
      </w:r>
      <w:r>
        <w:t xml:space="preserve">be invested </w:t>
      </w:r>
      <w:r w:rsidR="001C7567">
        <w:rPr>
          <w:lang w:val="en-US"/>
        </w:rPr>
        <w:t xml:space="preserve">thereby </w:t>
      </w:r>
      <w:r>
        <w:t>increas</w:t>
      </w:r>
      <w:r w:rsidR="001C7567">
        <w:t>ing</w:t>
      </w:r>
      <w:r>
        <w:t xml:space="preserve"> productivity and enhancing growth amongst the poor.</w:t>
      </w:r>
    </w:p>
    <w:p w:rsidR="00B276C3" w:rsidRDefault="00B276C3" w:rsidP="00E56625">
      <w:pPr>
        <w:pStyle w:val="ListParagraph"/>
        <w:tabs>
          <w:tab w:val="left" w:pos="720"/>
        </w:tabs>
        <w:ind w:left="0"/>
        <w:rPr>
          <w:b/>
          <w:lang w:val="en-US"/>
        </w:rPr>
      </w:pPr>
      <w:r>
        <w:rPr>
          <w:b/>
          <w:lang w:val="en-US"/>
        </w:rPr>
        <w:t xml:space="preserve"> </w:t>
      </w:r>
    </w:p>
    <w:p w:rsidR="003D20DD" w:rsidRPr="00E56625" w:rsidRDefault="003D20DD" w:rsidP="00D87258">
      <w:pPr>
        <w:pStyle w:val="ListParagraph"/>
        <w:numPr>
          <w:ilvl w:val="0"/>
          <w:numId w:val="13"/>
        </w:numPr>
        <w:tabs>
          <w:tab w:val="left" w:pos="720"/>
        </w:tabs>
        <w:ind w:left="0" w:firstLine="0"/>
        <w:rPr>
          <w:b/>
          <w:lang w:val="en-US"/>
        </w:rPr>
      </w:pPr>
      <w:r w:rsidRPr="00E56625">
        <w:rPr>
          <w:b/>
          <w:lang w:val="en-US"/>
        </w:rPr>
        <w:t>The successful implementation of these strategies will depend on applying the right mix of spatially blind policies, policies to enhance spatial connectivity and spatially targeted interventions.</w:t>
      </w:r>
      <w:r w:rsidRPr="00E56625">
        <w:rPr>
          <w:lang w:val="en-US"/>
        </w:rPr>
        <w:t xml:space="preserve"> </w:t>
      </w:r>
      <w:r w:rsidRPr="00E56625">
        <w:rPr>
          <w:b/>
          <w:lang w:val="en-US"/>
        </w:rPr>
        <w:t xml:space="preserve">Amongst these spatially blind policies are possibly of greatest importance as they benefit all. </w:t>
      </w:r>
    </w:p>
    <w:p w:rsidR="002C2355" w:rsidRPr="00E56625" w:rsidRDefault="002C2355" w:rsidP="002C2355">
      <w:pPr>
        <w:pStyle w:val="ListParagraph"/>
        <w:tabs>
          <w:tab w:val="left" w:pos="720"/>
        </w:tabs>
        <w:ind w:left="0"/>
        <w:rPr>
          <w:b/>
          <w:lang w:val="en-US"/>
        </w:rPr>
      </w:pPr>
    </w:p>
    <w:p w:rsidR="003D20DD" w:rsidRPr="00E56625" w:rsidRDefault="003D20DD" w:rsidP="00E703F0">
      <w:pPr>
        <w:pStyle w:val="ListParagraph"/>
        <w:numPr>
          <w:ilvl w:val="0"/>
          <w:numId w:val="14"/>
        </w:numPr>
        <w:ind w:left="360"/>
        <w:rPr>
          <w:lang w:val="en-US"/>
        </w:rPr>
      </w:pPr>
      <w:r w:rsidRPr="00E56625">
        <w:rPr>
          <w:b/>
          <w:lang w:val="en-US"/>
        </w:rPr>
        <w:t>Spatially blind policies</w:t>
      </w:r>
      <w:r w:rsidRPr="00E56625">
        <w:rPr>
          <w:lang w:val="en-US"/>
        </w:rPr>
        <w:t xml:space="preserve"> are needed to </w:t>
      </w:r>
      <w:r w:rsidR="00A8398F">
        <w:rPr>
          <w:lang w:val="en-US"/>
        </w:rPr>
        <w:t>create a secure environment (in the north as well as in the rest of the country)</w:t>
      </w:r>
      <w:r w:rsidRPr="00E56625">
        <w:rPr>
          <w:lang w:val="en-US"/>
        </w:rPr>
        <w:t>; to enhance the quality of education; to improve health</w:t>
      </w:r>
      <w:r w:rsidR="00A8398F">
        <w:rPr>
          <w:lang w:val="en-US"/>
        </w:rPr>
        <w:t xml:space="preserve"> services</w:t>
      </w:r>
      <w:r w:rsidRPr="00E56625">
        <w:rPr>
          <w:lang w:val="en-US"/>
        </w:rPr>
        <w:t>; to provide access to the internet and cheap and reliable telecommunications; to reduce the unit cost of service provision</w:t>
      </w:r>
      <w:r w:rsidR="00A8398F">
        <w:rPr>
          <w:lang w:val="en-US"/>
        </w:rPr>
        <w:t>;</w:t>
      </w:r>
      <w:r w:rsidRPr="00E56625">
        <w:rPr>
          <w:lang w:val="en-US"/>
        </w:rPr>
        <w:t xml:space="preserve"> to enhance the efficiency of spending; to stimulate national and international migration </w:t>
      </w:r>
      <w:r w:rsidR="00595FAD">
        <w:rPr>
          <w:lang w:val="en-US"/>
        </w:rPr>
        <w:t xml:space="preserve">(of skilled people) </w:t>
      </w:r>
      <w:r w:rsidRPr="00E56625">
        <w:rPr>
          <w:lang w:val="en-US"/>
        </w:rPr>
        <w:t xml:space="preserve">and to facilitate international trade. Other policies, such as those related to the provision of electricity are presently not spatially blind, but could be offered in a more spatially blind manner. </w:t>
      </w:r>
      <w:r w:rsidR="00B276C3">
        <w:rPr>
          <w:lang w:val="en-US"/>
        </w:rPr>
        <w:t>While spatially blind are preferred, implementation mechanisms should not be spatially blind: they need to reflect different needs and conditions across livelihood zones.</w:t>
      </w:r>
    </w:p>
    <w:p w:rsidR="002C2355" w:rsidRPr="00E56625" w:rsidRDefault="002C2355" w:rsidP="002C2355">
      <w:pPr>
        <w:pStyle w:val="ListParagraph"/>
        <w:ind w:left="360"/>
        <w:rPr>
          <w:lang w:val="en-US"/>
        </w:rPr>
      </w:pPr>
    </w:p>
    <w:p w:rsidR="003D20DD" w:rsidRPr="00E56625" w:rsidRDefault="003D20DD" w:rsidP="00E703F0">
      <w:pPr>
        <w:pStyle w:val="ListParagraph"/>
        <w:numPr>
          <w:ilvl w:val="0"/>
          <w:numId w:val="14"/>
        </w:numPr>
        <w:ind w:left="360"/>
        <w:rPr>
          <w:lang w:val="en-US"/>
        </w:rPr>
      </w:pPr>
      <w:r w:rsidRPr="00E56625">
        <w:rPr>
          <w:b/>
          <w:lang w:val="en-US"/>
        </w:rPr>
        <w:t>Spatial connectivity needs to improve</w:t>
      </w:r>
      <w:r w:rsidRPr="00E56625">
        <w:rPr>
          <w:lang w:val="en-US"/>
        </w:rPr>
        <w:t>. To enhance economic integration and accelerate growth travel times will need to be reduced through investments in road maintenance, a reduction in road blocks and investments in new roads. International road connections (to Senegal, C</w:t>
      </w:r>
      <w:r w:rsidR="007619AA">
        <w:rPr>
          <w:lang w:val="en-US"/>
        </w:rPr>
        <w:t>ô</w:t>
      </w:r>
      <w:r w:rsidRPr="00E56625">
        <w:rPr>
          <w:lang w:val="en-US"/>
        </w:rPr>
        <w:t xml:space="preserve">te d’Ivoire, Burkina Faso and Niger) are relatively favorable (provided the roads to Burkina Faso and Niger are secure) but within the country there remain areas with high population density, economic potential and poor accessibility. Additional infrastructure in zones 9 and 11 could connect another 1.2 million people to markets. Improving connectivity to the flood plains south of Tombouctou is equally interesting because this area has high productive potential, is already relatively densely populated and could become the area in which the Government of Mali demonstrates its commitment to security and its ability to restore service delivery after the crisis. </w:t>
      </w:r>
    </w:p>
    <w:p w:rsidR="00176698" w:rsidRPr="00E56625" w:rsidRDefault="00176698" w:rsidP="00176698">
      <w:pPr>
        <w:pStyle w:val="ListParagraph"/>
        <w:rPr>
          <w:lang w:val="en-US"/>
        </w:rPr>
      </w:pPr>
    </w:p>
    <w:p w:rsidR="00F019D0" w:rsidRPr="00E56625" w:rsidRDefault="003D20DD" w:rsidP="00E703F0">
      <w:pPr>
        <w:pStyle w:val="ListParagraph"/>
        <w:numPr>
          <w:ilvl w:val="0"/>
          <w:numId w:val="14"/>
        </w:numPr>
        <w:ind w:left="360"/>
        <w:rPr>
          <w:lang w:val="en-US"/>
        </w:rPr>
      </w:pPr>
      <w:r w:rsidRPr="00E56625">
        <w:rPr>
          <w:b/>
          <w:lang w:val="en-US"/>
        </w:rPr>
        <w:t>Targeted interventions are justified and needed to reduce poverty.</w:t>
      </w:r>
      <w:r w:rsidRPr="00E56625">
        <w:rPr>
          <w:lang w:val="en-US"/>
        </w:rPr>
        <w:t xml:space="preserve"> </w:t>
      </w:r>
      <w:r w:rsidR="00A8398F">
        <w:rPr>
          <w:lang w:val="en-US"/>
        </w:rPr>
        <w:t xml:space="preserve">Where there are pockets of </w:t>
      </w:r>
      <w:r w:rsidR="004239BA">
        <w:rPr>
          <w:lang w:val="en-US"/>
        </w:rPr>
        <w:t xml:space="preserve">deep </w:t>
      </w:r>
      <w:r w:rsidR="00A8398F">
        <w:rPr>
          <w:lang w:val="en-US"/>
        </w:rPr>
        <w:t xml:space="preserve">poverty </w:t>
      </w:r>
      <w:r w:rsidRPr="00E56625">
        <w:rPr>
          <w:lang w:val="en-US"/>
        </w:rPr>
        <w:t xml:space="preserve">specific </w:t>
      </w:r>
      <w:r w:rsidR="00A8398F">
        <w:rPr>
          <w:lang w:val="en-US"/>
        </w:rPr>
        <w:t xml:space="preserve">(spatially targeted) </w:t>
      </w:r>
      <w:r w:rsidRPr="00E56625">
        <w:rPr>
          <w:lang w:val="en-US"/>
        </w:rPr>
        <w:t>interventions</w:t>
      </w:r>
      <w:r w:rsidR="00A8398F">
        <w:rPr>
          <w:lang w:val="en-US"/>
        </w:rPr>
        <w:t xml:space="preserve"> </w:t>
      </w:r>
      <w:r w:rsidR="004239BA">
        <w:rPr>
          <w:lang w:val="en-US"/>
        </w:rPr>
        <w:t>are justified</w:t>
      </w:r>
      <w:r w:rsidR="00A8398F">
        <w:rPr>
          <w:lang w:val="en-US"/>
        </w:rPr>
        <w:t xml:space="preserve">. In </w:t>
      </w:r>
      <w:r w:rsidR="004239BA">
        <w:rPr>
          <w:lang w:val="en-US"/>
        </w:rPr>
        <w:t xml:space="preserve">areas with agricultural potential such </w:t>
      </w:r>
      <w:r w:rsidR="00A8398F">
        <w:rPr>
          <w:lang w:val="en-US"/>
        </w:rPr>
        <w:t xml:space="preserve">interventions </w:t>
      </w:r>
      <w:r w:rsidR="004239BA">
        <w:rPr>
          <w:lang w:val="en-US"/>
        </w:rPr>
        <w:t xml:space="preserve">could </w:t>
      </w:r>
      <w:r w:rsidR="00A8398F">
        <w:rPr>
          <w:lang w:val="en-US"/>
        </w:rPr>
        <w:t xml:space="preserve">focus on </w:t>
      </w:r>
      <w:r w:rsidRPr="00E56625">
        <w:rPr>
          <w:lang w:val="en-US"/>
        </w:rPr>
        <w:t>enhanc</w:t>
      </w:r>
      <w:r w:rsidR="00A8398F">
        <w:rPr>
          <w:lang w:val="en-US"/>
        </w:rPr>
        <w:t>ing</w:t>
      </w:r>
      <w:r w:rsidRPr="00E56625">
        <w:rPr>
          <w:lang w:val="en-US"/>
        </w:rPr>
        <w:t xml:space="preserve"> agricultural productivity</w:t>
      </w:r>
      <w:r w:rsidR="004239BA">
        <w:rPr>
          <w:lang w:val="en-US"/>
        </w:rPr>
        <w:t xml:space="preserve"> and stimulating off farm employment</w:t>
      </w:r>
      <w:r w:rsidRPr="00E56625">
        <w:rPr>
          <w:lang w:val="en-US"/>
        </w:rPr>
        <w:t>. Targeted interventions are equally needed in north Mali to ensure security (from which all Malians will benefit) and to restore the delivery of services</w:t>
      </w:r>
      <w:r w:rsidR="002C2355" w:rsidRPr="00E56625">
        <w:rPr>
          <w:lang w:val="en-US"/>
        </w:rPr>
        <w:t>.</w:t>
      </w:r>
    </w:p>
    <w:p w:rsidR="003D20DD" w:rsidRPr="008F3531" w:rsidRDefault="003D20DD" w:rsidP="003D20DD">
      <w:pPr>
        <w:pStyle w:val="paranumb"/>
        <w:numPr>
          <w:ilvl w:val="0"/>
          <w:numId w:val="0"/>
        </w:numPr>
      </w:pPr>
    </w:p>
    <w:p w:rsidR="00B857AC" w:rsidRPr="008F3531" w:rsidRDefault="00B857AC" w:rsidP="00C73CC7">
      <w:pPr>
        <w:pStyle w:val="paranumb"/>
        <w:numPr>
          <w:ilvl w:val="1"/>
          <w:numId w:val="4"/>
        </w:numPr>
        <w:ind w:left="0" w:firstLine="0"/>
        <w:sectPr w:rsidR="00B857AC" w:rsidRPr="008F3531" w:rsidSect="00AD2275">
          <w:footerReference w:type="default" r:id="rId32"/>
          <w:pgSz w:w="12240" w:h="15840" w:code="1"/>
          <w:pgMar w:top="1440" w:right="1440" w:bottom="1440" w:left="1440" w:header="706" w:footer="706" w:gutter="0"/>
          <w:pgNumType w:fmt="lowerRoman" w:start="1"/>
          <w:cols w:space="708"/>
          <w:docGrid w:linePitch="360"/>
        </w:sectPr>
      </w:pPr>
    </w:p>
    <w:p w:rsidR="00CF0E26" w:rsidRPr="008F3531" w:rsidRDefault="00E56663" w:rsidP="00F33F32">
      <w:pPr>
        <w:pStyle w:val="Heading1"/>
        <w:spacing w:after="480"/>
        <w:ind w:left="0"/>
      </w:pPr>
      <w:bookmarkStart w:id="6" w:name="_Toc419468531"/>
      <w:r w:rsidRPr="008F3531">
        <w:t>Introduction</w:t>
      </w:r>
      <w:bookmarkEnd w:id="6"/>
    </w:p>
    <w:p w:rsidR="000370E2" w:rsidRPr="0045185C" w:rsidRDefault="00E56663" w:rsidP="005641A9">
      <w:pPr>
        <w:pStyle w:val="paranumb"/>
        <w:rPr>
          <w:szCs w:val="24"/>
        </w:rPr>
      </w:pPr>
      <w:r w:rsidRPr="0045185C">
        <w:rPr>
          <w:szCs w:val="24"/>
        </w:rPr>
        <w:t>Space and development are intricately related.</w:t>
      </w:r>
      <w:r w:rsidRPr="00C8297A">
        <w:rPr>
          <w:rStyle w:val="FootnoteReference"/>
          <w:szCs w:val="24"/>
        </w:rPr>
        <w:footnoteReference w:id="3"/>
      </w:r>
      <w:r w:rsidRPr="00782B0C">
        <w:rPr>
          <w:szCs w:val="24"/>
        </w:rPr>
        <w:t xml:space="preserve"> This is immediately clear when considering the map of night time lights. Areas with high light intensity tend to lie in the northern hemisphere. They also come in clusters: the east coast of the United States of America, Europe, India and South East Asia.</w:t>
      </w:r>
      <w:r w:rsidRPr="00B70A16">
        <w:rPr>
          <w:szCs w:val="24"/>
        </w:rPr>
        <w:t xml:space="preserve"> Areas with low levels of light intensity are also clustered: the mid-west of the United States, the Amazon in South America, eastern China, the Sahara and, actually, most </w:t>
      </w:r>
      <w:r w:rsidRPr="00E56625">
        <w:rPr>
          <w:szCs w:val="24"/>
        </w:rPr>
        <w:t xml:space="preserve">of Africa. In areas with little light, coast lines lit up most. This is clear in South America, the west of the United States as well as the coasts of West and Southern Africa. </w:t>
      </w:r>
    </w:p>
    <w:p w:rsidR="00E56663" w:rsidRPr="00E56625" w:rsidRDefault="00E56663">
      <w:pPr>
        <w:pStyle w:val="paranumb"/>
        <w:rPr>
          <w:szCs w:val="24"/>
        </w:rPr>
      </w:pPr>
      <w:r w:rsidRPr="00C8297A">
        <w:rPr>
          <w:szCs w:val="24"/>
        </w:rPr>
        <w:t xml:space="preserve">Night time light intensity has been found to be a good proxy for population density (hence the little light in the mid-west </w:t>
      </w:r>
      <w:r w:rsidRPr="00782B0C">
        <w:rPr>
          <w:szCs w:val="24"/>
        </w:rPr>
        <w:t xml:space="preserve">of the United States or the light in </w:t>
      </w:r>
      <w:r w:rsidRPr="00B70A16">
        <w:rPr>
          <w:szCs w:val="24"/>
        </w:rPr>
        <w:t>India) and for GDP per capita (Ghosh et al. 2013)</w:t>
      </w:r>
      <w:r w:rsidR="00944878" w:rsidRPr="00E56625">
        <w:rPr>
          <w:szCs w:val="24"/>
        </w:rPr>
        <w:t>.</w:t>
      </w:r>
      <w:r w:rsidRPr="00E56625">
        <w:rPr>
          <w:rStyle w:val="FootnoteReference"/>
          <w:rFonts w:cs="Times New Roman"/>
          <w:szCs w:val="24"/>
        </w:rPr>
        <w:footnoteReference w:id="4"/>
      </w:r>
      <w:r w:rsidRPr="00E56625">
        <w:rPr>
          <w:szCs w:val="24"/>
        </w:rPr>
        <w:t xml:space="preserve"> Thus the night time light </w:t>
      </w:r>
      <w:r w:rsidR="004D4EE6" w:rsidRPr="00E56625">
        <w:rPr>
          <w:szCs w:val="24"/>
        </w:rPr>
        <w:t xml:space="preserve">intensity </w:t>
      </w:r>
      <w:r w:rsidRPr="00E56625">
        <w:rPr>
          <w:szCs w:val="24"/>
        </w:rPr>
        <w:t xml:space="preserve">map serves to illustrate some important spatial aspects of development. Neighborhood matters for instance. It is easier to grow and develop if one lives near an area with great wealth. For those that do not live close to such areas, the ability to trade goods is important, which is why the coasts are lit up. </w:t>
      </w:r>
    </w:p>
    <w:p w:rsidR="00E56663" w:rsidRPr="008F3531" w:rsidRDefault="0090220F" w:rsidP="0090220F">
      <w:pPr>
        <w:pStyle w:val="Caption"/>
        <w:rPr>
          <w:rFonts w:ascii="Times New Roman" w:hAnsi="Times New Roman" w:cs="Times New Roman"/>
          <w:b w:val="0"/>
          <w:sz w:val="24"/>
          <w:szCs w:val="24"/>
        </w:rPr>
      </w:pPr>
      <w:bookmarkStart w:id="7" w:name="_Toc390956366"/>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1</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w:t>
      </w:r>
      <w:r w:rsidR="00943E46" w:rsidRPr="00E56625">
        <w:rPr>
          <w:noProof/>
        </w:rPr>
        <w:fldChar w:fldCharType="end"/>
      </w:r>
      <w:r w:rsidR="00E56663" w:rsidRPr="008F3531">
        <w:rPr>
          <w:rFonts w:ascii="Times New Roman" w:hAnsi="Times New Roman" w:cs="Times New Roman"/>
          <w:sz w:val="24"/>
          <w:szCs w:val="24"/>
        </w:rPr>
        <w:t>: Night-time light</w:t>
      </w:r>
      <w:r w:rsidR="004D4EE6" w:rsidRPr="008F3531">
        <w:rPr>
          <w:rFonts w:ascii="Times New Roman" w:hAnsi="Times New Roman" w:cs="Times New Roman"/>
          <w:sz w:val="24"/>
          <w:szCs w:val="24"/>
        </w:rPr>
        <w:t xml:space="preserve"> intensity</w:t>
      </w:r>
      <w:r w:rsidR="00E56663" w:rsidRPr="008F3531">
        <w:rPr>
          <w:rFonts w:ascii="Times New Roman" w:hAnsi="Times New Roman" w:cs="Times New Roman"/>
          <w:sz w:val="24"/>
          <w:szCs w:val="24"/>
        </w:rPr>
        <w:t xml:space="preserve"> 201</w:t>
      </w:r>
      <w:bookmarkEnd w:id="7"/>
      <w:r w:rsidR="004D4EE6" w:rsidRPr="008F3531">
        <w:rPr>
          <w:rFonts w:ascii="Times New Roman" w:hAnsi="Times New Roman" w:cs="Times New Roman"/>
          <w:sz w:val="24"/>
          <w:szCs w:val="24"/>
        </w:rPr>
        <w:t>3</w:t>
      </w:r>
    </w:p>
    <w:p w:rsidR="00E56663" w:rsidRPr="00E56625" w:rsidRDefault="004D4EE6" w:rsidP="00F266FC">
      <w:pPr>
        <w:spacing w:after="0"/>
        <w:jc w:val="center"/>
        <w:rPr>
          <w:lang w:val="en-US"/>
        </w:rPr>
      </w:pPr>
      <w:r w:rsidRPr="000370E2">
        <w:rPr>
          <w:noProof/>
          <w:lang w:val="en-US"/>
        </w:rPr>
        <w:drawing>
          <wp:inline distT="0" distB="0" distL="0" distR="0" wp14:anchorId="6EFCC142" wp14:editId="718EEF91">
            <wp:extent cx="5934710" cy="3140075"/>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710" cy="3140075"/>
                    </a:xfrm>
                    <a:prstGeom prst="rect">
                      <a:avLst/>
                    </a:prstGeom>
                    <a:noFill/>
                    <a:ln>
                      <a:noFill/>
                    </a:ln>
                  </pic:spPr>
                </pic:pic>
              </a:graphicData>
            </a:graphic>
          </wp:inline>
        </w:drawing>
      </w:r>
    </w:p>
    <w:p w:rsidR="00E56663" w:rsidRPr="00E56625" w:rsidRDefault="00E56663" w:rsidP="00F266FC">
      <w:pPr>
        <w:spacing w:after="0"/>
        <w:rPr>
          <w:sz w:val="20"/>
          <w:szCs w:val="20"/>
          <w:lang w:val="en-US"/>
        </w:rPr>
      </w:pPr>
      <w:r w:rsidRPr="00E56625">
        <w:rPr>
          <w:sz w:val="20"/>
          <w:szCs w:val="20"/>
          <w:lang w:val="en-US"/>
        </w:rPr>
        <w:t>Source: World Bank, DECCT, 2013.</w:t>
      </w:r>
    </w:p>
    <w:p w:rsidR="00F266FC" w:rsidRPr="00E56625" w:rsidRDefault="00F266FC" w:rsidP="00F266FC">
      <w:pPr>
        <w:spacing w:after="0"/>
        <w:rPr>
          <w:lang w:val="en-US"/>
        </w:rPr>
      </w:pPr>
    </w:p>
    <w:p w:rsidR="00E56663" w:rsidRPr="008F3531" w:rsidRDefault="00E56663" w:rsidP="00E56663">
      <w:pPr>
        <w:pStyle w:val="paranumb"/>
        <w:rPr>
          <w:rFonts w:cs="Times New Roman"/>
          <w:szCs w:val="24"/>
        </w:rPr>
      </w:pPr>
      <w:r w:rsidRPr="008F3531">
        <w:rPr>
          <w:rFonts w:cs="Times New Roman"/>
          <w:szCs w:val="24"/>
        </w:rPr>
        <w:t xml:space="preserve">The night time light </w:t>
      </w:r>
      <w:r w:rsidR="004D4EE6" w:rsidRPr="008F3531">
        <w:rPr>
          <w:rFonts w:cs="Times New Roman"/>
          <w:szCs w:val="24"/>
        </w:rPr>
        <w:t xml:space="preserve">intensity </w:t>
      </w:r>
      <w:r w:rsidRPr="008F3531">
        <w:rPr>
          <w:rFonts w:cs="Times New Roman"/>
          <w:szCs w:val="24"/>
        </w:rPr>
        <w:t xml:space="preserve">map serves as reminder of some of the development challenges Mali faces. The country only has a few bright spots of which the one associated with Bamako is the most visible. Mali’s neighboring countries barely lit up, suggestive of being located in a neighborhood of limited wealth due to a combination of low per capita incomes and low population density. Mali is also far from West Africa’s ports: the distance from Bamako to the port of Abidjan is 1,150 km, from Gao to Abidjan is 2,050 km; the distance from Bamako to the port of Dakar is 1,400 km and from Kidal it is a whopping 2,950 km. The nearest major market for Mali is Europe, but getting goods there requires either transporting them over long distances of land before they can be shipped, or transporting them by air. </w:t>
      </w:r>
    </w:p>
    <w:p w:rsidR="00E56663" w:rsidRPr="008F3531" w:rsidRDefault="0090220F" w:rsidP="0090220F">
      <w:pPr>
        <w:pStyle w:val="Caption"/>
        <w:rPr>
          <w:rFonts w:ascii="Times New Roman" w:hAnsi="Times New Roman" w:cs="Times New Roman"/>
          <w:b w:val="0"/>
          <w:sz w:val="24"/>
        </w:rPr>
      </w:pPr>
      <w:bookmarkStart w:id="8" w:name="_Toc390956367"/>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1</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w:t>
      </w:r>
      <w:r w:rsidR="00943E46" w:rsidRPr="00E56625">
        <w:rPr>
          <w:noProof/>
        </w:rPr>
        <w:fldChar w:fldCharType="end"/>
      </w:r>
      <w:r w:rsidR="00E56663" w:rsidRPr="008F3531">
        <w:rPr>
          <w:rFonts w:ascii="Times New Roman" w:hAnsi="Times New Roman" w:cs="Times New Roman"/>
          <w:sz w:val="24"/>
        </w:rPr>
        <w:t>: Population density</w:t>
      </w:r>
      <w:bookmarkEnd w:id="8"/>
      <w:r w:rsidR="00E56663" w:rsidRPr="008F3531">
        <w:rPr>
          <w:rFonts w:ascii="Times New Roman" w:hAnsi="Times New Roman" w:cs="Times New Roman"/>
          <w:sz w:val="24"/>
        </w:rPr>
        <w:t xml:space="preserve"> </w:t>
      </w:r>
    </w:p>
    <w:p w:rsidR="00E56663" w:rsidRPr="00E56625" w:rsidRDefault="00E56663" w:rsidP="00F33F32">
      <w:pPr>
        <w:autoSpaceDE w:val="0"/>
        <w:autoSpaceDN w:val="0"/>
        <w:adjustRightInd w:val="0"/>
        <w:spacing w:after="0"/>
        <w:jc w:val="center"/>
        <w:rPr>
          <w:b/>
          <w:lang w:val="en-US"/>
        </w:rPr>
      </w:pPr>
      <w:r w:rsidRPr="000370E2">
        <w:rPr>
          <w:b/>
          <w:noProof/>
          <w:lang w:val="en-US"/>
        </w:rPr>
        <w:drawing>
          <wp:inline distT="0" distB="0" distL="0" distR="0" wp14:anchorId="138991C7" wp14:editId="1FAA3BC3">
            <wp:extent cx="5208494" cy="4464423"/>
            <wp:effectExtent l="0" t="0" r="0" b="0"/>
            <wp:docPr id="45" name="Picture 45" descr="C:\Users\wb198498\AppData\Local\Temp\notes9987A7\mli_village_popdensity09_v0_2014_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8498\AppData\Local\Temp\notes9987A7\mli_village_popdensity09_v0_2014_050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1114" cy="4466668"/>
                    </a:xfrm>
                    <a:prstGeom prst="rect">
                      <a:avLst/>
                    </a:prstGeom>
                    <a:noFill/>
                    <a:ln>
                      <a:noFill/>
                    </a:ln>
                  </pic:spPr>
                </pic:pic>
              </a:graphicData>
            </a:graphic>
          </wp:inline>
        </w:drawing>
      </w:r>
    </w:p>
    <w:p w:rsidR="00E56663" w:rsidRPr="00E56625" w:rsidRDefault="00E56663" w:rsidP="00F33F32">
      <w:pPr>
        <w:autoSpaceDE w:val="0"/>
        <w:autoSpaceDN w:val="0"/>
        <w:adjustRightInd w:val="0"/>
        <w:spacing w:after="0"/>
        <w:ind w:left="720"/>
        <w:rPr>
          <w:sz w:val="20"/>
          <w:szCs w:val="20"/>
          <w:lang w:val="en-US"/>
        </w:rPr>
      </w:pPr>
      <w:r w:rsidRPr="00E56625">
        <w:rPr>
          <w:sz w:val="20"/>
          <w:szCs w:val="20"/>
          <w:lang w:val="en-US"/>
        </w:rPr>
        <w:t>Source: RGPH 2009. Authors’</w:t>
      </w:r>
      <w:r w:rsidR="000A3566" w:rsidRPr="00E56625">
        <w:rPr>
          <w:sz w:val="20"/>
          <w:szCs w:val="20"/>
          <w:lang w:val="en-US"/>
        </w:rPr>
        <w:t xml:space="preserve"> </w:t>
      </w:r>
      <w:r w:rsidRPr="00E56625">
        <w:rPr>
          <w:sz w:val="20"/>
          <w:szCs w:val="20"/>
          <w:lang w:val="en-US"/>
        </w:rPr>
        <w:t>calculations.</w:t>
      </w:r>
    </w:p>
    <w:p w:rsidR="00F33F32" w:rsidRPr="00E56625" w:rsidRDefault="00F33F32" w:rsidP="00F33F32">
      <w:pPr>
        <w:autoSpaceDE w:val="0"/>
        <w:autoSpaceDN w:val="0"/>
        <w:adjustRightInd w:val="0"/>
        <w:spacing w:after="0"/>
        <w:ind w:left="720"/>
        <w:rPr>
          <w:lang w:val="en-US"/>
        </w:rPr>
      </w:pPr>
    </w:p>
    <w:p w:rsidR="00E56663" w:rsidRPr="008F3531" w:rsidRDefault="00E56663" w:rsidP="00E56663">
      <w:pPr>
        <w:pStyle w:val="paranumb"/>
        <w:rPr>
          <w:rFonts w:cs="Times New Roman"/>
          <w:szCs w:val="24"/>
        </w:rPr>
      </w:pPr>
      <w:r w:rsidRPr="008F3531">
        <w:rPr>
          <w:rFonts w:cs="Times New Roman"/>
          <w:szCs w:val="24"/>
        </w:rPr>
        <w:t xml:space="preserve">Space not only matters for patterns of development at a global scale. At a local level space is equally important. One characteristic critical for Mali, is its low population density. With an average population of 13.3 people per </w:t>
      </w:r>
      <w:r w:rsidR="00C8297A" w:rsidRPr="00C8297A">
        <w:rPr>
          <w:rFonts w:cs="Times New Roman"/>
          <w:szCs w:val="24"/>
        </w:rPr>
        <w:t>km</w:t>
      </w:r>
      <w:r w:rsidR="00C8297A" w:rsidRPr="00E56625">
        <w:rPr>
          <w:rFonts w:cs="Times New Roman"/>
          <w:szCs w:val="24"/>
          <w:vertAlign w:val="superscript"/>
        </w:rPr>
        <w:t>2</w:t>
      </w:r>
      <w:r w:rsidRPr="008F3531">
        <w:rPr>
          <w:rFonts w:cs="Times New Roman"/>
          <w:szCs w:val="24"/>
        </w:rPr>
        <w:t xml:space="preserve"> Mali belongs to the 20 least densely populated countries in the world. Averages may hide large variations and this certainly holds for a country with vast swaths of desert where few people live. In Kidal in the north of the country, population density is only.5 persons per square kilometer. In Tombouctou and Gao it is higher but still low, respectively 2.0 and 3.1 people per square kilometer. In the south of the country population density is substantially higher. It varies from 16.2 people per </w:t>
      </w:r>
      <w:r w:rsidR="00C8297A" w:rsidRPr="00C8297A">
        <w:rPr>
          <w:rFonts w:cs="Times New Roman"/>
          <w:szCs w:val="24"/>
        </w:rPr>
        <w:t>km</w:t>
      </w:r>
      <w:r w:rsidR="00C8297A" w:rsidRPr="00E56625">
        <w:rPr>
          <w:rFonts w:cs="Times New Roman"/>
          <w:szCs w:val="24"/>
          <w:vertAlign w:val="superscript"/>
        </w:rPr>
        <w:t>2</w:t>
      </w:r>
      <w:r w:rsidRPr="008F3531">
        <w:rPr>
          <w:rFonts w:cs="Times New Roman"/>
          <w:szCs w:val="24"/>
        </w:rPr>
        <w:t xml:space="preserve"> in Kayes, to 26 in Koulikoro and Mopti, to about 38 in Sikasso and Ségou.  At over 7,400 people per square kilometer, population density is highest in Bamako.</w:t>
      </w:r>
    </w:p>
    <w:p w:rsidR="00E56663" w:rsidRPr="008F3531" w:rsidRDefault="00E56663" w:rsidP="00E56663">
      <w:pPr>
        <w:pStyle w:val="paranumb"/>
        <w:rPr>
          <w:rFonts w:cs="Times New Roman"/>
          <w:szCs w:val="24"/>
        </w:rPr>
      </w:pPr>
      <w:r w:rsidRPr="008F3531">
        <w:rPr>
          <w:rFonts w:cs="Times New Roman"/>
          <w:szCs w:val="24"/>
        </w:rPr>
        <w:t xml:space="preserve">Because of the low population density, in 2009, only 9 percent of the population live in the North of the country (Gao, Tombouctou and Kidal) even though the north comprises some 65 percent of the land mass of Mali. </w:t>
      </w:r>
    </w:p>
    <w:p w:rsidR="00E56663" w:rsidRPr="008F3531" w:rsidRDefault="00E56663" w:rsidP="00E56663">
      <w:pPr>
        <w:pStyle w:val="paranumb"/>
        <w:rPr>
          <w:rFonts w:cs="Times New Roman"/>
          <w:szCs w:val="24"/>
        </w:rPr>
      </w:pPr>
      <w:r w:rsidRPr="008F3531">
        <w:rPr>
          <w:rFonts w:cs="Times New Roman"/>
          <w:szCs w:val="24"/>
        </w:rPr>
        <w:t>Spatial differences are correlated with welfare outcomes. A person born in Bamako can expect to live more than 6 years long</w:t>
      </w:r>
      <w:r w:rsidR="00F30A57" w:rsidRPr="008F3531">
        <w:rPr>
          <w:rFonts w:cs="Times New Roman"/>
          <w:szCs w:val="24"/>
        </w:rPr>
        <w:t xml:space="preserve">er than a person born in Ségou </w:t>
      </w:r>
      <w:r w:rsidRPr="008F3531">
        <w:rPr>
          <w:rFonts w:cs="Times New Roman"/>
          <w:szCs w:val="24"/>
        </w:rPr>
        <w:t xml:space="preserve">or Sikasso. A person born in Kidal can expect to consume almost twice as much as a person born in Mopti. A person with no education living in Kayes can expect to consume 50 percent more than a person without education in Sikasso, while a person with no education living in Kidal can expect to consume the same amount as a person with an advanced degree living in Mopti. </w:t>
      </w:r>
    </w:p>
    <w:p w:rsidR="00E56663" w:rsidRPr="008F3531" w:rsidRDefault="00E56663" w:rsidP="00E56663">
      <w:pPr>
        <w:pStyle w:val="paranumb"/>
        <w:rPr>
          <w:rFonts w:cs="Times New Roman"/>
          <w:szCs w:val="24"/>
        </w:rPr>
      </w:pPr>
      <w:r w:rsidRPr="008F3531">
        <w:rPr>
          <w:rFonts w:cs="Times New Roman"/>
          <w:szCs w:val="24"/>
        </w:rPr>
        <w:t>Space is intrinsically related to geography, and as space matters, so does geography. In Kidal, in the midst of the desert, commerce is the activity of choice, while in Sikasso with ample fertile land available, agriculture is the primary activity. Family size is affected by geography too. In the absence of labor markets, large families are preferred in Mali’s agricultural areas, but less so where commerce is dominant. Hence average family size in Kayes is 12.8, but in Gao it is 8.0 and in Kidal 6.3.</w:t>
      </w:r>
    </w:p>
    <w:p w:rsidR="00E56663" w:rsidRPr="008F3531" w:rsidRDefault="00E56663" w:rsidP="00E56663">
      <w:pPr>
        <w:pStyle w:val="paranumb"/>
        <w:rPr>
          <w:rFonts w:cs="Times New Roman"/>
          <w:szCs w:val="24"/>
        </w:rPr>
      </w:pPr>
      <w:r w:rsidRPr="008F3531">
        <w:rPr>
          <w:rFonts w:cs="Times New Roman"/>
          <w:szCs w:val="24"/>
        </w:rPr>
        <w:t xml:space="preserve">These disparities in living standards and livelihoods are the outcome of a striking attribute of economic development—its unevenness across space. This is true at all geographic scales, from local to national to global. Cities pull ahead of the countryside. Living standards improve in some regions while others lag. Entire countries and regions develop faster than others. The impact of geography and space and the </w:t>
      </w:r>
      <w:r w:rsidRPr="008F3531">
        <w:rPr>
          <w:rFonts w:cs="Times New Roman"/>
          <w:bCs/>
          <w:iCs/>
          <w:szCs w:val="24"/>
        </w:rPr>
        <w:t>unevenness of development poses challenges to</w:t>
      </w:r>
      <w:r w:rsidRPr="008F3531">
        <w:rPr>
          <w:rFonts w:cs="Times New Roman"/>
          <w:b/>
          <w:bCs/>
          <w:i/>
          <w:iCs/>
          <w:szCs w:val="24"/>
        </w:rPr>
        <w:t xml:space="preserve"> </w:t>
      </w:r>
      <w:r w:rsidRPr="008F3531">
        <w:rPr>
          <w:rFonts w:cs="Times New Roman"/>
          <w:szCs w:val="24"/>
        </w:rPr>
        <w:t xml:space="preserve">decision makers who generally cannot simultaneously foster economic production and spread it out smoothly. </w:t>
      </w:r>
    </w:p>
    <w:p w:rsidR="00E56663" w:rsidRPr="008F3531" w:rsidRDefault="00E56663" w:rsidP="00F33F32">
      <w:pPr>
        <w:pStyle w:val="paranumb"/>
        <w:rPr>
          <w:rFonts w:cs="Times New Roman"/>
          <w:szCs w:val="24"/>
        </w:rPr>
      </w:pPr>
      <w:r w:rsidRPr="008F3531">
        <w:rPr>
          <w:rFonts w:cs="Times New Roman"/>
          <w:szCs w:val="24"/>
        </w:rPr>
        <w:t>The spatial differences one observes on the production side are more pronounced than those on the welfare side. One observes that 90 percent of all formal enterprises are found in Bamako and that an estimated 39 percent of GDP is generated in the capital city.</w:t>
      </w:r>
      <w:r w:rsidRPr="008F3531">
        <w:rPr>
          <w:rStyle w:val="FootnoteReference"/>
          <w:rFonts w:cs="Times New Roman"/>
        </w:rPr>
        <w:footnoteReference w:id="5"/>
      </w:r>
      <w:r w:rsidRPr="008F3531">
        <w:rPr>
          <w:rFonts w:cs="Times New Roman"/>
          <w:szCs w:val="24"/>
        </w:rPr>
        <w:t xml:space="preserve"> Access to services is much less skewed than production, but overall levels of access are low and spatial differences exist: almost sixty percent of the population aged six and above has no education at all, approximately 35 percent has primary education and slightly less than eight percent of the population has secondary education or more.</w:t>
      </w:r>
      <w:r w:rsidRPr="008F3531">
        <w:rPr>
          <w:rStyle w:val="FootnoteReference"/>
          <w:rFonts w:cs="Times New Roman"/>
        </w:rPr>
        <w:footnoteReference w:id="6"/>
      </w:r>
      <w:r w:rsidRPr="008F3531">
        <w:rPr>
          <w:rFonts w:cs="Times New Roman"/>
          <w:szCs w:val="24"/>
        </w:rPr>
        <w:t xml:space="preserve"> In the Northern regions of the country, Mopti, Tombouctou and Kidal more than 80 percent of the population has not gone to school at all. Contrast this with Bamako (see Figure 1.3). But even in Bamako, as many as 34 percent of the population never went to school.</w:t>
      </w:r>
    </w:p>
    <w:p w:rsidR="00F33F32" w:rsidRPr="008F3531" w:rsidRDefault="00F33F32">
      <w:pPr>
        <w:rPr>
          <w:rFonts w:ascii="Times New Roman Bold" w:hAnsi="Times New Roman Bold" w:cstheme="minorBidi"/>
          <w:b/>
          <w:bCs/>
          <w:color w:val="000000" w:themeColor="text1"/>
          <w:sz w:val="22"/>
          <w:szCs w:val="18"/>
          <w:lang w:val="en-US"/>
        </w:rPr>
      </w:pPr>
      <w:r w:rsidRPr="00E56625">
        <w:rPr>
          <w:lang w:val="en-US"/>
        </w:rPr>
        <w:br w:type="page"/>
      </w:r>
    </w:p>
    <w:p w:rsidR="00E56663" w:rsidRPr="008F3531" w:rsidRDefault="0090220F" w:rsidP="0090220F">
      <w:pPr>
        <w:pStyle w:val="Caption"/>
        <w:rPr>
          <w:rFonts w:ascii="Times New Roman" w:hAnsi="Times New Roman" w:cs="Times New Roman"/>
          <w:b w:val="0"/>
          <w:sz w:val="24"/>
          <w:szCs w:val="24"/>
        </w:rPr>
      </w:pPr>
      <w:bookmarkStart w:id="9" w:name="_Toc390956368"/>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1</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3</w:t>
      </w:r>
      <w:r w:rsidR="00943E46" w:rsidRPr="00E56625">
        <w:rPr>
          <w:noProof/>
        </w:rPr>
        <w:fldChar w:fldCharType="end"/>
      </w:r>
      <w:r w:rsidR="00E56663" w:rsidRPr="008F3531">
        <w:rPr>
          <w:rFonts w:ascii="Times New Roman" w:hAnsi="Times New Roman" w:cs="Times New Roman"/>
          <w:sz w:val="24"/>
          <w:szCs w:val="24"/>
        </w:rPr>
        <w:t>: Level of education of those aged 6 and above</w:t>
      </w:r>
      <w:bookmarkEnd w:id="9"/>
      <w:r w:rsidR="00E56663" w:rsidRPr="008F3531">
        <w:rPr>
          <w:rFonts w:ascii="Times New Roman" w:hAnsi="Times New Roman" w:cs="Times New Roman"/>
          <w:sz w:val="24"/>
          <w:szCs w:val="24"/>
        </w:rPr>
        <w:t xml:space="preserve"> </w:t>
      </w:r>
    </w:p>
    <w:p w:rsidR="00E56663" w:rsidRPr="00E56625" w:rsidRDefault="00E56663" w:rsidP="00F33F32">
      <w:pPr>
        <w:spacing w:after="0"/>
        <w:jc w:val="center"/>
        <w:rPr>
          <w:lang w:val="en-US"/>
        </w:rPr>
      </w:pPr>
      <w:r w:rsidRPr="000370E2">
        <w:rPr>
          <w:noProof/>
          <w:lang w:val="en-US"/>
        </w:rPr>
        <w:drawing>
          <wp:inline distT="0" distB="0" distL="0" distR="0" wp14:anchorId="60C371B8" wp14:editId="44EE7D6E">
            <wp:extent cx="5524500" cy="28829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56663" w:rsidRPr="00E56625" w:rsidRDefault="00F33F32" w:rsidP="00F33F32">
      <w:pPr>
        <w:spacing w:after="0"/>
        <w:rPr>
          <w:sz w:val="20"/>
          <w:lang w:val="en-US"/>
        </w:rPr>
      </w:pPr>
      <w:r w:rsidRPr="00E56625">
        <w:rPr>
          <w:sz w:val="20"/>
          <w:lang w:val="en-US"/>
        </w:rPr>
        <w:t xml:space="preserve">      </w:t>
      </w:r>
      <w:r w:rsidR="0090220F" w:rsidRPr="00E56625">
        <w:rPr>
          <w:sz w:val="20"/>
          <w:lang w:val="en-US"/>
        </w:rPr>
        <w:t>Source: R</w:t>
      </w:r>
      <w:r w:rsidR="00E56663" w:rsidRPr="00E56625">
        <w:rPr>
          <w:sz w:val="20"/>
          <w:lang w:val="en-US"/>
        </w:rPr>
        <w:t>egional data – RGPH 2009; trend data RGPH 1998, 2009 and EMOP 2011.</w:t>
      </w:r>
    </w:p>
    <w:p w:rsidR="00F33F32" w:rsidRPr="00E56625" w:rsidRDefault="00F33F32" w:rsidP="00F33F32">
      <w:pPr>
        <w:spacing w:after="0"/>
        <w:rPr>
          <w:lang w:val="en-US"/>
        </w:rPr>
      </w:pPr>
    </w:p>
    <w:p w:rsidR="00E56663" w:rsidRPr="008F3531" w:rsidRDefault="00E56663" w:rsidP="00E56663">
      <w:pPr>
        <w:pStyle w:val="paranumb"/>
        <w:rPr>
          <w:rFonts w:cs="Times New Roman"/>
          <w:szCs w:val="24"/>
        </w:rPr>
      </w:pPr>
      <w:r w:rsidRPr="008F3531">
        <w:rPr>
          <w:rFonts w:cs="Times New Roman"/>
          <w:szCs w:val="24"/>
        </w:rPr>
        <w:t xml:space="preserve">This study is the first in a series of annual, analytical documents on poverty and well-being prepared by the Cellule Technique of the CSLP. This series is meant to inform the Annual Review and to stimulate debate. The objectives of this document are twofold. Being the first in a new series, it takes stock of the available information on household welfare and access to services. It does so, taking an explicit spatial perspective. Next the study considers the question how geography and space matter for decisions about the provision of services. It does so by highlighting the trade-offs between equity (every Malian has right to access certain services), efficiency (how can as many people as possible be reached given the available budget), but also quality and care for the most vulnerable in society. </w:t>
      </w:r>
    </w:p>
    <w:p w:rsidR="00CF0E26" w:rsidRPr="008F3531" w:rsidRDefault="00E56663" w:rsidP="00CF0E26">
      <w:pPr>
        <w:pStyle w:val="paranumb"/>
        <w:rPr>
          <w:b/>
        </w:rPr>
      </w:pPr>
      <w:r w:rsidRPr="008F3531">
        <w:rPr>
          <w:rFonts w:cs="Times New Roman"/>
          <w:szCs w:val="24"/>
        </w:rPr>
        <w:t>The study is organized as follows: the next two chapters provide an overview of selected spatial and geographic characteristics of Mali. Chapter two emphasizes differences in population density which allows distinguishing between types of agglomeration from villages, to rural town, to large cities. Chapter three categorizes the country into various livelihood zones and considers how the agro-physical environment affects the way people live. In Chapter four we turn to household welfare. We discusses outcomes on life expectancy, mortality, nutrition, consumption, poverty as well as the ownership of assets while stressing spatial patterns and trends. We also shed light on the ‘Sikasso paradox’, the apparent contradiction that the region with the greatest agricultural potential has the highest rate of poverty. Chapter five considers access to services. We investigate whether one region is being favored over another in terms of service delivery and explore how innovative approaches may help deal with some of the challenges posed by budgetary constraints. Chapter five considers one specific region, northern Mali and how its ongoing security crisis affects welfare for people living in the north and in the rest of the country. The chapter delves deeper into the causes for the crisis and seeks to formulate what might have to be done to reverse the current situation. Chapter six is forward looking. It asks the question how much growth is needed to significantly reduce poverty in Mali, and draws (spatially informed) implications for the growth process. A concluding section completes the study</w:t>
      </w:r>
      <w:r w:rsidR="00D02563" w:rsidRPr="008F3531">
        <w:rPr>
          <w:rFonts w:cs="Times New Roman"/>
          <w:szCs w:val="24"/>
        </w:rPr>
        <w:t>.</w:t>
      </w:r>
      <w:r w:rsidR="00CF0E26" w:rsidRPr="008F3531">
        <w:rPr>
          <w:b/>
        </w:rPr>
        <w:br w:type="page"/>
      </w:r>
    </w:p>
    <w:p w:rsidR="00CF0E26" w:rsidRPr="008F3531" w:rsidRDefault="00DA2D27" w:rsidP="00196CC6">
      <w:pPr>
        <w:pStyle w:val="Heading1"/>
        <w:tabs>
          <w:tab w:val="clear" w:pos="1800"/>
          <w:tab w:val="left" w:pos="1980"/>
        </w:tabs>
        <w:ind w:left="0"/>
      </w:pPr>
      <w:bookmarkStart w:id="10" w:name="_Toc383519745"/>
      <w:bookmarkStart w:id="11" w:name="_Toc382392181"/>
      <w:bookmarkStart w:id="12" w:name="_Toc419468532"/>
      <w:r w:rsidRPr="008F3531">
        <w:t>Mali by Agglomeration Type</w:t>
      </w:r>
      <w:bookmarkEnd w:id="10"/>
      <w:bookmarkEnd w:id="11"/>
      <w:bookmarkEnd w:id="12"/>
    </w:p>
    <w:p w:rsidR="00CF0E26" w:rsidRPr="00E56625" w:rsidRDefault="00CF0E26" w:rsidP="00C73CC7">
      <w:pPr>
        <w:pStyle w:val="Heading2"/>
        <w:numPr>
          <w:ilvl w:val="0"/>
          <w:numId w:val="6"/>
        </w:numPr>
        <w:tabs>
          <w:tab w:val="left" w:pos="360"/>
        </w:tabs>
        <w:spacing w:before="0"/>
        <w:ind w:left="0" w:firstLine="0"/>
        <w:rPr>
          <w:rFonts w:ascii="Times New Roman Bold" w:hAnsi="Times New Roman Bold" w:cs="Times New Roman"/>
          <w:color w:val="000000" w:themeColor="text1"/>
          <w:sz w:val="22"/>
          <w:szCs w:val="22"/>
          <w:lang w:val="en-US"/>
        </w:rPr>
      </w:pPr>
      <w:bookmarkStart w:id="13" w:name="_Toc382392182"/>
      <w:bookmarkStart w:id="14" w:name="_Toc383519746"/>
      <w:bookmarkStart w:id="15" w:name="_Toc419468533"/>
      <w:r w:rsidRPr="00E56625">
        <w:rPr>
          <w:rFonts w:ascii="Times New Roman Bold" w:hAnsi="Times New Roman Bold" w:cs="Times New Roman"/>
          <w:color w:val="000000" w:themeColor="text1"/>
          <w:sz w:val="22"/>
          <w:szCs w:val="22"/>
          <w:lang w:val="en-US"/>
        </w:rPr>
        <w:t>Introduction</w:t>
      </w:r>
      <w:bookmarkEnd w:id="13"/>
      <w:bookmarkEnd w:id="14"/>
      <w:bookmarkEnd w:id="15"/>
    </w:p>
    <w:p w:rsidR="00B15BF9" w:rsidRPr="008F3531" w:rsidRDefault="00B15BF9" w:rsidP="00B15BF9">
      <w:pPr>
        <w:pStyle w:val="paranumb"/>
      </w:pPr>
      <w:r w:rsidRPr="008F3531">
        <w:t xml:space="preserve">Mali </w:t>
      </w:r>
      <w:r w:rsidRPr="008F3531">
        <w:rPr>
          <w:rFonts w:cs="Times New Roman"/>
          <w:szCs w:val="24"/>
        </w:rPr>
        <w:t xml:space="preserve">is urbanizing rapidly. Between 1987 and 2009 the population of Bamako tripled from around 760,000 to almost 2.2 million. According to UN population projections by 2035 about half of Mali’s population will live in urban areas.  </w:t>
      </w:r>
    </w:p>
    <w:p w:rsidR="00B15BF9" w:rsidRPr="008F3531" w:rsidRDefault="00B15BF9" w:rsidP="0064295E">
      <w:pPr>
        <w:pStyle w:val="paranumb"/>
        <w:rPr>
          <w:rFonts w:cs="Times New Roman"/>
          <w:szCs w:val="24"/>
        </w:rPr>
      </w:pPr>
      <w:r w:rsidRPr="008F3531">
        <w:rPr>
          <w:rFonts w:cs="Times New Roman"/>
          <w:szCs w:val="24"/>
        </w:rPr>
        <w:t>Rapid urbanization may be good news as urbanization has been associated with GDP growth and poverty reduction.</w:t>
      </w:r>
      <w:r w:rsidRPr="008F3531">
        <w:rPr>
          <w:rStyle w:val="FootnoteReference"/>
          <w:rFonts w:cs="Times New Roman"/>
          <w:szCs w:val="24"/>
        </w:rPr>
        <w:footnoteReference w:id="7"/>
      </w:r>
      <w:r w:rsidRPr="008F3531">
        <w:rPr>
          <w:rFonts w:cs="Times New Roman"/>
          <w:szCs w:val="24"/>
        </w:rPr>
        <w:t xml:space="preserve"> China and India are good examples of countries that manage to associate urbanization with income growth. But not in all instances is urbanization associated with per capita income growth. Particularly in Africa does one find countries where per capita incomes stagnate while urbanization continues (Spence et al. 2008).</w:t>
      </w:r>
    </w:p>
    <w:p w:rsidR="00B15BF9" w:rsidRPr="000370E2" w:rsidRDefault="00473B76" w:rsidP="00473B76">
      <w:pPr>
        <w:pStyle w:val="Caption"/>
        <w:rPr>
          <w:b w:val="0"/>
          <w:lang w:val="fr-FR"/>
        </w:rPr>
      </w:pPr>
      <w:bookmarkStart w:id="16" w:name="_Toc390956369"/>
      <w:r w:rsidRPr="000370E2">
        <w:rPr>
          <w:lang w:val="fr-FR"/>
        </w:rPr>
        <w:t xml:space="preserve">Figure </w:t>
      </w:r>
      <w:r w:rsidR="00EE6599" w:rsidRPr="00E56625">
        <w:fldChar w:fldCharType="begin"/>
      </w:r>
      <w:r w:rsidR="00EE6599" w:rsidRPr="000370E2">
        <w:rPr>
          <w:lang w:val="fr-FR"/>
        </w:rPr>
        <w:instrText xml:space="preserve"> STYLEREF 1 \s </w:instrText>
      </w:r>
      <w:r w:rsidR="00EE6599" w:rsidRPr="00E56625">
        <w:fldChar w:fldCharType="separate"/>
      </w:r>
      <w:r w:rsidR="002779FA">
        <w:rPr>
          <w:noProof/>
          <w:lang w:val="fr-FR"/>
        </w:rPr>
        <w:t>2</w:t>
      </w:r>
      <w:r w:rsidR="00EE6599" w:rsidRPr="00E56625">
        <w:fldChar w:fldCharType="end"/>
      </w:r>
      <w:r w:rsidR="00EE6599" w:rsidRPr="000370E2">
        <w:rPr>
          <w:lang w:val="fr-FR"/>
        </w:rPr>
        <w:t>.</w:t>
      </w:r>
      <w:r w:rsidR="00EE6599" w:rsidRPr="00E56625">
        <w:fldChar w:fldCharType="begin"/>
      </w:r>
      <w:r w:rsidR="00EE6599" w:rsidRPr="000370E2">
        <w:rPr>
          <w:lang w:val="fr-FR"/>
        </w:rPr>
        <w:instrText xml:space="preserve"> SEQ Figure \* ARABIC \s 1 </w:instrText>
      </w:r>
      <w:r w:rsidR="00EE6599" w:rsidRPr="00E56625">
        <w:fldChar w:fldCharType="separate"/>
      </w:r>
      <w:r w:rsidR="002779FA">
        <w:rPr>
          <w:noProof/>
          <w:lang w:val="fr-FR"/>
        </w:rPr>
        <w:t>1</w:t>
      </w:r>
      <w:r w:rsidR="00EE6599" w:rsidRPr="00E56625">
        <w:fldChar w:fldCharType="end"/>
      </w:r>
      <w:r w:rsidR="00B15BF9" w:rsidRPr="000370E2">
        <w:rPr>
          <w:b w:val="0"/>
          <w:lang w:val="fr-FR"/>
        </w:rPr>
        <w:t>: Population urbaine et rurale au Mali</w:t>
      </w:r>
      <w:bookmarkEnd w:id="16"/>
    </w:p>
    <w:p w:rsidR="00B15BF9" w:rsidRPr="00E56625" w:rsidRDefault="00B15BF9" w:rsidP="00855B7F">
      <w:pPr>
        <w:autoSpaceDE w:val="0"/>
        <w:autoSpaceDN w:val="0"/>
        <w:adjustRightInd w:val="0"/>
        <w:spacing w:after="0"/>
        <w:jc w:val="center"/>
        <w:rPr>
          <w:lang w:val="en-US"/>
        </w:rPr>
      </w:pPr>
      <w:r w:rsidRPr="000370E2">
        <w:rPr>
          <w:noProof/>
          <w:lang w:val="en-US"/>
        </w:rPr>
        <w:drawing>
          <wp:inline distT="0" distB="0" distL="0" distR="0" wp14:anchorId="0C4EB9C9" wp14:editId="4339F8CF">
            <wp:extent cx="5889812" cy="2554941"/>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15BF9" w:rsidRPr="00E56625" w:rsidRDefault="00B15BF9" w:rsidP="00D55546">
      <w:pPr>
        <w:autoSpaceDE w:val="0"/>
        <w:autoSpaceDN w:val="0"/>
        <w:adjustRightInd w:val="0"/>
        <w:spacing w:after="0"/>
        <w:rPr>
          <w:sz w:val="20"/>
          <w:szCs w:val="20"/>
          <w:lang w:val="en-US"/>
        </w:rPr>
      </w:pPr>
      <w:r w:rsidRPr="00E56625">
        <w:rPr>
          <w:sz w:val="20"/>
          <w:szCs w:val="20"/>
          <w:lang w:val="en-US"/>
        </w:rPr>
        <w:t>Source: United Nations, Department of Economic and Social Affairs, Population Division (2012). World Urbanization Prospects: The 2011 Revision, CD-ROM Edition.</w:t>
      </w:r>
    </w:p>
    <w:p w:rsidR="00D55546" w:rsidRPr="00E56625" w:rsidRDefault="00D55546" w:rsidP="00D55546">
      <w:pPr>
        <w:autoSpaceDE w:val="0"/>
        <w:autoSpaceDN w:val="0"/>
        <w:adjustRightInd w:val="0"/>
        <w:spacing w:after="0"/>
        <w:rPr>
          <w:lang w:val="en-US"/>
        </w:rPr>
      </w:pPr>
    </w:p>
    <w:p w:rsidR="00B15BF9" w:rsidRPr="008F3531" w:rsidRDefault="00B15BF9" w:rsidP="0064295E">
      <w:pPr>
        <w:pStyle w:val="paranumb"/>
        <w:rPr>
          <w:rFonts w:cs="Times New Roman"/>
          <w:szCs w:val="24"/>
        </w:rPr>
      </w:pPr>
      <w:r w:rsidRPr="008F3531">
        <w:rPr>
          <w:rFonts w:cs="Times New Roman"/>
          <w:szCs w:val="24"/>
        </w:rPr>
        <w:t xml:space="preserve">In this chapter we classify the country into four types of agglomerations, allowing a more fine grained description than the rural-urban dichotomy allows. We distinguish localities with a population of less than 5,000 and a low population density (villages), rural towns with a population between 5,000 and 30,000 with a low population density, urban localities (towns) with a population between 5,000 and 30,000 and a high population density, and cities with a population of over 30,000. Amongst these we separately identify the four largest cities: Kayes, Sikasso, Ségou and Bamako. In total we identify more than 10,000 villages, over 120 rural towns, 60 towns and 15 cities. We investigate where population growth has taken place and how migration contributes to this. We explore differences in income, economic activity and access to services between the various types of agglomeration and ask whether Bamako is an engine of economic growth. </w:t>
      </w:r>
    </w:p>
    <w:p w:rsidR="00B15BF9" w:rsidRPr="00E56625" w:rsidRDefault="00B15BF9" w:rsidP="00DB4E4A">
      <w:pPr>
        <w:pStyle w:val="Heading2"/>
        <w:numPr>
          <w:ilvl w:val="0"/>
          <w:numId w:val="6"/>
        </w:numPr>
        <w:tabs>
          <w:tab w:val="left" w:pos="360"/>
        </w:tabs>
        <w:spacing w:before="0"/>
        <w:ind w:left="0" w:firstLine="0"/>
        <w:rPr>
          <w:rFonts w:ascii="Times New Roman Bold" w:hAnsi="Times New Roman Bold" w:cs="Times New Roman"/>
          <w:color w:val="000000" w:themeColor="text1"/>
          <w:sz w:val="22"/>
          <w:szCs w:val="22"/>
          <w:lang w:val="en-US"/>
        </w:rPr>
      </w:pPr>
      <w:r w:rsidRPr="00E56625">
        <w:rPr>
          <w:rFonts w:ascii="Times New Roman Bold" w:hAnsi="Times New Roman Bold" w:cs="Times New Roman"/>
          <w:color w:val="000000" w:themeColor="text1"/>
          <w:sz w:val="22"/>
          <w:szCs w:val="22"/>
          <w:lang w:val="en-US"/>
        </w:rPr>
        <w:t xml:space="preserve"> </w:t>
      </w:r>
      <w:bookmarkStart w:id="17" w:name="_Toc419468534"/>
      <w:r w:rsidRPr="00E56625">
        <w:rPr>
          <w:rFonts w:ascii="Times New Roman Bold" w:hAnsi="Times New Roman Bold" w:cs="Times New Roman"/>
          <w:color w:val="000000" w:themeColor="text1"/>
          <w:sz w:val="22"/>
          <w:szCs w:val="22"/>
          <w:lang w:val="en-US"/>
        </w:rPr>
        <w:t>Classifying Mali by population density and size of the locality</w:t>
      </w:r>
      <w:bookmarkEnd w:id="17"/>
    </w:p>
    <w:p w:rsidR="00B15BF9" w:rsidRPr="008F3531" w:rsidRDefault="00B15BF9" w:rsidP="0064295E">
      <w:pPr>
        <w:pStyle w:val="paranumb"/>
        <w:rPr>
          <w:rFonts w:cs="Times New Roman"/>
          <w:szCs w:val="24"/>
        </w:rPr>
      </w:pPr>
      <w:r w:rsidRPr="008F3531">
        <w:rPr>
          <w:rFonts w:cs="Times New Roman"/>
          <w:szCs w:val="24"/>
        </w:rPr>
        <w:t xml:space="preserve">To classify the country in rural and urban areas while avoiding jurisdictional boundaries we reconstruct boundaries for all urban areas in 2009 following a methodology proposed by Bernard </w:t>
      </w:r>
      <w:r w:rsidRPr="008F3531">
        <w:rPr>
          <w:rFonts w:cs="Times New Roman"/>
          <w:i/>
          <w:szCs w:val="24"/>
        </w:rPr>
        <w:t>et al.</w:t>
      </w:r>
      <w:r w:rsidRPr="008F3531">
        <w:rPr>
          <w:rFonts w:cs="Times New Roman"/>
          <w:szCs w:val="24"/>
        </w:rPr>
        <w:t xml:space="preserve"> (2012)</w:t>
      </w:r>
      <w:r w:rsidR="0089225D" w:rsidRPr="008F3531">
        <w:rPr>
          <w:rFonts w:cs="Times New Roman"/>
          <w:szCs w:val="24"/>
        </w:rPr>
        <w:t>.</w:t>
      </w:r>
      <w:r w:rsidRPr="008F3531">
        <w:rPr>
          <w:rStyle w:val="FootnoteReference"/>
          <w:rFonts w:cs="Times New Roman"/>
          <w:szCs w:val="24"/>
        </w:rPr>
        <w:footnoteReference w:id="8"/>
      </w:r>
      <w:r w:rsidRPr="008F3531">
        <w:rPr>
          <w:rFonts w:cs="Times New Roman"/>
          <w:szCs w:val="24"/>
        </w:rPr>
        <w:t xml:space="preserve">  This was done using the census data at the smallest geographic scale (the “neighborhood” and village), each location being characterized by a point in space (a pair of geographic coordinates for longitude and latitude) and its associated population.  In the absence of maps for these small geographic units, space was partitioned into a set of convex polygons</w:t>
      </w:r>
      <w:r w:rsidRPr="008F3531">
        <w:rPr>
          <w:rStyle w:val="FootnoteReference"/>
          <w:rFonts w:cs="Times New Roman"/>
          <w:szCs w:val="24"/>
        </w:rPr>
        <w:footnoteReference w:id="9"/>
      </w:r>
      <w:r w:rsidRPr="008F3531">
        <w:rPr>
          <w:rFonts w:cs="Times New Roman"/>
          <w:szCs w:val="24"/>
        </w:rPr>
        <w:t xml:space="preserve"> defined to ensure that each contains a single point and has borders located at equal distance between its center and the most proximate point.  Urban areas were then defined by aggregating all contiguous polygons whose density level exceeded the threshold of 250 inhabitants per </w:t>
      </w:r>
      <w:r w:rsidR="00C8297A" w:rsidRPr="00C8297A">
        <w:rPr>
          <w:rFonts w:cs="Times New Roman"/>
          <w:szCs w:val="24"/>
        </w:rPr>
        <w:t>km</w:t>
      </w:r>
      <w:r w:rsidR="00C8297A" w:rsidRPr="00E56625">
        <w:rPr>
          <w:rFonts w:cs="Times New Roman"/>
          <w:szCs w:val="24"/>
          <w:vertAlign w:val="superscript"/>
        </w:rPr>
        <w:t>2</w:t>
      </w:r>
      <w:r w:rsidRPr="008F3531">
        <w:rPr>
          <w:rFonts w:cs="Times New Roman"/>
          <w:szCs w:val="24"/>
        </w:rPr>
        <w:t xml:space="preserve"> (for each of the polygons).</w:t>
      </w:r>
      <w:r w:rsidRPr="008F3531">
        <w:rPr>
          <w:rStyle w:val="FootnoteReference"/>
          <w:rFonts w:cs="Times New Roman"/>
          <w:szCs w:val="24"/>
        </w:rPr>
        <w:footnoteReference w:id="10"/>
      </w:r>
      <w:r w:rsidRPr="008F3531">
        <w:rPr>
          <w:rFonts w:cs="Times New Roman"/>
          <w:szCs w:val="24"/>
        </w:rPr>
        <w:t xml:space="preserve">  As an example, Figure 2.2 shows the fit for Bamako between the aggregation of polygons and the actual footprint of the city as identified from satellite imagery for the year 2009.  </w:t>
      </w:r>
    </w:p>
    <w:p w:rsidR="00B15BF9" w:rsidRPr="008F3531" w:rsidRDefault="00EE6599" w:rsidP="00EE6599">
      <w:pPr>
        <w:pStyle w:val="Caption"/>
        <w:rPr>
          <w:b w:val="0"/>
        </w:rPr>
      </w:pPr>
      <w:bookmarkStart w:id="18" w:name="_Toc390956370"/>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w:t>
      </w:r>
      <w:r w:rsidR="00943E46" w:rsidRPr="00E56625">
        <w:rPr>
          <w:noProof/>
        </w:rPr>
        <w:fldChar w:fldCharType="end"/>
      </w:r>
      <w:r w:rsidR="00B15BF9" w:rsidRPr="008F3531">
        <w:rPr>
          <w:b w:val="0"/>
        </w:rPr>
        <w:t>: Voronoi polygons as ap</w:t>
      </w:r>
      <w:r w:rsidR="00855B7F" w:rsidRPr="008F3531">
        <w:rPr>
          <w:b w:val="0"/>
        </w:rPr>
        <w:t>proximation for the urban</w:t>
      </w:r>
      <w:r w:rsidR="00855B7F" w:rsidRPr="008F3531">
        <w:rPr>
          <w:b w:val="0"/>
        </w:rPr>
        <w:br/>
      </w:r>
      <w:r w:rsidR="00B15BF9" w:rsidRPr="008F3531">
        <w:rPr>
          <w:b w:val="0"/>
        </w:rPr>
        <w:t>footprint of Bamako (2009)</w:t>
      </w:r>
      <w:bookmarkEnd w:id="18"/>
    </w:p>
    <w:p w:rsidR="00B15BF9" w:rsidRPr="00E56625" w:rsidRDefault="00B15BF9" w:rsidP="00B15BF9">
      <w:pPr>
        <w:spacing w:after="0"/>
        <w:jc w:val="center"/>
        <w:rPr>
          <w:lang w:val="en-US"/>
        </w:rPr>
      </w:pPr>
      <w:r w:rsidRPr="000370E2">
        <w:rPr>
          <w:noProof/>
          <w:lang w:val="en-US"/>
        </w:rPr>
        <w:drawing>
          <wp:inline distT="0" distB="0" distL="0" distR="0" wp14:anchorId="220AFE29" wp14:editId="1AC52005">
            <wp:extent cx="4837852" cy="3733800"/>
            <wp:effectExtent l="19050" t="19050" r="20320"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2652" cy="3737504"/>
                    </a:xfrm>
                    <a:prstGeom prst="rect">
                      <a:avLst/>
                    </a:prstGeom>
                    <a:noFill/>
                    <a:ln>
                      <a:solidFill>
                        <a:schemeClr val="accent1"/>
                      </a:solidFill>
                    </a:ln>
                  </pic:spPr>
                </pic:pic>
              </a:graphicData>
            </a:graphic>
          </wp:inline>
        </w:drawing>
      </w:r>
    </w:p>
    <w:p w:rsidR="00B15BF9" w:rsidRPr="00E56625" w:rsidRDefault="00855B7F" w:rsidP="00855B7F">
      <w:pPr>
        <w:spacing w:after="240"/>
        <w:rPr>
          <w:sz w:val="20"/>
          <w:szCs w:val="20"/>
          <w:lang w:val="en-US"/>
        </w:rPr>
      </w:pPr>
      <w:r w:rsidRPr="00E56625">
        <w:rPr>
          <w:sz w:val="20"/>
          <w:szCs w:val="20"/>
          <w:lang w:val="en-US"/>
        </w:rPr>
        <w:t xml:space="preserve">                 </w:t>
      </w:r>
      <w:r w:rsidR="00B15BF9" w:rsidRPr="00E56625">
        <w:rPr>
          <w:sz w:val="20"/>
          <w:szCs w:val="20"/>
          <w:lang w:val="en-US"/>
        </w:rPr>
        <w:t>Source: District of Bamako, INSTAT and authors.</w:t>
      </w:r>
    </w:p>
    <w:p w:rsidR="00B15BF9" w:rsidRPr="008F3531" w:rsidRDefault="00B15BF9" w:rsidP="0064295E">
      <w:pPr>
        <w:pStyle w:val="paranumb"/>
        <w:rPr>
          <w:rFonts w:cs="Times New Roman"/>
          <w:szCs w:val="24"/>
        </w:rPr>
      </w:pPr>
      <w:r w:rsidRPr="008F3531">
        <w:rPr>
          <w:rFonts w:cs="Times New Roman"/>
          <w:szCs w:val="24"/>
        </w:rPr>
        <w:t xml:space="preserve">Applying our algorithm to the whole country we find a total of 10,916 localities with less than 5,000 inhabitants and an average population of 882 individuals.  There are 188 places with a population between 5,000 and 30,000 inhabitants, of which 60 have a density greater than 250 inhabitants per </w:t>
      </w:r>
      <w:r w:rsidR="00C8297A" w:rsidRPr="00C8297A">
        <w:rPr>
          <w:rFonts w:cs="Times New Roman"/>
          <w:szCs w:val="24"/>
        </w:rPr>
        <w:t>km</w:t>
      </w:r>
      <w:r w:rsidR="00C8297A" w:rsidRPr="00E56625">
        <w:rPr>
          <w:rFonts w:cs="Times New Roman"/>
          <w:szCs w:val="24"/>
          <w:vertAlign w:val="superscript"/>
        </w:rPr>
        <w:t>2</w:t>
      </w:r>
      <w:r w:rsidRPr="008F3531">
        <w:rPr>
          <w:rFonts w:cs="Times New Roman"/>
          <w:szCs w:val="24"/>
        </w:rPr>
        <w:t xml:space="preserve">. 15 cities have more than 30,000 inhabitants (and all of them have a density greater than 250 inhabitants per </w:t>
      </w:r>
      <w:r w:rsidR="00C8297A" w:rsidRPr="00C8297A">
        <w:rPr>
          <w:rFonts w:cs="Times New Roman"/>
          <w:szCs w:val="24"/>
        </w:rPr>
        <w:t>km</w:t>
      </w:r>
      <w:r w:rsidR="00C8297A" w:rsidRPr="00E56625">
        <w:rPr>
          <w:rFonts w:cs="Times New Roman"/>
          <w:szCs w:val="24"/>
          <w:vertAlign w:val="superscript"/>
        </w:rPr>
        <w:t>2</w:t>
      </w:r>
      <w:r w:rsidRPr="008F3531">
        <w:rPr>
          <w:rFonts w:cs="Times New Roman"/>
          <w:szCs w:val="24"/>
        </w:rPr>
        <w:t xml:space="preserve">). Figure 2.3 maps the locations of the 75 towns and cities of Mali that have more than 5,000 inhabitants and a density of population above 250 inhabitants per </w:t>
      </w:r>
      <w:r w:rsidR="00C8297A" w:rsidRPr="00C8297A">
        <w:rPr>
          <w:rFonts w:cs="Times New Roman"/>
          <w:szCs w:val="24"/>
        </w:rPr>
        <w:t>km</w:t>
      </w:r>
      <w:r w:rsidR="00C8297A" w:rsidRPr="00E56625">
        <w:rPr>
          <w:rFonts w:cs="Times New Roman"/>
          <w:szCs w:val="24"/>
          <w:vertAlign w:val="superscript"/>
        </w:rPr>
        <w:t>2</w:t>
      </w:r>
      <w:r w:rsidRPr="008F3531">
        <w:rPr>
          <w:rFonts w:cs="Times New Roman"/>
          <w:szCs w:val="24"/>
        </w:rPr>
        <w:t>.</w:t>
      </w:r>
      <w:r w:rsidRPr="008F3531">
        <w:rPr>
          <w:rStyle w:val="FootnoteReference"/>
          <w:rFonts w:cs="Times New Roman"/>
          <w:szCs w:val="24"/>
        </w:rPr>
        <w:footnoteReference w:id="11"/>
      </w:r>
      <w:r w:rsidRPr="008F3531">
        <w:rPr>
          <w:rFonts w:cs="Times New Roman"/>
          <w:szCs w:val="24"/>
        </w:rPr>
        <w:t xml:space="preserve">  Most urban places are located on rivers in the south of the country where land is more suitable for agriculture and where the transport network is denser.  Bamako occupies a central place in the network. </w:t>
      </w:r>
    </w:p>
    <w:p w:rsidR="00382DE6" w:rsidRPr="008F3531" w:rsidRDefault="00382DE6" w:rsidP="00382DE6">
      <w:pPr>
        <w:pStyle w:val="Caption"/>
        <w:spacing w:after="0"/>
        <w:rPr>
          <w:b w:val="0"/>
        </w:rPr>
      </w:pPr>
      <w:bookmarkStart w:id="19" w:name="_Toc390956371"/>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3</w:t>
      </w:r>
      <w:r w:rsidR="00943E46" w:rsidRPr="00E56625">
        <w:rPr>
          <w:noProof/>
        </w:rPr>
        <w:fldChar w:fldCharType="end"/>
      </w:r>
      <w:r w:rsidR="00B15BF9" w:rsidRPr="008F3531">
        <w:rPr>
          <w:b w:val="0"/>
        </w:rPr>
        <w:t xml:space="preserve">: Spatial distribution of urban areas (2009) </w:t>
      </w:r>
      <w:r w:rsidR="00B15BF9" w:rsidRPr="000370E2">
        <w:rPr>
          <w:noProof/>
        </w:rPr>
        <w:drawing>
          <wp:inline distT="0" distB="0" distL="0" distR="0" wp14:anchorId="176A3157" wp14:editId="5FF3A20E">
            <wp:extent cx="5467350" cy="527691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agglomerations_map_draft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68198" cy="5277729"/>
                    </a:xfrm>
                    <a:prstGeom prst="rect">
                      <a:avLst/>
                    </a:prstGeom>
                  </pic:spPr>
                </pic:pic>
              </a:graphicData>
            </a:graphic>
          </wp:inline>
        </w:drawing>
      </w:r>
      <w:bookmarkEnd w:id="19"/>
    </w:p>
    <w:p w:rsidR="00B15BF9" w:rsidRPr="008F3531" w:rsidRDefault="00B15BF9" w:rsidP="00382DE6">
      <w:pPr>
        <w:pStyle w:val="Caption"/>
        <w:spacing w:after="0"/>
        <w:ind w:left="450"/>
        <w:jc w:val="left"/>
        <w:rPr>
          <w:rFonts w:ascii="Times New Roman" w:hAnsi="Times New Roman"/>
        </w:rPr>
      </w:pPr>
      <w:r w:rsidRPr="008F3531">
        <w:rPr>
          <w:rFonts w:ascii="Times New Roman" w:hAnsi="Times New Roman"/>
          <w:b w:val="0"/>
          <w:sz w:val="20"/>
          <w:szCs w:val="20"/>
        </w:rPr>
        <w:t>Source: UN COD-FOD, AICD (2009), INSTAT (1987, 1998 and 2009) and authors’ calculations.</w:t>
      </w:r>
    </w:p>
    <w:p w:rsidR="00382DE6" w:rsidRPr="008F3531" w:rsidRDefault="00382DE6" w:rsidP="00382DE6">
      <w:pPr>
        <w:rPr>
          <w:lang w:val="en-US"/>
        </w:rPr>
      </w:pPr>
    </w:p>
    <w:p w:rsidR="00B15BF9" w:rsidRPr="008F3531" w:rsidRDefault="00B15BF9" w:rsidP="00DC2ACB">
      <w:pPr>
        <w:pStyle w:val="paranumb"/>
        <w:rPr>
          <w:rFonts w:cs="Times New Roman"/>
          <w:szCs w:val="24"/>
        </w:rPr>
      </w:pPr>
      <w:r w:rsidRPr="008F3531">
        <w:rPr>
          <w:rFonts w:cs="Times New Roman"/>
          <w:szCs w:val="24"/>
        </w:rPr>
        <w:t>These 75 towns and cities host 3.9 million inhabitants—out of a population of 14.3 million—whereas the rest—69.5 percent of the population—resides in rural places (Figure 2.4 below).</w:t>
      </w:r>
      <w:r w:rsidRPr="008F3531">
        <w:rPr>
          <w:rStyle w:val="FootnoteReference"/>
          <w:rFonts w:cs="Times New Roman"/>
          <w:szCs w:val="24"/>
        </w:rPr>
        <w:footnoteReference w:id="12"/>
      </w:r>
      <w:r w:rsidRPr="008F3531">
        <w:rPr>
          <w:rFonts w:cs="Times New Roman"/>
          <w:szCs w:val="24"/>
        </w:rPr>
        <w:t xml:space="preserve"> There is a very strong primacy of the capital city. Bamako hosts more than 2.1 million people (15 percent of the population) whereas the three largest cities after Bamako, i.e. Ségou, Sikasso and Kayes only host 166,000, 143,000 and 127,000 people respectively (3 percent of the population).  </w:t>
      </w:r>
    </w:p>
    <w:p w:rsidR="00B15BF9" w:rsidRPr="008F3531" w:rsidRDefault="00382DE6" w:rsidP="00382DE6">
      <w:pPr>
        <w:pStyle w:val="Caption"/>
        <w:rPr>
          <w:b w:val="0"/>
        </w:rPr>
      </w:pPr>
      <w:bookmarkStart w:id="20" w:name="_Toc390956372"/>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4</w:t>
      </w:r>
      <w:r w:rsidR="00943E46" w:rsidRPr="00E56625">
        <w:rPr>
          <w:noProof/>
        </w:rPr>
        <w:fldChar w:fldCharType="end"/>
      </w:r>
      <w:r w:rsidR="00B15BF9" w:rsidRPr="008F3531">
        <w:rPr>
          <w:b w:val="0"/>
        </w:rPr>
        <w:t>: Spatial distribution of the population (2009)</w:t>
      </w:r>
      <w:bookmarkEnd w:id="20"/>
    </w:p>
    <w:p w:rsidR="00B15BF9" w:rsidRPr="00E56625" w:rsidRDefault="00B15BF9" w:rsidP="00382DE6">
      <w:pPr>
        <w:spacing w:after="0"/>
        <w:jc w:val="center"/>
        <w:rPr>
          <w:lang w:val="en-US"/>
        </w:rPr>
      </w:pPr>
      <w:r w:rsidRPr="000370E2">
        <w:rPr>
          <w:noProof/>
          <w:lang w:val="en-US"/>
        </w:rPr>
        <w:drawing>
          <wp:inline distT="0" distB="0" distL="0" distR="0" wp14:anchorId="209CEFEB" wp14:editId="3FACD560">
            <wp:extent cx="6185647" cy="2662518"/>
            <wp:effectExtent l="0" t="0" r="5715" b="508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15BF9" w:rsidRPr="00E56625" w:rsidRDefault="00B15BF9" w:rsidP="00382DE6">
      <w:pPr>
        <w:spacing w:after="240"/>
        <w:rPr>
          <w:sz w:val="20"/>
          <w:szCs w:val="20"/>
          <w:lang w:val="en-US"/>
        </w:rPr>
      </w:pPr>
      <w:r w:rsidRPr="00E56625">
        <w:rPr>
          <w:sz w:val="20"/>
          <w:szCs w:val="20"/>
          <w:lang w:val="en-US"/>
        </w:rPr>
        <w:t>Source: 2009 RGPH. Authors’ calculations.</w:t>
      </w:r>
    </w:p>
    <w:p w:rsidR="00B15BF9" w:rsidRPr="008F3531" w:rsidRDefault="00B15BF9" w:rsidP="00DC2ACB">
      <w:pPr>
        <w:pStyle w:val="paranumb"/>
        <w:rPr>
          <w:rFonts w:cs="Times New Roman"/>
          <w:szCs w:val="24"/>
        </w:rPr>
      </w:pPr>
      <w:r w:rsidRPr="008F3531">
        <w:rPr>
          <w:rFonts w:cs="Times New Roman"/>
          <w:szCs w:val="24"/>
        </w:rPr>
        <w:t xml:space="preserve">With urbanization the size of cities can be expected to increase but the relative size distribution typically remains unchanged. Size distributions are known to be stable over time demonstrating how settlements of different sizes complement one another and how within a country a wide range of city sizes coexist. The size-rank rule associates the population of any city to the population of the largest city, divided by the rank of the city in question within the country’s urban hierarchy. This rank-size rule, discovered in 1913, can be expressed as the rank </w:t>
      </w:r>
      <w:r w:rsidRPr="008F3531">
        <w:rPr>
          <w:rFonts w:cs="Times New Roman"/>
          <w:i/>
          <w:iCs/>
          <w:szCs w:val="24"/>
        </w:rPr>
        <w:t xml:space="preserve">r </w:t>
      </w:r>
      <w:r w:rsidRPr="008F3531">
        <w:rPr>
          <w:rFonts w:cs="Times New Roman"/>
          <w:szCs w:val="24"/>
        </w:rPr>
        <w:t xml:space="preserve">associated with a city of size </w:t>
      </w:r>
      <w:r w:rsidRPr="008F3531">
        <w:rPr>
          <w:rFonts w:cs="Times New Roman"/>
          <w:i/>
          <w:iCs/>
          <w:szCs w:val="24"/>
        </w:rPr>
        <w:t xml:space="preserve">S </w:t>
      </w:r>
      <w:r w:rsidRPr="008F3531">
        <w:rPr>
          <w:rFonts w:cs="Times New Roman"/>
          <w:szCs w:val="24"/>
        </w:rPr>
        <w:t xml:space="preserve">is proportional to </w:t>
      </w:r>
      <w:r w:rsidRPr="008F3531">
        <w:rPr>
          <w:rFonts w:cs="Times New Roman"/>
          <w:i/>
          <w:iCs/>
          <w:szCs w:val="24"/>
        </w:rPr>
        <w:t xml:space="preserve">S </w:t>
      </w:r>
      <w:r w:rsidRPr="008F3531">
        <w:rPr>
          <w:rFonts w:cs="Times New Roman"/>
          <w:szCs w:val="24"/>
        </w:rPr>
        <w:t>to some negative power (World Bank 2009).</w:t>
      </w:r>
      <w:r w:rsidRPr="008F3531">
        <w:rPr>
          <w:rStyle w:val="FootnoteReference"/>
          <w:rFonts w:cs="Times New Roman"/>
          <w:szCs w:val="24"/>
        </w:rPr>
        <w:footnoteReference w:id="13"/>
      </w:r>
      <w:r w:rsidRPr="008F3531">
        <w:rPr>
          <w:rFonts w:cs="Times New Roman"/>
          <w:szCs w:val="24"/>
        </w:rPr>
        <w:t xml:space="preserve"> The rule holds in Mali. Ranking cities from largest to smallest and comparing their sizes with those predicted by the rank rule, one finds a closeness (the scale factor is 0.88 –suggesting a strong dominance of the largest city) and a stable relation over time. </w:t>
      </w:r>
    </w:p>
    <w:p w:rsidR="00B15BF9" w:rsidRPr="008F3531" w:rsidRDefault="00B15BF9" w:rsidP="00DC2ACB">
      <w:pPr>
        <w:pStyle w:val="paranumb"/>
        <w:rPr>
          <w:rFonts w:cs="Times New Roman"/>
          <w:b/>
          <w:szCs w:val="24"/>
        </w:rPr>
      </w:pPr>
      <w:r w:rsidRPr="008F3531">
        <w:rPr>
          <w:rFonts w:cs="Times New Roman"/>
          <w:szCs w:val="24"/>
        </w:rPr>
        <w:t xml:space="preserve">Despite the stability of the relation, the ranking of cities did change over time. Bamako remains by far the largest city but Ségou and Sikasso have switched places: Sikasso took over second place from Ségou in 1998 but lost it in 2009. Kayes remains in fourth rank (Table 2.1). </w:t>
      </w:r>
    </w:p>
    <w:p w:rsidR="002779FA" w:rsidRDefault="002779FA">
      <w:pPr>
        <w:spacing w:line="276" w:lineRule="auto"/>
        <w:rPr>
          <w:rFonts w:ascii="Times New Roman Bold" w:hAnsi="Times New Roman Bold" w:cstheme="minorBidi"/>
          <w:b/>
          <w:bCs/>
          <w:color w:val="000000" w:themeColor="text1"/>
          <w:sz w:val="22"/>
          <w:szCs w:val="18"/>
          <w:lang w:val="en-US"/>
        </w:rPr>
      </w:pPr>
      <w:bookmarkStart w:id="21" w:name="_Toc390956279"/>
      <w:r>
        <w:br w:type="page"/>
      </w:r>
    </w:p>
    <w:p w:rsidR="00B15BF9" w:rsidRPr="008F3531" w:rsidRDefault="00382DE6" w:rsidP="00382DE6">
      <w:pPr>
        <w:pStyle w:val="Caption"/>
        <w:rPr>
          <w:b w:val="0"/>
        </w:rPr>
      </w:pPr>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1</w:t>
      </w:r>
      <w:r w:rsidR="00943E46" w:rsidRPr="00E56625">
        <w:rPr>
          <w:noProof/>
        </w:rPr>
        <w:fldChar w:fldCharType="end"/>
      </w:r>
      <w:r w:rsidR="00B15BF9" w:rsidRPr="008F3531">
        <w:rPr>
          <w:b w:val="0"/>
        </w:rPr>
        <w:t>: City size and city rank (1987, 1998 and 2009)</w:t>
      </w:r>
      <w:bookmarkEnd w:id="21"/>
    </w:p>
    <w:tbl>
      <w:tblPr>
        <w:tblW w:w="5000" w:type="pct"/>
        <w:tblLook w:val="04A0" w:firstRow="1" w:lastRow="0" w:firstColumn="1" w:lastColumn="0" w:noHBand="0" w:noVBand="1"/>
      </w:tblPr>
      <w:tblGrid>
        <w:gridCol w:w="1107"/>
        <w:gridCol w:w="1511"/>
        <w:gridCol w:w="1511"/>
        <w:gridCol w:w="1511"/>
        <w:gridCol w:w="1511"/>
        <w:gridCol w:w="1106"/>
        <w:gridCol w:w="1103"/>
      </w:tblGrid>
      <w:tr w:rsidR="00B15BF9" w:rsidRPr="008F3531" w:rsidTr="00E96123">
        <w:trPr>
          <w:trHeight w:val="300"/>
        </w:trPr>
        <w:tc>
          <w:tcPr>
            <w:tcW w:w="592" w:type="pct"/>
            <w:tcBorders>
              <w:top w:val="single" w:sz="4" w:space="0" w:color="auto"/>
              <w:left w:val="nil"/>
              <w:bottom w:val="single" w:sz="4" w:space="0" w:color="auto"/>
              <w:right w:val="nil"/>
            </w:tcBorders>
            <w:shd w:val="clear" w:color="auto" w:fill="auto"/>
            <w:noWrap/>
            <w:hideMark/>
          </w:tcPr>
          <w:p w:rsidR="00B15BF9" w:rsidRPr="00E56625" w:rsidRDefault="00B15BF9" w:rsidP="00382DE6">
            <w:pPr>
              <w:spacing w:after="0"/>
              <w:jc w:val="center"/>
              <w:rPr>
                <w:rFonts w:eastAsia="Times New Roman"/>
                <w:b/>
                <w:color w:val="000000"/>
                <w:sz w:val="20"/>
                <w:szCs w:val="20"/>
                <w:lang w:val="en-US"/>
              </w:rPr>
            </w:pPr>
            <w:r w:rsidRPr="00E56625">
              <w:rPr>
                <w:rFonts w:eastAsia="Times New Roman"/>
                <w:b/>
                <w:color w:val="000000"/>
                <w:sz w:val="20"/>
                <w:szCs w:val="20"/>
                <w:lang w:val="en-US"/>
              </w:rPr>
              <w:t>City rank</w:t>
            </w:r>
          </w:p>
          <w:p w:rsidR="00B15BF9" w:rsidRPr="00E56625" w:rsidRDefault="00B15BF9" w:rsidP="00382DE6">
            <w:pPr>
              <w:spacing w:after="0"/>
              <w:jc w:val="center"/>
              <w:rPr>
                <w:rFonts w:eastAsia="Times New Roman"/>
                <w:b/>
                <w:color w:val="000000"/>
                <w:sz w:val="20"/>
                <w:szCs w:val="20"/>
                <w:lang w:val="en-US"/>
              </w:rPr>
            </w:pPr>
          </w:p>
        </w:tc>
        <w:tc>
          <w:tcPr>
            <w:tcW w:w="807" w:type="pct"/>
            <w:tcBorders>
              <w:top w:val="single" w:sz="4" w:space="0" w:color="auto"/>
              <w:left w:val="nil"/>
              <w:bottom w:val="single" w:sz="4" w:space="0" w:color="auto"/>
              <w:right w:val="nil"/>
            </w:tcBorders>
          </w:tcPr>
          <w:p w:rsidR="00B15BF9" w:rsidRPr="00E56625" w:rsidRDefault="00B15BF9" w:rsidP="00382DE6">
            <w:pPr>
              <w:spacing w:after="0"/>
              <w:jc w:val="center"/>
              <w:rPr>
                <w:rFonts w:eastAsia="Times New Roman"/>
                <w:b/>
                <w:color w:val="000000"/>
                <w:sz w:val="20"/>
                <w:szCs w:val="20"/>
                <w:lang w:val="en-US"/>
              </w:rPr>
            </w:pPr>
          </w:p>
        </w:tc>
        <w:tc>
          <w:tcPr>
            <w:tcW w:w="807" w:type="pct"/>
            <w:tcBorders>
              <w:top w:val="single" w:sz="4" w:space="0" w:color="auto"/>
              <w:left w:val="nil"/>
              <w:bottom w:val="single" w:sz="4" w:space="0" w:color="auto"/>
              <w:right w:val="nil"/>
            </w:tcBorders>
          </w:tcPr>
          <w:p w:rsidR="00B15BF9" w:rsidRPr="00E56625" w:rsidRDefault="00B15BF9" w:rsidP="00382DE6">
            <w:pPr>
              <w:spacing w:after="0"/>
              <w:jc w:val="center"/>
              <w:rPr>
                <w:rFonts w:eastAsia="Times New Roman"/>
                <w:b/>
                <w:color w:val="000000"/>
                <w:sz w:val="20"/>
                <w:szCs w:val="20"/>
                <w:lang w:val="en-US"/>
              </w:rPr>
            </w:pPr>
            <w:r w:rsidRPr="00E56625">
              <w:rPr>
                <w:rFonts w:eastAsia="Times New Roman"/>
                <w:b/>
                <w:color w:val="000000"/>
                <w:sz w:val="20"/>
                <w:szCs w:val="20"/>
                <w:lang w:val="en-US"/>
              </w:rPr>
              <w:t>City size</w:t>
            </w:r>
          </w:p>
          <w:p w:rsidR="00B15BF9" w:rsidRPr="00E56625" w:rsidRDefault="00B15BF9" w:rsidP="00382DE6">
            <w:pPr>
              <w:spacing w:after="0"/>
              <w:jc w:val="center"/>
              <w:rPr>
                <w:rFonts w:eastAsia="Times New Roman"/>
                <w:b/>
                <w:color w:val="000000"/>
                <w:sz w:val="20"/>
                <w:szCs w:val="20"/>
                <w:lang w:val="en-US"/>
              </w:rPr>
            </w:pPr>
            <w:r w:rsidRPr="00E56625">
              <w:rPr>
                <w:rFonts w:eastAsia="Times New Roman"/>
                <w:b/>
                <w:color w:val="000000"/>
                <w:sz w:val="20"/>
                <w:szCs w:val="20"/>
                <w:lang w:val="en-US"/>
              </w:rPr>
              <w:t>1987</w:t>
            </w:r>
          </w:p>
        </w:tc>
        <w:tc>
          <w:tcPr>
            <w:tcW w:w="807" w:type="pct"/>
            <w:tcBorders>
              <w:top w:val="single" w:sz="4" w:space="0" w:color="auto"/>
              <w:left w:val="nil"/>
              <w:bottom w:val="single" w:sz="4" w:space="0" w:color="auto"/>
              <w:right w:val="nil"/>
            </w:tcBorders>
          </w:tcPr>
          <w:p w:rsidR="00B15BF9" w:rsidRPr="00E56625" w:rsidRDefault="00B15BF9" w:rsidP="00382DE6">
            <w:pPr>
              <w:spacing w:after="0"/>
              <w:jc w:val="center"/>
              <w:rPr>
                <w:rFonts w:eastAsia="Times New Roman"/>
                <w:b/>
                <w:color w:val="000000"/>
                <w:sz w:val="20"/>
                <w:szCs w:val="20"/>
                <w:lang w:val="en-US"/>
              </w:rPr>
            </w:pPr>
          </w:p>
        </w:tc>
        <w:tc>
          <w:tcPr>
            <w:tcW w:w="807" w:type="pct"/>
            <w:tcBorders>
              <w:top w:val="single" w:sz="4" w:space="0" w:color="auto"/>
              <w:left w:val="nil"/>
              <w:bottom w:val="single" w:sz="4" w:space="0" w:color="auto"/>
              <w:right w:val="nil"/>
            </w:tcBorders>
            <w:shd w:val="clear" w:color="auto" w:fill="auto"/>
            <w:noWrap/>
            <w:hideMark/>
          </w:tcPr>
          <w:p w:rsidR="00B15BF9" w:rsidRPr="00E56625" w:rsidRDefault="00B15BF9" w:rsidP="00382DE6">
            <w:pPr>
              <w:spacing w:after="0"/>
              <w:jc w:val="center"/>
              <w:rPr>
                <w:rFonts w:eastAsia="Times New Roman"/>
                <w:b/>
                <w:color w:val="000000"/>
                <w:sz w:val="20"/>
                <w:szCs w:val="20"/>
                <w:lang w:val="en-US"/>
              </w:rPr>
            </w:pPr>
            <w:r w:rsidRPr="00E56625">
              <w:rPr>
                <w:rFonts w:eastAsia="Times New Roman"/>
                <w:b/>
                <w:color w:val="000000"/>
                <w:sz w:val="20"/>
                <w:szCs w:val="20"/>
                <w:lang w:val="en-US"/>
              </w:rPr>
              <w:t>City size</w:t>
            </w:r>
          </w:p>
          <w:p w:rsidR="00B15BF9" w:rsidRPr="00E56625" w:rsidRDefault="00B15BF9" w:rsidP="00382DE6">
            <w:pPr>
              <w:spacing w:after="0"/>
              <w:jc w:val="center"/>
              <w:rPr>
                <w:rFonts w:eastAsia="Times New Roman"/>
                <w:b/>
                <w:color w:val="000000"/>
                <w:sz w:val="20"/>
                <w:szCs w:val="20"/>
                <w:lang w:val="en-US"/>
              </w:rPr>
            </w:pPr>
            <w:r w:rsidRPr="00E56625">
              <w:rPr>
                <w:rFonts w:eastAsia="Times New Roman"/>
                <w:b/>
                <w:color w:val="000000"/>
                <w:sz w:val="20"/>
                <w:szCs w:val="20"/>
                <w:lang w:val="en-US"/>
              </w:rPr>
              <w:t xml:space="preserve">1998 </w:t>
            </w:r>
          </w:p>
        </w:tc>
        <w:tc>
          <w:tcPr>
            <w:tcW w:w="591" w:type="pct"/>
            <w:tcBorders>
              <w:top w:val="single" w:sz="4" w:space="0" w:color="auto"/>
              <w:left w:val="nil"/>
              <w:bottom w:val="single" w:sz="4" w:space="0" w:color="auto"/>
              <w:right w:val="nil"/>
            </w:tcBorders>
            <w:shd w:val="clear" w:color="auto" w:fill="auto"/>
            <w:noWrap/>
            <w:hideMark/>
          </w:tcPr>
          <w:p w:rsidR="00B15BF9" w:rsidRPr="00E56625" w:rsidRDefault="00B15BF9" w:rsidP="00382DE6">
            <w:pPr>
              <w:spacing w:after="0"/>
              <w:jc w:val="center"/>
              <w:rPr>
                <w:rFonts w:eastAsia="Times New Roman"/>
                <w:b/>
                <w:color w:val="000000"/>
                <w:sz w:val="20"/>
                <w:szCs w:val="20"/>
                <w:lang w:val="en-US"/>
              </w:rPr>
            </w:pPr>
          </w:p>
        </w:tc>
        <w:tc>
          <w:tcPr>
            <w:tcW w:w="589" w:type="pct"/>
            <w:tcBorders>
              <w:top w:val="single" w:sz="4" w:space="0" w:color="auto"/>
              <w:left w:val="nil"/>
              <w:bottom w:val="single" w:sz="4" w:space="0" w:color="auto"/>
              <w:right w:val="nil"/>
            </w:tcBorders>
            <w:shd w:val="clear" w:color="auto" w:fill="auto"/>
            <w:noWrap/>
            <w:hideMark/>
          </w:tcPr>
          <w:p w:rsidR="00B15BF9" w:rsidRPr="00E56625" w:rsidRDefault="00B15BF9" w:rsidP="00382DE6">
            <w:pPr>
              <w:spacing w:after="0"/>
              <w:jc w:val="center"/>
              <w:rPr>
                <w:rFonts w:eastAsia="Times New Roman"/>
                <w:b/>
                <w:color w:val="000000"/>
                <w:sz w:val="20"/>
                <w:szCs w:val="20"/>
                <w:lang w:val="en-US"/>
              </w:rPr>
            </w:pPr>
            <w:r w:rsidRPr="00E56625">
              <w:rPr>
                <w:rFonts w:eastAsia="Times New Roman"/>
                <w:b/>
                <w:color w:val="000000"/>
                <w:sz w:val="20"/>
                <w:szCs w:val="20"/>
                <w:lang w:val="en-US"/>
              </w:rPr>
              <w:t>City size</w:t>
            </w:r>
          </w:p>
          <w:p w:rsidR="00B15BF9" w:rsidRPr="00E56625" w:rsidRDefault="00B15BF9" w:rsidP="00382DE6">
            <w:pPr>
              <w:spacing w:after="0"/>
              <w:jc w:val="center"/>
              <w:rPr>
                <w:rFonts w:eastAsia="Times New Roman"/>
                <w:b/>
                <w:color w:val="000000"/>
                <w:sz w:val="20"/>
                <w:szCs w:val="20"/>
                <w:lang w:val="en-US"/>
              </w:rPr>
            </w:pPr>
            <w:r w:rsidRPr="00E56625">
              <w:rPr>
                <w:rFonts w:eastAsia="Times New Roman"/>
                <w:b/>
                <w:color w:val="000000"/>
                <w:sz w:val="20"/>
                <w:szCs w:val="20"/>
                <w:lang w:val="en-US"/>
              </w:rPr>
              <w:t>2009</w:t>
            </w:r>
          </w:p>
        </w:tc>
      </w:tr>
      <w:tr w:rsidR="00B15BF9" w:rsidRPr="008F3531" w:rsidTr="00E96123">
        <w:trPr>
          <w:trHeight w:val="300"/>
        </w:trPr>
        <w:tc>
          <w:tcPr>
            <w:tcW w:w="592" w:type="pct"/>
            <w:tcBorders>
              <w:top w:val="single" w:sz="4" w:space="0" w:color="auto"/>
              <w:left w:val="nil"/>
              <w:bottom w:val="nil"/>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807" w:type="pct"/>
            <w:tcBorders>
              <w:top w:val="single" w:sz="4" w:space="0" w:color="auto"/>
              <w:left w:val="nil"/>
              <w:bottom w:val="nil"/>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807" w:type="pct"/>
            <w:tcBorders>
              <w:top w:val="single" w:sz="4" w:space="0" w:color="auto"/>
              <w:left w:val="nil"/>
              <w:bottom w:val="nil"/>
              <w:right w:val="nil"/>
            </w:tcBorders>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757,051</w:t>
            </w:r>
          </w:p>
        </w:tc>
        <w:tc>
          <w:tcPr>
            <w:tcW w:w="807" w:type="pct"/>
            <w:tcBorders>
              <w:top w:val="single" w:sz="4" w:space="0" w:color="auto"/>
              <w:left w:val="nil"/>
              <w:bottom w:val="nil"/>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807" w:type="pct"/>
            <w:tcBorders>
              <w:top w:val="single" w:sz="4" w:space="0" w:color="auto"/>
              <w:left w:val="nil"/>
              <w:bottom w:val="nil"/>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1,132,886</w:t>
            </w:r>
          </w:p>
        </w:tc>
        <w:tc>
          <w:tcPr>
            <w:tcW w:w="591" w:type="pct"/>
            <w:tcBorders>
              <w:top w:val="single" w:sz="4" w:space="0" w:color="auto"/>
              <w:left w:val="nil"/>
              <w:bottom w:val="nil"/>
              <w:right w:val="nil"/>
            </w:tcBorders>
            <w:shd w:val="clear" w:color="auto" w:fill="auto"/>
            <w:noWrap/>
            <w:vAlign w:val="center"/>
            <w:hideMark/>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589" w:type="pct"/>
            <w:tcBorders>
              <w:top w:val="single" w:sz="4" w:space="0" w:color="auto"/>
              <w:left w:val="nil"/>
              <w:bottom w:val="nil"/>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2,156,177</w:t>
            </w:r>
          </w:p>
        </w:tc>
      </w:tr>
      <w:tr w:rsidR="00B15BF9" w:rsidRPr="008F3531" w:rsidTr="00E96123">
        <w:trPr>
          <w:trHeight w:val="300"/>
        </w:trPr>
        <w:tc>
          <w:tcPr>
            <w:tcW w:w="592" w:type="pct"/>
            <w:tcBorders>
              <w:top w:val="nil"/>
              <w:left w:val="nil"/>
              <w:bottom w:val="nil"/>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807" w:type="pct"/>
            <w:tcBorders>
              <w:top w:val="nil"/>
              <w:left w:val="nil"/>
              <w:bottom w:val="nil"/>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Ségou</w:t>
            </w:r>
          </w:p>
        </w:tc>
        <w:tc>
          <w:tcPr>
            <w:tcW w:w="807" w:type="pct"/>
            <w:tcBorders>
              <w:top w:val="nil"/>
              <w:left w:val="nil"/>
              <w:bottom w:val="nil"/>
              <w:right w:val="nil"/>
            </w:tcBorders>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88,714</w:t>
            </w:r>
          </w:p>
        </w:tc>
        <w:tc>
          <w:tcPr>
            <w:tcW w:w="807" w:type="pct"/>
            <w:tcBorders>
              <w:top w:val="nil"/>
              <w:left w:val="nil"/>
              <w:bottom w:val="nil"/>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807" w:type="pct"/>
            <w:tcBorders>
              <w:top w:val="nil"/>
              <w:left w:val="nil"/>
              <w:bottom w:val="nil"/>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109,570</w:t>
            </w:r>
          </w:p>
        </w:tc>
        <w:tc>
          <w:tcPr>
            <w:tcW w:w="591" w:type="pct"/>
            <w:tcBorders>
              <w:top w:val="nil"/>
              <w:left w:val="nil"/>
              <w:bottom w:val="nil"/>
              <w:right w:val="nil"/>
            </w:tcBorders>
            <w:shd w:val="clear" w:color="auto" w:fill="auto"/>
            <w:noWrap/>
            <w:vAlign w:val="center"/>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Ségou</w:t>
            </w:r>
          </w:p>
        </w:tc>
        <w:tc>
          <w:tcPr>
            <w:tcW w:w="589" w:type="pct"/>
            <w:tcBorders>
              <w:top w:val="nil"/>
              <w:left w:val="nil"/>
              <w:bottom w:val="nil"/>
              <w:right w:val="nil"/>
            </w:tcBorders>
            <w:shd w:val="clear" w:color="auto" w:fill="auto"/>
            <w:noWrap/>
            <w:vAlign w:val="center"/>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166,128</w:t>
            </w:r>
          </w:p>
        </w:tc>
      </w:tr>
      <w:tr w:rsidR="00B15BF9" w:rsidRPr="008F3531" w:rsidTr="00E96123">
        <w:trPr>
          <w:trHeight w:val="300"/>
        </w:trPr>
        <w:tc>
          <w:tcPr>
            <w:tcW w:w="592" w:type="pct"/>
            <w:tcBorders>
              <w:top w:val="nil"/>
              <w:left w:val="nil"/>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3</w:t>
            </w:r>
          </w:p>
        </w:tc>
        <w:tc>
          <w:tcPr>
            <w:tcW w:w="807" w:type="pct"/>
            <w:tcBorders>
              <w:top w:val="nil"/>
              <w:left w:val="nil"/>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807" w:type="pct"/>
            <w:tcBorders>
              <w:top w:val="nil"/>
              <w:left w:val="nil"/>
              <w:right w:val="nil"/>
            </w:tcBorders>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69,840</w:t>
            </w:r>
          </w:p>
        </w:tc>
        <w:tc>
          <w:tcPr>
            <w:tcW w:w="807" w:type="pct"/>
            <w:tcBorders>
              <w:top w:val="nil"/>
              <w:left w:val="nil"/>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Ségou</w:t>
            </w:r>
          </w:p>
        </w:tc>
        <w:tc>
          <w:tcPr>
            <w:tcW w:w="807" w:type="pct"/>
            <w:tcBorders>
              <w:top w:val="nil"/>
              <w:left w:val="nil"/>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91,882</w:t>
            </w:r>
          </w:p>
        </w:tc>
        <w:tc>
          <w:tcPr>
            <w:tcW w:w="591" w:type="pct"/>
            <w:tcBorders>
              <w:top w:val="nil"/>
              <w:left w:val="nil"/>
              <w:right w:val="nil"/>
            </w:tcBorders>
            <w:shd w:val="clear" w:color="auto" w:fill="auto"/>
            <w:noWrap/>
            <w:vAlign w:val="center"/>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589" w:type="pct"/>
            <w:tcBorders>
              <w:top w:val="nil"/>
              <w:left w:val="nil"/>
              <w:right w:val="nil"/>
            </w:tcBorders>
            <w:shd w:val="clear" w:color="auto" w:fill="auto"/>
            <w:noWrap/>
            <w:vAlign w:val="center"/>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143,231</w:t>
            </w:r>
          </w:p>
        </w:tc>
      </w:tr>
      <w:tr w:rsidR="00B15BF9" w:rsidRPr="008F3531" w:rsidTr="00E96123">
        <w:trPr>
          <w:trHeight w:val="300"/>
        </w:trPr>
        <w:tc>
          <w:tcPr>
            <w:tcW w:w="592" w:type="pct"/>
            <w:tcBorders>
              <w:top w:val="nil"/>
              <w:left w:val="nil"/>
              <w:bottom w:val="single" w:sz="4" w:space="0" w:color="auto"/>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807" w:type="pct"/>
            <w:tcBorders>
              <w:top w:val="nil"/>
              <w:left w:val="nil"/>
              <w:bottom w:val="single" w:sz="4" w:space="0" w:color="auto"/>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807" w:type="pct"/>
            <w:tcBorders>
              <w:top w:val="nil"/>
              <w:left w:val="nil"/>
              <w:bottom w:val="single" w:sz="4" w:space="0" w:color="auto"/>
              <w:right w:val="nil"/>
            </w:tcBorders>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58,720</w:t>
            </w:r>
          </w:p>
        </w:tc>
        <w:tc>
          <w:tcPr>
            <w:tcW w:w="807" w:type="pct"/>
            <w:tcBorders>
              <w:top w:val="nil"/>
              <w:left w:val="nil"/>
              <w:bottom w:val="single" w:sz="4" w:space="0" w:color="auto"/>
              <w:right w:val="nil"/>
            </w:tcBorders>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807" w:type="pct"/>
            <w:tcBorders>
              <w:top w:val="nil"/>
              <w:left w:val="nil"/>
              <w:bottom w:val="single" w:sz="4" w:space="0" w:color="auto"/>
              <w:right w:val="nil"/>
            </w:tcBorders>
            <w:shd w:val="clear" w:color="auto" w:fill="auto"/>
            <w:noWrap/>
            <w:vAlign w:val="center"/>
            <w:hideMark/>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71,897</w:t>
            </w:r>
          </w:p>
        </w:tc>
        <w:tc>
          <w:tcPr>
            <w:tcW w:w="591" w:type="pct"/>
            <w:tcBorders>
              <w:top w:val="nil"/>
              <w:left w:val="nil"/>
              <w:bottom w:val="single" w:sz="4" w:space="0" w:color="auto"/>
              <w:right w:val="nil"/>
            </w:tcBorders>
            <w:shd w:val="clear" w:color="auto" w:fill="auto"/>
            <w:noWrap/>
            <w:vAlign w:val="center"/>
          </w:tcPr>
          <w:p w:rsidR="00B15BF9" w:rsidRPr="00E56625" w:rsidRDefault="00B15BF9" w:rsidP="0089225D">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589" w:type="pct"/>
            <w:tcBorders>
              <w:top w:val="nil"/>
              <w:left w:val="nil"/>
              <w:bottom w:val="single" w:sz="4" w:space="0" w:color="auto"/>
              <w:right w:val="nil"/>
            </w:tcBorders>
            <w:shd w:val="clear" w:color="auto" w:fill="auto"/>
            <w:noWrap/>
            <w:vAlign w:val="center"/>
          </w:tcPr>
          <w:p w:rsidR="00B15BF9" w:rsidRPr="00E56625" w:rsidRDefault="00B15BF9" w:rsidP="00382DE6">
            <w:pPr>
              <w:spacing w:after="0"/>
              <w:jc w:val="center"/>
              <w:rPr>
                <w:rFonts w:eastAsia="Times New Roman"/>
                <w:color w:val="000000"/>
                <w:sz w:val="20"/>
                <w:szCs w:val="20"/>
                <w:lang w:val="en-US"/>
              </w:rPr>
            </w:pPr>
            <w:r w:rsidRPr="00E56625">
              <w:rPr>
                <w:rFonts w:eastAsia="Times New Roman"/>
                <w:color w:val="000000"/>
                <w:sz w:val="20"/>
                <w:szCs w:val="20"/>
                <w:lang w:val="en-US"/>
              </w:rPr>
              <w:t>127,473</w:t>
            </w:r>
          </w:p>
        </w:tc>
      </w:tr>
    </w:tbl>
    <w:p w:rsidR="00B15BF9" w:rsidRPr="00E56625" w:rsidRDefault="00B15BF9" w:rsidP="00382DE6">
      <w:pPr>
        <w:spacing w:after="240"/>
        <w:jc w:val="both"/>
        <w:rPr>
          <w:sz w:val="20"/>
          <w:szCs w:val="20"/>
          <w:lang w:val="en-US"/>
        </w:rPr>
      </w:pPr>
      <w:r w:rsidRPr="00E56625">
        <w:rPr>
          <w:sz w:val="20"/>
          <w:szCs w:val="20"/>
          <w:lang w:val="en-US"/>
        </w:rPr>
        <w:t xml:space="preserve">Source: RGPH for 1998 </w:t>
      </w:r>
      <w:r w:rsidR="00BD008B" w:rsidRPr="00E56625">
        <w:rPr>
          <w:sz w:val="20"/>
          <w:szCs w:val="20"/>
          <w:lang w:val="en-US"/>
        </w:rPr>
        <w:t>and 2009, authors’ calculations.</w:t>
      </w:r>
    </w:p>
    <w:p w:rsidR="00B15BF9" w:rsidRPr="008F3531" w:rsidRDefault="00B15BF9" w:rsidP="00DC2ACB">
      <w:pPr>
        <w:pStyle w:val="paranumb"/>
        <w:rPr>
          <w:rFonts w:cs="Times New Roman"/>
          <w:szCs w:val="24"/>
        </w:rPr>
      </w:pPr>
      <w:r w:rsidRPr="008F3531">
        <w:rPr>
          <w:rFonts w:cs="Times New Roman"/>
          <w:szCs w:val="24"/>
        </w:rPr>
        <w:t>Disproportionate primacy of the capital city is often a characteristic of developing economies (Glaeser and Ades, 1994)</w:t>
      </w:r>
      <w:r w:rsidR="00891958" w:rsidRPr="008F3531">
        <w:rPr>
          <w:rFonts w:cs="Times New Roman"/>
          <w:szCs w:val="24"/>
        </w:rPr>
        <w:t>.</w:t>
      </w:r>
      <w:r w:rsidRPr="008F3531">
        <w:rPr>
          <w:rStyle w:val="FootnoteReference"/>
          <w:rFonts w:cs="Times New Roman"/>
          <w:szCs w:val="24"/>
        </w:rPr>
        <w:footnoteReference w:id="14"/>
      </w:r>
      <w:r w:rsidRPr="008F3531">
        <w:rPr>
          <w:rFonts w:cs="Times New Roman"/>
          <w:szCs w:val="24"/>
        </w:rPr>
        <w:t xml:space="preserve"> There can be various reasons for such primacy (see Overman and Venables, 2005)</w:t>
      </w:r>
      <w:r w:rsidR="00891958" w:rsidRPr="008F3531">
        <w:rPr>
          <w:rFonts w:cs="Times New Roman"/>
          <w:szCs w:val="24"/>
        </w:rPr>
        <w:t>;</w:t>
      </w:r>
      <w:r w:rsidRPr="008F3531">
        <w:rPr>
          <w:rStyle w:val="FootnoteReference"/>
          <w:rFonts w:cs="Times New Roman"/>
          <w:szCs w:val="24"/>
        </w:rPr>
        <w:footnoteReference w:id="15"/>
      </w:r>
      <w:r w:rsidRPr="008F3531">
        <w:rPr>
          <w:rFonts w:cs="Times New Roman"/>
          <w:szCs w:val="24"/>
        </w:rPr>
        <w:t xml:space="preserve"> we suspect that the main ones explaining the lack of specialization of cities and the dominance of Bamako have to do with the centralization of political power, long distances between cities, the poor quality of the intercity transport and communication network contributing to high communication and transport cost. </w:t>
      </w:r>
    </w:p>
    <w:p w:rsidR="00B15BF9" w:rsidRPr="00E56625" w:rsidRDefault="00B15BF9" w:rsidP="004A281C">
      <w:pPr>
        <w:pStyle w:val="Heading2"/>
        <w:numPr>
          <w:ilvl w:val="0"/>
          <w:numId w:val="6"/>
        </w:numPr>
        <w:tabs>
          <w:tab w:val="left" w:pos="360"/>
        </w:tabs>
        <w:spacing w:before="0"/>
        <w:ind w:left="0" w:firstLine="0"/>
        <w:rPr>
          <w:rFonts w:ascii="Times New Roman Bold" w:hAnsi="Times New Roman Bold" w:cs="Times New Roman"/>
          <w:color w:val="000000" w:themeColor="text1"/>
          <w:sz w:val="22"/>
          <w:szCs w:val="22"/>
          <w:lang w:val="en-US"/>
        </w:rPr>
      </w:pPr>
      <w:bookmarkStart w:id="22" w:name="_Toc419468535"/>
      <w:r w:rsidRPr="00E56625">
        <w:rPr>
          <w:rFonts w:ascii="Times New Roman Bold" w:hAnsi="Times New Roman Bold" w:cs="Times New Roman"/>
          <w:color w:val="000000" w:themeColor="text1"/>
          <w:sz w:val="22"/>
          <w:szCs w:val="22"/>
          <w:lang w:val="en-US"/>
        </w:rPr>
        <w:t>Population Characteristics</w:t>
      </w:r>
      <w:bookmarkEnd w:id="22"/>
    </w:p>
    <w:p w:rsidR="00B15BF9" w:rsidRPr="008F3531" w:rsidRDefault="00B15BF9" w:rsidP="00DC2ACB">
      <w:pPr>
        <w:pStyle w:val="paranumb"/>
        <w:rPr>
          <w:rFonts w:cs="Times New Roman"/>
          <w:szCs w:val="24"/>
        </w:rPr>
      </w:pPr>
      <w:r w:rsidRPr="008F3531">
        <w:rPr>
          <w:rFonts w:cs="Times New Roman"/>
          <w:szCs w:val="24"/>
        </w:rPr>
        <w:t>Interestingly, and unexpectedly, we find that demographic characteristics are not very different between rural and urban areas. The average proportion of children in villages, for instance,</w:t>
      </w:r>
      <w:r w:rsidR="000761A0" w:rsidRPr="008F3531">
        <w:rPr>
          <w:rFonts w:cs="Times New Roman"/>
          <w:szCs w:val="24"/>
        </w:rPr>
        <w:t xml:space="preserve"> </w:t>
      </w:r>
      <w:r w:rsidRPr="008F3531">
        <w:rPr>
          <w:rFonts w:cs="Times New Roman"/>
          <w:szCs w:val="24"/>
        </w:rPr>
        <w:t>in towns (with a population below 30,000 inhabitants) and in cities (with a population larger than 30,000) stands at 48.4 percent, 45.5 percent and 43.6 percent respectively in 2009 (see Annex</w:t>
      </w:r>
      <w:r w:rsidR="000761A0" w:rsidRPr="008F3531">
        <w:rPr>
          <w:rFonts w:cs="Times New Roman"/>
          <w:szCs w:val="24"/>
        </w:rPr>
        <w:t>, Table</w:t>
      </w:r>
      <w:r w:rsidR="000A310E" w:rsidRPr="008F3531">
        <w:rPr>
          <w:rFonts w:cs="Times New Roman"/>
          <w:szCs w:val="24"/>
        </w:rPr>
        <w:t xml:space="preserve"> </w:t>
      </w:r>
      <w:r w:rsidRPr="008F3531">
        <w:rPr>
          <w:rFonts w:cs="Times New Roman"/>
          <w:szCs w:val="24"/>
        </w:rPr>
        <w:t>3).</w:t>
      </w:r>
      <w:r w:rsidRPr="008F3531">
        <w:rPr>
          <w:rStyle w:val="FootnoteReference"/>
          <w:rFonts w:cs="Times New Roman"/>
          <w:szCs w:val="24"/>
        </w:rPr>
        <w:footnoteReference w:id="16"/>
      </w:r>
      <w:r w:rsidRPr="008F3531">
        <w:rPr>
          <w:rFonts w:cs="Times New Roman"/>
          <w:szCs w:val="24"/>
        </w:rPr>
        <w:t xml:space="preserve">  It is only in the two biggest cities (Ségou and Bamako) where the proportion of children falls below 40 percent (with 39.3 percent in Ségou and 38.9 percent in Bamako).</w:t>
      </w:r>
      <w:r w:rsidRPr="008F3531">
        <w:rPr>
          <w:rStyle w:val="FootnoteReference"/>
          <w:rFonts w:cs="Times New Roman"/>
          <w:szCs w:val="24"/>
        </w:rPr>
        <w:footnoteReference w:id="17"/>
      </w:r>
      <w:r w:rsidRPr="008F3531">
        <w:rPr>
          <w:rFonts w:cs="Times New Roman"/>
          <w:szCs w:val="24"/>
        </w:rPr>
        <w:t xml:space="preserve"> </w:t>
      </w:r>
    </w:p>
    <w:p w:rsidR="00B15BF9" w:rsidRPr="008F3531" w:rsidRDefault="00B15BF9" w:rsidP="00DC2ACB">
      <w:pPr>
        <w:pStyle w:val="paranumb"/>
        <w:rPr>
          <w:rFonts w:cs="Times New Roman"/>
          <w:szCs w:val="24"/>
        </w:rPr>
      </w:pPr>
      <w:r w:rsidRPr="008F3531">
        <w:rPr>
          <w:rFonts w:cs="Times New Roman"/>
          <w:szCs w:val="24"/>
        </w:rPr>
        <w:t xml:space="preserve">Average household size remains very high throughout Mali. Remarkably, as Table 2.2 demonstrates household size increases with the degree of urbanization. Average household size is 8.1 in villages, between 8.7 and 8.9 in towns and more than 9 in the largest cities.  This is explained by the fact that urban households are more likely to accommodate extended family members than rural households: although the average proportion of extended family members in rural households is already high at 39.7 percent, it reaches about 50.0 percent in cities.  This difference is partially due to the presence of students and adults looking for jobs in medium sized cities and in Bamako (as illustrated by the economic dependency ratios and the proportions of student household members in Table 2.2). </w:t>
      </w:r>
    </w:p>
    <w:p w:rsidR="00B15BF9" w:rsidRPr="008F3531" w:rsidRDefault="00B15BF9" w:rsidP="00DC2ACB">
      <w:pPr>
        <w:pStyle w:val="paranumb"/>
        <w:rPr>
          <w:rFonts w:cs="Times New Roman"/>
          <w:szCs w:val="24"/>
        </w:rPr>
      </w:pPr>
      <w:r w:rsidRPr="008F3531">
        <w:rPr>
          <w:rFonts w:cs="Times New Roman"/>
          <w:szCs w:val="24"/>
        </w:rPr>
        <w:t xml:space="preserve">Both push factors such as poor living conditions, weather, insecurity or other shocks and limited economic opportunities in rural areas as well as pull factors may explain why so many migrate to urban areas. In view of our spatial analysis of economic activities (see the next section), we suspect that push factors are more likely to be the main determinant of migration. But pull factors, those associated to the relatively greater access to public infrastructure (secondary schools, electricity, hospitals), or the chance to land a well-paid formal sector job explain part of the attractiveness of urban areas (see Table 2.4). </w:t>
      </w:r>
    </w:p>
    <w:p w:rsidR="00B15BF9" w:rsidRPr="008F3531" w:rsidRDefault="00382DE6" w:rsidP="00382DE6">
      <w:pPr>
        <w:pStyle w:val="Caption"/>
        <w:rPr>
          <w:b w:val="0"/>
        </w:rPr>
      </w:pPr>
      <w:bookmarkStart w:id="23" w:name="_Toc390956280"/>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2</w:t>
      </w:r>
      <w:r w:rsidR="00943E46" w:rsidRPr="00E56625">
        <w:rPr>
          <w:noProof/>
        </w:rPr>
        <w:fldChar w:fldCharType="end"/>
      </w:r>
      <w:r w:rsidR="00B15BF9" w:rsidRPr="008F3531">
        <w:rPr>
          <w:b w:val="0"/>
        </w:rPr>
        <w:t>: Household characteristics by agglomeration type</w:t>
      </w:r>
      <w:bookmarkEnd w:id="23"/>
    </w:p>
    <w:tbl>
      <w:tblPr>
        <w:tblStyle w:val="TableGrid"/>
        <w:tblW w:w="4991"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9"/>
        <w:gridCol w:w="1231"/>
        <w:gridCol w:w="1403"/>
        <w:gridCol w:w="1319"/>
        <w:gridCol w:w="1317"/>
        <w:gridCol w:w="1144"/>
      </w:tblGrid>
      <w:tr w:rsidR="00B15BF9" w:rsidRPr="008F3531" w:rsidTr="00E96123">
        <w:trPr>
          <w:trHeight w:val="1313"/>
        </w:trPr>
        <w:tc>
          <w:tcPr>
            <w:tcW w:w="1567" w:type="pct"/>
            <w:tcBorders>
              <w:top w:val="single" w:sz="4" w:space="0" w:color="auto"/>
              <w:bottom w:val="single" w:sz="4" w:space="0" w:color="auto"/>
            </w:tcBorders>
            <w:noWrap/>
            <w:hideMark/>
          </w:tcPr>
          <w:p w:rsidR="00B15BF9" w:rsidRPr="00E56625" w:rsidRDefault="00B15BF9" w:rsidP="00382DE6">
            <w:pPr>
              <w:jc w:val="center"/>
              <w:rPr>
                <w:b/>
                <w:sz w:val="20"/>
                <w:szCs w:val="20"/>
                <w:lang w:val="en-US"/>
              </w:rPr>
            </w:pPr>
            <w:r w:rsidRPr="00E56625">
              <w:rPr>
                <w:b/>
                <w:sz w:val="20"/>
                <w:szCs w:val="20"/>
                <w:lang w:val="en-US"/>
              </w:rPr>
              <w:t>Agglomeration type</w:t>
            </w:r>
          </w:p>
        </w:tc>
        <w:tc>
          <w:tcPr>
            <w:tcW w:w="659" w:type="pct"/>
            <w:tcBorders>
              <w:top w:val="single" w:sz="4" w:space="0" w:color="auto"/>
              <w:bottom w:val="single" w:sz="4" w:space="0" w:color="auto"/>
            </w:tcBorders>
            <w:hideMark/>
          </w:tcPr>
          <w:p w:rsidR="00B15BF9" w:rsidRPr="00E56625" w:rsidRDefault="00B15BF9" w:rsidP="00382DE6">
            <w:pPr>
              <w:jc w:val="center"/>
              <w:rPr>
                <w:b/>
                <w:bCs/>
                <w:sz w:val="20"/>
                <w:szCs w:val="20"/>
                <w:lang w:val="en-US"/>
              </w:rPr>
            </w:pPr>
            <w:r w:rsidRPr="00E56625">
              <w:rPr>
                <w:b/>
                <w:bCs/>
                <w:sz w:val="20"/>
                <w:szCs w:val="20"/>
                <w:lang w:val="en-US"/>
              </w:rPr>
              <w:t>Household size</w:t>
            </w:r>
          </w:p>
        </w:tc>
        <w:tc>
          <w:tcPr>
            <w:tcW w:w="751" w:type="pct"/>
            <w:tcBorders>
              <w:top w:val="single" w:sz="4" w:space="0" w:color="auto"/>
              <w:bottom w:val="single" w:sz="4" w:space="0" w:color="auto"/>
            </w:tcBorders>
            <w:hideMark/>
          </w:tcPr>
          <w:p w:rsidR="00B15BF9" w:rsidRPr="00E56625" w:rsidRDefault="00B15BF9" w:rsidP="00382DE6">
            <w:pPr>
              <w:jc w:val="center"/>
              <w:rPr>
                <w:b/>
                <w:bCs/>
                <w:sz w:val="20"/>
                <w:szCs w:val="20"/>
                <w:lang w:val="en-US"/>
              </w:rPr>
            </w:pPr>
            <w:r w:rsidRPr="00E56625">
              <w:rPr>
                <w:b/>
                <w:bCs/>
                <w:sz w:val="20"/>
                <w:szCs w:val="20"/>
                <w:lang w:val="en-US"/>
              </w:rPr>
              <w:t>Demographic dependency ratio</w:t>
            </w:r>
            <w:r w:rsidRPr="00E56625">
              <w:rPr>
                <w:b/>
                <w:bCs/>
                <w:sz w:val="20"/>
                <w:szCs w:val="20"/>
                <w:vertAlign w:val="superscript"/>
                <w:lang w:val="en-US"/>
              </w:rPr>
              <w:t>(1)</w:t>
            </w:r>
          </w:p>
        </w:tc>
        <w:tc>
          <w:tcPr>
            <w:tcW w:w="706" w:type="pct"/>
            <w:tcBorders>
              <w:top w:val="single" w:sz="4" w:space="0" w:color="auto"/>
              <w:bottom w:val="single" w:sz="4" w:space="0" w:color="auto"/>
            </w:tcBorders>
            <w:hideMark/>
          </w:tcPr>
          <w:p w:rsidR="00B15BF9" w:rsidRPr="00E56625" w:rsidRDefault="00B15BF9" w:rsidP="00382DE6">
            <w:pPr>
              <w:jc w:val="center"/>
              <w:rPr>
                <w:b/>
                <w:bCs/>
                <w:sz w:val="20"/>
                <w:szCs w:val="20"/>
                <w:lang w:val="en-US"/>
              </w:rPr>
            </w:pPr>
            <w:r w:rsidRPr="00E56625">
              <w:rPr>
                <w:b/>
                <w:bCs/>
                <w:sz w:val="20"/>
                <w:szCs w:val="20"/>
                <w:lang w:val="en-US"/>
              </w:rPr>
              <w:t>Economic dependency ratio</w:t>
            </w:r>
            <w:r w:rsidRPr="00E56625">
              <w:rPr>
                <w:b/>
                <w:bCs/>
                <w:sz w:val="20"/>
                <w:szCs w:val="20"/>
                <w:vertAlign w:val="superscript"/>
                <w:lang w:val="en-US"/>
              </w:rPr>
              <w:t>(2)</w:t>
            </w:r>
          </w:p>
        </w:tc>
        <w:tc>
          <w:tcPr>
            <w:tcW w:w="705" w:type="pct"/>
            <w:tcBorders>
              <w:top w:val="single" w:sz="4" w:space="0" w:color="auto"/>
              <w:bottom w:val="single" w:sz="4" w:space="0" w:color="auto"/>
            </w:tcBorders>
            <w:hideMark/>
          </w:tcPr>
          <w:p w:rsidR="00B15BF9" w:rsidRPr="00E56625" w:rsidRDefault="00B15BF9" w:rsidP="00382DE6">
            <w:pPr>
              <w:jc w:val="center"/>
              <w:rPr>
                <w:b/>
                <w:bCs/>
                <w:sz w:val="20"/>
                <w:szCs w:val="20"/>
                <w:lang w:val="en-US"/>
              </w:rPr>
            </w:pPr>
            <w:r w:rsidRPr="00E56625">
              <w:rPr>
                <w:b/>
                <w:bCs/>
                <w:sz w:val="20"/>
                <w:szCs w:val="20"/>
                <w:lang w:val="en-US"/>
              </w:rPr>
              <w:t>Proportion of student household members (aged 15-64)</w:t>
            </w:r>
          </w:p>
        </w:tc>
        <w:tc>
          <w:tcPr>
            <w:tcW w:w="612" w:type="pct"/>
            <w:tcBorders>
              <w:top w:val="single" w:sz="4" w:space="0" w:color="auto"/>
              <w:bottom w:val="single" w:sz="4" w:space="0" w:color="auto"/>
            </w:tcBorders>
            <w:hideMark/>
          </w:tcPr>
          <w:p w:rsidR="00B15BF9" w:rsidRPr="00E56625" w:rsidRDefault="00B15BF9" w:rsidP="00382DE6">
            <w:pPr>
              <w:jc w:val="center"/>
              <w:rPr>
                <w:b/>
                <w:bCs/>
                <w:sz w:val="20"/>
                <w:szCs w:val="20"/>
                <w:lang w:val="en-US"/>
              </w:rPr>
            </w:pPr>
            <w:r w:rsidRPr="00E56625">
              <w:rPr>
                <w:b/>
                <w:bCs/>
                <w:sz w:val="20"/>
                <w:szCs w:val="20"/>
                <w:lang w:val="en-US"/>
              </w:rPr>
              <w:t>Proportion of extended family members</w:t>
            </w:r>
            <w:r w:rsidRPr="00E56625">
              <w:rPr>
                <w:b/>
                <w:bCs/>
                <w:sz w:val="20"/>
                <w:szCs w:val="20"/>
                <w:vertAlign w:val="superscript"/>
                <w:lang w:val="en-US"/>
              </w:rPr>
              <w:t>(3)</w:t>
            </w:r>
          </w:p>
        </w:tc>
      </w:tr>
      <w:tr w:rsidR="00B15BF9" w:rsidRPr="008F3531" w:rsidTr="00E96123">
        <w:trPr>
          <w:trHeight w:val="300"/>
        </w:trPr>
        <w:tc>
          <w:tcPr>
            <w:tcW w:w="1567" w:type="pct"/>
            <w:tcBorders>
              <w:top w:val="single" w:sz="4" w:space="0" w:color="auto"/>
            </w:tcBorders>
            <w:noWrap/>
            <w:hideMark/>
          </w:tcPr>
          <w:p w:rsidR="00B15BF9" w:rsidRPr="00E56625" w:rsidRDefault="00B15BF9" w:rsidP="00382DE6">
            <w:pPr>
              <w:rPr>
                <w:i/>
                <w:sz w:val="20"/>
                <w:szCs w:val="20"/>
                <w:lang w:val="en-US"/>
              </w:rPr>
            </w:pPr>
            <w:r w:rsidRPr="00E56625">
              <w:rPr>
                <w:i/>
                <w:sz w:val="20"/>
                <w:szCs w:val="20"/>
                <w:lang w:val="en-US"/>
              </w:rPr>
              <w:t>Village</w:t>
            </w:r>
          </w:p>
          <w:p w:rsidR="00B15BF9" w:rsidRPr="00E56625" w:rsidRDefault="00B15BF9" w:rsidP="00382DE6">
            <w:pPr>
              <w:rPr>
                <w:sz w:val="20"/>
                <w:szCs w:val="20"/>
                <w:lang w:val="en-US"/>
              </w:rPr>
            </w:pPr>
            <w:r w:rsidRPr="00E56625">
              <w:rPr>
                <w:sz w:val="20"/>
                <w:szCs w:val="20"/>
                <w:lang w:val="en-US"/>
              </w:rPr>
              <w:t>population &lt;5,000</w:t>
            </w:r>
          </w:p>
          <w:p w:rsidR="00B15BF9" w:rsidRPr="00E56625" w:rsidRDefault="00B15BF9" w:rsidP="00382DE6">
            <w:pPr>
              <w:rPr>
                <w:sz w:val="20"/>
                <w:szCs w:val="20"/>
                <w:lang w:val="en-US"/>
              </w:rPr>
            </w:pPr>
          </w:p>
        </w:tc>
        <w:tc>
          <w:tcPr>
            <w:tcW w:w="659" w:type="pct"/>
            <w:tcBorders>
              <w:top w:val="single" w:sz="4" w:space="0" w:color="auto"/>
            </w:tcBorders>
            <w:noWrap/>
            <w:vAlign w:val="center"/>
            <w:hideMark/>
          </w:tcPr>
          <w:p w:rsidR="00B15BF9" w:rsidRPr="00E56625" w:rsidRDefault="00B15BF9" w:rsidP="00382DE6">
            <w:pPr>
              <w:jc w:val="center"/>
              <w:rPr>
                <w:sz w:val="20"/>
                <w:szCs w:val="20"/>
                <w:lang w:val="en-US"/>
              </w:rPr>
            </w:pPr>
            <w:r w:rsidRPr="00E56625">
              <w:rPr>
                <w:sz w:val="20"/>
                <w:szCs w:val="20"/>
                <w:lang w:val="en-US"/>
              </w:rPr>
              <w:t>8.10</w:t>
            </w:r>
          </w:p>
        </w:tc>
        <w:tc>
          <w:tcPr>
            <w:tcW w:w="751" w:type="pct"/>
            <w:tcBorders>
              <w:top w:val="single" w:sz="4" w:space="0" w:color="auto"/>
            </w:tcBorders>
            <w:noWrap/>
            <w:vAlign w:val="center"/>
            <w:hideMark/>
          </w:tcPr>
          <w:p w:rsidR="00B15BF9" w:rsidRPr="00E56625" w:rsidRDefault="00B15BF9" w:rsidP="00382DE6">
            <w:pPr>
              <w:jc w:val="center"/>
              <w:rPr>
                <w:sz w:val="20"/>
                <w:szCs w:val="20"/>
                <w:lang w:val="en-US"/>
              </w:rPr>
            </w:pPr>
            <w:r w:rsidRPr="00E56625">
              <w:rPr>
                <w:sz w:val="20"/>
                <w:szCs w:val="20"/>
                <w:lang w:val="en-US"/>
              </w:rPr>
              <w:t>1.95</w:t>
            </w:r>
          </w:p>
        </w:tc>
        <w:tc>
          <w:tcPr>
            <w:tcW w:w="706" w:type="pct"/>
            <w:tcBorders>
              <w:top w:val="single" w:sz="4" w:space="0" w:color="auto"/>
            </w:tcBorders>
            <w:noWrap/>
            <w:vAlign w:val="center"/>
            <w:hideMark/>
          </w:tcPr>
          <w:p w:rsidR="00B15BF9" w:rsidRPr="00E56625" w:rsidRDefault="00B15BF9" w:rsidP="00382DE6">
            <w:pPr>
              <w:jc w:val="center"/>
              <w:rPr>
                <w:sz w:val="20"/>
                <w:szCs w:val="20"/>
                <w:lang w:val="en-US"/>
              </w:rPr>
            </w:pPr>
            <w:r w:rsidRPr="00E56625">
              <w:rPr>
                <w:sz w:val="20"/>
                <w:szCs w:val="20"/>
                <w:lang w:val="en-US"/>
              </w:rPr>
              <w:t>1.61</w:t>
            </w:r>
          </w:p>
        </w:tc>
        <w:tc>
          <w:tcPr>
            <w:tcW w:w="705" w:type="pct"/>
            <w:tcBorders>
              <w:top w:val="single" w:sz="4" w:space="0" w:color="auto"/>
            </w:tcBorders>
            <w:noWrap/>
            <w:vAlign w:val="center"/>
            <w:hideMark/>
          </w:tcPr>
          <w:p w:rsidR="00B15BF9" w:rsidRPr="00E56625" w:rsidRDefault="00B15BF9" w:rsidP="00382DE6">
            <w:pPr>
              <w:jc w:val="center"/>
              <w:rPr>
                <w:sz w:val="20"/>
                <w:szCs w:val="20"/>
                <w:lang w:val="en-US"/>
              </w:rPr>
            </w:pPr>
            <w:r w:rsidRPr="00E56625">
              <w:rPr>
                <w:sz w:val="20"/>
                <w:szCs w:val="20"/>
                <w:lang w:val="en-US"/>
              </w:rPr>
              <w:t>13.1%</w:t>
            </w:r>
          </w:p>
        </w:tc>
        <w:tc>
          <w:tcPr>
            <w:tcW w:w="612" w:type="pct"/>
            <w:tcBorders>
              <w:top w:val="single" w:sz="4" w:space="0" w:color="auto"/>
            </w:tcBorders>
            <w:noWrap/>
            <w:vAlign w:val="center"/>
            <w:hideMark/>
          </w:tcPr>
          <w:p w:rsidR="00B15BF9" w:rsidRPr="00E56625" w:rsidRDefault="00B15BF9" w:rsidP="00382DE6">
            <w:pPr>
              <w:jc w:val="center"/>
              <w:rPr>
                <w:sz w:val="20"/>
                <w:szCs w:val="20"/>
                <w:lang w:val="en-US"/>
              </w:rPr>
            </w:pPr>
            <w:r w:rsidRPr="00E56625">
              <w:rPr>
                <w:sz w:val="20"/>
                <w:szCs w:val="20"/>
                <w:lang w:val="en-US"/>
              </w:rPr>
              <w:t>39.7%</w:t>
            </w:r>
          </w:p>
        </w:tc>
      </w:tr>
      <w:tr w:rsidR="00B15BF9" w:rsidRPr="008F3531" w:rsidTr="00E96123">
        <w:trPr>
          <w:trHeight w:val="300"/>
        </w:trPr>
        <w:tc>
          <w:tcPr>
            <w:tcW w:w="1567" w:type="pct"/>
            <w:noWrap/>
            <w:hideMark/>
          </w:tcPr>
          <w:p w:rsidR="00B15BF9" w:rsidRPr="00E56625" w:rsidRDefault="00B15BF9" w:rsidP="00382DE6">
            <w:pPr>
              <w:rPr>
                <w:i/>
                <w:sz w:val="20"/>
                <w:szCs w:val="20"/>
                <w:lang w:val="en-US"/>
              </w:rPr>
            </w:pPr>
            <w:r w:rsidRPr="00E56625">
              <w:rPr>
                <w:i/>
                <w:sz w:val="20"/>
                <w:szCs w:val="20"/>
                <w:lang w:val="en-US"/>
              </w:rPr>
              <w:t>Rural town</w:t>
            </w:r>
          </w:p>
          <w:p w:rsidR="00B15BF9" w:rsidRPr="00E56625" w:rsidRDefault="00B15BF9" w:rsidP="00382DE6">
            <w:pPr>
              <w:rPr>
                <w:sz w:val="20"/>
                <w:szCs w:val="20"/>
                <w:lang w:val="en-US"/>
              </w:rPr>
            </w:pPr>
            <w:r w:rsidRPr="00E56625">
              <w:rPr>
                <w:sz w:val="20"/>
                <w:szCs w:val="20"/>
                <w:lang w:val="en-US"/>
              </w:rPr>
              <w:t xml:space="preserve">population [5,000-30,000], </w:t>
            </w:r>
          </w:p>
          <w:p w:rsidR="00B15BF9" w:rsidRPr="00E56625" w:rsidRDefault="00B15BF9" w:rsidP="00382DE6">
            <w:pPr>
              <w:rPr>
                <w:sz w:val="20"/>
                <w:szCs w:val="20"/>
                <w:lang w:val="en-US"/>
              </w:rPr>
            </w:pPr>
            <w:r w:rsidRPr="00E56625">
              <w:rPr>
                <w:sz w:val="20"/>
                <w:szCs w:val="20"/>
                <w:lang w:val="en-US"/>
              </w:rPr>
              <w:t>density&lt;250 people/</w:t>
            </w:r>
            <w:r w:rsidR="00C8297A" w:rsidRPr="00C8297A">
              <w:rPr>
                <w:sz w:val="20"/>
                <w:szCs w:val="20"/>
                <w:lang w:val="en-US"/>
              </w:rPr>
              <w:t>km2</w:t>
            </w:r>
          </w:p>
        </w:tc>
        <w:tc>
          <w:tcPr>
            <w:tcW w:w="659" w:type="pct"/>
            <w:noWrap/>
            <w:vAlign w:val="center"/>
            <w:hideMark/>
          </w:tcPr>
          <w:p w:rsidR="00B15BF9" w:rsidRPr="00E56625" w:rsidRDefault="00B15BF9" w:rsidP="00382DE6">
            <w:pPr>
              <w:jc w:val="center"/>
              <w:rPr>
                <w:sz w:val="20"/>
                <w:szCs w:val="20"/>
                <w:lang w:val="en-US"/>
              </w:rPr>
            </w:pPr>
            <w:r w:rsidRPr="00E56625">
              <w:rPr>
                <w:sz w:val="20"/>
                <w:szCs w:val="20"/>
                <w:lang w:val="en-US"/>
              </w:rPr>
              <w:t>8.91</w:t>
            </w:r>
          </w:p>
        </w:tc>
        <w:tc>
          <w:tcPr>
            <w:tcW w:w="751" w:type="pct"/>
            <w:noWrap/>
            <w:vAlign w:val="center"/>
            <w:hideMark/>
          </w:tcPr>
          <w:p w:rsidR="00B15BF9" w:rsidRPr="00E56625" w:rsidRDefault="00B15BF9" w:rsidP="00382DE6">
            <w:pPr>
              <w:jc w:val="center"/>
              <w:rPr>
                <w:sz w:val="20"/>
                <w:szCs w:val="20"/>
                <w:lang w:val="en-US"/>
              </w:rPr>
            </w:pPr>
            <w:r w:rsidRPr="00E56625">
              <w:rPr>
                <w:sz w:val="20"/>
                <w:szCs w:val="20"/>
                <w:lang w:val="en-US"/>
              </w:rPr>
              <w:t>1.88</w:t>
            </w:r>
          </w:p>
        </w:tc>
        <w:tc>
          <w:tcPr>
            <w:tcW w:w="706" w:type="pct"/>
            <w:noWrap/>
            <w:vAlign w:val="center"/>
            <w:hideMark/>
          </w:tcPr>
          <w:p w:rsidR="00B15BF9" w:rsidRPr="00E56625" w:rsidRDefault="00B15BF9" w:rsidP="00382DE6">
            <w:pPr>
              <w:jc w:val="center"/>
              <w:rPr>
                <w:sz w:val="20"/>
                <w:szCs w:val="20"/>
                <w:lang w:val="en-US"/>
              </w:rPr>
            </w:pPr>
            <w:r w:rsidRPr="00E56625">
              <w:rPr>
                <w:sz w:val="20"/>
                <w:szCs w:val="20"/>
                <w:lang w:val="en-US"/>
              </w:rPr>
              <w:t>1.72</w:t>
            </w:r>
          </w:p>
        </w:tc>
        <w:tc>
          <w:tcPr>
            <w:tcW w:w="705" w:type="pct"/>
            <w:noWrap/>
            <w:vAlign w:val="center"/>
            <w:hideMark/>
          </w:tcPr>
          <w:p w:rsidR="00B15BF9" w:rsidRPr="00E56625" w:rsidRDefault="00B15BF9" w:rsidP="00382DE6">
            <w:pPr>
              <w:jc w:val="center"/>
              <w:rPr>
                <w:sz w:val="20"/>
                <w:szCs w:val="20"/>
                <w:lang w:val="en-US"/>
              </w:rPr>
            </w:pPr>
            <w:r w:rsidRPr="00E56625">
              <w:rPr>
                <w:sz w:val="20"/>
                <w:szCs w:val="20"/>
                <w:lang w:val="en-US"/>
              </w:rPr>
              <w:t>21.8%</w:t>
            </w:r>
          </w:p>
        </w:tc>
        <w:tc>
          <w:tcPr>
            <w:tcW w:w="612" w:type="pct"/>
            <w:noWrap/>
            <w:vAlign w:val="center"/>
            <w:hideMark/>
          </w:tcPr>
          <w:p w:rsidR="00B15BF9" w:rsidRPr="00E56625" w:rsidRDefault="00B15BF9" w:rsidP="00382DE6">
            <w:pPr>
              <w:jc w:val="center"/>
              <w:rPr>
                <w:sz w:val="20"/>
                <w:szCs w:val="20"/>
                <w:lang w:val="en-US"/>
              </w:rPr>
            </w:pPr>
            <w:r w:rsidRPr="00E56625">
              <w:rPr>
                <w:sz w:val="20"/>
                <w:szCs w:val="20"/>
                <w:lang w:val="en-US"/>
              </w:rPr>
              <w:t>44.3%</w:t>
            </w:r>
          </w:p>
        </w:tc>
      </w:tr>
      <w:tr w:rsidR="00B15BF9" w:rsidRPr="008F3531" w:rsidTr="00E96123">
        <w:trPr>
          <w:trHeight w:val="300"/>
        </w:trPr>
        <w:tc>
          <w:tcPr>
            <w:tcW w:w="1567" w:type="pct"/>
            <w:noWrap/>
            <w:hideMark/>
          </w:tcPr>
          <w:p w:rsidR="00B15BF9" w:rsidRPr="00E56625" w:rsidRDefault="00B15BF9" w:rsidP="00382DE6">
            <w:pPr>
              <w:rPr>
                <w:i/>
                <w:sz w:val="20"/>
                <w:szCs w:val="20"/>
                <w:lang w:val="en-US"/>
              </w:rPr>
            </w:pPr>
          </w:p>
          <w:p w:rsidR="00B15BF9" w:rsidRPr="00E56625" w:rsidRDefault="00B15BF9" w:rsidP="00382DE6">
            <w:pPr>
              <w:rPr>
                <w:i/>
                <w:sz w:val="20"/>
                <w:szCs w:val="20"/>
                <w:lang w:val="en-US"/>
              </w:rPr>
            </w:pPr>
            <w:r w:rsidRPr="00E56625">
              <w:rPr>
                <w:i/>
                <w:sz w:val="20"/>
                <w:szCs w:val="20"/>
                <w:lang w:val="en-US"/>
              </w:rPr>
              <w:t>Town</w:t>
            </w:r>
          </w:p>
          <w:p w:rsidR="00B15BF9" w:rsidRPr="00E56625" w:rsidRDefault="00B15BF9" w:rsidP="00382DE6">
            <w:pPr>
              <w:rPr>
                <w:sz w:val="20"/>
                <w:szCs w:val="20"/>
                <w:lang w:val="en-US"/>
              </w:rPr>
            </w:pPr>
            <w:r w:rsidRPr="00E56625">
              <w:rPr>
                <w:sz w:val="20"/>
                <w:szCs w:val="20"/>
                <w:lang w:val="en-US"/>
              </w:rPr>
              <w:t xml:space="preserve">population [5,000-30,000], </w:t>
            </w:r>
          </w:p>
          <w:p w:rsidR="00B15BF9" w:rsidRPr="00E56625" w:rsidRDefault="00B15BF9" w:rsidP="00382DE6">
            <w:pPr>
              <w:rPr>
                <w:sz w:val="20"/>
                <w:szCs w:val="20"/>
                <w:lang w:val="en-US"/>
              </w:rPr>
            </w:pPr>
            <w:r w:rsidRPr="00E56625">
              <w:rPr>
                <w:sz w:val="20"/>
                <w:szCs w:val="20"/>
                <w:lang w:val="en-US"/>
              </w:rPr>
              <w:t>density&gt;=250 people/</w:t>
            </w:r>
            <w:r w:rsidR="00C8297A" w:rsidRPr="00C8297A">
              <w:rPr>
                <w:sz w:val="20"/>
                <w:szCs w:val="20"/>
                <w:lang w:val="en-US"/>
              </w:rPr>
              <w:t>km2</w:t>
            </w:r>
          </w:p>
        </w:tc>
        <w:tc>
          <w:tcPr>
            <w:tcW w:w="659" w:type="pct"/>
            <w:noWrap/>
            <w:vAlign w:val="center"/>
            <w:hideMark/>
          </w:tcPr>
          <w:p w:rsidR="00B15BF9" w:rsidRPr="00E56625" w:rsidRDefault="00B15BF9" w:rsidP="00382DE6">
            <w:pPr>
              <w:jc w:val="center"/>
              <w:rPr>
                <w:sz w:val="20"/>
                <w:szCs w:val="20"/>
                <w:lang w:val="en-US"/>
              </w:rPr>
            </w:pPr>
            <w:r w:rsidRPr="00E56625">
              <w:rPr>
                <w:sz w:val="20"/>
                <w:szCs w:val="20"/>
                <w:lang w:val="en-US"/>
              </w:rPr>
              <w:t>8.66</w:t>
            </w:r>
          </w:p>
        </w:tc>
        <w:tc>
          <w:tcPr>
            <w:tcW w:w="751" w:type="pct"/>
            <w:noWrap/>
            <w:vAlign w:val="center"/>
            <w:hideMark/>
          </w:tcPr>
          <w:p w:rsidR="00B15BF9" w:rsidRPr="00E56625" w:rsidRDefault="00B15BF9" w:rsidP="00382DE6">
            <w:pPr>
              <w:jc w:val="center"/>
              <w:rPr>
                <w:sz w:val="20"/>
                <w:szCs w:val="20"/>
                <w:lang w:val="en-US"/>
              </w:rPr>
            </w:pPr>
            <w:r w:rsidRPr="00E56625">
              <w:rPr>
                <w:sz w:val="20"/>
                <w:szCs w:val="20"/>
                <w:lang w:val="en-US"/>
              </w:rPr>
              <w:t>1.79</w:t>
            </w:r>
          </w:p>
        </w:tc>
        <w:tc>
          <w:tcPr>
            <w:tcW w:w="706" w:type="pct"/>
            <w:noWrap/>
            <w:vAlign w:val="center"/>
            <w:hideMark/>
          </w:tcPr>
          <w:p w:rsidR="00B15BF9" w:rsidRPr="00E56625" w:rsidRDefault="00B15BF9" w:rsidP="00382DE6">
            <w:pPr>
              <w:jc w:val="center"/>
              <w:rPr>
                <w:sz w:val="20"/>
                <w:szCs w:val="20"/>
                <w:lang w:val="en-US"/>
              </w:rPr>
            </w:pPr>
            <w:r w:rsidRPr="00E56625">
              <w:rPr>
                <w:sz w:val="20"/>
                <w:szCs w:val="20"/>
                <w:lang w:val="en-US"/>
              </w:rPr>
              <w:t>1.78</w:t>
            </w:r>
          </w:p>
        </w:tc>
        <w:tc>
          <w:tcPr>
            <w:tcW w:w="705" w:type="pct"/>
            <w:noWrap/>
            <w:vAlign w:val="center"/>
            <w:hideMark/>
          </w:tcPr>
          <w:p w:rsidR="00B15BF9" w:rsidRPr="00E56625" w:rsidRDefault="00B15BF9" w:rsidP="00382DE6">
            <w:pPr>
              <w:jc w:val="center"/>
              <w:rPr>
                <w:sz w:val="20"/>
                <w:szCs w:val="20"/>
                <w:lang w:val="en-US"/>
              </w:rPr>
            </w:pPr>
            <w:r w:rsidRPr="00E56625">
              <w:rPr>
                <w:sz w:val="20"/>
                <w:szCs w:val="20"/>
                <w:lang w:val="en-US"/>
              </w:rPr>
              <w:t>24.6%</w:t>
            </w:r>
          </w:p>
        </w:tc>
        <w:tc>
          <w:tcPr>
            <w:tcW w:w="612" w:type="pct"/>
            <w:noWrap/>
            <w:vAlign w:val="center"/>
            <w:hideMark/>
          </w:tcPr>
          <w:p w:rsidR="00B15BF9" w:rsidRPr="00E56625" w:rsidRDefault="00B15BF9" w:rsidP="00382DE6">
            <w:pPr>
              <w:jc w:val="center"/>
              <w:rPr>
                <w:sz w:val="20"/>
                <w:szCs w:val="20"/>
                <w:lang w:val="en-US"/>
              </w:rPr>
            </w:pPr>
            <w:r w:rsidRPr="00E56625">
              <w:rPr>
                <w:sz w:val="20"/>
                <w:szCs w:val="20"/>
                <w:lang w:val="en-US"/>
              </w:rPr>
              <w:t>48.9%</w:t>
            </w:r>
          </w:p>
        </w:tc>
      </w:tr>
      <w:tr w:rsidR="00B15BF9" w:rsidRPr="008F3531" w:rsidTr="00E96123">
        <w:trPr>
          <w:trHeight w:val="300"/>
        </w:trPr>
        <w:tc>
          <w:tcPr>
            <w:tcW w:w="1567" w:type="pct"/>
            <w:noWrap/>
            <w:hideMark/>
          </w:tcPr>
          <w:p w:rsidR="00B15BF9" w:rsidRPr="00E56625" w:rsidRDefault="00B15BF9" w:rsidP="00382DE6">
            <w:pPr>
              <w:rPr>
                <w:i/>
                <w:sz w:val="20"/>
                <w:szCs w:val="20"/>
                <w:lang w:val="en-US"/>
              </w:rPr>
            </w:pPr>
          </w:p>
          <w:p w:rsidR="00B15BF9" w:rsidRPr="00E56625" w:rsidRDefault="00B15BF9" w:rsidP="00382DE6">
            <w:pPr>
              <w:rPr>
                <w:i/>
                <w:sz w:val="20"/>
                <w:szCs w:val="20"/>
                <w:lang w:val="en-US"/>
              </w:rPr>
            </w:pPr>
            <w:r w:rsidRPr="00E56625">
              <w:rPr>
                <w:i/>
                <w:sz w:val="20"/>
                <w:szCs w:val="20"/>
                <w:lang w:val="en-US"/>
              </w:rPr>
              <w:t>City</w:t>
            </w:r>
          </w:p>
          <w:p w:rsidR="00B15BF9" w:rsidRPr="00E56625" w:rsidRDefault="00B15BF9" w:rsidP="00382DE6">
            <w:pPr>
              <w:rPr>
                <w:sz w:val="20"/>
                <w:szCs w:val="20"/>
                <w:lang w:val="en-US"/>
              </w:rPr>
            </w:pPr>
            <w:r w:rsidRPr="00E56625">
              <w:rPr>
                <w:sz w:val="20"/>
                <w:szCs w:val="20"/>
                <w:lang w:val="en-US"/>
              </w:rPr>
              <w:t xml:space="preserve">population &gt;=30,000, </w:t>
            </w:r>
          </w:p>
          <w:p w:rsidR="00B15BF9" w:rsidRPr="00E56625" w:rsidRDefault="00B15BF9" w:rsidP="00382DE6">
            <w:pPr>
              <w:rPr>
                <w:sz w:val="20"/>
                <w:szCs w:val="20"/>
                <w:lang w:val="en-US"/>
              </w:rPr>
            </w:pPr>
            <w:r w:rsidRPr="00E56625">
              <w:rPr>
                <w:sz w:val="20"/>
                <w:szCs w:val="20"/>
                <w:lang w:val="en-US"/>
              </w:rPr>
              <w:t>density&gt;=250 people/</w:t>
            </w:r>
            <w:r w:rsidR="00C8297A" w:rsidRPr="00C8297A">
              <w:rPr>
                <w:sz w:val="20"/>
                <w:szCs w:val="20"/>
                <w:lang w:val="en-US"/>
              </w:rPr>
              <w:t>km2</w:t>
            </w:r>
          </w:p>
        </w:tc>
        <w:tc>
          <w:tcPr>
            <w:tcW w:w="659" w:type="pct"/>
            <w:noWrap/>
            <w:vAlign w:val="center"/>
            <w:hideMark/>
          </w:tcPr>
          <w:p w:rsidR="00B15BF9" w:rsidRPr="00E56625" w:rsidRDefault="00B15BF9" w:rsidP="00382DE6">
            <w:pPr>
              <w:jc w:val="center"/>
              <w:rPr>
                <w:sz w:val="20"/>
                <w:szCs w:val="20"/>
                <w:lang w:val="en-US"/>
              </w:rPr>
            </w:pPr>
            <w:r w:rsidRPr="00E56625">
              <w:rPr>
                <w:sz w:val="20"/>
                <w:szCs w:val="20"/>
                <w:lang w:val="en-US"/>
              </w:rPr>
              <w:t>8.87</w:t>
            </w:r>
          </w:p>
        </w:tc>
        <w:tc>
          <w:tcPr>
            <w:tcW w:w="751" w:type="pct"/>
            <w:noWrap/>
            <w:vAlign w:val="center"/>
            <w:hideMark/>
          </w:tcPr>
          <w:p w:rsidR="00B15BF9" w:rsidRPr="00E56625" w:rsidRDefault="00B15BF9" w:rsidP="00382DE6">
            <w:pPr>
              <w:jc w:val="center"/>
              <w:rPr>
                <w:sz w:val="20"/>
                <w:szCs w:val="20"/>
                <w:lang w:val="en-US"/>
              </w:rPr>
            </w:pPr>
            <w:r w:rsidRPr="00E56625">
              <w:rPr>
                <w:sz w:val="20"/>
                <w:szCs w:val="20"/>
                <w:lang w:val="en-US"/>
              </w:rPr>
              <w:t>1.53</w:t>
            </w:r>
          </w:p>
        </w:tc>
        <w:tc>
          <w:tcPr>
            <w:tcW w:w="706" w:type="pct"/>
            <w:noWrap/>
            <w:vAlign w:val="center"/>
            <w:hideMark/>
          </w:tcPr>
          <w:p w:rsidR="00B15BF9" w:rsidRPr="00E56625" w:rsidRDefault="00B15BF9" w:rsidP="00382DE6">
            <w:pPr>
              <w:jc w:val="center"/>
              <w:rPr>
                <w:sz w:val="20"/>
                <w:szCs w:val="20"/>
                <w:lang w:val="en-US"/>
              </w:rPr>
            </w:pPr>
            <w:r w:rsidRPr="00E56625">
              <w:rPr>
                <w:sz w:val="20"/>
                <w:szCs w:val="20"/>
                <w:lang w:val="en-US"/>
              </w:rPr>
              <w:t>1.89</w:t>
            </w:r>
          </w:p>
        </w:tc>
        <w:tc>
          <w:tcPr>
            <w:tcW w:w="705" w:type="pct"/>
            <w:noWrap/>
            <w:vAlign w:val="center"/>
            <w:hideMark/>
          </w:tcPr>
          <w:p w:rsidR="00B15BF9" w:rsidRPr="00E56625" w:rsidRDefault="00B15BF9" w:rsidP="00382DE6">
            <w:pPr>
              <w:jc w:val="center"/>
              <w:rPr>
                <w:sz w:val="20"/>
                <w:szCs w:val="20"/>
                <w:lang w:val="en-US"/>
              </w:rPr>
            </w:pPr>
            <w:r w:rsidRPr="00E56625">
              <w:rPr>
                <w:sz w:val="20"/>
                <w:szCs w:val="20"/>
                <w:lang w:val="en-US"/>
              </w:rPr>
              <w:t>29.0%</w:t>
            </w:r>
          </w:p>
        </w:tc>
        <w:tc>
          <w:tcPr>
            <w:tcW w:w="612" w:type="pct"/>
            <w:noWrap/>
            <w:vAlign w:val="center"/>
            <w:hideMark/>
          </w:tcPr>
          <w:p w:rsidR="00B15BF9" w:rsidRPr="00E56625" w:rsidRDefault="00B15BF9" w:rsidP="00382DE6">
            <w:pPr>
              <w:jc w:val="center"/>
              <w:rPr>
                <w:sz w:val="20"/>
                <w:szCs w:val="20"/>
                <w:lang w:val="en-US"/>
              </w:rPr>
            </w:pPr>
            <w:r w:rsidRPr="00E56625">
              <w:rPr>
                <w:sz w:val="20"/>
                <w:szCs w:val="20"/>
                <w:lang w:val="en-US"/>
              </w:rPr>
              <w:t>47.9%</w:t>
            </w:r>
          </w:p>
        </w:tc>
      </w:tr>
      <w:tr w:rsidR="00B15BF9" w:rsidRPr="008F3531" w:rsidTr="00E96123">
        <w:trPr>
          <w:trHeight w:val="300"/>
        </w:trPr>
        <w:tc>
          <w:tcPr>
            <w:tcW w:w="1567" w:type="pct"/>
            <w:noWrap/>
            <w:hideMark/>
          </w:tcPr>
          <w:p w:rsidR="00B15BF9" w:rsidRPr="00E56625" w:rsidRDefault="00B15BF9" w:rsidP="00382DE6">
            <w:pPr>
              <w:rPr>
                <w:sz w:val="20"/>
                <w:szCs w:val="20"/>
                <w:lang w:val="en-US"/>
              </w:rPr>
            </w:pPr>
          </w:p>
          <w:p w:rsidR="00B15BF9" w:rsidRPr="00E56625" w:rsidRDefault="00B15BF9" w:rsidP="00382DE6">
            <w:pPr>
              <w:rPr>
                <w:sz w:val="20"/>
                <w:szCs w:val="20"/>
                <w:lang w:val="en-US"/>
              </w:rPr>
            </w:pPr>
            <w:r w:rsidRPr="00E56625">
              <w:rPr>
                <w:sz w:val="20"/>
                <w:szCs w:val="20"/>
                <w:lang w:val="en-US"/>
              </w:rPr>
              <w:t>Kayes</w:t>
            </w:r>
          </w:p>
        </w:tc>
        <w:tc>
          <w:tcPr>
            <w:tcW w:w="659" w:type="pct"/>
            <w:noWrap/>
            <w:vAlign w:val="center"/>
            <w:hideMark/>
          </w:tcPr>
          <w:p w:rsidR="00B15BF9" w:rsidRPr="00E56625" w:rsidRDefault="00B15BF9" w:rsidP="00382DE6">
            <w:pPr>
              <w:jc w:val="center"/>
              <w:rPr>
                <w:sz w:val="20"/>
                <w:szCs w:val="20"/>
                <w:lang w:val="en-US"/>
              </w:rPr>
            </w:pPr>
            <w:r w:rsidRPr="00E56625">
              <w:rPr>
                <w:sz w:val="20"/>
                <w:szCs w:val="20"/>
                <w:lang w:val="en-US"/>
              </w:rPr>
              <w:t>9.44</w:t>
            </w:r>
          </w:p>
        </w:tc>
        <w:tc>
          <w:tcPr>
            <w:tcW w:w="751" w:type="pct"/>
            <w:noWrap/>
            <w:vAlign w:val="center"/>
            <w:hideMark/>
          </w:tcPr>
          <w:p w:rsidR="00B15BF9" w:rsidRPr="00E56625" w:rsidRDefault="00B15BF9" w:rsidP="00382DE6">
            <w:pPr>
              <w:jc w:val="center"/>
              <w:rPr>
                <w:sz w:val="20"/>
                <w:szCs w:val="20"/>
                <w:lang w:val="en-US"/>
              </w:rPr>
            </w:pPr>
            <w:r w:rsidRPr="00E56625">
              <w:rPr>
                <w:sz w:val="20"/>
                <w:szCs w:val="20"/>
                <w:lang w:val="en-US"/>
              </w:rPr>
              <w:t>1.34</w:t>
            </w:r>
          </w:p>
        </w:tc>
        <w:tc>
          <w:tcPr>
            <w:tcW w:w="706" w:type="pct"/>
            <w:noWrap/>
            <w:vAlign w:val="center"/>
            <w:hideMark/>
          </w:tcPr>
          <w:p w:rsidR="00B15BF9" w:rsidRPr="00E56625" w:rsidRDefault="00B15BF9" w:rsidP="00382DE6">
            <w:pPr>
              <w:jc w:val="center"/>
              <w:rPr>
                <w:sz w:val="20"/>
                <w:szCs w:val="20"/>
                <w:lang w:val="en-US"/>
              </w:rPr>
            </w:pPr>
            <w:r w:rsidRPr="00E56625">
              <w:rPr>
                <w:sz w:val="20"/>
                <w:szCs w:val="20"/>
                <w:lang w:val="en-US"/>
              </w:rPr>
              <w:t>1.88</w:t>
            </w:r>
          </w:p>
        </w:tc>
        <w:tc>
          <w:tcPr>
            <w:tcW w:w="705" w:type="pct"/>
            <w:noWrap/>
            <w:vAlign w:val="center"/>
            <w:hideMark/>
          </w:tcPr>
          <w:p w:rsidR="00B15BF9" w:rsidRPr="00E56625" w:rsidRDefault="00B15BF9" w:rsidP="00382DE6">
            <w:pPr>
              <w:jc w:val="center"/>
              <w:rPr>
                <w:sz w:val="20"/>
                <w:szCs w:val="20"/>
                <w:lang w:val="en-US"/>
              </w:rPr>
            </w:pPr>
            <w:r w:rsidRPr="00E56625">
              <w:rPr>
                <w:sz w:val="20"/>
                <w:szCs w:val="20"/>
                <w:lang w:val="en-US"/>
              </w:rPr>
              <w:t>27.7%</w:t>
            </w:r>
          </w:p>
        </w:tc>
        <w:tc>
          <w:tcPr>
            <w:tcW w:w="612" w:type="pct"/>
            <w:noWrap/>
            <w:vAlign w:val="center"/>
            <w:hideMark/>
          </w:tcPr>
          <w:p w:rsidR="00B15BF9" w:rsidRPr="00E56625" w:rsidRDefault="00B15BF9" w:rsidP="00382DE6">
            <w:pPr>
              <w:jc w:val="center"/>
              <w:rPr>
                <w:sz w:val="20"/>
                <w:szCs w:val="20"/>
                <w:lang w:val="en-US"/>
              </w:rPr>
            </w:pPr>
            <w:r w:rsidRPr="00E56625">
              <w:rPr>
                <w:sz w:val="20"/>
                <w:szCs w:val="20"/>
                <w:lang w:val="en-US"/>
              </w:rPr>
              <w:t>50.3%</w:t>
            </w:r>
          </w:p>
        </w:tc>
      </w:tr>
      <w:tr w:rsidR="00B15BF9" w:rsidRPr="008F3531" w:rsidTr="00E96123">
        <w:trPr>
          <w:trHeight w:val="300"/>
        </w:trPr>
        <w:tc>
          <w:tcPr>
            <w:tcW w:w="1567" w:type="pct"/>
            <w:noWrap/>
            <w:hideMark/>
          </w:tcPr>
          <w:p w:rsidR="00B15BF9" w:rsidRPr="00E56625" w:rsidRDefault="00B15BF9" w:rsidP="00382DE6">
            <w:pPr>
              <w:rPr>
                <w:sz w:val="20"/>
                <w:szCs w:val="20"/>
                <w:lang w:val="en-US"/>
              </w:rPr>
            </w:pPr>
            <w:r w:rsidRPr="00E56625">
              <w:rPr>
                <w:sz w:val="20"/>
                <w:szCs w:val="20"/>
                <w:lang w:val="en-US"/>
              </w:rPr>
              <w:t>Sikasso</w:t>
            </w:r>
          </w:p>
        </w:tc>
        <w:tc>
          <w:tcPr>
            <w:tcW w:w="659" w:type="pct"/>
            <w:noWrap/>
            <w:vAlign w:val="center"/>
            <w:hideMark/>
          </w:tcPr>
          <w:p w:rsidR="00B15BF9" w:rsidRPr="00E56625" w:rsidRDefault="00B15BF9" w:rsidP="00382DE6">
            <w:pPr>
              <w:jc w:val="center"/>
              <w:rPr>
                <w:sz w:val="20"/>
                <w:szCs w:val="20"/>
                <w:lang w:val="en-US"/>
              </w:rPr>
            </w:pPr>
            <w:r w:rsidRPr="00E56625">
              <w:rPr>
                <w:sz w:val="20"/>
                <w:szCs w:val="20"/>
                <w:lang w:val="en-US"/>
              </w:rPr>
              <w:t>8.90</w:t>
            </w:r>
          </w:p>
        </w:tc>
        <w:tc>
          <w:tcPr>
            <w:tcW w:w="751" w:type="pct"/>
            <w:noWrap/>
            <w:vAlign w:val="center"/>
            <w:hideMark/>
          </w:tcPr>
          <w:p w:rsidR="00B15BF9" w:rsidRPr="00E56625" w:rsidRDefault="00B15BF9" w:rsidP="00382DE6">
            <w:pPr>
              <w:jc w:val="center"/>
              <w:rPr>
                <w:sz w:val="20"/>
                <w:szCs w:val="20"/>
                <w:lang w:val="en-US"/>
              </w:rPr>
            </w:pPr>
            <w:r w:rsidRPr="00E56625">
              <w:rPr>
                <w:sz w:val="20"/>
                <w:szCs w:val="20"/>
                <w:lang w:val="en-US"/>
              </w:rPr>
              <w:t>1.28</w:t>
            </w:r>
          </w:p>
        </w:tc>
        <w:tc>
          <w:tcPr>
            <w:tcW w:w="706" w:type="pct"/>
            <w:noWrap/>
            <w:vAlign w:val="center"/>
            <w:hideMark/>
          </w:tcPr>
          <w:p w:rsidR="00B15BF9" w:rsidRPr="00E56625" w:rsidRDefault="00B15BF9" w:rsidP="00382DE6">
            <w:pPr>
              <w:jc w:val="center"/>
              <w:rPr>
                <w:sz w:val="20"/>
                <w:szCs w:val="20"/>
                <w:lang w:val="en-US"/>
              </w:rPr>
            </w:pPr>
            <w:r w:rsidRPr="00E56625">
              <w:rPr>
                <w:sz w:val="20"/>
                <w:szCs w:val="20"/>
                <w:lang w:val="en-US"/>
              </w:rPr>
              <w:t>2.03</w:t>
            </w:r>
          </w:p>
        </w:tc>
        <w:tc>
          <w:tcPr>
            <w:tcW w:w="705" w:type="pct"/>
            <w:noWrap/>
            <w:vAlign w:val="center"/>
            <w:hideMark/>
          </w:tcPr>
          <w:p w:rsidR="00B15BF9" w:rsidRPr="00E56625" w:rsidRDefault="00B15BF9" w:rsidP="00382DE6">
            <w:pPr>
              <w:jc w:val="center"/>
              <w:rPr>
                <w:sz w:val="20"/>
                <w:szCs w:val="20"/>
                <w:lang w:val="en-US"/>
              </w:rPr>
            </w:pPr>
            <w:r w:rsidRPr="00E56625">
              <w:rPr>
                <w:sz w:val="20"/>
                <w:szCs w:val="20"/>
                <w:lang w:val="en-US"/>
              </w:rPr>
              <w:t>31.3%</w:t>
            </w:r>
          </w:p>
        </w:tc>
        <w:tc>
          <w:tcPr>
            <w:tcW w:w="612" w:type="pct"/>
            <w:noWrap/>
            <w:vAlign w:val="center"/>
            <w:hideMark/>
          </w:tcPr>
          <w:p w:rsidR="00B15BF9" w:rsidRPr="00E56625" w:rsidRDefault="00B15BF9" w:rsidP="00382DE6">
            <w:pPr>
              <w:jc w:val="center"/>
              <w:rPr>
                <w:sz w:val="20"/>
                <w:szCs w:val="20"/>
                <w:lang w:val="en-US"/>
              </w:rPr>
            </w:pPr>
            <w:r w:rsidRPr="00E56625">
              <w:rPr>
                <w:sz w:val="20"/>
                <w:szCs w:val="20"/>
                <w:lang w:val="en-US"/>
              </w:rPr>
              <w:t>46.4%</w:t>
            </w:r>
          </w:p>
        </w:tc>
      </w:tr>
      <w:tr w:rsidR="00B15BF9" w:rsidRPr="008F3531" w:rsidTr="00E96123">
        <w:trPr>
          <w:trHeight w:val="300"/>
        </w:trPr>
        <w:tc>
          <w:tcPr>
            <w:tcW w:w="1567" w:type="pct"/>
            <w:noWrap/>
            <w:hideMark/>
          </w:tcPr>
          <w:p w:rsidR="00B15BF9" w:rsidRPr="00E56625" w:rsidRDefault="00B15BF9" w:rsidP="00382DE6">
            <w:pPr>
              <w:rPr>
                <w:sz w:val="20"/>
                <w:szCs w:val="20"/>
                <w:lang w:val="en-US"/>
              </w:rPr>
            </w:pPr>
            <w:r w:rsidRPr="00E56625">
              <w:rPr>
                <w:sz w:val="20"/>
                <w:szCs w:val="20"/>
                <w:lang w:val="en-US"/>
              </w:rPr>
              <w:t>Ségou</w:t>
            </w:r>
          </w:p>
        </w:tc>
        <w:tc>
          <w:tcPr>
            <w:tcW w:w="659" w:type="pct"/>
            <w:noWrap/>
            <w:vAlign w:val="center"/>
            <w:hideMark/>
          </w:tcPr>
          <w:p w:rsidR="00B15BF9" w:rsidRPr="00E56625" w:rsidRDefault="00B15BF9" w:rsidP="00382DE6">
            <w:pPr>
              <w:jc w:val="center"/>
              <w:rPr>
                <w:sz w:val="20"/>
                <w:szCs w:val="20"/>
                <w:lang w:val="en-US"/>
              </w:rPr>
            </w:pPr>
            <w:r w:rsidRPr="00E56625">
              <w:rPr>
                <w:sz w:val="20"/>
                <w:szCs w:val="20"/>
                <w:lang w:val="en-US"/>
              </w:rPr>
              <w:t>9.49</w:t>
            </w:r>
          </w:p>
        </w:tc>
        <w:tc>
          <w:tcPr>
            <w:tcW w:w="751" w:type="pct"/>
            <w:noWrap/>
            <w:vAlign w:val="center"/>
            <w:hideMark/>
          </w:tcPr>
          <w:p w:rsidR="00B15BF9" w:rsidRPr="00E56625" w:rsidRDefault="00B15BF9" w:rsidP="00382DE6">
            <w:pPr>
              <w:jc w:val="center"/>
              <w:rPr>
                <w:sz w:val="20"/>
                <w:szCs w:val="20"/>
                <w:lang w:val="en-US"/>
              </w:rPr>
            </w:pPr>
            <w:r w:rsidRPr="00E56625">
              <w:rPr>
                <w:sz w:val="20"/>
                <w:szCs w:val="20"/>
                <w:lang w:val="en-US"/>
              </w:rPr>
              <w:t>1.28</w:t>
            </w:r>
          </w:p>
        </w:tc>
        <w:tc>
          <w:tcPr>
            <w:tcW w:w="706" w:type="pct"/>
            <w:noWrap/>
            <w:vAlign w:val="center"/>
            <w:hideMark/>
          </w:tcPr>
          <w:p w:rsidR="00B15BF9" w:rsidRPr="00E56625" w:rsidRDefault="00B15BF9" w:rsidP="00382DE6">
            <w:pPr>
              <w:jc w:val="center"/>
              <w:rPr>
                <w:sz w:val="20"/>
                <w:szCs w:val="20"/>
                <w:lang w:val="en-US"/>
              </w:rPr>
            </w:pPr>
            <w:r w:rsidRPr="00E56625">
              <w:rPr>
                <w:sz w:val="20"/>
                <w:szCs w:val="20"/>
                <w:lang w:val="en-US"/>
              </w:rPr>
              <w:t>1.96</w:t>
            </w:r>
          </w:p>
        </w:tc>
        <w:tc>
          <w:tcPr>
            <w:tcW w:w="705" w:type="pct"/>
            <w:noWrap/>
            <w:vAlign w:val="center"/>
            <w:hideMark/>
          </w:tcPr>
          <w:p w:rsidR="00B15BF9" w:rsidRPr="00E56625" w:rsidRDefault="00B15BF9" w:rsidP="00382DE6">
            <w:pPr>
              <w:jc w:val="center"/>
              <w:rPr>
                <w:sz w:val="20"/>
                <w:szCs w:val="20"/>
                <w:lang w:val="en-US"/>
              </w:rPr>
            </w:pPr>
            <w:r w:rsidRPr="00E56625">
              <w:rPr>
                <w:sz w:val="20"/>
                <w:szCs w:val="20"/>
                <w:lang w:val="en-US"/>
              </w:rPr>
              <w:t>29.9%</w:t>
            </w:r>
          </w:p>
        </w:tc>
        <w:tc>
          <w:tcPr>
            <w:tcW w:w="612" w:type="pct"/>
            <w:noWrap/>
            <w:vAlign w:val="center"/>
            <w:hideMark/>
          </w:tcPr>
          <w:p w:rsidR="00B15BF9" w:rsidRPr="00E56625" w:rsidRDefault="00B15BF9" w:rsidP="00382DE6">
            <w:pPr>
              <w:jc w:val="center"/>
              <w:rPr>
                <w:sz w:val="20"/>
                <w:szCs w:val="20"/>
                <w:lang w:val="en-US"/>
              </w:rPr>
            </w:pPr>
            <w:r w:rsidRPr="00E56625">
              <w:rPr>
                <w:sz w:val="20"/>
                <w:szCs w:val="20"/>
                <w:lang w:val="en-US"/>
              </w:rPr>
              <w:t>51.7%</w:t>
            </w:r>
          </w:p>
        </w:tc>
      </w:tr>
      <w:tr w:rsidR="00B15BF9" w:rsidRPr="008F3531" w:rsidTr="00E96123">
        <w:trPr>
          <w:trHeight w:val="300"/>
        </w:trPr>
        <w:tc>
          <w:tcPr>
            <w:tcW w:w="1567" w:type="pct"/>
            <w:noWrap/>
            <w:hideMark/>
          </w:tcPr>
          <w:p w:rsidR="00B15BF9" w:rsidRPr="00E56625" w:rsidRDefault="00B15BF9" w:rsidP="00382DE6">
            <w:pPr>
              <w:rPr>
                <w:sz w:val="20"/>
                <w:szCs w:val="20"/>
                <w:lang w:val="en-US"/>
              </w:rPr>
            </w:pPr>
            <w:r w:rsidRPr="00E56625">
              <w:rPr>
                <w:sz w:val="20"/>
                <w:szCs w:val="20"/>
                <w:lang w:val="en-US"/>
              </w:rPr>
              <w:t>Bamako</w:t>
            </w:r>
          </w:p>
        </w:tc>
        <w:tc>
          <w:tcPr>
            <w:tcW w:w="659" w:type="pct"/>
            <w:noWrap/>
            <w:vAlign w:val="center"/>
            <w:hideMark/>
          </w:tcPr>
          <w:p w:rsidR="00B15BF9" w:rsidRPr="00E56625" w:rsidRDefault="00B15BF9" w:rsidP="00382DE6">
            <w:pPr>
              <w:jc w:val="center"/>
              <w:rPr>
                <w:sz w:val="20"/>
                <w:szCs w:val="20"/>
                <w:lang w:val="en-US"/>
              </w:rPr>
            </w:pPr>
            <w:r w:rsidRPr="00E56625">
              <w:rPr>
                <w:sz w:val="20"/>
                <w:szCs w:val="20"/>
                <w:lang w:val="en-US"/>
              </w:rPr>
              <w:t>9.42</w:t>
            </w:r>
          </w:p>
        </w:tc>
        <w:tc>
          <w:tcPr>
            <w:tcW w:w="751" w:type="pct"/>
            <w:noWrap/>
            <w:vAlign w:val="center"/>
            <w:hideMark/>
          </w:tcPr>
          <w:p w:rsidR="00B15BF9" w:rsidRPr="00E56625" w:rsidRDefault="00B15BF9" w:rsidP="00382DE6">
            <w:pPr>
              <w:jc w:val="center"/>
              <w:rPr>
                <w:sz w:val="20"/>
                <w:szCs w:val="20"/>
                <w:lang w:val="en-US"/>
              </w:rPr>
            </w:pPr>
            <w:r w:rsidRPr="00E56625">
              <w:rPr>
                <w:sz w:val="20"/>
                <w:szCs w:val="20"/>
                <w:lang w:val="en-US"/>
              </w:rPr>
              <w:t>1.17</w:t>
            </w:r>
          </w:p>
        </w:tc>
        <w:tc>
          <w:tcPr>
            <w:tcW w:w="706" w:type="pct"/>
            <w:noWrap/>
            <w:vAlign w:val="center"/>
            <w:hideMark/>
          </w:tcPr>
          <w:p w:rsidR="00B15BF9" w:rsidRPr="00E56625" w:rsidRDefault="00B15BF9" w:rsidP="00382DE6">
            <w:pPr>
              <w:jc w:val="center"/>
              <w:rPr>
                <w:sz w:val="20"/>
                <w:szCs w:val="20"/>
                <w:lang w:val="en-US"/>
              </w:rPr>
            </w:pPr>
            <w:r w:rsidRPr="00E56625">
              <w:rPr>
                <w:sz w:val="20"/>
                <w:szCs w:val="20"/>
                <w:lang w:val="en-US"/>
              </w:rPr>
              <w:t>1.87</w:t>
            </w:r>
          </w:p>
        </w:tc>
        <w:tc>
          <w:tcPr>
            <w:tcW w:w="705" w:type="pct"/>
            <w:noWrap/>
            <w:vAlign w:val="center"/>
            <w:hideMark/>
          </w:tcPr>
          <w:p w:rsidR="00B15BF9" w:rsidRPr="00E56625" w:rsidRDefault="00B15BF9" w:rsidP="00382DE6">
            <w:pPr>
              <w:jc w:val="center"/>
              <w:rPr>
                <w:sz w:val="20"/>
                <w:szCs w:val="20"/>
                <w:lang w:val="en-US"/>
              </w:rPr>
            </w:pPr>
            <w:r w:rsidRPr="00E56625">
              <w:rPr>
                <w:sz w:val="20"/>
                <w:szCs w:val="20"/>
                <w:lang w:val="en-US"/>
              </w:rPr>
              <w:t>30.3%</w:t>
            </w:r>
          </w:p>
        </w:tc>
        <w:tc>
          <w:tcPr>
            <w:tcW w:w="612" w:type="pct"/>
            <w:noWrap/>
            <w:vAlign w:val="center"/>
            <w:hideMark/>
          </w:tcPr>
          <w:p w:rsidR="00B15BF9" w:rsidRPr="00E56625" w:rsidRDefault="00B15BF9" w:rsidP="00382DE6">
            <w:pPr>
              <w:jc w:val="center"/>
              <w:rPr>
                <w:sz w:val="20"/>
                <w:szCs w:val="20"/>
                <w:lang w:val="en-US"/>
              </w:rPr>
            </w:pPr>
            <w:r w:rsidRPr="00E56625">
              <w:rPr>
                <w:sz w:val="20"/>
                <w:szCs w:val="20"/>
                <w:lang w:val="en-US"/>
              </w:rPr>
              <w:t>49.8%</w:t>
            </w:r>
          </w:p>
        </w:tc>
      </w:tr>
    </w:tbl>
    <w:p w:rsidR="00B15BF9" w:rsidRPr="00E56625" w:rsidRDefault="00B15BF9" w:rsidP="00B53148">
      <w:pPr>
        <w:spacing w:after="0"/>
        <w:jc w:val="both"/>
        <w:rPr>
          <w:sz w:val="20"/>
          <w:szCs w:val="20"/>
          <w:lang w:val="en-US"/>
        </w:rPr>
      </w:pPr>
      <w:r w:rsidRPr="00E56625">
        <w:rPr>
          <w:sz w:val="20"/>
          <w:szCs w:val="20"/>
          <w:lang w:val="en-US"/>
        </w:rPr>
        <w:t>(1) The demographic dependency ratio is the sum of all children younger than 15 and of all adults over 64 divided by the number of adults of working age in the household (i.e. aged between 15 and 64).</w:t>
      </w:r>
    </w:p>
    <w:p w:rsidR="00B15BF9" w:rsidRPr="00E56625" w:rsidRDefault="00B15BF9" w:rsidP="00B53148">
      <w:pPr>
        <w:spacing w:after="0"/>
        <w:jc w:val="both"/>
        <w:rPr>
          <w:sz w:val="20"/>
          <w:szCs w:val="20"/>
          <w:lang w:val="en-US"/>
        </w:rPr>
      </w:pPr>
      <w:r w:rsidRPr="00E56625">
        <w:rPr>
          <w:sz w:val="20"/>
          <w:szCs w:val="20"/>
          <w:lang w:val="en-US"/>
        </w:rPr>
        <w:t>(2) The economic dependency ratio is defined as the ratio between the number of adults and the number of working adults per household.</w:t>
      </w:r>
    </w:p>
    <w:p w:rsidR="00B15BF9" w:rsidRPr="00E56625" w:rsidRDefault="00B15BF9" w:rsidP="00B53148">
      <w:pPr>
        <w:spacing w:after="0"/>
        <w:jc w:val="both"/>
        <w:rPr>
          <w:sz w:val="20"/>
          <w:szCs w:val="20"/>
          <w:lang w:val="en-US"/>
        </w:rPr>
      </w:pPr>
      <w:r w:rsidRPr="00E56625">
        <w:rPr>
          <w:sz w:val="20"/>
          <w:szCs w:val="20"/>
          <w:lang w:val="en-US"/>
        </w:rPr>
        <w:t>(3) The proportion of extended family members is the percentage of people in the households without a direct family link with the household head (i.e. everyone else expect the parents, children and spouses of the household head).</w:t>
      </w:r>
    </w:p>
    <w:p w:rsidR="00B15BF9" w:rsidRPr="00E56625" w:rsidRDefault="00B15BF9" w:rsidP="00B53148">
      <w:pPr>
        <w:spacing w:after="0"/>
        <w:jc w:val="both"/>
        <w:rPr>
          <w:sz w:val="20"/>
          <w:szCs w:val="20"/>
          <w:lang w:val="en-US"/>
        </w:rPr>
      </w:pPr>
      <w:r w:rsidRPr="00E56625">
        <w:rPr>
          <w:sz w:val="20"/>
          <w:szCs w:val="20"/>
          <w:lang w:val="en-US"/>
        </w:rPr>
        <w:t>Source: 2009 RGPH. Authors’ calculations.</w:t>
      </w:r>
    </w:p>
    <w:p w:rsidR="00382DE6" w:rsidRPr="00E56625" w:rsidRDefault="00382DE6" w:rsidP="00B15BF9">
      <w:pPr>
        <w:spacing w:after="0"/>
        <w:rPr>
          <w:lang w:val="en-US"/>
        </w:rPr>
      </w:pPr>
    </w:p>
    <w:p w:rsidR="00B15BF9" w:rsidRPr="008F3531" w:rsidRDefault="00B15BF9" w:rsidP="00DC2ACB">
      <w:pPr>
        <w:pStyle w:val="paranumb"/>
        <w:rPr>
          <w:rFonts w:cs="Times New Roman"/>
          <w:szCs w:val="24"/>
        </w:rPr>
      </w:pPr>
      <w:r w:rsidRPr="008F3531">
        <w:rPr>
          <w:rFonts w:cs="Times New Roman"/>
          <w:szCs w:val="24"/>
        </w:rPr>
        <w:t>Education levels are low throughout the country in spite of progress overtime in primary and secondary education in rural areas and small towns, and increasing levels of secondary and tertiary education in middle-sized cities and in Bamako (see tables in the annex to this chapter). One observes strong spatial variations and the stock of educated adults of working age increases with city size. Whereas in rural areas 85.9 percent of the population aged 15-64 has no schooling (down from 96 percent in 1987), the figure falls to 38.7 percent in Bamako. Only in the three major cities, Bamako, Ségou and Sikasso does one find that at least 20 percent of the working age population has a secondary school education or higher.  Even in Bamako, more than half the adults of working age only have primary education or have no schooling at all.</w:t>
      </w:r>
    </w:p>
    <w:p w:rsidR="00382DE6" w:rsidRPr="008F3531" w:rsidRDefault="00382DE6">
      <w:pPr>
        <w:rPr>
          <w:rFonts w:ascii="Times New Roman Bold" w:hAnsi="Times New Roman Bold" w:cstheme="minorBidi"/>
          <w:b/>
          <w:bCs/>
          <w:color w:val="000000" w:themeColor="text1"/>
          <w:sz w:val="22"/>
          <w:szCs w:val="18"/>
          <w:lang w:val="en-US"/>
        </w:rPr>
      </w:pPr>
      <w:r w:rsidRPr="00E56625">
        <w:rPr>
          <w:lang w:val="en-US"/>
        </w:rPr>
        <w:br w:type="page"/>
      </w:r>
    </w:p>
    <w:p w:rsidR="00B15BF9" w:rsidRPr="008F3531" w:rsidRDefault="00382DE6" w:rsidP="00382DE6">
      <w:pPr>
        <w:pStyle w:val="Caption"/>
      </w:pPr>
      <w:bookmarkStart w:id="24" w:name="_Toc390956373"/>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5</w:t>
      </w:r>
      <w:r w:rsidR="00943E46" w:rsidRPr="00E56625">
        <w:rPr>
          <w:noProof/>
        </w:rPr>
        <w:fldChar w:fldCharType="end"/>
      </w:r>
      <w:r w:rsidRPr="008F3531">
        <w:t>:</w:t>
      </w:r>
      <w:r w:rsidR="00B15BF9" w:rsidRPr="008F3531">
        <w:t xml:space="preserve"> </w:t>
      </w:r>
      <w:r w:rsidR="00B15BF9" w:rsidRPr="008F3531">
        <w:rPr>
          <w:b w:val="0"/>
          <w:bCs w:val="0"/>
        </w:rPr>
        <w:t>Net interregional migration as percentage of population</w:t>
      </w:r>
      <w:bookmarkEnd w:id="24"/>
    </w:p>
    <w:p w:rsidR="00B15BF9" w:rsidRPr="00E56625" w:rsidRDefault="00B15BF9" w:rsidP="001B3BE4">
      <w:pPr>
        <w:spacing w:after="0"/>
        <w:jc w:val="center"/>
        <w:rPr>
          <w:lang w:val="en-US"/>
        </w:rPr>
      </w:pPr>
      <w:r w:rsidRPr="000370E2">
        <w:rPr>
          <w:noProof/>
          <w:lang w:val="en-US"/>
        </w:rPr>
        <w:drawing>
          <wp:inline distT="0" distB="0" distL="0" distR="0" wp14:anchorId="648296E5" wp14:editId="00E3B2ED">
            <wp:extent cx="6015318" cy="2447365"/>
            <wp:effectExtent l="0" t="0" r="508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15BF9" w:rsidRPr="00E56625" w:rsidRDefault="00B15BF9" w:rsidP="001B3BE4">
      <w:pPr>
        <w:spacing w:after="0"/>
        <w:rPr>
          <w:sz w:val="20"/>
          <w:szCs w:val="20"/>
          <w:lang w:val="en-US"/>
        </w:rPr>
      </w:pPr>
      <w:r w:rsidRPr="00E56625">
        <w:rPr>
          <w:sz w:val="20"/>
          <w:szCs w:val="20"/>
          <w:lang w:val="en-US"/>
        </w:rPr>
        <w:t>Source: RGPH 2009. Authors’ calculations</w:t>
      </w:r>
      <w:r w:rsidR="001B3BE4" w:rsidRPr="00E56625">
        <w:rPr>
          <w:sz w:val="20"/>
          <w:szCs w:val="20"/>
          <w:lang w:val="en-US"/>
        </w:rPr>
        <w:t>.</w:t>
      </w:r>
    </w:p>
    <w:p w:rsidR="001B3BE4" w:rsidRPr="00E56625" w:rsidRDefault="001B3BE4" w:rsidP="001B3BE4">
      <w:pPr>
        <w:spacing w:after="0"/>
        <w:rPr>
          <w:lang w:val="en-US"/>
        </w:rPr>
      </w:pPr>
    </w:p>
    <w:p w:rsidR="00B15BF9" w:rsidRPr="008F3531" w:rsidRDefault="00B15BF9" w:rsidP="00DC2ACB">
      <w:pPr>
        <w:pStyle w:val="paranumb"/>
        <w:rPr>
          <w:rFonts w:cs="Times New Roman"/>
          <w:szCs w:val="24"/>
        </w:rPr>
      </w:pPr>
      <w:r w:rsidRPr="008F3531">
        <w:rPr>
          <w:rFonts w:cs="Times New Roman"/>
          <w:szCs w:val="24"/>
        </w:rPr>
        <w:t>Levels of interregional migration</w:t>
      </w:r>
      <w:r w:rsidRPr="008F3531">
        <w:rPr>
          <w:rStyle w:val="FootnoteReference"/>
          <w:rFonts w:cs="Times New Roman"/>
          <w:szCs w:val="24"/>
        </w:rPr>
        <w:footnoteReference w:id="18"/>
      </w:r>
      <w:r w:rsidRPr="008F3531">
        <w:rPr>
          <w:rFonts w:cs="Times New Roman"/>
          <w:szCs w:val="24"/>
        </w:rPr>
        <w:t xml:space="preserve"> are high and an important contributor to city growth. Bamako and Koulikoro are net recipients of migrants, while the regions of Ségou, Mopti, Tombouctou and Gao are the largest net contributors of migrants. Levels of intra-regional migration are relatively marginal: migrants go to urban areas, and less to other (rural) localities in their region of origin.</w:t>
      </w:r>
    </w:p>
    <w:p w:rsidR="00B15BF9" w:rsidRPr="008F3531" w:rsidRDefault="001B3BE4" w:rsidP="001B3BE4">
      <w:pPr>
        <w:pStyle w:val="Caption"/>
      </w:pPr>
      <w:bookmarkStart w:id="25" w:name="_Toc390956374"/>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6</w:t>
      </w:r>
      <w:r w:rsidR="00943E46" w:rsidRPr="00E56625">
        <w:rPr>
          <w:noProof/>
        </w:rPr>
        <w:fldChar w:fldCharType="end"/>
      </w:r>
      <w:r w:rsidR="00B15BF9" w:rsidRPr="008F3531">
        <w:rPr>
          <w:b w:val="0"/>
        </w:rPr>
        <w:t>:</w:t>
      </w:r>
      <w:r w:rsidR="00B15BF9" w:rsidRPr="008F3531">
        <w:t xml:space="preserve"> </w:t>
      </w:r>
      <w:r w:rsidR="00B15BF9" w:rsidRPr="008F3531">
        <w:rPr>
          <w:b w:val="0"/>
          <w:bCs w:val="0"/>
        </w:rPr>
        <w:t>Level of education of internal migrants as percentage of population</w:t>
      </w:r>
      <w:bookmarkEnd w:id="25"/>
    </w:p>
    <w:p w:rsidR="00B15BF9" w:rsidRPr="00E56625" w:rsidRDefault="00B15BF9" w:rsidP="001B3BE4">
      <w:pPr>
        <w:spacing w:after="0"/>
        <w:jc w:val="center"/>
        <w:rPr>
          <w:lang w:val="en-US"/>
        </w:rPr>
      </w:pPr>
      <w:r w:rsidRPr="000370E2">
        <w:rPr>
          <w:noProof/>
          <w:lang w:val="en-US"/>
        </w:rPr>
        <w:drawing>
          <wp:inline distT="0" distB="0" distL="0" distR="0" wp14:anchorId="3A53D882" wp14:editId="3DA5C5B9">
            <wp:extent cx="5907741" cy="2859741"/>
            <wp:effectExtent l="0" t="0" r="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15BF9" w:rsidRPr="00E56625" w:rsidRDefault="00B15BF9" w:rsidP="001B3BE4">
      <w:pPr>
        <w:spacing w:after="0"/>
        <w:jc w:val="both"/>
        <w:rPr>
          <w:sz w:val="20"/>
          <w:szCs w:val="20"/>
          <w:lang w:val="en-US"/>
        </w:rPr>
      </w:pPr>
      <w:r w:rsidRPr="00E56625">
        <w:rPr>
          <w:sz w:val="20"/>
          <w:szCs w:val="20"/>
          <w:lang w:val="en-US"/>
        </w:rPr>
        <w:t>Source: Source: RGPH 2009. Authors’ calculations.</w:t>
      </w:r>
    </w:p>
    <w:p w:rsidR="001B3BE4" w:rsidRPr="00E56625" w:rsidRDefault="001B3BE4" w:rsidP="001B3BE4">
      <w:pPr>
        <w:spacing w:after="0"/>
        <w:jc w:val="both"/>
        <w:rPr>
          <w:lang w:val="en-US"/>
        </w:rPr>
      </w:pPr>
    </w:p>
    <w:p w:rsidR="001B3BE4" w:rsidRPr="008F3531" w:rsidRDefault="001B3BE4" w:rsidP="001B3BE4">
      <w:pPr>
        <w:pStyle w:val="paranumb"/>
        <w:rPr>
          <w:rFonts w:cs="Times New Roman"/>
          <w:szCs w:val="24"/>
        </w:rPr>
      </w:pPr>
      <w:r w:rsidRPr="008F3531">
        <w:rPr>
          <w:rFonts w:cs="Times New Roman"/>
          <w:szCs w:val="24"/>
        </w:rPr>
        <w:t xml:space="preserve">Migrants tend to be better educated than the average person (Figure 2.6), but relative to the average person living in Bamako, migrants are less well educated: about 6 percent of people in Mali have a secondary education but 15 percent of the migrants have one. Better educated migrants have a greater likelihood of success and poorly educated migrants are more likely to return: amongst the returning migrants one finds few people with a secondary education (3 percent) while the vast majority (72 percent) has no education. </w:t>
      </w:r>
    </w:p>
    <w:p w:rsidR="00B15BF9" w:rsidRPr="008F3531" w:rsidRDefault="001B3BE4" w:rsidP="001B3BE4">
      <w:pPr>
        <w:pStyle w:val="Caption"/>
        <w:rPr>
          <w:b w:val="0"/>
        </w:rPr>
      </w:pPr>
      <w:bookmarkStart w:id="26" w:name="_Toc390956281"/>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3</w:t>
      </w:r>
      <w:r w:rsidR="00943E46" w:rsidRPr="00E56625">
        <w:rPr>
          <w:noProof/>
        </w:rPr>
        <w:fldChar w:fldCharType="end"/>
      </w:r>
      <w:r w:rsidR="00B15BF9" w:rsidRPr="008F3531">
        <w:rPr>
          <w:b w:val="0"/>
        </w:rPr>
        <w:t>:</w:t>
      </w:r>
      <w:r w:rsidRPr="008F3531">
        <w:rPr>
          <w:b w:val="0"/>
        </w:rPr>
        <w:t xml:space="preserve"> </w:t>
      </w:r>
      <w:r w:rsidR="00B15BF9" w:rsidRPr="008F3531">
        <w:rPr>
          <w:b w:val="0"/>
        </w:rPr>
        <w:t>Sorting of internal migrants (ages 15-64) by education level (2009)</w:t>
      </w:r>
      <w:bookmarkEnd w:id="26"/>
    </w:p>
    <w:tbl>
      <w:tblPr>
        <w:tblStyle w:val="TableGrid"/>
        <w:tblW w:w="494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4"/>
        <w:gridCol w:w="969"/>
        <w:gridCol w:w="1056"/>
        <w:gridCol w:w="1051"/>
        <w:gridCol w:w="1053"/>
        <w:gridCol w:w="1055"/>
        <w:gridCol w:w="1057"/>
      </w:tblGrid>
      <w:tr w:rsidR="00B15BF9" w:rsidRPr="008F3531" w:rsidTr="00E96123">
        <w:trPr>
          <w:trHeight w:val="510"/>
        </w:trPr>
        <w:tc>
          <w:tcPr>
            <w:tcW w:w="1628" w:type="pct"/>
            <w:tcBorders>
              <w:top w:val="single" w:sz="4" w:space="0" w:color="auto"/>
              <w:bottom w:val="single" w:sz="4" w:space="0" w:color="auto"/>
            </w:tcBorders>
            <w:noWrap/>
            <w:hideMark/>
          </w:tcPr>
          <w:p w:rsidR="00B15BF9" w:rsidRPr="00E56625" w:rsidRDefault="00B15BF9" w:rsidP="001B3BE4">
            <w:pPr>
              <w:jc w:val="center"/>
              <w:rPr>
                <w:b/>
                <w:sz w:val="20"/>
                <w:szCs w:val="20"/>
                <w:lang w:val="en-US"/>
              </w:rPr>
            </w:pPr>
            <w:r w:rsidRPr="00E56625">
              <w:rPr>
                <w:b/>
                <w:sz w:val="20"/>
                <w:szCs w:val="20"/>
                <w:lang w:val="en-US"/>
              </w:rPr>
              <w:t>Agglomeration type</w:t>
            </w:r>
          </w:p>
        </w:tc>
        <w:tc>
          <w:tcPr>
            <w:tcW w:w="523" w:type="pct"/>
            <w:tcBorders>
              <w:top w:val="single" w:sz="4" w:space="0" w:color="auto"/>
              <w:bottom w:val="single" w:sz="4" w:space="0" w:color="auto"/>
            </w:tcBorders>
            <w:hideMark/>
          </w:tcPr>
          <w:p w:rsidR="00B15BF9" w:rsidRPr="00E56625" w:rsidRDefault="00B15BF9" w:rsidP="001B3BE4">
            <w:pPr>
              <w:jc w:val="center"/>
              <w:rPr>
                <w:b/>
                <w:sz w:val="20"/>
                <w:szCs w:val="20"/>
                <w:lang w:val="en-US"/>
              </w:rPr>
            </w:pPr>
            <w:r w:rsidRPr="00E56625">
              <w:rPr>
                <w:b/>
                <w:sz w:val="20"/>
                <w:szCs w:val="20"/>
                <w:lang w:val="en-US"/>
              </w:rPr>
              <w:t>No school</w:t>
            </w:r>
          </w:p>
        </w:tc>
        <w:tc>
          <w:tcPr>
            <w:tcW w:w="570" w:type="pct"/>
            <w:tcBorders>
              <w:top w:val="single" w:sz="4" w:space="0" w:color="auto"/>
              <w:bottom w:val="single" w:sz="4" w:space="0" w:color="auto"/>
            </w:tcBorders>
            <w:hideMark/>
          </w:tcPr>
          <w:p w:rsidR="00B15BF9" w:rsidRPr="00E56625" w:rsidRDefault="00B15BF9" w:rsidP="001B3BE4">
            <w:pPr>
              <w:jc w:val="center"/>
              <w:rPr>
                <w:b/>
                <w:sz w:val="20"/>
                <w:szCs w:val="20"/>
                <w:lang w:val="en-US"/>
              </w:rPr>
            </w:pPr>
            <w:r w:rsidRPr="00E56625">
              <w:rPr>
                <w:b/>
                <w:sz w:val="20"/>
                <w:szCs w:val="20"/>
                <w:lang w:val="en-US"/>
              </w:rPr>
              <w:t>Primary</w:t>
            </w:r>
          </w:p>
        </w:tc>
        <w:tc>
          <w:tcPr>
            <w:tcW w:w="568" w:type="pct"/>
            <w:tcBorders>
              <w:top w:val="single" w:sz="4" w:space="0" w:color="auto"/>
              <w:bottom w:val="single" w:sz="4" w:space="0" w:color="auto"/>
            </w:tcBorders>
            <w:hideMark/>
          </w:tcPr>
          <w:p w:rsidR="00B15BF9" w:rsidRPr="00E56625" w:rsidRDefault="00B15BF9" w:rsidP="001B3BE4">
            <w:pPr>
              <w:jc w:val="center"/>
              <w:rPr>
                <w:b/>
                <w:sz w:val="20"/>
                <w:szCs w:val="20"/>
                <w:lang w:val="en-US"/>
              </w:rPr>
            </w:pPr>
            <w:r w:rsidRPr="00E56625">
              <w:rPr>
                <w:b/>
                <w:sz w:val="20"/>
                <w:szCs w:val="20"/>
                <w:lang w:val="en-US"/>
              </w:rPr>
              <w:t>Second. 1</w:t>
            </w:r>
          </w:p>
        </w:tc>
        <w:tc>
          <w:tcPr>
            <w:tcW w:w="569" w:type="pct"/>
            <w:tcBorders>
              <w:top w:val="single" w:sz="4" w:space="0" w:color="auto"/>
              <w:bottom w:val="single" w:sz="4" w:space="0" w:color="auto"/>
            </w:tcBorders>
            <w:hideMark/>
          </w:tcPr>
          <w:p w:rsidR="00B15BF9" w:rsidRPr="00E56625" w:rsidRDefault="00B15BF9" w:rsidP="001B3BE4">
            <w:pPr>
              <w:jc w:val="center"/>
              <w:rPr>
                <w:b/>
                <w:sz w:val="20"/>
                <w:szCs w:val="20"/>
                <w:lang w:val="en-US"/>
              </w:rPr>
            </w:pPr>
            <w:r w:rsidRPr="00E56625">
              <w:rPr>
                <w:b/>
                <w:sz w:val="20"/>
                <w:szCs w:val="20"/>
                <w:lang w:val="en-US"/>
              </w:rPr>
              <w:t>Second. 2</w:t>
            </w:r>
          </w:p>
        </w:tc>
        <w:tc>
          <w:tcPr>
            <w:tcW w:w="570" w:type="pct"/>
            <w:tcBorders>
              <w:top w:val="single" w:sz="4" w:space="0" w:color="auto"/>
              <w:bottom w:val="single" w:sz="4" w:space="0" w:color="auto"/>
            </w:tcBorders>
            <w:hideMark/>
          </w:tcPr>
          <w:p w:rsidR="00B15BF9" w:rsidRPr="00E56625" w:rsidRDefault="00B15BF9" w:rsidP="001B3BE4">
            <w:pPr>
              <w:jc w:val="center"/>
              <w:rPr>
                <w:b/>
                <w:sz w:val="20"/>
                <w:szCs w:val="20"/>
                <w:lang w:val="en-US"/>
              </w:rPr>
            </w:pPr>
            <w:r w:rsidRPr="00E56625">
              <w:rPr>
                <w:b/>
                <w:sz w:val="20"/>
                <w:szCs w:val="20"/>
                <w:lang w:val="en-US"/>
              </w:rPr>
              <w:t>Tertiary</w:t>
            </w:r>
          </w:p>
        </w:tc>
        <w:tc>
          <w:tcPr>
            <w:tcW w:w="571" w:type="pct"/>
            <w:tcBorders>
              <w:top w:val="single" w:sz="4" w:space="0" w:color="auto"/>
              <w:bottom w:val="single" w:sz="4" w:space="0" w:color="auto"/>
            </w:tcBorders>
            <w:noWrap/>
            <w:hideMark/>
          </w:tcPr>
          <w:p w:rsidR="00B15BF9" w:rsidRPr="00E56625" w:rsidRDefault="00B15BF9" w:rsidP="001B3BE4">
            <w:pPr>
              <w:jc w:val="center"/>
              <w:rPr>
                <w:b/>
                <w:sz w:val="20"/>
                <w:szCs w:val="20"/>
                <w:lang w:val="en-US"/>
              </w:rPr>
            </w:pPr>
            <w:r w:rsidRPr="00E56625">
              <w:rPr>
                <w:b/>
                <w:sz w:val="20"/>
                <w:szCs w:val="20"/>
                <w:lang w:val="en-US"/>
              </w:rPr>
              <w:t>All migrants</w:t>
            </w:r>
          </w:p>
        </w:tc>
      </w:tr>
      <w:tr w:rsidR="00B15BF9" w:rsidRPr="008F3531" w:rsidTr="00E96123">
        <w:trPr>
          <w:trHeight w:val="300"/>
        </w:trPr>
        <w:tc>
          <w:tcPr>
            <w:tcW w:w="1628" w:type="pct"/>
            <w:tcBorders>
              <w:top w:val="single" w:sz="4" w:space="0" w:color="auto"/>
            </w:tcBorders>
            <w:noWrap/>
            <w:hideMark/>
          </w:tcPr>
          <w:p w:rsidR="00B15BF9" w:rsidRPr="00E56625" w:rsidRDefault="00B15BF9" w:rsidP="001B3BE4">
            <w:pPr>
              <w:rPr>
                <w:i/>
                <w:sz w:val="20"/>
                <w:szCs w:val="20"/>
                <w:lang w:val="en-US"/>
              </w:rPr>
            </w:pPr>
            <w:r w:rsidRPr="00E56625">
              <w:rPr>
                <w:i/>
                <w:sz w:val="20"/>
                <w:szCs w:val="20"/>
                <w:lang w:val="en-US"/>
              </w:rPr>
              <w:t>Village</w:t>
            </w:r>
          </w:p>
          <w:p w:rsidR="00B15BF9" w:rsidRPr="00E56625" w:rsidRDefault="00B15BF9" w:rsidP="001B3BE4">
            <w:pPr>
              <w:rPr>
                <w:sz w:val="20"/>
                <w:szCs w:val="20"/>
                <w:lang w:val="en-US"/>
              </w:rPr>
            </w:pPr>
            <w:r w:rsidRPr="00E56625">
              <w:rPr>
                <w:sz w:val="20"/>
                <w:szCs w:val="20"/>
                <w:lang w:val="en-US"/>
              </w:rPr>
              <w:t>population &lt; 5000</w:t>
            </w:r>
          </w:p>
        </w:tc>
        <w:tc>
          <w:tcPr>
            <w:tcW w:w="523" w:type="pct"/>
            <w:tcBorders>
              <w:top w:val="single" w:sz="4" w:space="0" w:color="auto"/>
            </w:tcBorders>
            <w:noWrap/>
            <w:vAlign w:val="center"/>
            <w:hideMark/>
          </w:tcPr>
          <w:p w:rsidR="00B15BF9" w:rsidRPr="00E56625" w:rsidRDefault="00B15BF9" w:rsidP="001B3BE4">
            <w:pPr>
              <w:jc w:val="center"/>
              <w:rPr>
                <w:sz w:val="20"/>
                <w:szCs w:val="20"/>
                <w:lang w:val="en-US"/>
              </w:rPr>
            </w:pPr>
            <w:r w:rsidRPr="00E56625">
              <w:rPr>
                <w:sz w:val="20"/>
                <w:szCs w:val="20"/>
                <w:lang w:val="en-US"/>
              </w:rPr>
              <w:t>20.5%</w:t>
            </w:r>
          </w:p>
        </w:tc>
        <w:tc>
          <w:tcPr>
            <w:tcW w:w="570" w:type="pct"/>
            <w:tcBorders>
              <w:top w:val="single" w:sz="4" w:space="0" w:color="auto"/>
            </w:tcBorders>
            <w:noWrap/>
            <w:vAlign w:val="center"/>
            <w:hideMark/>
          </w:tcPr>
          <w:p w:rsidR="00B15BF9" w:rsidRPr="00E56625" w:rsidRDefault="00B15BF9" w:rsidP="001B3BE4">
            <w:pPr>
              <w:jc w:val="center"/>
              <w:rPr>
                <w:sz w:val="20"/>
                <w:szCs w:val="20"/>
                <w:lang w:val="en-US"/>
              </w:rPr>
            </w:pPr>
            <w:r w:rsidRPr="00E56625">
              <w:rPr>
                <w:sz w:val="20"/>
                <w:szCs w:val="20"/>
                <w:lang w:val="en-US"/>
              </w:rPr>
              <w:t>10.8%</w:t>
            </w:r>
          </w:p>
        </w:tc>
        <w:tc>
          <w:tcPr>
            <w:tcW w:w="568" w:type="pct"/>
            <w:tcBorders>
              <w:top w:val="single" w:sz="4" w:space="0" w:color="auto"/>
            </w:tcBorders>
            <w:noWrap/>
            <w:vAlign w:val="center"/>
            <w:hideMark/>
          </w:tcPr>
          <w:p w:rsidR="00B15BF9" w:rsidRPr="00E56625" w:rsidRDefault="00B15BF9" w:rsidP="001B3BE4">
            <w:pPr>
              <w:jc w:val="center"/>
              <w:rPr>
                <w:sz w:val="20"/>
                <w:szCs w:val="20"/>
                <w:lang w:val="en-US"/>
              </w:rPr>
            </w:pPr>
            <w:r w:rsidRPr="00E56625">
              <w:rPr>
                <w:sz w:val="20"/>
                <w:szCs w:val="20"/>
                <w:lang w:val="en-US"/>
              </w:rPr>
              <w:t>8.5%</w:t>
            </w:r>
          </w:p>
        </w:tc>
        <w:tc>
          <w:tcPr>
            <w:tcW w:w="569" w:type="pct"/>
            <w:tcBorders>
              <w:top w:val="single" w:sz="4" w:space="0" w:color="auto"/>
            </w:tcBorders>
            <w:noWrap/>
            <w:vAlign w:val="center"/>
            <w:hideMark/>
          </w:tcPr>
          <w:p w:rsidR="00B15BF9" w:rsidRPr="00E56625" w:rsidRDefault="00B15BF9" w:rsidP="001B3BE4">
            <w:pPr>
              <w:jc w:val="center"/>
              <w:rPr>
                <w:sz w:val="20"/>
                <w:szCs w:val="20"/>
                <w:lang w:val="en-US"/>
              </w:rPr>
            </w:pPr>
            <w:r w:rsidRPr="00E56625">
              <w:rPr>
                <w:sz w:val="20"/>
                <w:szCs w:val="20"/>
                <w:lang w:val="en-US"/>
              </w:rPr>
              <w:t>6.6%</w:t>
            </w:r>
          </w:p>
        </w:tc>
        <w:tc>
          <w:tcPr>
            <w:tcW w:w="570" w:type="pct"/>
            <w:tcBorders>
              <w:top w:val="single" w:sz="4" w:space="0" w:color="auto"/>
            </w:tcBorders>
            <w:noWrap/>
            <w:vAlign w:val="center"/>
            <w:hideMark/>
          </w:tcPr>
          <w:p w:rsidR="00B15BF9" w:rsidRPr="00E56625" w:rsidRDefault="00B15BF9" w:rsidP="001B3BE4">
            <w:pPr>
              <w:jc w:val="center"/>
              <w:rPr>
                <w:sz w:val="20"/>
                <w:szCs w:val="20"/>
                <w:lang w:val="en-US"/>
              </w:rPr>
            </w:pPr>
            <w:r w:rsidRPr="00E56625">
              <w:rPr>
                <w:sz w:val="20"/>
                <w:szCs w:val="20"/>
                <w:lang w:val="en-US"/>
              </w:rPr>
              <w:t>3.9%</w:t>
            </w:r>
          </w:p>
        </w:tc>
        <w:tc>
          <w:tcPr>
            <w:tcW w:w="571" w:type="pct"/>
            <w:tcBorders>
              <w:top w:val="single" w:sz="4" w:space="0" w:color="auto"/>
            </w:tcBorders>
            <w:noWrap/>
            <w:vAlign w:val="center"/>
            <w:hideMark/>
          </w:tcPr>
          <w:p w:rsidR="00B15BF9" w:rsidRPr="00E56625" w:rsidRDefault="00B15BF9" w:rsidP="001B3BE4">
            <w:pPr>
              <w:jc w:val="center"/>
              <w:rPr>
                <w:sz w:val="20"/>
                <w:szCs w:val="20"/>
                <w:lang w:val="en-US"/>
              </w:rPr>
            </w:pPr>
            <w:r w:rsidRPr="00E56625">
              <w:rPr>
                <w:sz w:val="20"/>
                <w:szCs w:val="20"/>
                <w:lang w:val="en-US"/>
              </w:rPr>
              <w:t>14.6%</w:t>
            </w:r>
          </w:p>
        </w:tc>
      </w:tr>
      <w:tr w:rsidR="00B15BF9" w:rsidRPr="008F3531" w:rsidTr="00E96123">
        <w:trPr>
          <w:trHeight w:val="300"/>
        </w:trPr>
        <w:tc>
          <w:tcPr>
            <w:tcW w:w="1628" w:type="pct"/>
            <w:noWrap/>
            <w:hideMark/>
          </w:tcPr>
          <w:p w:rsidR="00B15BF9" w:rsidRPr="00E56625" w:rsidRDefault="00B15BF9" w:rsidP="001B3BE4">
            <w:pPr>
              <w:rPr>
                <w:i/>
                <w:sz w:val="20"/>
                <w:szCs w:val="20"/>
                <w:lang w:val="en-US"/>
              </w:rPr>
            </w:pPr>
          </w:p>
          <w:p w:rsidR="00B15BF9" w:rsidRPr="00E56625" w:rsidRDefault="00B15BF9" w:rsidP="001B3BE4">
            <w:pPr>
              <w:rPr>
                <w:i/>
                <w:sz w:val="20"/>
                <w:szCs w:val="20"/>
                <w:lang w:val="en-US"/>
              </w:rPr>
            </w:pPr>
            <w:r w:rsidRPr="00E56625">
              <w:rPr>
                <w:i/>
                <w:sz w:val="20"/>
                <w:szCs w:val="20"/>
                <w:lang w:val="en-US"/>
              </w:rPr>
              <w:t>Rural town</w:t>
            </w:r>
          </w:p>
          <w:p w:rsidR="00B15BF9" w:rsidRPr="00E56625" w:rsidRDefault="00B15BF9" w:rsidP="001B3BE4">
            <w:pPr>
              <w:rPr>
                <w:sz w:val="20"/>
                <w:szCs w:val="20"/>
                <w:lang w:val="en-US"/>
              </w:rPr>
            </w:pPr>
            <w:r w:rsidRPr="00E56625">
              <w:rPr>
                <w:sz w:val="20"/>
                <w:szCs w:val="20"/>
                <w:lang w:val="en-US"/>
              </w:rPr>
              <w:t xml:space="preserve">population [5,000-30,000], </w:t>
            </w:r>
          </w:p>
          <w:p w:rsidR="00B15BF9" w:rsidRPr="00E56625" w:rsidRDefault="00B15BF9" w:rsidP="001B3BE4">
            <w:pPr>
              <w:rPr>
                <w:sz w:val="20"/>
                <w:szCs w:val="20"/>
                <w:lang w:val="en-US"/>
              </w:rPr>
            </w:pPr>
            <w:r w:rsidRPr="00E56625">
              <w:rPr>
                <w:sz w:val="20"/>
                <w:szCs w:val="20"/>
                <w:lang w:val="en-US"/>
              </w:rPr>
              <w:t>density&lt;250 people/</w:t>
            </w:r>
            <w:r w:rsidR="00C8297A" w:rsidRPr="00C8297A">
              <w:rPr>
                <w:sz w:val="20"/>
                <w:szCs w:val="20"/>
                <w:lang w:val="en-US"/>
              </w:rPr>
              <w:t>km2</w:t>
            </w:r>
          </w:p>
        </w:tc>
        <w:tc>
          <w:tcPr>
            <w:tcW w:w="523" w:type="pct"/>
            <w:noWrap/>
            <w:vAlign w:val="center"/>
            <w:hideMark/>
          </w:tcPr>
          <w:p w:rsidR="00B15BF9" w:rsidRPr="00E56625" w:rsidRDefault="00B15BF9" w:rsidP="001B3BE4">
            <w:pPr>
              <w:jc w:val="center"/>
              <w:rPr>
                <w:sz w:val="20"/>
                <w:szCs w:val="20"/>
                <w:lang w:val="en-US"/>
              </w:rPr>
            </w:pPr>
            <w:r w:rsidRPr="00E56625">
              <w:rPr>
                <w:sz w:val="20"/>
                <w:szCs w:val="20"/>
                <w:lang w:val="en-US"/>
              </w:rPr>
              <w:t>4.3%</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4.6%</w:t>
            </w:r>
          </w:p>
        </w:tc>
        <w:tc>
          <w:tcPr>
            <w:tcW w:w="568" w:type="pct"/>
            <w:noWrap/>
            <w:vAlign w:val="center"/>
            <w:hideMark/>
          </w:tcPr>
          <w:p w:rsidR="00B15BF9" w:rsidRPr="00E56625" w:rsidRDefault="00B15BF9" w:rsidP="001B3BE4">
            <w:pPr>
              <w:jc w:val="center"/>
              <w:rPr>
                <w:sz w:val="20"/>
                <w:szCs w:val="20"/>
                <w:lang w:val="en-US"/>
              </w:rPr>
            </w:pPr>
            <w:r w:rsidRPr="00E56625">
              <w:rPr>
                <w:sz w:val="20"/>
                <w:szCs w:val="20"/>
                <w:lang w:val="en-US"/>
              </w:rPr>
              <w:t>4.3%</w:t>
            </w:r>
          </w:p>
        </w:tc>
        <w:tc>
          <w:tcPr>
            <w:tcW w:w="569" w:type="pct"/>
            <w:noWrap/>
            <w:vAlign w:val="center"/>
            <w:hideMark/>
          </w:tcPr>
          <w:p w:rsidR="00B15BF9" w:rsidRPr="00E56625" w:rsidRDefault="00B15BF9" w:rsidP="001B3BE4">
            <w:pPr>
              <w:jc w:val="center"/>
              <w:rPr>
                <w:sz w:val="20"/>
                <w:szCs w:val="20"/>
                <w:lang w:val="en-US"/>
              </w:rPr>
            </w:pPr>
            <w:r w:rsidRPr="00E56625">
              <w:rPr>
                <w:sz w:val="20"/>
                <w:szCs w:val="20"/>
                <w:lang w:val="en-US"/>
              </w:rPr>
              <w:t>3.9%</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2.6%</w:t>
            </w:r>
          </w:p>
        </w:tc>
        <w:tc>
          <w:tcPr>
            <w:tcW w:w="571" w:type="pct"/>
            <w:noWrap/>
            <w:vAlign w:val="center"/>
            <w:hideMark/>
          </w:tcPr>
          <w:p w:rsidR="00B15BF9" w:rsidRPr="00E56625" w:rsidRDefault="00B15BF9" w:rsidP="001B3BE4">
            <w:pPr>
              <w:jc w:val="center"/>
              <w:rPr>
                <w:sz w:val="20"/>
                <w:szCs w:val="20"/>
                <w:lang w:val="en-US"/>
              </w:rPr>
            </w:pPr>
            <w:r w:rsidRPr="00E56625">
              <w:rPr>
                <w:sz w:val="20"/>
                <w:szCs w:val="20"/>
                <w:lang w:val="en-US"/>
              </w:rPr>
              <w:t>4.2%</w:t>
            </w:r>
          </w:p>
        </w:tc>
      </w:tr>
      <w:tr w:rsidR="00B15BF9" w:rsidRPr="008F3531" w:rsidTr="00E96123">
        <w:trPr>
          <w:trHeight w:val="300"/>
        </w:trPr>
        <w:tc>
          <w:tcPr>
            <w:tcW w:w="1628" w:type="pct"/>
            <w:noWrap/>
            <w:hideMark/>
          </w:tcPr>
          <w:p w:rsidR="00B15BF9" w:rsidRPr="00E56625" w:rsidRDefault="00B15BF9" w:rsidP="001B3BE4">
            <w:pPr>
              <w:rPr>
                <w:i/>
                <w:sz w:val="20"/>
                <w:szCs w:val="20"/>
                <w:lang w:val="en-US"/>
              </w:rPr>
            </w:pPr>
          </w:p>
          <w:p w:rsidR="00B15BF9" w:rsidRPr="00E56625" w:rsidRDefault="00B15BF9" w:rsidP="001B3BE4">
            <w:pPr>
              <w:rPr>
                <w:i/>
                <w:sz w:val="20"/>
                <w:szCs w:val="20"/>
                <w:lang w:val="en-US"/>
              </w:rPr>
            </w:pPr>
            <w:r w:rsidRPr="00E56625">
              <w:rPr>
                <w:i/>
                <w:sz w:val="20"/>
                <w:szCs w:val="20"/>
                <w:lang w:val="en-US"/>
              </w:rPr>
              <w:t>Town</w:t>
            </w:r>
          </w:p>
          <w:p w:rsidR="00B15BF9" w:rsidRPr="00E56625" w:rsidRDefault="00B15BF9" w:rsidP="001B3BE4">
            <w:pPr>
              <w:rPr>
                <w:sz w:val="20"/>
                <w:szCs w:val="20"/>
                <w:lang w:val="en-US"/>
              </w:rPr>
            </w:pPr>
            <w:r w:rsidRPr="00E56625">
              <w:rPr>
                <w:sz w:val="20"/>
                <w:szCs w:val="20"/>
                <w:lang w:val="en-US"/>
              </w:rPr>
              <w:t xml:space="preserve">population [5,000-30,000], </w:t>
            </w:r>
          </w:p>
          <w:p w:rsidR="00B15BF9" w:rsidRPr="00E56625" w:rsidRDefault="00B15BF9" w:rsidP="001B3BE4">
            <w:pPr>
              <w:rPr>
                <w:sz w:val="20"/>
                <w:szCs w:val="20"/>
                <w:lang w:val="en-US"/>
              </w:rPr>
            </w:pPr>
            <w:r w:rsidRPr="00E56625">
              <w:rPr>
                <w:sz w:val="20"/>
                <w:szCs w:val="20"/>
                <w:lang w:val="en-US"/>
              </w:rPr>
              <w:t>density&gt;=250 people/</w:t>
            </w:r>
            <w:r w:rsidR="00C8297A" w:rsidRPr="00C8297A">
              <w:rPr>
                <w:sz w:val="20"/>
                <w:szCs w:val="20"/>
                <w:lang w:val="en-US"/>
              </w:rPr>
              <w:t>km2</w:t>
            </w:r>
          </w:p>
          <w:p w:rsidR="00B15BF9" w:rsidRPr="00E56625" w:rsidRDefault="00B15BF9" w:rsidP="001B3BE4">
            <w:pPr>
              <w:rPr>
                <w:sz w:val="20"/>
                <w:szCs w:val="20"/>
                <w:lang w:val="en-US"/>
              </w:rPr>
            </w:pPr>
          </w:p>
        </w:tc>
        <w:tc>
          <w:tcPr>
            <w:tcW w:w="523" w:type="pct"/>
            <w:noWrap/>
            <w:vAlign w:val="center"/>
            <w:hideMark/>
          </w:tcPr>
          <w:p w:rsidR="00B15BF9" w:rsidRPr="00E56625" w:rsidRDefault="00B15BF9" w:rsidP="001B3BE4">
            <w:pPr>
              <w:jc w:val="center"/>
              <w:rPr>
                <w:sz w:val="20"/>
                <w:szCs w:val="20"/>
                <w:lang w:val="en-US"/>
              </w:rPr>
            </w:pPr>
            <w:r w:rsidRPr="00E56625">
              <w:rPr>
                <w:sz w:val="20"/>
                <w:szCs w:val="20"/>
                <w:lang w:val="en-US"/>
              </w:rPr>
              <w:t>7.1%</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6.6%</w:t>
            </w:r>
          </w:p>
        </w:tc>
        <w:tc>
          <w:tcPr>
            <w:tcW w:w="568" w:type="pct"/>
            <w:noWrap/>
            <w:vAlign w:val="center"/>
            <w:hideMark/>
          </w:tcPr>
          <w:p w:rsidR="00B15BF9" w:rsidRPr="00E56625" w:rsidRDefault="00B15BF9" w:rsidP="001B3BE4">
            <w:pPr>
              <w:jc w:val="center"/>
              <w:rPr>
                <w:sz w:val="20"/>
                <w:szCs w:val="20"/>
                <w:lang w:val="en-US"/>
              </w:rPr>
            </w:pPr>
            <w:r w:rsidRPr="00E56625">
              <w:rPr>
                <w:sz w:val="20"/>
                <w:szCs w:val="20"/>
                <w:lang w:val="en-US"/>
              </w:rPr>
              <w:t>7.0%</w:t>
            </w:r>
          </w:p>
        </w:tc>
        <w:tc>
          <w:tcPr>
            <w:tcW w:w="569" w:type="pct"/>
            <w:noWrap/>
            <w:vAlign w:val="center"/>
            <w:hideMark/>
          </w:tcPr>
          <w:p w:rsidR="00B15BF9" w:rsidRPr="00E56625" w:rsidRDefault="00B15BF9" w:rsidP="001B3BE4">
            <w:pPr>
              <w:jc w:val="center"/>
              <w:rPr>
                <w:sz w:val="20"/>
                <w:szCs w:val="20"/>
                <w:lang w:val="en-US"/>
              </w:rPr>
            </w:pPr>
            <w:r w:rsidRPr="00E56625">
              <w:rPr>
                <w:sz w:val="20"/>
                <w:szCs w:val="20"/>
                <w:lang w:val="en-US"/>
              </w:rPr>
              <w:t>6.1%</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4.0%</w:t>
            </w:r>
          </w:p>
        </w:tc>
        <w:tc>
          <w:tcPr>
            <w:tcW w:w="571" w:type="pct"/>
            <w:noWrap/>
            <w:vAlign w:val="center"/>
            <w:hideMark/>
          </w:tcPr>
          <w:p w:rsidR="00B15BF9" w:rsidRPr="00E56625" w:rsidRDefault="00B15BF9" w:rsidP="001B3BE4">
            <w:pPr>
              <w:jc w:val="center"/>
              <w:rPr>
                <w:sz w:val="20"/>
                <w:szCs w:val="20"/>
                <w:lang w:val="en-US"/>
              </w:rPr>
            </w:pPr>
            <w:r w:rsidRPr="00E56625">
              <w:rPr>
                <w:sz w:val="20"/>
                <w:szCs w:val="20"/>
                <w:lang w:val="en-US"/>
              </w:rPr>
              <w:t>6.6%</w:t>
            </w:r>
          </w:p>
        </w:tc>
      </w:tr>
      <w:tr w:rsidR="00B15BF9" w:rsidRPr="008F3531" w:rsidTr="00E96123">
        <w:trPr>
          <w:trHeight w:val="300"/>
        </w:trPr>
        <w:tc>
          <w:tcPr>
            <w:tcW w:w="1628" w:type="pct"/>
            <w:noWrap/>
            <w:hideMark/>
          </w:tcPr>
          <w:p w:rsidR="00B15BF9" w:rsidRPr="00E56625" w:rsidRDefault="00B15BF9" w:rsidP="001B3BE4">
            <w:pPr>
              <w:rPr>
                <w:i/>
                <w:sz w:val="20"/>
                <w:szCs w:val="20"/>
                <w:lang w:val="en-US"/>
              </w:rPr>
            </w:pPr>
            <w:r w:rsidRPr="00E56625">
              <w:rPr>
                <w:i/>
                <w:sz w:val="20"/>
                <w:szCs w:val="20"/>
                <w:lang w:val="en-US"/>
              </w:rPr>
              <w:t>City (excl. KBSS)</w:t>
            </w:r>
          </w:p>
          <w:p w:rsidR="00B15BF9" w:rsidRPr="00E56625" w:rsidRDefault="00B15BF9" w:rsidP="001B3BE4">
            <w:pPr>
              <w:rPr>
                <w:sz w:val="20"/>
                <w:szCs w:val="20"/>
                <w:lang w:val="en-US"/>
              </w:rPr>
            </w:pPr>
            <w:r w:rsidRPr="00E56625">
              <w:rPr>
                <w:sz w:val="20"/>
                <w:szCs w:val="20"/>
                <w:lang w:val="en-US"/>
              </w:rPr>
              <w:t xml:space="preserve">population &gt;=30,000, </w:t>
            </w:r>
          </w:p>
          <w:p w:rsidR="00B15BF9" w:rsidRPr="00E56625" w:rsidRDefault="00B15BF9" w:rsidP="001B3BE4">
            <w:pPr>
              <w:rPr>
                <w:sz w:val="20"/>
                <w:szCs w:val="20"/>
                <w:lang w:val="en-US"/>
              </w:rPr>
            </w:pPr>
            <w:r w:rsidRPr="00E56625">
              <w:rPr>
                <w:sz w:val="20"/>
                <w:szCs w:val="20"/>
                <w:lang w:val="en-US"/>
              </w:rPr>
              <w:t>density&gt;=250 people/</w:t>
            </w:r>
            <w:r w:rsidR="00C8297A" w:rsidRPr="00C8297A">
              <w:rPr>
                <w:sz w:val="20"/>
                <w:szCs w:val="20"/>
                <w:lang w:val="en-US"/>
              </w:rPr>
              <w:t>km2</w:t>
            </w:r>
            <w:r w:rsidRPr="00E56625">
              <w:rPr>
                <w:sz w:val="20"/>
                <w:szCs w:val="20"/>
                <w:lang w:val="en-US"/>
              </w:rPr>
              <w:t xml:space="preserve"> </w:t>
            </w:r>
          </w:p>
        </w:tc>
        <w:tc>
          <w:tcPr>
            <w:tcW w:w="523" w:type="pct"/>
            <w:noWrap/>
            <w:vAlign w:val="center"/>
            <w:hideMark/>
          </w:tcPr>
          <w:p w:rsidR="00B15BF9" w:rsidRPr="00E56625" w:rsidRDefault="00B15BF9" w:rsidP="001B3BE4">
            <w:pPr>
              <w:jc w:val="center"/>
              <w:rPr>
                <w:sz w:val="20"/>
                <w:szCs w:val="20"/>
                <w:lang w:val="en-US"/>
              </w:rPr>
            </w:pPr>
            <w:r w:rsidRPr="00E56625">
              <w:rPr>
                <w:sz w:val="20"/>
                <w:szCs w:val="20"/>
                <w:lang w:val="en-US"/>
              </w:rPr>
              <w:t>8.0%</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9.4%</w:t>
            </w:r>
          </w:p>
        </w:tc>
        <w:tc>
          <w:tcPr>
            <w:tcW w:w="568" w:type="pct"/>
            <w:noWrap/>
            <w:vAlign w:val="center"/>
            <w:hideMark/>
          </w:tcPr>
          <w:p w:rsidR="00B15BF9" w:rsidRPr="00E56625" w:rsidRDefault="00B15BF9" w:rsidP="001B3BE4">
            <w:pPr>
              <w:jc w:val="center"/>
              <w:rPr>
                <w:sz w:val="20"/>
                <w:szCs w:val="20"/>
                <w:lang w:val="en-US"/>
              </w:rPr>
            </w:pPr>
            <w:r w:rsidRPr="00E56625">
              <w:rPr>
                <w:sz w:val="20"/>
                <w:szCs w:val="20"/>
                <w:lang w:val="en-US"/>
              </w:rPr>
              <w:t>10.5%</w:t>
            </w:r>
          </w:p>
        </w:tc>
        <w:tc>
          <w:tcPr>
            <w:tcW w:w="569" w:type="pct"/>
            <w:noWrap/>
            <w:vAlign w:val="center"/>
            <w:hideMark/>
          </w:tcPr>
          <w:p w:rsidR="00B15BF9" w:rsidRPr="00E56625" w:rsidRDefault="00B15BF9" w:rsidP="001B3BE4">
            <w:pPr>
              <w:jc w:val="center"/>
              <w:rPr>
                <w:sz w:val="20"/>
                <w:szCs w:val="20"/>
                <w:lang w:val="en-US"/>
              </w:rPr>
            </w:pPr>
            <w:r w:rsidRPr="00E56625">
              <w:rPr>
                <w:sz w:val="20"/>
                <w:szCs w:val="20"/>
                <w:lang w:val="en-US"/>
              </w:rPr>
              <w:t>11.0%</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6.6%</w:t>
            </w:r>
          </w:p>
        </w:tc>
        <w:tc>
          <w:tcPr>
            <w:tcW w:w="571" w:type="pct"/>
            <w:noWrap/>
            <w:vAlign w:val="center"/>
            <w:hideMark/>
          </w:tcPr>
          <w:p w:rsidR="00B15BF9" w:rsidRPr="00E56625" w:rsidRDefault="00B15BF9" w:rsidP="001B3BE4">
            <w:pPr>
              <w:jc w:val="center"/>
              <w:rPr>
                <w:sz w:val="20"/>
                <w:szCs w:val="20"/>
                <w:lang w:val="en-US"/>
              </w:rPr>
            </w:pPr>
            <w:r w:rsidRPr="00E56625">
              <w:rPr>
                <w:sz w:val="20"/>
                <w:szCs w:val="20"/>
                <w:lang w:val="en-US"/>
              </w:rPr>
              <w:t>8.8%</w:t>
            </w:r>
          </w:p>
        </w:tc>
      </w:tr>
      <w:tr w:rsidR="00B15BF9" w:rsidRPr="008F3531" w:rsidTr="00E96123">
        <w:trPr>
          <w:trHeight w:val="300"/>
        </w:trPr>
        <w:tc>
          <w:tcPr>
            <w:tcW w:w="1628" w:type="pct"/>
            <w:noWrap/>
          </w:tcPr>
          <w:p w:rsidR="00B15BF9" w:rsidRPr="00E56625" w:rsidRDefault="00B15BF9" w:rsidP="001B3BE4">
            <w:pPr>
              <w:rPr>
                <w:sz w:val="20"/>
                <w:szCs w:val="20"/>
                <w:lang w:val="en-US"/>
              </w:rPr>
            </w:pPr>
          </w:p>
          <w:p w:rsidR="00B15BF9" w:rsidRPr="00E56625" w:rsidRDefault="00B15BF9" w:rsidP="001B3BE4">
            <w:pPr>
              <w:rPr>
                <w:sz w:val="20"/>
                <w:szCs w:val="20"/>
                <w:lang w:val="en-US"/>
              </w:rPr>
            </w:pPr>
            <w:r w:rsidRPr="00E56625">
              <w:rPr>
                <w:sz w:val="20"/>
                <w:szCs w:val="20"/>
                <w:lang w:val="en-US"/>
              </w:rPr>
              <w:t>Kayes</w:t>
            </w:r>
          </w:p>
        </w:tc>
        <w:tc>
          <w:tcPr>
            <w:tcW w:w="523" w:type="pct"/>
            <w:noWrap/>
            <w:vAlign w:val="center"/>
          </w:tcPr>
          <w:p w:rsidR="00B15BF9" w:rsidRPr="00E56625" w:rsidRDefault="00B15BF9" w:rsidP="001B3BE4">
            <w:pPr>
              <w:jc w:val="center"/>
              <w:rPr>
                <w:sz w:val="20"/>
                <w:szCs w:val="20"/>
                <w:lang w:val="en-US"/>
              </w:rPr>
            </w:pPr>
            <w:r w:rsidRPr="00E56625">
              <w:rPr>
                <w:sz w:val="20"/>
                <w:szCs w:val="20"/>
                <w:lang w:val="en-US"/>
              </w:rPr>
              <w:t>1.6%</w:t>
            </w:r>
          </w:p>
        </w:tc>
        <w:tc>
          <w:tcPr>
            <w:tcW w:w="570" w:type="pct"/>
            <w:noWrap/>
            <w:vAlign w:val="center"/>
          </w:tcPr>
          <w:p w:rsidR="00B15BF9" w:rsidRPr="00E56625" w:rsidRDefault="00B15BF9" w:rsidP="001B3BE4">
            <w:pPr>
              <w:jc w:val="center"/>
              <w:rPr>
                <w:sz w:val="20"/>
                <w:szCs w:val="20"/>
                <w:lang w:val="en-US"/>
              </w:rPr>
            </w:pPr>
            <w:r w:rsidRPr="00E56625">
              <w:rPr>
                <w:sz w:val="20"/>
                <w:szCs w:val="20"/>
                <w:lang w:val="en-US"/>
              </w:rPr>
              <w:t>2.2%</w:t>
            </w:r>
          </w:p>
        </w:tc>
        <w:tc>
          <w:tcPr>
            <w:tcW w:w="568" w:type="pct"/>
            <w:noWrap/>
            <w:vAlign w:val="center"/>
          </w:tcPr>
          <w:p w:rsidR="00B15BF9" w:rsidRPr="00E56625" w:rsidRDefault="00B15BF9" w:rsidP="001B3BE4">
            <w:pPr>
              <w:jc w:val="center"/>
              <w:rPr>
                <w:sz w:val="20"/>
                <w:szCs w:val="20"/>
                <w:lang w:val="en-US"/>
              </w:rPr>
            </w:pPr>
            <w:r w:rsidRPr="00E56625">
              <w:rPr>
                <w:sz w:val="20"/>
                <w:szCs w:val="20"/>
                <w:lang w:val="en-US"/>
              </w:rPr>
              <w:t>2.0%</w:t>
            </w:r>
          </w:p>
        </w:tc>
        <w:tc>
          <w:tcPr>
            <w:tcW w:w="569" w:type="pct"/>
            <w:noWrap/>
            <w:vAlign w:val="center"/>
          </w:tcPr>
          <w:p w:rsidR="00B15BF9" w:rsidRPr="00E56625" w:rsidRDefault="00B15BF9" w:rsidP="001B3BE4">
            <w:pPr>
              <w:jc w:val="center"/>
              <w:rPr>
                <w:sz w:val="20"/>
                <w:szCs w:val="20"/>
                <w:lang w:val="en-US"/>
              </w:rPr>
            </w:pPr>
            <w:r w:rsidRPr="00E56625">
              <w:rPr>
                <w:sz w:val="20"/>
                <w:szCs w:val="20"/>
                <w:lang w:val="en-US"/>
              </w:rPr>
              <w:t>2.1%</w:t>
            </w:r>
          </w:p>
        </w:tc>
        <w:tc>
          <w:tcPr>
            <w:tcW w:w="570" w:type="pct"/>
            <w:noWrap/>
            <w:vAlign w:val="center"/>
          </w:tcPr>
          <w:p w:rsidR="00B15BF9" w:rsidRPr="00E56625" w:rsidRDefault="00B15BF9" w:rsidP="001B3BE4">
            <w:pPr>
              <w:jc w:val="center"/>
              <w:rPr>
                <w:sz w:val="20"/>
                <w:szCs w:val="20"/>
                <w:lang w:val="en-US"/>
              </w:rPr>
            </w:pPr>
            <w:r w:rsidRPr="00E56625">
              <w:rPr>
                <w:sz w:val="20"/>
                <w:szCs w:val="20"/>
                <w:lang w:val="en-US"/>
              </w:rPr>
              <w:t>1.1%</w:t>
            </w:r>
          </w:p>
        </w:tc>
        <w:tc>
          <w:tcPr>
            <w:tcW w:w="571" w:type="pct"/>
            <w:noWrap/>
            <w:vAlign w:val="center"/>
          </w:tcPr>
          <w:p w:rsidR="00B15BF9" w:rsidRPr="00E56625" w:rsidRDefault="00B15BF9" w:rsidP="001B3BE4">
            <w:pPr>
              <w:jc w:val="center"/>
              <w:rPr>
                <w:sz w:val="20"/>
                <w:szCs w:val="20"/>
                <w:lang w:val="en-US"/>
              </w:rPr>
            </w:pPr>
            <w:r w:rsidRPr="00E56625">
              <w:rPr>
                <w:sz w:val="20"/>
                <w:szCs w:val="20"/>
                <w:lang w:val="en-US"/>
              </w:rPr>
              <w:t>1.7%</w:t>
            </w:r>
          </w:p>
        </w:tc>
      </w:tr>
      <w:tr w:rsidR="00B15BF9" w:rsidRPr="008F3531" w:rsidTr="00E96123">
        <w:trPr>
          <w:trHeight w:val="300"/>
        </w:trPr>
        <w:tc>
          <w:tcPr>
            <w:tcW w:w="1628" w:type="pct"/>
            <w:noWrap/>
            <w:hideMark/>
          </w:tcPr>
          <w:p w:rsidR="00B15BF9" w:rsidRPr="00E56625" w:rsidRDefault="00B15BF9" w:rsidP="001B3BE4">
            <w:pPr>
              <w:rPr>
                <w:sz w:val="20"/>
                <w:szCs w:val="20"/>
                <w:lang w:val="en-US"/>
              </w:rPr>
            </w:pPr>
            <w:r w:rsidRPr="00E56625">
              <w:rPr>
                <w:sz w:val="20"/>
                <w:szCs w:val="20"/>
                <w:lang w:val="en-US"/>
              </w:rPr>
              <w:t>Sikasso</w:t>
            </w:r>
          </w:p>
        </w:tc>
        <w:tc>
          <w:tcPr>
            <w:tcW w:w="523" w:type="pct"/>
            <w:noWrap/>
            <w:vAlign w:val="center"/>
            <w:hideMark/>
          </w:tcPr>
          <w:p w:rsidR="00B15BF9" w:rsidRPr="00E56625" w:rsidRDefault="00B15BF9" w:rsidP="001B3BE4">
            <w:pPr>
              <w:jc w:val="center"/>
              <w:rPr>
                <w:sz w:val="20"/>
                <w:szCs w:val="20"/>
                <w:lang w:val="en-US"/>
              </w:rPr>
            </w:pPr>
            <w:r w:rsidRPr="00E56625">
              <w:rPr>
                <w:sz w:val="20"/>
                <w:szCs w:val="20"/>
                <w:lang w:val="en-US"/>
              </w:rPr>
              <w:t>1.3%</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1.7%</w:t>
            </w:r>
          </w:p>
        </w:tc>
        <w:tc>
          <w:tcPr>
            <w:tcW w:w="568" w:type="pct"/>
            <w:noWrap/>
            <w:vAlign w:val="center"/>
            <w:hideMark/>
          </w:tcPr>
          <w:p w:rsidR="00B15BF9" w:rsidRPr="00E56625" w:rsidRDefault="00B15BF9" w:rsidP="001B3BE4">
            <w:pPr>
              <w:jc w:val="center"/>
              <w:rPr>
                <w:sz w:val="20"/>
                <w:szCs w:val="20"/>
                <w:lang w:val="en-US"/>
              </w:rPr>
            </w:pPr>
            <w:r w:rsidRPr="00E56625">
              <w:rPr>
                <w:sz w:val="20"/>
                <w:szCs w:val="20"/>
                <w:lang w:val="en-US"/>
              </w:rPr>
              <w:t>1.9%</w:t>
            </w:r>
          </w:p>
        </w:tc>
        <w:tc>
          <w:tcPr>
            <w:tcW w:w="569" w:type="pct"/>
            <w:noWrap/>
            <w:vAlign w:val="center"/>
            <w:hideMark/>
          </w:tcPr>
          <w:p w:rsidR="00B15BF9" w:rsidRPr="00E56625" w:rsidRDefault="00B15BF9" w:rsidP="001B3BE4">
            <w:pPr>
              <w:jc w:val="center"/>
              <w:rPr>
                <w:sz w:val="20"/>
                <w:szCs w:val="20"/>
                <w:lang w:val="en-US"/>
              </w:rPr>
            </w:pPr>
            <w:r w:rsidRPr="00E56625">
              <w:rPr>
                <w:sz w:val="20"/>
                <w:szCs w:val="20"/>
                <w:lang w:val="en-US"/>
              </w:rPr>
              <w:t>2.1%</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1.2%</w:t>
            </w:r>
          </w:p>
        </w:tc>
        <w:tc>
          <w:tcPr>
            <w:tcW w:w="571" w:type="pct"/>
            <w:noWrap/>
            <w:vAlign w:val="center"/>
            <w:hideMark/>
          </w:tcPr>
          <w:p w:rsidR="00B15BF9" w:rsidRPr="00E56625" w:rsidRDefault="00B15BF9" w:rsidP="001B3BE4">
            <w:pPr>
              <w:jc w:val="center"/>
              <w:rPr>
                <w:sz w:val="20"/>
                <w:szCs w:val="20"/>
                <w:lang w:val="en-US"/>
              </w:rPr>
            </w:pPr>
            <w:r w:rsidRPr="00E56625">
              <w:rPr>
                <w:sz w:val="20"/>
                <w:szCs w:val="20"/>
                <w:lang w:val="en-US"/>
              </w:rPr>
              <w:t>1.6%</w:t>
            </w:r>
          </w:p>
        </w:tc>
      </w:tr>
      <w:tr w:rsidR="00B15BF9" w:rsidRPr="008F3531" w:rsidTr="00E96123">
        <w:trPr>
          <w:trHeight w:val="300"/>
        </w:trPr>
        <w:tc>
          <w:tcPr>
            <w:tcW w:w="1628" w:type="pct"/>
            <w:noWrap/>
            <w:hideMark/>
          </w:tcPr>
          <w:p w:rsidR="00B15BF9" w:rsidRPr="00E56625" w:rsidRDefault="00B15BF9" w:rsidP="001B3BE4">
            <w:pPr>
              <w:rPr>
                <w:sz w:val="20"/>
                <w:szCs w:val="20"/>
                <w:lang w:val="en-US"/>
              </w:rPr>
            </w:pPr>
            <w:r w:rsidRPr="00E56625">
              <w:rPr>
                <w:sz w:val="20"/>
                <w:szCs w:val="20"/>
                <w:lang w:val="en-US"/>
              </w:rPr>
              <w:t>Ségou</w:t>
            </w:r>
          </w:p>
        </w:tc>
        <w:tc>
          <w:tcPr>
            <w:tcW w:w="523" w:type="pct"/>
            <w:noWrap/>
            <w:vAlign w:val="center"/>
            <w:hideMark/>
          </w:tcPr>
          <w:p w:rsidR="00B15BF9" w:rsidRPr="00E56625" w:rsidRDefault="00B15BF9" w:rsidP="001B3BE4">
            <w:pPr>
              <w:jc w:val="center"/>
              <w:rPr>
                <w:sz w:val="20"/>
                <w:szCs w:val="20"/>
                <w:lang w:val="en-US"/>
              </w:rPr>
            </w:pPr>
            <w:r w:rsidRPr="00E56625">
              <w:rPr>
                <w:sz w:val="20"/>
                <w:szCs w:val="20"/>
                <w:lang w:val="en-US"/>
              </w:rPr>
              <w:t>1.5%</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2.1%</w:t>
            </w:r>
          </w:p>
        </w:tc>
        <w:tc>
          <w:tcPr>
            <w:tcW w:w="568" w:type="pct"/>
            <w:noWrap/>
            <w:vAlign w:val="center"/>
            <w:hideMark/>
          </w:tcPr>
          <w:p w:rsidR="00B15BF9" w:rsidRPr="00E56625" w:rsidRDefault="00B15BF9" w:rsidP="001B3BE4">
            <w:pPr>
              <w:jc w:val="center"/>
              <w:rPr>
                <w:sz w:val="20"/>
                <w:szCs w:val="20"/>
                <w:lang w:val="en-US"/>
              </w:rPr>
            </w:pPr>
            <w:r w:rsidRPr="00E56625">
              <w:rPr>
                <w:sz w:val="20"/>
                <w:szCs w:val="20"/>
                <w:lang w:val="en-US"/>
              </w:rPr>
              <w:t>2.7%</w:t>
            </w:r>
          </w:p>
        </w:tc>
        <w:tc>
          <w:tcPr>
            <w:tcW w:w="569" w:type="pct"/>
            <w:noWrap/>
            <w:vAlign w:val="center"/>
            <w:hideMark/>
          </w:tcPr>
          <w:p w:rsidR="00B15BF9" w:rsidRPr="00E56625" w:rsidRDefault="00B15BF9" w:rsidP="001B3BE4">
            <w:pPr>
              <w:jc w:val="center"/>
              <w:rPr>
                <w:sz w:val="20"/>
                <w:szCs w:val="20"/>
                <w:lang w:val="en-US"/>
              </w:rPr>
            </w:pPr>
            <w:r w:rsidRPr="00E56625">
              <w:rPr>
                <w:sz w:val="20"/>
                <w:szCs w:val="20"/>
                <w:lang w:val="en-US"/>
              </w:rPr>
              <w:t>2.9%</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1.7%</w:t>
            </w:r>
          </w:p>
        </w:tc>
        <w:tc>
          <w:tcPr>
            <w:tcW w:w="571" w:type="pct"/>
            <w:noWrap/>
            <w:vAlign w:val="center"/>
            <w:hideMark/>
          </w:tcPr>
          <w:p w:rsidR="00B15BF9" w:rsidRPr="00E56625" w:rsidRDefault="00B15BF9" w:rsidP="001B3BE4">
            <w:pPr>
              <w:jc w:val="center"/>
              <w:rPr>
                <w:sz w:val="20"/>
                <w:szCs w:val="20"/>
                <w:lang w:val="en-US"/>
              </w:rPr>
            </w:pPr>
            <w:r w:rsidRPr="00E56625">
              <w:rPr>
                <w:sz w:val="20"/>
                <w:szCs w:val="20"/>
                <w:lang w:val="en-US"/>
              </w:rPr>
              <w:t>1.9%</w:t>
            </w:r>
          </w:p>
        </w:tc>
      </w:tr>
      <w:tr w:rsidR="00B15BF9" w:rsidRPr="008F3531" w:rsidTr="00E96123">
        <w:trPr>
          <w:trHeight w:val="300"/>
        </w:trPr>
        <w:tc>
          <w:tcPr>
            <w:tcW w:w="1628" w:type="pct"/>
            <w:noWrap/>
            <w:hideMark/>
          </w:tcPr>
          <w:p w:rsidR="00B15BF9" w:rsidRPr="00E56625" w:rsidRDefault="00B15BF9" w:rsidP="001B3BE4">
            <w:pPr>
              <w:rPr>
                <w:sz w:val="20"/>
                <w:szCs w:val="20"/>
                <w:lang w:val="en-US"/>
              </w:rPr>
            </w:pPr>
            <w:r w:rsidRPr="00E56625">
              <w:rPr>
                <w:sz w:val="20"/>
                <w:szCs w:val="20"/>
                <w:lang w:val="en-US"/>
              </w:rPr>
              <w:t>Bamako</w:t>
            </w:r>
          </w:p>
        </w:tc>
        <w:tc>
          <w:tcPr>
            <w:tcW w:w="523" w:type="pct"/>
            <w:noWrap/>
            <w:vAlign w:val="center"/>
            <w:hideMark/>
          </w:tcPr>
          <w:p w:rsidR="00B15BF9" w:rsidRPr="00E56625" w:rsidRDefault="00B15BF9" w:rsidP="001B3BE4">
            <w:pPr>
              <w:jc w:val="center"/>
              <w:rPr>
                <w:sz w:val="20"/>
                <w:szCs w:val="20"/>
                <w:lang w:val="en-US"/>
              </w:rPr>
            </w:pPr>
            <w:r w:rsidRPr="00E56625">
              <w:rPr>
                <w:sz w:val="20"/>
                <w:szCs w:val="20"/>
                <w:lang w:val="en-US"/>
              </w:rPr>
              <w:t>55.5%</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62.7%</w:t>
            </w:r>
          </w:p>
        </w:tc>
        <w:tc>
          <w:tcPr>
            <w:tcW w:w="568" w:type="pct"/>
            <w:noWrap/>
            <w:vAlign w:val="center"/>
            <w:hideMark/>
          </w:tcPr>
          <w:p w:rsidR="00B15BF9" w:rsidRPr="00E56625" w:rsidRDefault="00B15BF9" w:rsidP="001B3BE4">
            <w:pPr>
              <w:jc w:val="center"/>
              <w:rPr>
                <w:sz w:val="20"/>
                <w:szCs w:val="20"/>
                <w:lang w:val="en-US"/>
              </w:rPr>
            </w:pPr>
            <w:r w:rsidRPr="00E56625">
              <w:rPr>
                <w:sz w:val="20"/>
                <w:szCs w:val="20"/>
                <w:lang w:val="en-US"/>
              </w:rPr>
              <w:t>63.1%</w:t>
            </w:r>
          </w:p>
        </w:tc>
        <w:tc>
          <w:tcPr>
            <w:tcW w:w="569" w:type="pct"/>
            <w:noWrap/>
            <w:vAlign w:val="center"/>
            <w:hideMark/>
          </w:tcPr>
          <w:p w:rsidR="00B15BF9" w:rsidRPr="00E56625" w:rsidRDefault="00B15BF9" w:rsidP="001B3BE4">
            <w:pPr>
              <w:jc w:val="center"/>
              <w:rPr>
                <w:sz w:val="20"/>
                <w:szCs w:val="20"/>
                <w:lang w:val="en-US"/>
              </w:rPr>
            </w:pPr>
            <w:r w:rsidRPr="00E56625">
              <w:rPr>
                <w:sz w:val="20"/>
                <w:szCs w:val="20"/>
                <w:lang w:val="en-US"/>
              </w:rPr>
              <w:t>65.4%</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78.9%</w:t>
            </w:r>
          </w:p>
        </w:tc>
        <w:tc>
          <w:tcPr>
            <w:tcW w:w="571" w:type="pct"/>
            <w:noWrap/>
            <w:vAlign w:val="center"/>
            <w:hideMark/>
          </w:tcPr>
          <w:p w:rsidR="00B15BF9" w:rsidRPr="00E56625" w:rsidRDefault="00B15BF9" w:rsidP="001B3BE4">
            <w:pPr>
              <w:jc w:val="center"/>
              <w:rPr>
                <w:sz w:val="20"/>
                <w:szCs w:val="20"/>
                <w:lang w:val="en-US"/>
              </w:rPr>
            </w:pPr>
            <w:r w:rsidRPr="00E56625">
              <w:rPr>
                <w:sz w:val="20"/>
                <w:szCs w:val="20"/>
                <w:lang w:val="en-US"/>
              </w:rPr>
              <w:t>60.5%</w:t>
            </w:r>
          </w:p>
        </w:tc>
      </w:tr>
      <w:tr w:rsidR="00B15BF9" w:rsidRPr="008F3531" w:rsidTr="00E96123">
        <w:trPr>
          <w:trHeight w:val="300"/>
        </w:trPr>
        <w:tc>
          <w:tcPr>
            <w:tcW w:w="1628" w:type="pct"/>
            <w:noWrap/>
            <w:vAlign w:val="bottom"/>
          </w:tcPr>
          <w:p w:rsidR="00B15BF9" w:rsidRPr="00E56625" w:rsidRDefault="00B15BF9" w:rsidP="001B3BE4">
            <w:pPr>
              <w:rPr>
                <w:b/>
                <w:sz w:val="20"/>
                <w:szCs w:val="20"/>
                <w:lang w:val="en-US"/>
              </w:rPr>
            </w:pPr>
          </w:p>
        </w:tc>
        <w:tc>
          <w:tcPr>
            <w:tcW w:w="523" w:type="pct"/>
            <w:noWrap/>
            <w:vAlign w:val="center"/>
          </w:tcPr>
          <w:p w:rsidR="00B15BF9" w:rsidRPr="00E56625" w:rsidRDefault="00B15BF9" w:rsidP="001B3BE4">
            <w:pPr>
              <w:jc w:val="center"/>
              <w:rPr>
                <w:sz w:val="20"/>
                <w:szCs w:val="20"/>
                <w:lang w:val="en-US"/>
              </w:rPr>
            </w:pPr>
            <w:r w:rsidRPr="00E56625">
              <w:rPr>
                <w:sz w:val="20"/>
                <w:szCs w:val="20"/>
                <w:lang w:val="en-US"/>
              </w:rPr>
              <w:t>100%</w:t>
            </w:r>
          </w:p>
        </w:tc>
        <w:tc>
          <w:tcPr>
            <w:tcW w:w="570" w:type="pct"/>
            <w:noWrap/>
            <w:vAlign w:val="center"/>
          </w:tcPr>
          <w:p w:rsidR="00B15BF9" w:rsidRPr="00E56625" w:rsidRDefault="00B15BF9" w:rsidP="001B3BE4">
            <w:pPr>
              <w:jc w:val="center"/>
              <w:rPr>
                <w:sz w:val="20"/>
                <w:szCs w:val="20"/>
                <w:lang w:val="en-US"/>
              </w:rPr>
            </w:pPr>
            <w:r w:rsidRPr="00E56625">
              <w:rPr>
                <w:sz w:val="20"/>
                <w:szCs w:val="20"/>
                <w:lang w:val="en-US"/>
              </w:rPr>
              <w:t>100%</w:t>
            </w:r>
          </w:p>
        </w:tc>
        <w:tc>
          <w:tcPr>
            <w:tcW w:w="568" w:type="pct"/>
            <w:noWrap/>
            <w:vAlign w:val="center"/>
          </w:tcPr>
          <w:p w:rsidR="00B15BF9" w:rsidRPr="00E56625" w:rsidRDefault="00B15BF9" w:rsidP="001B3BE4">
            <w:pPr>
              <w:jc w:val="center"/>
              <w:rPr>
                <w:sz w:val="20"/>
                <w:szCs w:val="20"/>
                <w:lang w:val="en-US"/>
              </w:rPr>
            </w:pPr>
            <w:r w:rsidRPr="00E56625">
              <w:rPr>
                <w:sz w:val="20"/>
                <w:szCs w:val="20"/>
                <w:lang w:val="en-US"/>
              </w:rPr>
              <w:t>100%</w:t>
            </w:r>
          </w:p>
        </w:tc>
        <w:tc>
          <w:tcPr>
            <w:tcW w:w="569" w:type="pct"/>
            <w:noWrap/>
            <w:vAlign w:val="center"/>
          </w:tcPr>
          <w:p w:rsidR="00B15BF9" w:rsidRPr="00E56625" w:rsidRDefault="00B15BF9" w:rsidP="001B3BE4">
            <w:pPr>
              <w:jc w:val="center"/>
              <w:rPr>
                <w:sz w:val="20"/>
                <w:szCs w:val="20"/>
                <w:lang w:val="en-US"/>
              </w:rPr>
            </w:pPr>
            <w:r w:rsidRPr="00E56625">
              <w:rPr>
                <w:sz w:val="20"/>
                <w:szCs w:val="20"/>
                <w:lang w:val="en-US"/>
              </w:rPr>
              <w:t>100%</w:t>
            </w:r>
          </w:p>
        </w:tc>
        <w:tc>
          <w:tcPr>
            <w:tcW w:w="570" w:type="pct"/>
            <w:noWrap/>
            <w:vAlign w:val="center"/>
          </w:tcPr>
          <w:p w:rsidR="00B15BF9" w:rsidRPr="00E56625" w:rsidRDefault="00B15BF9" w:rsidP="001B3BE4">
            <w:pPr>
              <w:jc w:val="center"/>
              <w:rPr>
                <w:sz w:val="20"/>
                <w:szCs w:val="20"/>
                <w:lang w:val="en-US"/>
              </w:rPr>
            </w:pPr>
            <w:r w:rsidRPr="00E56625">
              <w:rPr>
                <w:sz w:val="20"/>
                <w:szCs w:val="20"/>
                <w:lang w:val="en-US"/>
              </w:rPr>
              <w:t>100%</w:t>
            </w:r>
          </w:p>
        </w:tc>
        <w:tc>
          <w:tcPr>
            <w:tcW w:w="571" w:type="pct"/>
            <w:noWrap/>
            <w:vAlign w:val="center"/>
          </w:tcPr>
          <w:p w:rsidR="00B15BF9" w:rsidRPr="00E56625" w:rsidRDefault="00B15BF9" w:rsidP="001B3BE4">
            <w:pPr>
              <w:jc w:val="center"/>
              <w:rPr>
                <w:sz w:val="20"/>
                <w:szCs w:val="20"/>
                <w:lang w:val="en-US"/>
              </w:rPr>
            </w:pPr>
            <w:r w:rsidRPr="00E56625">
              <w:rPr>
                <w:sz w:val="20"/>
                <w:szCs w:val="20"/>
                <w:lang w:val="en-US"/>
              </w:rPr>
              <w:t>100%</w:t>
            </w:r>
          </w:p>
        </w:tc>
      </w:tr>
      <w:tr w:rsidR="00B15BF9" w:rsidRPr="008F3531" w:rsidTr="00E96123">
        <w:trPr>
          <w:trHeight w:val="300"/>
        </w:trPr>
        <w:tc>
          <w:tcPr>
            <w:tcW w:w="1628" w:type="pct"/>
            <w:noWrap/>
            <w:vAlign w:val="bottom"/>
            <w:hideMark/>
          </w:tcPr>
          <w:p w:rsidR="00B15BF9" w:rsidRPr="00E56625" w:rsidRDefault="00B15BF9" w:rsidP="001B3BE4">
            <w:pPr>
              <w:rPr>
                <w:b/>
                <w:sz w:val="20"/>
                <w:szCs w:val="20"/>
                <w:lang w:val="en-US"/>
              </w:rPr>
            </w:pPr>
            <w:r w:rsidRPr="00E56625">
              <w:rPr>
                <w:b/>
                <w:sz w:val="20"/>
                <w:szCs w:val="20"/>
                <w:lang w:val="en-US"/>
              </w:rPr>
              <w:t>Total number of migrants</w:t>
            </w:r>
          </w:p>
        </w:tc>
        <w:tc>
          <w:tcPr>
            <w:tcW w:w="523" w:type="pct"/>
            <w:noWrap/>
            <w:vAlign w:val="center"/>
            <w:hideMark/>
          </w:tcPr>
          <w:p w:rsidR="00B15BF9" w:rsidRPr="00E56625" w:rsidRDefault="00B15BF9" w:rsidP="001B3BE4">
            <w:pPr>
              <w:jc w:val="center"/>
              <w:rPr>
                <w:sz w:val="20"/>
                <w:szCs w:val="20"/>
                <w:lang w:val="en-US"/>
              </w:rPr>
            </w:pPr>
            <w:r w:rsidRPr="00E56625">
              <w:rPr>
                <w:sz w:val="20"/>
                <w:szCs w:val="20"/>
                <w:lang w:val="en-US"/>
              </w:rPr>
              <w:t>525,874</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135,114</w:t>
            </w:r>
          </w:p>
        </w:tc>
        <w:tc>
          <w:tcPr>
            <w:tcW w:w="568" w:type="pct"/>
            <w:noWrap/>
            <w:vAlign w:val="center"/>
            <w:hideMark/>
          </w:tcPr>
          <w:p w:rsidR="00B15BF9" w:rsidRPr="00E56625" w:rsidRDefault="00B15BF9" w:rsidP="001B3BE4">
            <w:pPr>
              <w:jc w:val="center"/>
              <w:rPr>
                <w:sz w:val="20"/>
                <w:szCs w:val="20"/>
                <w:lang w:val="en-US"/>
              </w:rPr>
            </w:pPr>
            <w:r w:rsidRPr="00E56625">
              <w:rPr>
                <w:sz w:val="20"/>
                <w:szCs w:val="20"/>
                <w:lang w:val="en-US"/>
              </w:rPr>
              <w:t>102,019</w:t>
            </w:r>
          </w:p>
        </w:tc>
        <w:tc>
          <w:tcPr>
            <w:tcW w:w="569" w:type="pct"/>
            <w:noWrap/>
            <w:vAlign w:val="center"/>
            <w:hideMark/>
          </w:tcPr>
          <w:p w:rsidR="00B15BF9" w:rsidRPr="00E56625" w:rsidRDefault="00B15BF9" w:rsidP="001B3BE4">
            <w:pPr>
              <w:jc w:val="center"/>
              <w:rPr>
                <w:sz w:val="20"/>
                <w:szCs w:val="20"/>
                <w:lang w:val="en-US"/>
              </w:rPr>
            </w:pPr>
            <w:r w:rsidRPr="00E56625">
              <w:rPr>
                <w:sz w:val="20"/>
                <w:szCs w:val="20"/>
                <w:lang w:val="en-US"/>
              </w:rPr>
              <w:t>138,041</w:t>
            </w:r>
          </w:p>
        </w:tc>
        <w:tc>
          <w:tcPr>
            <w:tcW w:w="570" w:type="pct"/>
            <w:noWrap/>
            <w:vAlign w:val="center"/>
            <w:hideMark/>
          </w:tcPr>
          <w:p w:rsidR="00B15BF9" w:rsidRPr="00E56625" w:rsidRDefault="00B15BF9" w:rsidP="001B3BE4">
            <w:pPr>
              <w:jc w:val="center"/>
              <w:rPr>
                <w:sz w:val="20"/>
                <w:szCs w:val="20"/>
                <w:lang w:val="en-US"/>
              </w:rPr>
            </w:pPr>
            <w:r w:rsidRPr="00E56625">
              <w:rPr>
                <w:sz w:val="20"/>
                <w:szCs w:val="20"/>
                <w:lang w:val="en-US"/>
              </w:rPr>
              <w:t>77,921</w:t>
            </w:r>
          </w:p>
        </w:tc>
        <w:tc>
          <w:tcPr>
            <w:tcW w:w="571" w:type="pct"/>
            <w:noWrap/>
            <w:vAlign w:val="center"/>
            <w:hideMark/>
          </w:tcPr>
          <w:p w:rsidR="00B15BF9" w:rsidRPr="00E56625" w:rsidRDefault="00B15BF9" w:rsidP="001B3BE4">
            <w:pPr>
              <w:jc w:val="center"/>
              <w:rPr>
                <w:sz w:val="20"/>
                <w:szCs w:val="20"/>
                <w:lang w:val="en-US"/>
              </w:rPr>
            </w:pPr>
            <w:r w:rsidRPr="00E56625">
              <w:rPr>
                <w:sz w:val="20"/>
                <w:szCs w:val="20"/>
                <w:lang w:val="en-US"/>
              </w:rPr>
              <w:t>978,969</w:t>
            </w:r>
          </w:p>
        </w:tc>
      </w:tr>
    </w:tbl>
    <w:p w:rsidR="00B15BF9" w:rsidRPr="00E56625" w:rsidRDefault="00B15BF9" w:rsidP="00B15BF9">
      <w:pPr>
        <w:spacing w:after="0"/>
        <w:rPr>
          <w:sz w:val="20"/>
          <w:szCs w:val="20"/>
          <w:lang w:val="en-US"/>
        </w:rPr>
      </w:pPr>
      <w:r w:rsidRPr="00E56625">
        <w:rPr>
          <w:sz w:val="20"/>
          <w:szCs w:val="20"/>
          <w:lang w:val="en-US"/>
        </w:rPr>
        <w:t>Source: 2009 RGPH. Authors’ calculations.</w:t>
      </w:r>
    </w:p>
    <w:p w:rsidR="001B3BE4" w:rsidRPr="00E56625" w:rsidRDefault="001B3BE4" w:rsidP="00C04365">
      <w:pPr>
        <w:spacing w:after="0"/>
        <w:rPr>
          <w:lang w:val="en-US"/>
        </w:rPr>
      </w:pPr>
    </w:p>
    <w:p w:rsidR="001B3BE4" w:rsidRPr="008F3531" w:rsidRDefault="001B3BE4" w:rsidP="001B3BE4">
      <w:pPr>
        <w:pStyle w:val="paranumb"/>
        <w:rPr>
          <w:rFonts w:cs="Times New Roman"/>
          <w:szCs w:val="24"/>
        </w:rPr>
      </w:pPr>
      <w:r w:rsidRPr="008F3531">
        <w:rPr>
          <w:rFonts w:cs="Times New Roman"/>
          <w:szCs w:val="24"/>
        </w:rPr>
        <w:t>The strong migration selection according to level of education is illustrated by Table 2.3 which shows that skilled migrants are found in higher proportions in medium-sized cities and in Bamako.</w:t>
      </w:r>
      <w:r w:rsidRPr="008F3531">
        <w:rPr>
          <w:rStyle w:val="FootnoteReference"/>
          <w:rFonts w:cs="Times New Roman"/>
          <w:szCs w:val="24"/>
        </w:rPr>
        <w:footnoteReference w:id="19"/>
      </w:r>
      <w:r w:rsidRPr="008F3531">
        <w:rPr>
          <w:rFonts w:cs="Times New Roman"/>
          <w:szCs w:val="24"/>
        </w:rPr>
        <w:t xml:space="preserve">  Whereas 60.5 percent of all internal migrants are located in Bamako, the city hosts a disproportionate share of migrants with a tertiary education (78.9 percent).  In contrast, Bamako’s share of migrants with no education is below the national average (55.5 percent).  Whereas 24.5 percent of uneducated migrants are in rural areas, only 10.9 percent and 6.5 percent of those with a high school or a tertiary education respectively migrate to rural areas.  These patterns are likely to reflect relatively better opportunities for skilled workers and possibly higher returns to education in cities.  </w:t>
      </w:r>
    </w:p>
    <w:p w:rsidR="001B3BE4" w:rsidRPr="008F3531" w:rsidRDefault="001B3BE4" w:rsidP="001B3BE4">
      <w:pPr>
        <w:pStyle w:val="Caption"/>
      </w:pPr>
    </w:p>
    <w:p w:rsidR="001B3BE4" w:rsidRPr="008F3531" w:rsidRDefault="001B3BE4" w:rsidP="001B3BE4">
      <w:pPr>
        <w:pStyle w:val="Caption"/>
      </w:pPr>
    </w:p>
    <w:p w:rsidR="001B3BE4" w:rsidRPr="008F3531" w:rsidRDefault="001B3BE4" w:rsidP="001B3BE4">
      <w:pPr>
        <w:pStyle w:val="Caption"/>
      </w:pPr>
    </w:p>
    <w:p w:rsidR="00C04365" w:rsidRPr="008F3531" w:rsidRDefault="00C04365">
      <w:pPr>
        <w:rPr>
          <w:rFonts w:ascii="Times New Roman Bold" w:hAnsi="Times New Roman Bold" w:cstheme="minorBidi"/>
          <w:b/>
          <w:bCs/>
          <w:color w:val="000000" w:themeColor="text1"/>
          <w:sz w:val="22"/>
          <w:szCs w:val="18"/>
          <w:lang w:val="en-US"/>
        </w:rPr>
      </w:pPr>
      <w:r w:rsidRPr="00E56625">
        <w:rPr>
          <w:lang w:val="en-US"/>
        </w:rPr>
        <w:br w:type="page"/>
      </w:r>
    </w:p>
    <w:tbl>
      <w:tblPr>
        <w:tblStyle w:val="TableGrid"/>
        <w:tblW w:w="5000" w:type="pct"/>
        <w:tblLayout w:type="fixed"/>
        <w:tblLook w:val="04A0" w:firstRow="1" w:lastRow="0" w:firstColumn="1" w:lastColumn="0" w:noHBand="0" w:noVBand="1"/>
      </w:tblPr>
      <w:tblGrid>
        <w:gridCol w:w="2745"/>
        <w:gridCol w:w="1496"/>
        <w:gridCol w:w="1406"/>
        <w:gridCol w:w="1239"/>
        <w:gridCol w:w="258"/>
        <w:gridCol w:w="979"/>
        <w:gridCol w:w="1237"/>
      </w:tblGrid>
      <w:tr w:rsidR="0033088D" w:rsidRPr="00B0310C" w:rsidTr="00E56625">
        <w:trPr>
          <w:trHeight w:val="1691"/>
        </w:trPr>
        <w:tc>
          <w:tcPr>
            <w:tcW w:w="1466" w:type="pct"/>
            <w:tcBorders>
              <w:top w:val="single" w:sz="4" w:space="0" w:color="auto"/>
              <w:left w:val="nil"/>
              <w:bottom w:val="single" w:sz="4" w:space="0" w:color="auto"/>
              <w:right w:val="nil"/>
            </w:tcBorders>
            <w:noWrap/>
            <w:hideMark/>
          </w:tcPr>
          <w:p w:rsidR="0033088D" w:rsidRPr="00B0310C" w:rsidRDefault="001B3BE4" w:rsidP="00C8297A">
            <w:pPr>
              <w:rPr>
                <w:b/>
                <w:sz w:val="20"/>
                <w:szCs w:val="20"/>
              </w:rPr>
            </w:pPr>
            <w:bookmarkStart w:id="27" w:name="_Toc390956282"/>
            <w:r w:rsidRPr="00C8297A">
              <w:rPr>
                <w:b/>
                <w:bCs/>
              </w:rPr>
              <w:t xml:space="preserve">Table </w:t>
            </w:r>
            <w:r w:rsidR="00943E46" w:rsidRPr="00E56625">
              <w:rPr>
                <w:b/>
              </w:rPr>
              <w:fldChar w:fldCharType="begin"/>
            </w:r>
            <w:r w:rsidR="00943E46" w:rsidRPr="00E56625">
              <w:rPr>
                <w:b/>
              </w:rPr>
              <w:instrText xml:space="preserve"> STYLEREF 1 \s </w:instrText>
            </w:r>
            <w:r w:rsidR="00943E46" w:rsidRPr="00E56625">
              <w:rPr>
                <w:b/>
              </w:rPr>
              <w:fldChar w:fldCharType="separate"/>
            </w:r>
            <w:r w:rsidR="002779FA">
              <w:rPr>
                <w:b/>
                <w:noProof/>
              </w:rPr>
              <w:t>2</w:t>
            </w:r>
            <w:r w:rsidR="00943E46" w:rsidRPr="00E56625">
              <w:rPr>
                <w:b/>
                <w:noProof/>
              </w:rPr>
              <w:fldChar w:fldCharType="end"/>
            </w:r>
            <w:r w:rsidR="00BA393B" w:rsidRPr="00E56625">
              <w:rPr>
                <w:b/>
              </w:rPr>
              <w:t>.</w:t>
            </w:r>
            <w:r w:rsidR="00943E46" w:rsidRPr="00E56625">
              <w:rPr>
                <w:b/>
              </w:rPr>
              <w:fldChar w:fldCharType="begin"/>
            </w:r>
            <w:r w:rsidR="00943E46" w:rsidRPr="00E56625">
              <w:rPr>
                <w:b/>
              </w:rPr>
              <w:instrText xml:space="preserve"> SEQ Table \* ARABIC \s 1 </w:instrText>
            </w:r>
            <w:r w:rsidR="00943E46" w:rsidRPr="00E56625">
              <w:rPr>
                <w:b/>
              </w:rPr>
              <w:fldChar w:fldCharType="separate"/>
            </w:r>
            <w:r w:rsidR="002779FA">
              <w:rPr>
                <w:b/>
                <w:noProof/>
              </w:rPr>
              <w:t>4</w:t>
            </w:r>
            <w:r w:rsidR="00943E46" w:rsidRPr="00E56625">
              <w:rPr>
                <w:b/>
                <w:noProof/>
              </w:rPr>
              <w:fldChar w:fldCharType="end"/>
            </w:r>
            <w:r w:rsidR="00B15BF9" w:rsidRPr="00E56625">
              <w:rPr>
                <w:b/>
                <w:bCs/>
              </w:rPr>
              <w:t>: Access to basic utilities (2009)</w:t>
            </w:r>
            <w:bookmarkEnd w:id="27"/>
            <w:r w:rsidR="0033088D">
              <w:rPr>
                <w:b/>
                <w:sz w:val="20"/>
                <w:szCs w:val="20"/>
              </w:rPr>
              <w:t>Agglomeration type</w:t>
            </w:r>
          </w:p>
        </w:tc>
        <w:tc>
          <w:tcPr>
            <w:tcW w:w="799" w:type="pct"/>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Households whose main supply of water is from a faucet</w:t>
            </w:r>
          </w:p>
        </w:tc>
        <w:tc>
          <w:tcPr>
            <w:tcW w:w="751" w:type="pct"/>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Households whose main supply of water is from a well or bore hole</w:t>
            </w:r>
          </w:p>
        </w:tc>
        <w:tc>
          <w:tcPr>
            <w:tcW w:w="662" w:type="pct"/>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Proportion of households with electricity</w:t>
            </w:r>
          </w:p>
        </w:tc>
        <w:tc>
          <w:tcPr>
            <w:tcW w:w="661" w:type="pct"/>
            <w:gridSpan w:val="2"/>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Proportion of households with toilets</w:t>
            </w:r>
          </w:p>
        </w:tc>
        <w:tc>
          <w:tcPr>
            <w:tcW w:w="661" w:type="pct"/>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Proportion of households using latrines</w:t>
            </w:r>
          </w:p>
        </w:tc>
      </w:tr>
      <w:tr w:rsidR="0033088D" w:rsidRPr="00B0310C" w:rsidTr="00E56625">
        <w:trPr>
          <w:trHeight w:val="300"/>
        </w:trPr>
        <w:tc>
          <w:tcPr>
            <w:tcW w:w="1466" w:type="pct"/>
            <w:tcBorders>
              <w:top w:val="single" w:sz="4" w:space="0" w:color="auto"/>
              <w:left w:val="nil"/>
              <w:bottom w:val="nil"/>
              <w:right w:val="nil"/>
            </w:tcBorders>
            <w:noWrap/>
            <w:hideMark/>
          </w:tcPr>
          <w:p w:rsidR="0033088D" w:rsidRPr="00B0310C" w:rsidRDefault="0033088D" w:rsidP="00C8297A">
            <w:pPr>
              <w:rPr>
                <w:i/>
                <w:sz w:val="20"/>
                <w:szCs w:val="20"/>
              </w:rPr>
            </w:pPr>
            <w:r w:rsidRPr="00B0310C">
              <w:rPr>
                <w:i/>
                <w:sz w:val="20"/>
                <w:szCs w:val="20"/>
              </w:rPr>
              <w:t>Village</w:t>
            </w:r>
          </w:p>
          <w:p w:rsidR="0033088D" w:rsidRPr="00B0310C" w:rsidRDefault="0033088D" w:rsidP="00C8297A">
            <w:pPr>
              <w:rPr>
                <w:sz w:val="20"/>
                <w:szCs w:val="20"/>
              </w:rPr>
            </w:pPr>
            <w:r w:rsidRPr="00B0310C">
              <w:rPr>
                <w:sz w:val="20"/>
                <w:szCs w:val="20"/>
              </w:rPr>
              <w:t>population &lt;5,000</w:t>
            </w:r>
          </w:p>
        </w:tc>
        <w:tc>
          <w:tcPr>
            <w:tcW w:w="799" w:type="pct"/>
            <w:tcBorders>
              <w:top w:val="single" w:sz="4" w:space="0" w:color="auto"/>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1.8%</w:t>
            </w:r>
          </w:p>
        </w:tc>
        <w:tc>
          <w:tcPr>
            <w:tcW w:w="751" w:type="pct"/>
            <w:tcBorders>
              <w:top w:val="single" w:sz="4" w:space="0" w:color="auto"/>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87.5%</w:t>
            </w:r>
          </w:p>
        </w:tc>
        <w:tc>
          <w:tcPr>
            <w:tcW w:w="662" w:type="pct"/>
            <w:tcBorders>
              <w:top w:val="single" w:sz="4" w:space="0" w:color="auto"/>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1.1%</w:t>
            </w:r>
          </w:p>
        </w:tc>
        <w:tc>
          <w:tcPr>
            <w:tcW w:w="661" w:type="pct"/>
            <w:gridSpan w:val="2"/>
            <w:tcBorders>
              <w:top w:val="single" w:sz="4" w:space="0" w:color="auto"/>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5.7%</w:t>
            </w:r>
          </w:p>
        </w:tc>
        <w:tc>
          <w:tcPr>
            <w:tcW w:w="661" w:type="pct"/>
            <w:tcBorders>
              <w:top w:val="single" w:sz="4" w:space="0" w:color="auto"/>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61.7%</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i/>
                <w:sz w:val="20"/>
                <w:szCs w:val="20"/>
              </w:rPr>
            </w:pPr>
          </w:p>
          <w:p w:rsidR="0033088D" w:rsidRPr="00B0310C" w:rsidRDefault="0033088D" w:rsidP="00C8297A">
            <w:pPr>
              <w:rPr>
                <w:i/>
                <w:sz w:val="20"/>
                <w:szCs w:val="20"/>
              </w:rPr>
            </w:pPr>
            <w:r w:rsidRPr="00B0310C">
              <w:rPr>
                <w:i/>
                <w:sz w:val="20"/>
                <w:szCs w:val="20"/>
              </w:rPr>
              <w:t>Rural town</w:t>
            </w:r>
          </w:p>
          <w:p w:rsidR="0033088D" w:rsidRPr="00B0310C" w:rsidRDefault="0033088D" w:rsidP="00C8297A">
            <w:pPr>
              <w:rPr>
                <w:sz w:val="20"/>
                <w:szCs w:val="20"/>
              </w:rPr>
            </w:pPr>
            <w:r w:rsidRPr="00B0310C">
              <w:rPr>
                <w:sz w:val="20"/>
                <w:szCs w:val="20"/>
              </w:rPr>
              <w:t xml:space="preserve">population [5,000-30,000], </w:t>
            </w:r>
          </w:p>
          <w:p w:rsidR="0033088D" w:rsidRPr="00B0310C" w:rsidRDefault="0033088D" w:rsidP="00C8297A">
            <w:pPr>
              <w:rPr>
                <w:sz w:val="20"/>
                <w:szCs w:val="20"/>
              </w:rPr>
            </w:pPr>
            <w:r w:rsidRPr="00B0310C">
              <w:rPr>
                <w:sz w:val="20"/>
                <w:szCs w:val="20"/>
              </w:rPr>
              <w:t>density&lt;250 people/</w:t>
            </w:r>
            <w:r w:rsidR="00C8297A" w:rsidRPr="00C8297A">
              <w:rPr>
                <w:sz w:val="20"/>
                <w:szCs w:val="20"/>
              </w:rPr>
              <w:t>km2</w:t>
            </w:r>
          </w:p>
        </w:tc>
        <w:tc>
          <w:tcPr>
            <w:tcW w:w="799"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12.9%</w:t>
            </w:r>
          </w:p>
        </w:tc>
        <w:tc>
          <w:tcPr>
            <w:tcW w:w="75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67.9%</w:t>
            </w:r>
          </w:p>
        </w:tc>
        <w:tc>
          <w:tcPr>
            <w:tcW w:w="662"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8.1%</w:t>
            </w:r>
          </w:p>
        </w:tc>
        <w:tc>
          <w:tcPr>
            <w:tcW w:w="661" w:type="pct"/>
            <w:gridSpan w:val="2"/>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7.6%</w:t>
            </w:r>
          </w:p>
        </w:tc>
        <w:tc>
          <w:tcPr>
            <w:tcW w:w="66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73.2%</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i/>
                <w:sz w:val="20"/>
                <w:szCs w:val="20"/>
              </w:rPr>
            </w:pPr>
            <w:r w:rsidRPr="00B0310C">
              <w:rPr>
                <w:i/>
                <w:sz w:val="20"/>
                <w:szCs w:val="20"/>
              </w:rPr>
              <w:t>Town</w:t>
            </w:r>
          </w:p>
          <w:p w:rsidR="0033088D" w:rsidRPr="00B0310C" w:rsidRDefault="0033088D" w:rsidP="00C8297A">
            <w:pPr>
              <w:rPr>
                <w:sz w:val="20"/>
                <w:szCs w:val="20"/>
              </w:rPr>
            </w:pPr>
            <w:r w:rsidRPr="00B0310C">
              <w:rPr>
                <w:sz w:val="20"/>
                <w:szCs w:val="20"/>
              </w:rPr>
              <w:t xml:space="preserve">population [5,000-30,000], </w:t>
            </w:r>
          </w:p>
          <w:p w:rsidR="0033088D" w:rsidRPr="00B0310C" w:rsidRDefault="0033088D" w:rsidP="00C8297A">
            <w:pPr>
              <w:rPr>
                <w:sz w:val="20"/>
                <w:szCs w:val="20"/>
              </w:rPr>
            </w:pPr>
            <w:r w:rsidRPr="00B0310C">
              <w:rPr>
                <w:sz w:val="20"/>
                <w:szCs w:val="20"/>
              </w:rPr>
              <w:t>density&gt;=250 people/</w:t>
            </w:r>
            <w:r w:rsidR="00C8297A" w:rsidRPr="00C8297A">
              <w:rPr>
                <w:sz w:val="20"/>
                <w:szCs w:val="20"/>
              </w:rPr>
              <w:t>km2</w:t>
            </w:r>
          </w:p>
        </w:tc>
        <w:tc>
          <w:tcPr>
            <w:tcW w:w="799"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15.8%</w:t>
            </w:r>
          </w:p>
        </w:tc>
        <w:tc>
          <w:tcPr>
            <w:tcW w:w="75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69.1%</w:t>
            </w:r>
          </w:p>
        </w:tc>
        <w:tc>
          <w:tcPr>
            <w:tcW w:w="662"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17.1%</w:t>
            </w:r>
          </w:p>
        </w:tc>
        <w:tc>
          <w:tcPr>
            <w:tcW w:w="661" w:type="pct"/>
            <w:gridSpan w:val="2"/>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7.0%</w:t>
            </w:r>
          </w:p>
        </w:tc>
        <w:tc>
          <w:tcPr>
            <w:tcW w:w="66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81.6%</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i/>
                <w:sz w:val="20"/>
                <w:szCs w:val="20"/>
              </w:rPr>
            </w:pPr>
          </w:p>
          <w:p w:rsidR="0033088D" w:rsidRPr="00B0310C" w:rsidRDefault="0033088D" w:rsidP="00C8297A">
            <w:pPr>
              <w:rPr>
                <w:i/>
                <w:sz w:val="20"/>
                <w:szCs w:val="20"/>
              </w:rPr>
            </w:pPr>
            <w:r w:rsidRPr="00B0310C">
              <w:rPr>
                <w:i/>
                <w:sz w:val="20"/>
                <w:szCs w:val="20"/>
              </w:rPr>
              <w:t>City</w:t>
            </w:r>
          </w:p>
          <w:p w:rsidR="0033088D" w:rsidRPr="00B0310C" w:rsidRDefault="0033088D" w:rsidP="00C8297A">
            <w:pPr>
              <w:rPr>
                <w:sz w:val="20"/>
                <w:szCs w:val="20"/>
              </w:rPr>
            </w:pPr>
            <w:r w:rsidRPr="00B0310C">
              <w:rPr>
                <w:sz w:val="20"/>
                <w:szCs w:val="20"/>
              </w:rPr>
              <w:t xml:space="preserve">population &gt;=30,000, </w:t>
            </w:r>
          </w:p>
          <w:p w:rsidR="0033088D" w:rsidRPr="00B0310C" w:rsidRDefault="0033088D" w:rsidP="00C8297A">
            <w:pPr>
              <w:rPr>
                <w:sz w:val="20"/>
                <w:szCs w:val="20"/>
              </w:rPr>
            </w:pPr>
            <w:r w:rsidRPr="00B0310C">
              <w:rPr>
                <w:sz w:val="20"/>
                <w:szCs w:val="20"/>
              </w:rPr>
              <w:t>density&gt;=250 people/</w:t>
            </w:r>
            <w:r w:rsidR="00C8297A" w:rsidRPr="00C8297A">
              <w:rPr>
                <w:sz w:val="20"/>
                <w:szCs w:val="20"/>
              </w:rPr>
              <w:t>km2</w:t>
            </w:r>
          </w:p>
        </w:tc>
        <w:tc>
          <w:tcPr>
            <w:tcW w:w="799"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32.5%</w:t>
            </w:r>
          </w:p>
        </w:tc>
        <w:tc>
          <w:tcPr>
            <w:tcW w:w="75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54.1%</w:t>
            </w:r>
          </w:p>
        </w:tc>
        <w:tc>
          <w:tcPr>
            <w:tcW w:w="662"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42.2%</w:t>
            </w:r>
          </w:p>
        </w:tc>
        <w:tc>
          <w:tcPr>
            <w:tcW w:w="661" w:type="pct"/>
            <w:gridSpan w:val="2"/>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10.1%</w:t>
            </w:r>
          </w:p>
        </w:tc>
        <w:tc>
          <w:tcPr>
            <w:tcW w:w="66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83.7%</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sz w:val="20"/>
                <w:szCs w:val="20"/>
              </w:rPr>
            </w:pPr>
          </w:p>
          <w:p w:rsidR="0033088D" w:rsidRPr="00B0310C" w:rsidRDefault="0033088D" w:rsidP="00C8297A">
            <w:pPr>
              <w:rPr>
                <w:sz w:val="20"/>
                <w:szCs w:val="20"/>
              </w:rPr>
            </w:pPr>
            <w:r w:rsidRPr="00B0310C">
              <w:rPr>
                <w:sz w:val="20"/>
                <w:szCs w:val="20"/>
              </w:rPr>
              <w:t>Kayes</w:t>
            </w:r>
          </w:p>
        </w:tc>
        <w:tc>
          <w:tcPr>
            <w:tcW w:w="799"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60.1%</w:t>
            </w:r>
          </w:p>
        </w:tc>
        <w:tc>
          <w:tcPr>
            <w:tcW w:w="75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8.2%</w:t>
            </w:r>
          </w:p>
        </w:tc>
        <w:tc>
          <w:tcPr>
            <w:tcW w:w="662"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50.7%</w:t>
            </w:r>
          </w:p>
        </w:tc>
        <w:tc>
          <w:tcPr>
            <w:tcW w:w="661" w:type="pct"/>
            <w:gridSpan w:val="2"/>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14.5%</w:t>
            </w:r>
          </w:p>
        </w:tc>
        <w:tc>
          <w:tcPr>
            <w:tcW w:w="66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81.3%</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sz w:val="20"/>
                <w:szCs w:val="20"/>
              </w:rPr>
            </w:pPr>
            <w:r w:rsidRPr="00B0310C">
              <w:rPr>
                <w:sz w:val="20"/>
                <w:szCs w:val="20"/>
              </w:rPr>
              <w:t>Sikasso</w:t>
            </w:r>
          </w:p>
        </w:tc>
        <w:tc>
          <w:tcPr>
            <w:tcW w:w="799"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43.8%</w:t>
            </w:r>
          </w:p>
        </w:tc>
        <w:tc>
          <w:tcPr>
            <w:tcW w:w="75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50.7%</w:t>
            </w:r>
          </w:p>
        </w:tc>
        <w:tc>
          <w:tcPr>
            <w:tcW w:w="662"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48.6%</w:t>
            </w:r>
          </w:p>
        </w:tc>
        <w:tc>
          <w:tcPr>
            <w:tcW w:w="661" w:type="pct"/>
            <w:gridSpan w:val="2"/>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11.3%</w:t>
            </w:r>
          </w:p>
        </w:tc>
        <w:tc>
          <w:tcPr>
            <w:tcW w:w="66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84.5%</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sz w:val="20"/>
                <w:szCs w:val="20"/>
              </w:rPr>
            </w:pPr>
            <w:r w:rsidRPr="00B0310C">
              <w:rPr>
                <w:sz w:val="20"/>
                <w:szCs w:val="20"/>
              </w:rPr>
              <w:t>Ségou</w:t>
            </w:r>
          </w:p>
        </w:tc>
        <w:tc>
          <w:tcPr>
            <w:tcW w:w="799"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23.0%</w:t>
            </w:r>
          </w:p>
        </w:tc>
        <w:tc>
          <w:tcPr>
            <w:tcW w:w="75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63.8%</w:t>
            </w:r>
          </w:p>
        </w:tc>
        <w:tc>
          <w:tcPr>
            <w:tcW w:w="662"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47.0%</w:t>
            </w:r>
          </w:p>
        </w:tc>
        <w:tc>
          <w:tcPr>
            <w:tcW w:w="661" w:type="pct"/>
            <w:gridSpan w:val="2"/>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11.9%</w:t>
            </w:r>
          </w:p>
        </w:tc>
        <w:tc>
          <w:tcPr>
            <w:tcW w:w="661" w:type="pct"/>
            <w:tcBorders>
              <w:top w:val="nil"/>
              <w:left w:val="nil"/>
              <w:bottom w:val="nil"/>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83.2%</w:t>
            </w:r>
          </w:p>
        </w:tc>
      </w:tr>
      <w:tr w:rsidR="0033088D" w:rsidRPr="00B0310C" w:rsidTr="00E56625">
        <w:trPr>
          <w:trHeight w:val="300"/>
        </w:trPr>
        <w:tc>
          <w:tcPr>
            <w:tcW w:w="1466" w:type="pct"/>
            <w:tcBorders>
              <w:top w:val="nil"/>
              <w:left w:val="nil"/>
              <w:bottom w:val="single" w:sz="4" w:space="0" w:color="auto"/>
              <w:right w:val="nil"/>
            </w:tcBorders>
            <w:noWrap/>
            <w:hideMark/>
          </w:tcPr>
          <w:p w:rsidR="0033088D" w:rsidRPr="00B0310C" w:rsidRDefault="0033088D" w:rsidP="00C8297A">
            <w:pPr>
              <w:rPr>
                <w:sz w:val="20"/>
                <w:szCs w:val="20"/>
              </w:rPr>
            </w:pPr>
            <w:r w:rsidRPr="00B0310C">
              <w:rPr>
                <w:sz w:val="20"/>
                <w:szCs w:val="20"/>
              </w:rPr>
              <w:t>Bamako</w:t>
            </w:r>
          </w:p>
        </w:tc>
        <w:tc>
          <w:tcPr>
            <w:tcW w:w="799" w:type="pct"/>
            <w:tcBorders>
              <w:top w:val="nil"/>
              <w:left w:val="nil"/>
              <w:bottom w:val="single" w:sz="4" w:space="0" w:color="auto"/>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40.1%</w:t>
            </w:r>
          </w:p>
        </w:tc>
        <w:tc>
          <w:tcPr>
            <w:tcW w:w="751" w:type="pct"/>
            <w:tcBorders>
              <w:top w:val="nil"/>
              <w:left w:val="nil"/>
              <w:bottom w:val="single" w:sz="4" w:space="0" w:color="auto"/>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34.3%</w:t>
            </w:r>
          </w:p>
        </w:tc>
        <w:tc>
          <w:tcPr>
            <w:tcW w:w="662" w:type="pct"/>
            <w:tcBorders>
              <w:top w:val="nil"/>
              <w:left w:val="nil"/>
              <w:bottom w:val="single" w:sz="4" w:space="0" w:color="auto"/>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68.2%</w:t>
            </w:r>
          </w:p>
        </w:tc>
        <w:tc>
          <w:tcPr>
            <w:tcW w:w="661" w:type="pct"/>
            <w:gridSpan w:val="2"/>
            <w:tcBorders>
              <w:top w:val="nil"/>
              <w:left w:val="nil"/>
              <w:bottom w:val="single" w:sz="4" w:space="0" w:color="auto"/>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21.3%</w:t>
            </w:r>
          </w:p>
        </w:tc>
        <w:tc>
          <w:tcPr>
            <w:tcW w:w="661" w:type="pct"/>
            <w:tcBorders>
              <w:top w:val="nil"/>
              <w:left w:val="nil"/>
              <w:bottom w:val="single" w:sz="4" w:space="0" w:color="auto"/>
              <w:right w:val="nil"/>
            </w:tcBorders>
            <w:noWrap/>
            <w:vAlign w:val="bottom"/>
            <w:hideMark/>
          </w:tcPr>
          <w:p w:rsidR="0033088D" w:rsidRPr="00B0310C" w:rsidRDefault="0033088D" w:rsidP="00C8297A">
            <w:pPr>
              <w:jc w:val="center"/>
              <w:rPr>
                <w:color w:val="000000"/>
                <w:sz w:val="20"/>
                <w:szCs w:val="20"/>
              </w:rPr>
            </w:pPr>
            <w:r w:rsidRPr="00B0310C">
              <w:rPr>
                <w:color w:val="000000"/>
                <w:sz w:val="20"/>
                <w:szCs w:val="20"/>
              </w:rPr>
              <w:t>74.1%</w:t>
            </w:r>
          </w:p>
        </w:tc>
      </w:tr>
      <w:tr w:rsidR="0033088D" w:rsidRPr="00B0310C" w:rsidTr="00E56625">
        <w:trPr>
          <w:trHeight w:val="900"/>
        </w:trPr>
        <w:tc>
          <w:tcPr>
            <w:tcW w:w="1466" w:type="pct"/>
            <w:tcBorders>
              <w:top w:val="single" w:sz="4" w:space="0" w:color="auto"/>
              <w:left w:val="nil"/>
              <w:bottom w:val="single" w:sz="4" w:space="0" w:color="auto"/>
              <w:right w:val="nil"/>
            </w:tcBorders>
            <w:noWrap/>
            <w:hideMark/>
          </w:tcPr>
          <w:p w:rsidR="0033088D" w:rsidRPr="00B0310C" w:rsidRDefault="0033088D" w:rsidP="00C8297A">
            <w:pPr>
              <w:jc w:val="center"/>
              <w:rPr>
                <w:b/>
                <w:sz w:val="20"/>
                <w:szCs w:val="20"/>
              </w:rPr>
            </w:pPr>
          </w:p>
        </w:tc>
        <w:tc>
          <w:tcPr>
            <w:tcW w:w="799" w:type="pct"/>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Number of schools</w:t>
            </w:r>
          </w:p>
        </w:tc>
        <w:tc>
          <w:tcPr>
            <w:tcW w:w="751" w:type="pct"/>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Number of health centers</w:t>
            </w:r>
          </w:p>
        </w:tc>
        <w:tc>
          <w:tcPr>
            <w:tcW w:w="800" w:type="pct"/>
            <w:gridSpan w:val="2"/>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Schools</w:t>
            </w:r>
            <w:r w:rsidRPr="00B0310C">
              <w:rPr>
                <w:b/>
                <w:bCs/>
                <w:sz w:val="20"/>
                <w:szCs w:val="20"/>
              </w:rPr>
              <w:br/>
              <w:t>(per '000 residents)</w:t>
            </w:r>
          </w:p>
        </w:tc>
        <w:tc>
          <w:tcPr>
            <w:tcW w:w="1184" w:type="pct"/>
            <w:gridSpan w:val="2"/>
            <w:tcBorders>
              <w:top w:val="single" w:sz="4" w:space="0" w:color="auto"/>
              <w:left w:val="nil"/>
              <w:bottom w:val="single" w:sz="4" w:space="0" w:color="auto"/>
              <w:right w:val="nil"/>
            </w:tcBorders>
            <w:hideMark/>
          </w:tcPr>
          <w:p w:rsidR="0033088D" w:rsidRPr="00B0310C" w:rsidRDefault="0033088D" w:rsidP="00C8297A">
            <w:pPr>
              <w:jc w:val="center"/>
              <w:rPr>
                <w:b/>
                <w:bCs/>
                <w:sz w:val="20"/>
                <w:szCs w:val="20"/>
              </w:rPr>
            </w:pPr>
            <w:r w:rsidRPr="00B0310C">
              <w:rPr>
                <w:b/>
                <w:bCs/>
                <w:sz w:val="20"/>
                <w:szCs w:val="20"/>
              </w:rPr>
              <w:t>Health centers</w:t>
            </w:r>
            <w:r w:rsidRPr="00B0310C">
              <w:rPr>
                <w:b/>
                <w:bCs/>
                <w:sz w:val="20"/>
                <w:szCs w:val="20"/>
              </w:rPr>
              <w:br/>
              <w:t>(per '000 residents)</w:t>
            </w:r>
          </w:p>
        </w:tc>
      </w:tr>
      <w:tr w:rsidR="0033088D" w:rsidRPr="00B0310C" w:rsidTr="00E56625">
        <w:trPr>
          <w:trHeight w:val="300"/>
        </w:trPr>
        <w:tc>
          <w:tcPr>
            <w:tcW w:w="1466" w:type="pct"/>
            <w:tcBorders>
              <w:top w:val="single" w:sz="4" w:space="0" w:color="auto"/>
              <w:left w:val="nil"/>
              <w:bottom w:val="nil"/>
              <w:right w:val="nil"/>
            </w:tcBorders>
            <w:noWrap/>
            <w:hideMark/>
          </w:tcPr>
          <w:p w:rsidR="0033088D" w:rsidRPr="00B0310C" w:rsidRDefault="0033088D" w:rsidP="00C8297A">
            <w:pPr>
              <w:rPr>
                <w:i/>
                <w:sz w:val="20"/>
                <w:szCs w:val="20"/>
              </w:rPr>
            </w:pPr>
            <w:r w:rsidRPr="00B0310C">
              <w:rPr>
                <w:i/>
                <w:sz w:val="20"/>
                <w:szCs w:val="20"/>
              </w:rPr>
              <w:t>Village</w:t>
            </w:r>
          </w:p>
          <w:p w:rsidR="0033088D" w:rsidRPr="00B0310C" w:rsidRDefault="0033088D" w:rsidP="00C8297A">
            <w:pPr>
              <w:rPr>
                <w:sz w:val="20"/>
                <w:szCs w:val="20"/>
              </w:rPr>
            </w:pPr>
            <w:r w:rsidRPr="00B0310C">
              <w:rPr>
                <w:sz w:val="20"/>
                <w:szCs w:val="20"/>
              </w:rPr>
              <w:t>population &lt;5,000</w:t>
            </w:r>
          </w:p>
        </w:tc>
        <w:tc>
          <w:tcPr>
            <w:tcW w:w="799" w:type="pct"/>
            <w:tcBorders>
              <w:top w:val="single" w:sz="4" w:space="0" w:color="auto"/>
              <w:left w:val="nil"/>
              <w:bottom w:val="nil"/>
              <w:right w:val="nil"/>
            </w:tcBorders>
            <w:noWrap/>
            <w:hideMark/>
          </w:tcPr>
          <w:p w:rsidR="0033088D" w:rsidRPr="00B0310C" w:rsidRDefault="0033088D" w:rsidP="00C8297A">
            <w:pPr>
              <w:jc w:val="center"/>
              <w:rPr>
                <w:sz w:val="20"/>
                <w:szCs w:val="20"/>
              </w:rPr>
            </w:pPr>
            <w:r w:rsidRPr="00B0310C">
              <w:rPr>
                <w:sz w:val="20"/>
                <w:szCs w:val="20"/>
              </w:rPr>
              <w:t>0.74</w:t>
            </w:r>
          </w:p>
        </w:tc>
        <w:tc>
          <w:tcPr>
            <w:tcW w:w="751" w:type="pct"/>
            <w:tcBorders>
              <w:top w:val="single" w:sz="4" w:space="0" w:color="auto"/>
              <w:left w:val="nil"/>
              <w:bottom w:val="nil"/>
              <w:right w:val="nil"/>
            </w:tcBorders>
            <w:noWrap/>
            <w:hideMark/>
          </w:tcPr>
          <w:p w:rsidR="0033088D" w:rsidRPr="00B0310C" w:rsidRDefault="0033088D" w:rsidP="00C8297A">
            <w:pPr>
              <w:jc w:val="center"/>
              <w:rPr>
                <w:sz w:val="20"/>
                <w:szCs w:val="20"/>
              </w:rPr>
            </w:pPr>
            <w:r w:rsidRPr="00B0310C">
              <w:rPr>
                <w:sz w:val="20"/>
                <w:szCs w:val="20"/>
              </w:rPr>
              <w:t>0.15</w:t>
            </w:r>
          </w:p>
        </w:tc>
        <w:tc>
          <w:tcPr>
            <w:tcW w:w="800" w:type="pct"/>
            <w:gridSpan w:val="2"/>
            <w:tcBorders>
              <w:top w:val="single" w:sz="4" w:space="0" w:color="auto"/>
              <w:left w:val="nil"/>
              <w:bottom w:val="nil"/>
              <w:right w:val="nil"/>
            </w:tcBorders>
            <w:noWrap/>
            <w:hideMark/>
          </w:tcPr>
          <w:p w:rsidR="0033088D" w:rsidRPr="00B0310C" w:rsidRDefault="0033088D" w:rsidP="00C8297A">
            <w:pPr>
              <w:jc w:val="center"/>
              <w:rPr>
                <w:sz w:val="20"/>
                <w:szCs w:val="20"/>
              </w:rPr>
            </w:pPr>
            <w:r w:rsidRPr="00B0310C">
              <w:rPr>
                <w:sz w:val="20"/>
                <w:szCs w:val="20"/>
              </w:rPr>
              <w:t>0.96</w:t>
            </w:r>
          </w:p>
        </w:tc>
        <w:tc>
          <w:tcPr>
            <w:tcW w:w="1184" w:type="pct"/>
            <w:gridSpan w:val="2"/>
            <w:tcBorders>
              <w:top w:val="single" w:sz="4" w:space="0" w:color="auto"/>
              <w:left w:val="nil"/>
              <w:bottom w:val="nil"/>
              <w:right w:val="nil"/>
            </w:tcBorders>
            <w:noWrap/>
            <w:hideMark/>
          </w:tcPr>
          <w:p w:rsidR="0033088D" w:rsidRPr="00B0310C" w:rsidRDefault="0033088D" w:rsidP="00C8297A">
            <w:pPr>
              <w:jc w:val="center"/>
              <w:rPr>
                <w:sz w:val="20"/>
                <w:szCs w:val="20"/>
              </w:rPr>
            </w:pPr>
            <w:r w:rsidRPr="00B0310C">
              <w:rPr>
                <w:sz w:val="20"/>
                <w:szCs w:val="20"/>
              </w:rPr>
              <w:t>0.12</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i/>
                <w:sz w:val="20"/>
                <w:szCs w:val="20"/>
              </w:rPr>
            </w:pPr>
          </w:p>
          <w:p w:rsidR="0033088D" w:rsidRPr="00B0310C" w:rsidRDefault="0033088D" w:rsidP="00C8297A">
            <w:pPr>
              <w:rPr>
                <w:i/>
                <w:sz w:val="20"/>
                <w:szCs w:val="20"/>
              </w:rPr>
            </w:pPr>
            <w:r w:rsidRPr="00B0310C">
              <w:rPr>
                <w:i/>
                <w:sz w:val="20"/>
                <w:szCs w:val="20"/>
              </w:rPr>
              <w:t>Rural town</w:t>
            </w:r>
          </w:p>
          <w:p w:rsidR="0033088D" w:rsidRPr="00B0310C" w:rsidRDefault="0033088D" w:rsidP="00C8297A">
            <w:pPr>
              <w:rPr>
                <w:sz w:val="20"/>
                <w:szCs w:val="20"/>
              </w:rPr>
            </w:pPr>
            <w:r w:rsidRPr="00B0310C">
              <w:rPr>
                <w:sz w:val="20"/>
                <w:szCs w:val="20"/>
              </w:rPr>
              <w:t xml:space="preserve">population [5,000-30,000], </w:t>
            </w:r>
          </w:p>
          <w:p w:rsidR="0033088D" w:rsidRPr="00B0310C" w:rsidRDefault="0033088D" w:rsidP="00C8297A">
            <w:pPr>
              <w:rPr>
                <w:sz w:val="20"/>
                <w:szCs w:val="20"/>
              </w:rPr>
            </w:pPr>
            <w:r w:rsidRPr="00B0310C">
              <w:rPr>
                <w:sz w:val="20"/>
                <w:szCs w:val="20"/>
              </w:rPr>
              <w:t>density&lt;250 people/</w:t>
            </w:r>
            <w:r w:rsidR="00C8297A" w:rsidRPr="00C8297A">
              <w:rPr>
                <w:sz w:val="20"/>
                <w:szCs w:val="20"/>
              </w:rPr>
              <w:t>km2</w:t>
            </w:r>
          </w:p>
        </w:tc>
        <w:tc>
          <w:tcPr>
            <w:tcW w:w="799"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6.06</w:t>
            </w:r>
          </w:p>
        </w:tc>
        <w:tc>
          <w:tcPr>
            <w:tcW w:w="751"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1.55</w:t>
            </w:r>
          </w:p>
        </w:tc>
        <w:tc>
          <w:tcPr>
            <w:tcW w:w="800"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0.40</w:t>
            </w:r>
          </w:p>
        </w:tc>
        <w:tc>
          <w:tcPr>
            <w:tcW w:w="1184"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0.15</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i/>
                <w:sz w:val="20"/>
                <w:szCs w:val="20"/>
              </w:rPr>
            </w:pPr>
          </w:p>
          <w:p w:rsidR="0033088D" w:rsidRPr="00B0310C" w:rsidRDefault="0033088D" w:rsidP="00C8297A">
            <w:pPr>
              <w:rPr>
                <w:i/>
                <w:sz w:val="20"/>
                <w:szCs w:val="20"/>
              </w:rPr>
            </w:pPr>
            <w:r w:rsidRPr="00B0310C">
              <w:rPr>
                <w:i/>
                <w:sz w:val="20"/>
                <w:szCs w:val="20"/>
              </w:rPr>
              <w:t>Town</w:t>
            </w:r>
          </w:p>
          <w:p w:rsidR="0033088D" w:rsidRPr="00B0310C" w:rsidRDefault="0033088D" w:rsidP="00C8297A">
            <w:pPr>
              <w:rPr>
                <w:sz w:val="20"/>
                <w:szCs w:val="20"/>
              </w:rPr>
            </w:pPr>
            <w:r w:rsidRPr="00B0310C">
              <w:rPr>
                <w:sz w:val="20"/>
                <w:szCs w:val="20"/>
              </w:rPr>
              <w:t xml:space="preserve">population [5,000-30,000], </w:t>
            </w:r>
          </w:p>
          <w:p w:rsidR="0033088D" w:rsidRPr="00B0310C" w:rsidRDefault="0033088D" w:rsidP="00C8297A">
            <w:pPr>
              <w:rPr>
                <w:sz w:val="20"/>
                <w:szCs w:val="20"/>
              </w:rPr>
            </w:pPr>
            <w:r w:rsidRPr="00B0310C">
              <w:rPr>
                <w:sz w:val="20"/>
                <w:szCs w:val="20"/>
              </w:rPr>
              <w:t>density&gt;=250 people/</w:t>
            </w:r>
            <w:r w:rsidR="00C8297A" w:rsidRPr="00C8297A">
              <w:rPr>
                <w:sz w:val="20"/>
                <w:szCs w:val="20"/>
              </w:rPr>
              <w:t>km2</w:t>
            </w:r>
          </w:p>
        </w:tc>
        <w:tc>
          <w:tcPr>
            <w:tcW w:w="799"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6.28</w:t>
            </w:r>
          </w:p>
        </w:tc>
        <w:tc>
          <w:tcPr>
            <w:tcW w:w="751"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1.38</w:t>
            </w:r>
          </w:p>
        </w:tc>
        <w:tc>
          <w:tcPr>
            <w:tcW w:w="800"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0.55</w:t>
            </w:r>
          </w:p>
        </w:tc>
        <w:tc>
          <w:tcPr>
            <w:tcW w:w="1184"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0.12</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i/>
                <w:sz w:val="20"/>
                <w:szCs w:val="20"/>
              </w:rPr>
            </w:pPr>
          </w:p>
          <w:p w:rsidR="0033088D" w:rsidRPr="00B0310C" w:rsidRDefault="0033088D" w:rsidP="00C8297A">
            <w:pPr>
              <w:rPr>
                <w:i/>
                <w:sz w:val="20"/>
                <w:szCs w:val="20"/>
              </w:rPr>
            </w:pPr>
            <w:r w:rsidRPr="00B0310C">
              <w:rPr>
                <w:i/>
                <w:sz w:val="20"/>
                <w:szCs w:val="20"/>
              </w:rPr>
              <w:t>City</w:t>
            </w:r>
          </w:p>
          <w:p w:rsidR="0033088D" w:rsidRPr="00B0310C" w:rsidRDefault="0033088D" w:rsidP="00C8297A">
            <w:pPr>
              <w:rPr>
                <w:sz w:val="20"/>
                <w:szCs w:val="20"/>
              </w:rPr>
            </w:pPr>
            <w:r w:rsidRPr="00B0310C">
              <w:rPr>
                <w:sz w:val="20"/>
                <w:szCs w:val="20"/>
              </w:rPr>
              <w:t xml:space="preserve">population &gt;=30,000, </w:t>
            </w:r>
          </w:p>
          <w:p w:rsidR="0033088D" w:rsidRPr="00B0310C" w:rsidRDefault="0033088D" w:rsidP="00C8297A">
            <w:pPr>
              <w:rPr>
                <w:sz w:val="20"/>
                <w:szCs w:val="20"/>
              </w:rPr>
            </w:pPr>
            <w:r w:rsidRPr="00B0310C">
              <w:rPr>
                <w:sz w:val="20"/>
                <w:szCs w:val="20"/>
              </w:rPr>
              <w:t>density&gt;=250 people/</w:t>
            </w:r>
            <w:r w:rsidR="00C8297A" w:rsidRPr="00C8297A">
              <w:rPr>
                <w:sz w:val="20"/>
                <w:szCs w:val="20"/>
              </w:rPr>
              <w:t>km2</w:t>
            </w:r>
          </w:p>
        </w:tc>
        <w:tc>
          <w:tcPr>
            <w:tcW w:w="799"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22.73</w:t>
            </w:r>
          </w:p>
        </w:tc>
        <w:tc>
          <w:tcPr>
            <w:tcW w:w="751"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5.27</w:t>
            </w:r>
          </w:p>
        </w:tc>
        <w:tc>
          <w:tcPr>
            <w:tcW w:w="800"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0.47</w:t>
            </w:r>
          </w:p>
        </w:tc>
        <w:tc>
          <w:tcPr>
            <w:tcW w:w="1184"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0.10</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sz w:val="20"/>
                <w:szCs w:val="20"/>
              </w:rPr>
            </w:pPr>
          </w:p>
          <w:p w:rsidR="0033088D" w:rsidRPr="00B0310C" w:rsidRDefault="0033088D" w:rsidP="00C8297A">
            <w:pPr>
              <w:rPr>
                <w:sz w:val="20"/>
                <w:szCs w:val="20"/>
              </w:rPr>
            </w:pPr>
            <w:r w:rsidRPr="00B0310C">
              <w:rPr>
                <w:sz w:val="20"/>
                <w:szCs w:val="20"/>
              </w:rPr>
              <w:t>Kayes</w:t>
            </w:r>
          </w:p>
        </w:tc>
        <w:tc>
          <w:tcPr>
            <w:tcW w:w="799"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53.00</w:t>
            </w:r>
          </w:p>
        </w:tc>
        <w:tc>
          <w:tcPr>
            <w:tcW w:w="751"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7.00</w:t>
            </w:r>
          </w:p>
        </w:tc>
        <w:tc>
          <w:tcPr>
            <w:tcW w:w="800"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0.37</w:t>
            </w:r>
          </w:p>
        </w:tc>
        <w:tc>
          <w:tcPr>
            <w:tcW w:w="1184"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0.05</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sz w:val="20"/>
                <w:szCs w:val="20"/>
              </w:rPr>
            </w:pPr>
            <w:r w:rsidRPr="00B0310C">
              <w:rPr>
                <w:sz w:val="20"/>
                <w:szCs w:val="20"/>
              </w:rPr>
              <w:t>Sikasso</w:t>
            </w:r>
          </w:p>
        </w:tc>
        <w:tc>
          <w:tcPr>
            <w:tcW w:w="799"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70.00</w:t>
            </w:r>
          </w:p>
        </w:tc>
        <w:tc>
          <w:tcPr>
            <w:tcW w:w="751"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13.00</w:t>
            </w:r>
          </w:p>
        </w:tc>
        <w:tc>
          <w:tcPr>
            <w:tcW w:w="800"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0.46</w:t>
            </w:r>
          </w:p>
        </w:tc>
        <w:tc>
          <w:tcPr>
            <w:tcW w:w="1184"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0.08</w:t>
            </w:r>
          </w:p>
        </w:tc>
      </w:tr>
      <w:tr w:rsidR="0033088D" w:rsidRPr="00B0310C" w:rsidTr="00E56625">
        <w:trPr>
          <w:trHeight w:val="300"/>
        </w:trPr>
        <w:tc>
          <w:tcPr>
            <w:tcW w:w="1466" w:type="pct"/>
            <w:tcBorders>
              <w:top w:val="nil"/>
              <w:left w:val="nil"/>
              <w:bottom w:val="nil"/>
              <w:right w:val="nil"/>
            </w:tcBorders>
            <w:noWrap/>
            <w:hideMark/>
          </w:tcPr>
          <w:p w:rsidR="0033088D" w:rsidRPr="00B0310C" w:rsidRDefault="0033088D" w:rsidP="00C8297A">
            <w:pPr>
              <w:rPr>
                <w:sz w:val="20"/>
                <w:szCs w:val="20"/>
              </w:rPr>
            </w:pPr>
            <w:r w:rsidRPr="00B0310C">
              <w:rPr>
                <w:sz w:val="20"/>
                <w:szCs w:val="20"/>
              </w:rPr>
              <w:t>Ségou</w:t>
            </w:r>
          </w:p>
        </w:tc>
        <w:tc>
          <w:tcPr>
            <w:tcW w:w="799"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96.00</w:t>
            </w:r>
          </w:p>
        </w:tc>
        <w:tc>
          <w:tcPr>
            <w:tcW w:w="751" w:type="pct"/>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9.00</w:t>
            </w:r>
          </w:p>
        </w:tc>
        <w:tc>
          <w:tcPr>
            <w:tcW w:w="800"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0.58</w:t>
            </w:r>
          </w:p>
        </w:tc>
        <w:tc>
          <w:tcPr>
            <w:tcW w:w="1184" w:type="pct"/>
            <w:gridSpan w:val="2"/>
            <w:tcBorders>
              <w:top w:val="nil"/>
              <w:left w:val="nil"/>
              <w:bottom w:val="nil"/>
              <w:right w:val="nil"/>
            </w:tcBorders>
            <w:noWrap/>
            <w:hideMark/>
          </w:tcPr>
          <w:p w:rsidR="0033088D" w:rsidRPr="00B0310C" w:rsidRDefault="0033088D" w:rsidP="00C8297A">
            <w:pPr>
              <w:jc w:val="center"/>
              <w:rPr>
                <w:sz w:val="20"/>
                <w:szCs w:val="20"/>
              </w:rPr>
            </w:pPr>
            <w:r w:rsidRPr="00B0310C">
              <w:rPr>
                <w:sz w:val="20"/>
                <w:szCs w:val="20"/>
              </w:rPr>
              <w:t>0.05</w:t>
            </w:r>
          </w:p>
        </w:tc>
      </w:tr>
      <w:tr w:rsidR="0033088D" w:rsidRPr="00B0310C" w:rsidTr="00E56625">
        <w:trPr>
          <w:trHeight w:val="300"/>
        </w:trPr>
        <w:tc>
          <w:tcPr>
            <w:tcW w:w="1466" w:type="pct"/>
            <w:tcBorders>
              <w:top w:val="nil"/>
              <w:left w:val="nil"/>
              <w:bottom w:val="single" w:sz="4" w:space="0" w:color="auto"/>
              <w:right w:val="nil"/>
            </w:tcBorders>
            <w:noWrap/>
            <w:hideMark/>
          </w:tcPr>
          <w:p w:rsidR="0033088D" w:rsidRPr="00B0310C" w:rsidRDefault="0033088D" w:rsidP="00C8297A">
            <w:pPr>
              <w:rPr>
                <w:sz w:val="20"/>
                <w:szCs w:val="20"/>
              </w:rPr>
            </w:pPr>
            <w:r w:rsidRPr="00B0310C">
              <w:rPr>
                <w:sz w:val="20"/>
                <w:szCs w:val="20"/>
              </w:rPr>
              <w:t>Bamako</w:t>
            </w:r>
          </w:p>
        </w:tc>
        <w:tc>
          <w:tcPr>
            <w:tcW w:w="799" w:type="pct"/>
            <w:tcBorders>
              <w:top w:val="nil"/>
              <w:left w:val="nil"/>
              <w:bottom w:val="single" w:sz="4" w:space="0" w:color="auto"/>
              <w:right w:val="nil"/>
            </w:tcBorders>
            <w:noWrap/>
            <w:hideMark/>
          </w:tcPr>
          <w:p w:rsidR="0033088D" w:rsidRPr="00B0310C" w:rsidRDefault="0033088D" w:rsidP="00C8297A">
            <w:pPr>
              <w:jc w:val="center"/>
              <w:rPr>
                <w:sz w:val="20"/>
                <w:szCs w:val="20"/>
              </w:rPr>
            </w:pPr>
            <w:r w:rsidRPr="00B0310C">
              <w:rPr>
                <w:sz w:val="20"/>
                <w:szCs w:val="20"/>
              </w:rPr>
              <w:t>1,182.00</w:t>
            </w:r>
          </w:p>
        </w:tc>
        <w:tc>
          <w:tcPr>
            <w:tcW w:w="751" w:type="pct"/>
            <w:tcBorders>
              <w:top w:val="nil"/>
              <w:left w:val="nil"/>
              <w:bottom w:val="single" w:sz="4" w:space="0" w:color="auto"/>
              <w:right w:val="nil"/>
            </w:tcBorders>
            <w:noWrap/>
            <w:hideMark/>
          </w:tcPr>
          <w:p w:rsidR="0033088D" w:rsidRPr="00B0310C" w:rsidRDefault="0033088D" w:rsidP="00C8297A">
            <w:pPr>
              <w:jc w:val="center"/>
              <w:rPr>
                <w:sz w:val="20"/>
                <w:szCs w:val="20"/>
              </w:rPr>
            </w:pPr>
            <w:r w:rsidRPr="00B0310C">
              <w:rPr>
                <w:sz w:val="20"/>
                <w:szCs w:val="20"/>
              </w:rPr>
              <w:t>206.00</w:t>
            </w:r>
          </w:p>
        </w:tc>
        <w:tc>
          <w:tcPr>
            <w:tcW w:w="800" w:type="pct"/>
            <w:gridSpan w:val="2"/>
            <w:tcBorders>
              <w:top w:val="nil"/>
              <w:left w:val="nil"/>
              <w:bottom w:val="single" w:sz="4" w:space="0" w:color="auto"/>
              <w:right w:val="nil"/>
            </w:tcBorders>
            <w:noWrap/>
            <w:hideMark/>
          </w:tcPr>
          <w:p w:rsidR="0033088D" w:rsidRPr="00B0310C" w:rsidRDefault="0033088D" w:rsidP="00C8297A">
            <w:pPr>
              <w:jc w:val="center"/>
              <w:rPr>
                <w:sz w:val="20"/>
                <w:szCs w:val="20"/>
              </w:rPr>
            </w:pPr>
            <w:r w:rsidRPr="00B0310C">
              <w:rPr>
                <w:sz w:val="20"/>
                <w:szCs w:val="20"/>
              </w:rPr>
              <w:t>0.54</w:t>
            </w:r>
          </w:p>
        </w:tc>
        <w:tc>
          <w:tcPr>
            <w:tcW w:w="1184" w:type="pct"/>
            <w:gridSpan w:val="2"/>
            <w:tcBorders>
              <w:top w:val="nil"/>
              <w:left w:val="nil"/>
              <w:bottom w:val="single" w:sz="4" w:space="0" w:color="auto"/>
              <w:right w:val="nil"/>
            </w:tcBorders>
            <w:noWrap/>
            <w:hideMark/>
          </w:tcPr>
          <w:p w:rsidR="0033088D" w:rsidRPr="00B0310C" w:rsidRDefault="0033088D" w:rsidP="00C8297A">
            <w:pPr>
              <w:jc w:val="center"/>
              <w:rPr>
                <w:sz w:val="20"/>
                <w:szCs w:val="20"/>
              </w:rPr>
            </w:pPr>
            <w:r w:rsidRPr="00B0310C">
              <w:rPr>
                <w:sz w:val="20"/>
                <w:szCs w:val="20"/>
              </w:rPr>
              <w:t>0.09</w:t>
            </w:r>
          </w:p>
        </w:tc>
      </w:tr>
    </w:tbl>
    <w:p w:rsidR="0033088D" w:rsidRPr="00B0310C" w:rsidRDefault="0033088D" w:rsidP="0033088D">
      <w:pPr>
        <w:spacing w:after="0"/>
        <w:rPr>
          <w:sz w:val="20"/>
          <w:szCs w:val="20"/>
        </w:rPr>
      </w:pPr>
      <w:r w:rsidRPr="00B0310C">
        <w:rPr>
          <w:sz w:val="20"/>
          <w:szCs w:val="20"/>
        </w:rPr>
        <w:t xml:space="preserve">Source: 2009 </w:t>
      </w:r>
      <w:r>
        <w:rPr>
          <w:sz w:val="20"/>
          <w:szCs w:val="20"/>
        </w:rPr>
        <w:t>RGPH</w:t>
      </w:r>
      <w:r w:rsidRPr="00B0310C">
        <w:rPr>
          <w:sz w:val="20"/>
          <w:szCs w:val="20"/>
        </w:rPr>
        <w:t>. Authors’</w:t>
      </w:r>
      <w:r>
        <w:rPr>
          <w:sz w:val="20"/>
          <w:szCs w:val="20"/>
        </w:rPr>
        <w:t xml:space="preserve"> </w:t>
      </w:r>
      <w:r w:rsidRPr="00B0310C">
        <w:rPr>
          <w:sz w:val="20"/>
          <w:szCs w:val="20"/>
        </w:rPr>
        <w:t>calculations.</w:t>
      </w:r>
    </w:p>
    <w:p w:rsidR="0033088D" w:rsidRPr="00913D5D" w:rsidRDefault="0033088D" w:rsidP="0033088D">
      <w:pPr>
        <w:rPr>
          <w:b/>
          <w:u w:val="single"/>
        </w:rPr>
      </w:pPr>
    </w:p>
    <w:p w:rsidR="00B15BF9" w:rsidRDefault="00B15BF9" w:rsidP="00E56625">
      <w:pPr>
        <w:pStyle w:val="Caption"/>
        <w:rPr>
          <w:sz w:val="20"/>
          <w:szCs w:val="20"/>
        </w:rPr>
      </w:pPr>
    </w:p>
    <w:p w:rsidR="001B3BE4" w:rsidRPr="00E56625" w:rsidRDefault="001B3BE4" w:rsidP="006C4C0F">
      <w:pPr>
        <w:spacing w:after="0"/>
        <w:rPr>
          <w:sz w:val="10"/>
          <w:szCs w:val="10"/>
          <w:lang w:val="en-US"/>
        </w:rPr>
      </w:pPr>
    </w:p>
    <w:p w:rsidR="001B3BE4" w:rsidRPr="008F3531" w:rsidRDefault="001B3BE4" w:rsidP="001B3BE4">
      <w:pPr>
        <w:pStyle w:val="paranumb"/>
        <w:rPr>
          <w:rFonts w:cs="Times New Roman"/>
          <w:szCs w:val="24"/>
        </w:rPr>
      </w:pPr>
      <w:r w:rsidRPr="008F3531">
        <w:rPr>
          <w:rFonts w:cs="Times New Roman"/>
          <w:szCs w:val="24"/>
        </w:rPr>
        <w:t>The attractiveness of cities as migration destination, and in particular of Bamako, may be related to the availability of public services and infrastructures. We find that an important factor that discriminates between cities and rural areas is the availability of electricity.  Although access to electricity is limited everywhere, urban households are more likely to have it than rural households (see Table 2.4). Only in Kayes and Bamako does a majority of households have access to electricity.</w:t>
      </w:r>
      <w:r w:rsidRPr="008F3531">
        <w:rPr>
          <w:rStyle w:val="FootnoteReference"/>
          <w:rFonts w:cs="Times New Roman"/>
          <w:szCs w:val="24"/>
        </w:rPr>
        <w:footnoteReference w:id="20"/>
      </w:r>
      <w:r w:rsidRPr="008F3531">
        <w:rPr>
          <w:rFonts w:cs="Times New Roman"/>
          <w:szCs w:val="24"/>
        </w:rPr>
        <w:t xml:space="preserve">  Access to other utilities and public goods is relatively less contrasted between urban and rural areas.  Apart from Kayes, there is a high proportion of urban households drawing water from wells and boreholes (63.8 percent in Ségou, 50.7 percent in Sikasso and 34.3 percent in Bamako</w:t>
      </w:r>
      <w:r w:rsidR="00B53148" w:rsidRPr="008F3531">
        <w:rPr>
          <w:rFonts w:cs="Times New Roman"/>
          <w:szCs w:val="24"/>
        </w:rPr>
        <w:t>)</w:t>
      </w:r>
      <w:r w:rsidRPr="008F3531">
        <w:rPr>
          <w:rFonts w:cs="Times New Roman"/>
          <w:szCs w:val="24"/>
        </w:rPr>
        <w:t>.</w:t>
      </w:r>
      <w:r w:rsidRPr="008F3531">
        <w:rPr>
          <w:rStyle w:val="FootnoteReference"/>
          <w:rFonts w:cs="Times New Roman"/>
          <w:szCs w:val="24"/>
        </w:rPr>
        <w:footnoteReference w:id="21"/>
      </w:r>
      <w:r w:rsidRPr="008F3531">
        <w:rPr>
          <w:rFonts w:cs="Times New Roman"/>
          <w:szCs w:val="24"/>
        </w:rPr>
        <w:t xml:space="preserve">  This reflects the lack of extension of piped water systems in cities as well as the development of peripheral neighborhoods on non-serviced land.  Interestingly, the density of schools is lower in urban than in rural areas (Table 2.4).  This may reflect both the dispersion of the population in rural areas requiring more schools per inhabitant and congestion within urban areas.  </w:t>
      </w:r>
    </w:p>
    <w:p w:rsidR="00B15BF9" w:rsidRPr="00E56625" w:rsidRDefault="00B15BF9" w:rsidP="00DB4E4A">
      <w:pPr>
        <w:pStyle w:val="Heading2"/>
        <w:numPr>
          <w:ilvl w:val="0"/>
          <w:numId w:val="6"/>
        </w:numPr>
        <w:tabs>
          <w:tab w:val="left" w:pos="360"/>
        </w:tabs>
        <w:spacing w:before="0"/>
        <w:ind w:left="0" w:firstLine="0"/>
        <w:rPr>
          <w:rFonts w:ascii="Times New Roman Bold" w:hAnsi="Times New Roman Bold" w:cs="Times New Roman"/>
          <w:color w:val="000000" w:themeColor="text1"/>
          <w:sz w:val="22"/>
          <w:szCs w:val="22"/>
          <w:lang w:val="en-US"/>
        </w:rPr>
      </w:pPr>
      <w:bookmarkStart w:id="28" w:name="_Toc419468536"/>
      <w:r w:rsidRPr="00E56625">
        <w:rPr>
          <w:rFonts w:ascii="Times New Roman Bold" w:hAnsi="Times New Roman Bold" w:cs="Times New Roman"/>
          <w:color w:val="000000" w:themeColor="text1"/>
          <w:sz w:val="22"/>
          <w:szCs w:val="22"/>
          <w:lang w:val="en-US"/>
        </w:rPr>
        <w:t>Spatial distribution of economic activities</w:t>
      </w:r>
      <w:bookmarkEnd w:id="28"/>
    </w:p>
    <w:p w:rsidR="00B15BF9" w:rsidRPr="008F3531" w:rsidRDefault="00B15BF9" w:rsidP="006C4C0F">
      <w:pPr>
        <w:pStyle w:val="paranumb"/>
        <w:spacing w:after="200"/>
        <w:rPr>
          <w:rFonts w:cs="Times New Roman"/>
          <w:szCs w:val="24"/>
        </w:rPr>
      </w:pPr>
      <w:r w:rsidRPr="008F3531">
        <w:rPr>
          <w:rFonts w:cs="Times New Roman"/>
          <w:szCs w:val="24"/>
        </w:rPr>
        <w:t>Local labor markets characteristics differ depending on location. Labor force participation is slightly higher in rural places (65.5 percent) than in towns and cities (between 49.5 percent and 56.1 percent).  This is explained by the higher proportion of students in cities (which reaches 20 percent or more of working-age adults in the three largest agglomerations).  As expected, the proportion of salaried` workers increases with city size, which is consistent with firms being more likely to locate and hire workers in cities.</w:t>
      </w:r>
      <w:r w:rsidRPr="008F3531">
        <w:rPr>
          <w:rStyle w:val="FootnoteReference"/>
          <w:rFonts w:cs="Times New Roman"/>
          <w:szCs w:val="24"/>
        </w:rPr>
        <w:footnoteReference w:id="22"/>
      </w:r>
      <w:r w:rsidRPr="008F3531">
        <w:rPr>
          <w:rFonts w:cs="Times New Roman"/>
          <w:szCs w:val="24"/>
        </w:rPr>
        <w:t xml:space="preserve">  </w:t>
      </w:r>
    </w:p>
    <w:p w:rsidR="00B15BF9" w:rsidRPr="008F3531" w:rsidRDefault="004D7298" w:rsidP="004D7298">
      <w:pPr>
        <w:pStyle w:val="Caption"/>
      </w:pPr>
      <w:bookmarkStart w:id="29" w:name="_Toc390956375"/>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7</w:t>
      </w:r>
      <w:r w:rsidR="00943E46" w:rsidRPr="00E56625">
        <w:rPr>
          <w:noProof/>
        </w:rPr>
        <w:fldChar w:fldCharType="end"/>
      </w:r>
      <w:r w:rsidRPr="008F3531">
        <w:t xml:space="preserve">: </w:t>
      </w:r>
      <w:r w:rsidR="00B15BF9" w:rsidRPr="008F3531">
        <w:rPr>
          <w:b w:val="0"/>
        </w:rPr>
        <w:t>Sectoral composition of employment by location (2009)</w:t>
      </w:r>
      <w:bookmarkEnd w:id="29"/>
    </w:p>
    <w:p w:rsidR="00B15BF9" w:rsidRPr="00E56625" w:rsidRDefault="00B15BF9" w:rsidP="00C04365">
      <w:pPr>
        <w:spacing w:after="0"/>
        <w:jc w:val="center"/>
        <w:rPr>
          <w:lang w:val="en-US"/>
        </w:rPr>
      </w:pPr>
      <w:r w:rsidRPr="000370E2">
        <w:rPr>
          <w:noProof/>
          <w:lang w:val="en-US"/>
        </w:rPr>
        <w:drawing>
          <wp:inline distT="0" distB="0" distL="0" distR="0" wp14:anchorId="1B9F2EFD" wp14:editId="44DA5F26">
            <wp:extent cx="4629150" cy="2495550"/>
            <wp:effectExtent l="0" t="0" r="0" b="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15BF9" w:rsidRPr="00E56625" w:rsidRDefault="00C04365" w:rsidP="006C4C0F">
      <w:pPr>
        <w:spacing w:after="240"/>
        <w:rPr>
          <w:sz w:val="20"/>
          <w:szCs w:val="20"/>
          <w:lang w:val="en-US"/>
        </w:rPr>
      </w:pPr>
      <w:r w:rsidRPr="00E56625">
        <w:rPr>
          <w:sz w:val="20"/>
          <w:szCs w:val="20"/>
          <w:lang w:val="en-US"/>
        </w:rPr>
        <w:t xml:space="preserve">  </w:t>
      </w:r>
      <w:r w:rsidR="006C4C0F" w:rsidRPr="00E56625">
        <w:rPr>
          <w:sz w:val="20"/>
          <w:szCs w:val="20"/>
          <w:lang w:val="en-US"/>
        </w:rPr>
        <w:t xml:space="preserve">                </w:t>
      </w:r>
      <w:r w:rsidR="00B15BF9" w:rsidRPr="00E56625">
        <w:rPr>
          <w:sz w:val="20"/>
          <w:szCs w:val="20"/>
          <w:lang w:val="en-US"/>
        </w:rPr>
        <w:t>Source: 2009 RGPH. Authors’ own calculations.</w:t>
      </w:r>
    </w:p>
    <w:p w:rsidR="001B3BE4" w:rsidRPr="008F3531" w:rsidRDefault="001B3BE4" w:rsidP="001B3BE4">
      <w:pPr>
        <w:pStyle w:val="paranumb"/>
        <w:rPr>
          <w:rFonts w:cs="Times New Roman"/>
          <w:szCs w:val="24"/>
        </w:rPr>
      </w:pPr>
      <w:r w:rsidRPr="008F3531">
        <w:rPr>
          <w:rFonts w:cs="Times New Roman"/>
          <w:szCs w:val="24"/>
        </w:rPr>
        <w:t xml:space="preserve">In terms of sectoral specialization, Figure 2.6 shows that employment in rural places and small towns is largely in agriculture and that the share of agricultural jobs decreases with city size from an average of 85.7 percent of all jobs in rural places to 3.1 percent in Bamako (also see Table Annex 2.3).  Strikingly however, agricultural jobs still represent a significant portion of employment in middle-sized cities where their share is 24.3 percent.  Inversely, the shares of administrative jobs, of service jobs and, above all, of trade activities increase with city size.  In the four largest cities, trade jobs account for between 28.1 percent and 32.2 percent of employment.  </w:t>
      </w:r>
    </w:p>
    <w:p w:rsidR="00B15BF9" w:rsidRPr="008F3531" w:rsidRDefault="00B15BF9" w:rsidP="006C4C0F">
      <w:pPr>
        <w:pStyle w:val="paranumb"/>
        <w:spacing w:after="200"/>
        <w:rPr>
          <w:rFonts w:cs="Times New Roman"/>
          <w:szCs w:val="24"/>
        </w:rPr>
      </w:pPr>
      <w:r w:rsidRPr="008F3531">
        <w:rPr>
          <w:rFonts w:cs="Times New Roman"/>
          <w:szCs w:val="24"/>
        </w:rPr>
        <w:t xml:space="preserve">The location of formal economic activities is largely driven by the options for specialization, economies of scale and the availability services necessary for production (logistics, electricity, water, security, skilled labor). Formal economic activities are typically found where population density is highest: in cities, and Mali is no exception to this. The location of formal activities is highly skewed towards Bamako (Figure 2.7). Irrespective of whether one considers the number of formal enterprises, or their turnover, Bamako is the dominant location for formal sector activities. </w:t>
      </w:r>
    </w:p>
    <w:p w:rsidR="00B15BF9" w:rsidRPr="008F3531" w:rsidRDefault="00D45640" w:rsidP="006C4C0F">
      <w:pPr>
        <w:pStyle w:val="Caption"/>
        <w:spacing w:after="0"/>
        <w:rPr>
          <w:b w:val="0"/>
        </w:rPr>
      </w:pPr>
      <w:bookmarkStart w:id="30" w:name="_Toc390956376"/>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8</w:t>
      </w:r>
      <w:r w:rsidR="00943E46" w:rsidRPr="00E56625">
        <w:rPr>
          <w:noProof/>
        </w:rPr>
        <w:fldChar w:fldCharType="end"/>
      </w:r>
      <w:r w:rsidR="00B15BF9" w:rsidRPr="008F3531">
        <w:rPr>
          <w:b w:val="0"/>
        </w:rPr>
        <w:t>: Turnover of formal enterprises (2009-2010) and population (2009)</w:t>
      </w:r>
      <w:bookmarkEnd w:id="30"/>
    </w:p>
    <w:p w:rsidR="00B15BF9" w:rsidRPr="00E56625" w:rsidRDefault="00B15BF9" w:rsidP="0095793C">
      <w:pPr>
        <w:spacing w:after="0"/>
        <w:jc w:val="center"/>
        <w:rPr>
          <w:sz w:val="12"/>
          <w:szCs w:val="12"/>
          <w:lang w:val="en-US"/>
        </w:rPr>
      </w:pPr>
      <w:r w:rsidRPr="000370E2">
        <w:rPr>
          <w:noProof/>
          <w:sz w:val="20"/>
          <w:szCs w:val="20"/>
          <w:lang w:val="en-US"/>
        </w:rPr>
        <w:drawing>
          <wp:inline distT="0" distB="0" distL="0" distR="0" wp14:anchorId="08811A56" wp14:editId="5BDC0D70">
            <wp:extent cx="4044950" cy="4044950"/>
            <wp:effectExtent l="0" t="0" r="0" b="0"/>
            <wp:docPr id="50" name="Picture 50" descr="C:\Users\wb198498\Documents\Mali\Analysis\Enterprises\mli_2009_2010_entreprise_2009_population_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8498\Documents\Mali\Analysis\Enterprises\mli_2009_2010_entreprise_2009_population_re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46633" cy="4046633"/>
                    </a:xfrm>
                    <a:prstGeom prst="rect">
                      <a:avLst/>
                    </a:prstGeom>
                    <a:noFill/>
                    <a:ln>
                      <a:noFill/>
                    </a:ln>
                  </pic:spPr>
                </pic:pic>
              </a:graphicData>
            </a:graphic>
          </wp:inline>
        </w:drawing>
      </w:r>
    </w:p>
    <w:p w:rsidR="00B15BF9" w:rsidRPr="000370E2" w:rsidRDefault="00B15BF9" w:rsidP="0095793C">
      <w:pPr>
        <w:spacing w:after="0"/>
        <w:ind w:left="1267"/>
        <w:rPr>
          <w:sz w:val="20"/>
          <w:szCs w:val="20"/>
          <w:lang w:val="fr-FR"/>
        </w:rPr>
      </w:pPr>
      <w:r w:rsidRPr="000370E2">
        <w:rPr>
          <w:sz w:val="20"/>
          <w:szCs w:val="20"/>
          <w:lang w:val="fr-FR"/>
        </w:rPr>
        <w:t>Source: Recensement des entreprises formelles (turnover) and RGPH 2009 (population).</w:t>
      </w:r>
    </w:p>
    <w:p w:rsidR="0095793C" w:rsidRPr="000370E2" w:rsidRDefault="0095793C" w:rsidP="0095793C">
      <w:pPr>
        <w:spacing w:after="0"/>
        <w:ind w:left="1267"/>
        <w:rPr>
          <w:sz w:val="20"/>
          <w:szCs w:val="20"/>
          <w:lang w:val="fr-FR"/>
        </w:rPr>
      </w:pPr>
    </w:p>
    <w:p w:rsidR="00B15BF9" w:rsidRPr="008F3531" w:rsidRDefault="00B15BF9" w:rsidP="00DC2ACB">
      <w:pPr>
        <w:pStyle w:val="paranumb"/>
        <w:rPr>
          <w:rFonts w:cs="Times New Roman"/>
          <w:b/>
          <w:szCs w:val="24"/>
        </w:rPr>
      </w:pPr>
      <w:r w:rsidRPr="008F3531">
        <w:rPr>
          <w:rFonts w:cs="Times New Roman"/>
          <w:szCs w:val="24"/>
        </w:rPr>
        <w:t>Looking at the size and spatial distribution of each industry, we see that the biggest sector is agriculture which concentrates 63.2 percent of all jobs in Mali.  Not surprisingly such jobs are almost exclusively found in rural places (upper left panel of Figure 2.8).  The second biggest sector, trade, is much smaller and represents only 11.0 percent of the total number of jobs.  Trade jobs are found across Mali but the bulk is in Bamako, confirming the important function of the capital for commerce (upper right panel of Figure 2.8). One then finds administrative jobs (6.7 percent) and services (4.7 percent), followed by manufacturing and craft (4.1 percent).  The spatial distribution of manufacturing and crafts is bimodal, with a peak in rural places (probably mostly for crafts) and another peak in Bamako (which likely encompasses both crafts and a tiny manufacturing sector).  The small size of the manufacturing sector in Mali is particularly striking.  By contrast, in neighboring Senegal, the share of employment in the industrial sector is much higher and had already reached 14.8 percent by 2006.</w:t>
      </w:r>
      <w:r w:rsidRPr="008F3531">
        <w:rPr>
          <w:rStyle w:val="FootnoteReference"/>
          <w:rFonts w:cs="Times New Roman"/>
          <w:szCs w:val="24"/>
        </w:rPr>
        <w:footnoteReference w:id="23"/>
      </w:r>
      <w:r w:rsidRPr="008F3531">
        <w:rPr>
          <w:rFonts w:cs="Times New Roman"/>
          <w:szCs w:val="24"/>
        </w:rPr>
        <w:t xml:space="preserve">  Noticeably, the extractive industry sector has increased a lot since 1998 reaching a total of 35,631 jobs in 2009, but the sector still represents only 0.9 percent of all jobs in Mali.  These jobs are found mainly in cities with less than 30,000 inhabitants and in rural areas.</w:t>
      </w:r>
      <w:r w:rsidRPr="008F3531">
        <w:rPr>
          <w:rStyle w:val="FootnoteReference"/>
          <w:rFonts w:cs="Times New Roman"/>
          <w:szCs w:val="24"/>
        </w:rPr>
        <w:footnoteReference w:id="24"/>
      </w:r>
      <w:r w:rsidRPr="008F3531">
        <w:rPr>
          <w:rFonts w:cs="Times New Roman"/>
          <w:szCs w:val="24"/>
        </w:rPr>
        <w:t xml:space="preserve"> </w:t>
      </w:r>
      <w:r w:rsidRPr="008F3531">
        <w:rPr>
          <w:rFonts w:cs="Times New Roman"/>
          <w:color w:val="63646A"/>
          <w:szCs w:val="24"/>
        </w:rPr>
        <w:t xml:space="preserve"> </w:t>
      </w:r>
    </w:p>
    <w:p w:rsidR="00B15BF9" w:rsidRPr="00E56625" w:rsidRDefault="00B15BF9" w:rsidP="00B15BF9">
      <w:pPr>
        <w:spacing w:before="240"/>
        <w:jc w:val="both"/>
        <w:rPr>
          <w:lang w:val="en-US"/>
        </w:rPr>
        <w:sectPr w:rsidR="00B15BF9" w:rsidRPr="00E56625" w:rsidSect="0013189C">
          <w:footerReference w:type="default" r:id="rId44"/>
          <w:pgSz w:w="12240" w:h="15840"/>
          <w:pgMar w:top="1440" w:right="1440" w:bottom="1440" w:left="1440" w:header="720" w:footer="720" w:gutter="0"/>
          <w:pgNumType w:start="1"/>
          <w:cols w:space="720"/>
          <w:docGrid w:linePitch="360"/>
        </w:sectPr>
      </w:pPr>
    </w:p>
    <w:p w:rsidR="00B15BF9" w:rsidRPr="00E56625" w:rsidRDefault="00B15BF9" w:rsidP="00B15BF9">
      <w:pPr>
        <w:spacing w:before="120" w:after="0"/>
        <w:rPr>
          <w:b/>
          <w:lang w:val="en-US"/>
        </w:rPr>
        <w:sectPr w:rsidR="00B15BF9" w:rsidRPr="00E56625" w:rsidSect="00E96123">
          <w:pgSz w:w="15840" w:h="12240" w:orient="landscape"/>
          <w:pgMar w:top="1440" w:right="1440" w:bottom="1440" w:left="1440" w:header="720" w:footer="720" w:gutter="0"/>
          <w:cols w:num="2" w:space="720"/>
          <w:docGrid w:linePitch="360"/>
        </w:sectPr>
      </w:pPr>
    </w:p>
    <w:p w:rsidR="00B15BF9" w:rsidRPr="008F3531" w:rsidRDefault="00343698" w:rsidP="00343698">
      <w:pPr>
        <w:pStyle w:val="Caption"/>
        <w:rPr>
          <w:b w:val="0"/>
        </w:rPr>
      </w:pPr>
      <w:bookmarkStart w:id="31" w:name="_Toc390956377"/>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9</w:t>
      </w:r>
      <w:r w:rsidR="00943E46" w:rsidRPr="00E56625">
        <w:rPr>
          <w:noProof/>
        </w:rPr>
        <w:fldChar w:fldCharType="end"/>
      </w:r>
      <w:r w:rsidR="00B15BF9" w:rsidRPr="008F3531">
        <w:rPr>
          <w:b w:val="0"/>
        </w:rPr>
        <w:t>: Spatial distribution of jobs (1987, 1998 and 2009)</w:t>
      </w:r>
      <w:bookmarkEnd w:id="31"/>
    </w:p>
    <w:p w:rsidR="00B15BF9" w:rsidRPr="00E56625" w:rsidRDefault="00B15BF9" w:rsidP="00B15BF9">
      <w:pPr>
        <w:spacing w:before="120" w:after="0"/>
        <w:rPr>
          <w:b/>
          <w:lang w:val="en-US"/>
        </w:rPr>
        <w:sectPr w:rsidR="00B15BF9" w:rsidRPr="00E56625" w:rsidSect="00E96123">
          <w:type w:val="continuous"/>
          <w:pgSz w:w="15840" w:h="12240" w:orient="landscape"/>
          <w:pgMar w:top="1440" w:right="1440" w:bottom="1440" w:left="1440" w:header="720" w:footer="720" w:gutter="0"/>
          <w:cols w:space="720"/>
          <w:docGrid w:linePitch="360"/>
        </w:sectPr>
      </w:pPr>
    </w:p>
    <w:p w:rsidR="00B15BF9" w:rsidRPr="00E56625" w:rsidRDefault="00B15BF9" w:rsidP="00B15BF9">
      <w:pPr>
        <w:spacing w:before="60" w:after="0"/>
        <w:jc w:val="center"/>
        <w:rPr>
          <w:b/>
          <w:lang w:val="en-US"/>
        </w:rPr>
      </w:pPr>
      <w:r w:rsidRPr="00E56625">
        <w:rPr>
          <w:b/>
          <w:lang w:val="en-US"/>
        </w:rPr>
        <w:t>Agriculture jobs</w:t>
      </w:r>
    </w:p>
    <w:p w:rsidR="00B15BF9" w:rsidRPr="00E56625" w:rsidRDefault="00B15BF9" w:rsidP="00B15BF9">
      <w:pPr>
        <w:spacing w:before="120" w:after="0"/>
        <w:jc w:val="center"/>
        <w:rPr>
          <w:lang w:val="en-US"/>
        </w:rPr>
      </w:pPr>
      <w:r w:rsidRPr="000370E2">
        <w:rPr>
          <w:noProof/>
          <w:lang w:val="en-US"/>
        </w:rPr>
        <w:drawing>
          <wp:inline distT="0" distB="0" distL="0" distR="0" wp14:anchorId="23FC645F" wp14:editId="24A34C75">
            <wp:extent cx="4200525" cy="2381250"/>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15BF9" w:rsidRPr="00E56625" w:rsidRDefault="00B15BF9" w:rsidP="00B15BF9">
      <w:pPr>
        <w:spacing w:before="60" w:after="0"/>
        <w:jc w:val="center"/>
        <w:rPr>
          <w:lang w:val="en-US"/>
        </w:rPr>
      </w:pPr>
      <w:r w:rsidRPr="00E56625">
        <w:rPr>
          <w:lang w:val="en-US"/>
        </w:rPr>
        <w:br w:type="column"/>
      </w:r>
      <w:r w:rsidRPr="00E56625">
        <w:rPr>
          <w:b/>
          <w:lang w:val="en-US"/>
        </w:rPr>
        <w:t>Trade jobs</w:t>
      </w:r>
    </w:p>
    <w:p w:rsidR="00B15BF9" w:rsidRPr="00E56625" w:rsidRDefault="00B15BF9" w:rsidP="00B15BF9">
      <w:pPr>
        <w:spacing w:before="120" w:after="0"/>
        <w:rPr>
          <w:lang w:val="en-US"/>
        </w:rPr>
        <w:sectPr w:rsidR="00B15BF9" w:rsidRPr="00E56625" w:rsidSect="00E96123">
          <w:type w:val="continuous"/>
          <w:pgSz w:w="15840" w:h="12240" w:orient="landscape"/>
          <w:pgMar w:top="1440" w:right="1440" w:bottom="1440" w:left="1440" w:header="720" w:footer="720" w:gutter="0"/>
          <w:cols w:num="2" w:space="720"/>
          <w:docGrid w:linePitch="360"/>
        </w:sectPr>
      </w:pPr>
      <w:r w:rsidRPr="000370E2">
        <w:rPr>
          <w:noProof/>
          <w:lang w:val="en-US"/>
        </w:rPr>
        <w:drawing>
          <wp:inline distT="0" distB="0" distL="0" distR="0" wp14:anchorId="27B8E3F8" wp14:editId="7B0E7529">
            <wp:extent cx="3981450" cy="2495550"/>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15BF9" w:rsidRPr="00E56625" w:rsidRDefault="00B15BF9" w:rsidP="00B15BF9">
      <w:pPr>
        <w:spacing w:before="60" w:after="0"/>
        <w:jc w:val="center"/>
        <w:rPr>
          <w:lang w:val="en-US"/>
        </w:rPr>
      </w:pPr>
      <w:r w:rsidRPr="00E56625">
        <w:rPr>
          <w:b/>
          <w:lang w:val="en-US"/>
        </w:rPr>
        <w:t>Manufacturing and crafts jobs</w:t>
      </w:r>
    </w:p>
    <w:p w:rsidR="00B15BF9" w:rsidRPr="00E56625" w:rsidRDefault="00B15BF9" w:rsidP="00B15BF9">
      <w:pPr>
        <w:shd w:val="clear" w:color="auto" w:fill="FFFFFF" w:themeFill="background1"/>
        <w:spacing w:before="60" w:after="0"/>
        <w:jc w:val="center"/>
        <w:rPr>
          <w:lang w:val="en-US"/>
        </w:rPr>
      </w:pPr>
      <w:r w:rsidRPr="000370E2">
        <w:rPr>
          <w:noProof/>
          <w:lang w:val="en-US"/>
        </w:rPr>
        <w:drawing>
          <wp:inline distT="0" distB="0" distL="0" distR="0" wp14:anchorId="74B19E74" wp14:editId="5D18AC05">
            <wp:extent cx="4204447" cy="2312894"/>
            <wp:effectExtent l="0" t="0" r="5715"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E56625">
        <w:rPr>
          <w:lang w:val="en-US"/>
        </w:rPr>
        <w:br w:type="column"/>
      </w:r>
      <w:r w:rsidRPr="00E56625">
        <w:rPr>
          <w:b/>
          <w:lang w:val="en-US"/>
        </w:rPr>
        <w:t xml:space="preserve"> Administrative jobs</w:t>
      </w:r>
    </w:p>
    <w:p w:rsidR="00B15BF9" w:rsidRPr="00E56625" w:rsidRDefault="00B15BF9" w:rsidP="00B15BF9">
      <w:pPr>
        <w:spacing w:before="120" w:after="0"/>
        <w:rPr>
          <w:lang w:val="en-US"/>
        </w:rPr>
        <w:sectPr w:rsidR="00B15BF9" w:rsidRPr="00E56625" w:rsidSect="00E96123">
          <w:type w:val="continuous"/>
          <w:pgSz w:w="15840" w:h="12240" w:orient="landscape"/>
          <w:pgMar w:top="1440" w:right="1440" w:bottom="1134" w:left="1440" w:header="720" w:footer="720" w:gutter="0"/>
          <w:cols w:num="2" w:space="720"/>
          <w:docGrid w:linePitch="360"/>
        </w:sectPr>
      </w:pPr>
      <w:r w:rsidRPr="000370E2">
        <w:rPr>
          <w:noProof/>
          <w:lang w:val="en-US"/>
        </w:rPr>
        <w:drawing>
          <wp:inline distT="0" distB="0" distL="0" distR="0" wp14:anchorId="168C1A9B" wp14:editId="17E5572C">
            <wp:extent cx="3980330" cy="2312894"/>
            <wp:effectExtent l="0" t="0" r="1270" b="0"/>
            <wp:docPr id="31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15BF9" w:rsidRPr="00E56625" w:rsidRDefault="00B15BF9" w:rsidP="00343698">
      <w:pPr>
        <w:spacing w:after="0"/>
        <w:rPr>
          <w:sz w:val="20"/>
          <w:szCs w:val="20"/>
          <w:lang w:val="en-US"/>
        </w:rPr>
        <w:sectPr w:rsidR="00B15BF9" w:rsidRPr="00E56625" w:rsidSect="00E96123">
          <w:type w:val="continuous"/>
          <w:pgSz w:w="15840" w:h="12240" w:orient="landscape"/>
          <w:pgMar w:top="1440" w:right="1440" w:bottom="1440" w:left="1440" w:header="720" w:footer="720" w:gutter="0"/>
          <w:cols w:space="720"/>
          <w:docGrid w:linePitch="360"/>
        </w:sectPr>
      </w:pPr>
      <w:r w:rsidRPr="00E56625">
        <w:rPr>
          <w:sz w:val="20"/>
          <w:szCs w:val="20"/>
          <w:lang w:val="en-US"/>
        </w:rPr>
        <w:t>Source: 1987, 1998 and 2009 RGPHs. Authors’ own calculations.</w:t>
      </w:r>
    </w:p>
    <w:p w:rsidR="00B15BF9" w:rsidRPr="008F3531" w:rsidRDefault="00B15BF9" w:rsidP="00DC2ACB">
      <w:pPr>
        <w:pStyle w:val="paranumb"/>
        <w:rPr>
          <w:rFonts w:cs="Times New Roman"/>
          <w:szCs w:val="24"/>
        </w:rPr>
      </w:pPr>
      <w:r w:rsidRPr="008F3531">
        <w:rPr>
          <w:rFonts w:cs="Times New Roman"/>
          <w:szCs w:val="24"/>
        </w:rPr>
        <w:t>In terms of GDP the primary sector contributes about 25 percent. The contributions of the secondary and tertiary sectors are about equal: 38 and 37 percent respectively (Figure 2.9). Regions where the primary sector is largest contributor to income (Mopti, Ségou , Sikasso, Koulikoro, Tombouctou and Gao) are those with the lowest GDP per capita.  Regions where the secondary and tertiary sectors are the important contributors to GDP (Kayes and Bamako) have much higher levels of GDP per capita. The differences are striking. GDP per capita in Bamako is five times more than that in Sikasso and eight times more than in Mopti. It illustrates the much higher levels of productivity that are attained in the secondary and tertiary sectors than in the primary.</w:t>
      </w:r>
    </w:p>
    <w:p w:rsidR="00B15BF9" w:rsidRPr="008F3531" w:rsidRDefault="00B15BF9" w:rsidP="00343698">
      <w:pPr>
        <w:pStyle w:val="paranumb"/>
        <w:rPr>
          <w:rFonts w:cs="Times New Roman"/>
          <w:szCs w:val="24"/>
        </w:rPr>
      </w:pPr>
      <w:r w:rsidRPr="008F3531">
        <w:rPr>
          <w:rFonts w:cs="Times New Roman"/>
          <w:szCs w:val="24"/>
        </w:rPr>
        <w:t xml:space="preserve">The dominance of Bamako in generating income is such that with 15 percent of the population about 40 percent of GDP is generated in the capita city. With 18 percent, Kayes is another important contributor to GDP followed by Sikasso (12 percent) and Kouliloro (11 percent). It is no coincidence that the region with the highest levels of GDP per capita (Bamako) is also the region with the largest urban population. The strong correlation between population density and economic mass is consistent with urban areas being a conglomeration of consumers and producers and possibly marks the presence of a virtuous cycle where the areas with the highest contribution to GDP, attract most people. </w:t>
      </w:r>
    </w:p>
    <w:p w:rsidR="00B15BF9" w:rsidRPr="000370E2" w:rsidRDefault="00343698" w:rsidP="00343698">
      <w:pPr>
        <w:pStyle w:val="Caption"/>
        <w:rPr>
          <w:b w:val="0"/>
          <w:lang w:val="fr-FR"/>
        </w:rPr>
      </w:pPr>
      <w:bookmarkStart w:id="32" w:name="_Toc390956378"/>
      <w:r w:rsidRPr="000370E2">
        <w:rPr>
          <w:lang w:val="fr-FR"/>
        </w:rPr>
        <w:t xml:space="preserve">Figure </w:t>
      </w:r>
      <w:r w:rsidR="00EE6599" w:rsidRPr="00E56625">
        <w:fldChar w:fldCharType="begin"/>
      </w:r>
      <w:r w:rsidR="00EE6599" w:rsidRPr="000370E2">
        <w:rPr>
          <w:lang w:val="fr-FR"/>
        </w:rPr>
        <w:instrText xml:space="preserve"> STYLEREF 1 \s </w:instrText>
      </w:r>
      <w:r w:rsidR="00EE6599" w:rsidRPr="00E56625">
        <w:fldChar w:fldCharType="separate"/>
      </w:r>
      <w:r w:rsidR="002779FA">
        <w:rPr>
          <w:noProof/>
          <w:lang w:val="fr-FR"/>
        </w:rPr>
        <w:t>2</w:t>
      </w:r>
      <w:r w:rsidR="00EE6599" w:rsidRPr="00E56625">
        <w:fldChar w:fldCharType="end"/>
      </w:r>
      <w:r w:rsidR="00EE6599" w:rsidRPr="000370E2">
        <w:rPr>
          <w:lang w:val="fr-FR"/>
        </w:rPr>
        <w:t>.</w:t>
      </w:r>
      <w:r w:rsidR="00EE6599" w:rsidRPr="00E56625">
        <w:fldChar w:fldCharType="begin"/>
      </w:r>
      <w:r w:rsidR="00EE6599" w:rsidRPr="000370E2">
        <w:rPr>
          <w:lang w:val="fr-FR"/>
        </w:rPr>
        <w:instrText xml:space="preserve"> SEQ Figure \* ARABIC \s 1 </w:instrText>
      </w:r>
      <w:r w:rsidR="00EE6599" w:rsidRPr="00E56625">
        <w:fldChar w:fldCharType="separate"/>
      </w:r>
      <w:r w:rsidR="002779FA">
        <w:rPr>
          <w:noProof/>
          <w:lang w:val="fr-FR"/>
        </w:rPr>
        <w:t>10</w:t>
      </w:r>
      <w:r w:rsidR="00EE6599" w:rsidRPr="00E56625">
        <w:fldChar w:fldCharType="end"/>
      </w:r>
      <w:r w:rsidR="00B15BF9" w:rsidRPr="000370E2">
        <w:rPr>
          <w:b w:val="0"/>
          <w:lang w:val="fr-FR"/>
        </w:rPr>
        <w:t>: Contribution sectorielle par région et PIB par habitant (2009)</w:t>
      </w:r>
      <w:bookmarkEnd w:id="32"/>
    </w:p>
    <w:p w:rsidR="00B15BF9" w:rsidRPr="00E56625" w:rsidRDefault="00B15BF9" w:rsidP="00343698">
      <w:pPr>
        <w:spacing w:after="120"/>
        <w:jc w:val="center"/>
        <w:rPr>
          <w:b/>
          <w:lang w:val="en-US"/>
        </w:rPr>
      </w:pPr>
      <w:r w:rsidRPr="000370E2">
        <w:rPr>
          <w:noProof/>
          <w:lang w:val="en-US"/>
        </w:rPr>
        <w:drawing>
          <wp:inline distT="0" distB="0" distL="0" distR="0" wp14:anchorId="544DE290" wp14:editId="4AF99543">
            <wp:extent cx="6089650" cy="3740150"/>
            <wp:effectExtent l="0" t="0" r="635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15BF9" w:rsidRPr="00E56625" w:rsidRDefault="00B15BF9" w:rsidP="005A0433">
      <w:pPr>
        <w:autoSpaceDE w:val="0"/>
        <w:autoSpaceDN w:val="0"/>
        <w:adjustRightInd w:val="0"/>
        <w:spacing w:after="120"/>
        <w:jc w:val="both"/>
        <w:rPr>
          <w:sz w:val="20"/>
          <w:szCs w:val="20"/>
          <w:lang w:val="en-US"/>
        </w:rPr>
      </w:pPr>
      <w:r w:rsidRPr="000370E2">
        <w:rPr>
          <w:sz w:val="20"/>
          <w:szCs w:val="20"/>
          <w:lang w:val="fr-FR"/>
        </w:rPr>
        <w:t xml:space="preserve">Source: Repartition Regionale de la Population, de la Production et de la Consommation au Mali. </w:t>
      </w:r>
      <w:r w:rsidRPr="00E56625">
        <w:rPr>
          <w:sz w:val="20"/>
          <w:szCs w:val="20"/>
          <w:lang w:val="en-US"/>
        </w:rPr>
        <w:t>Authors’ calculations.</w:t>
      </w:r>
    </w:p>
    <w:p w:rsidR="00B15BF9" w:rsidRPr="00E56625" w:rsidRDefault="00B15BF9" w:rsidP="00B15BF9">
      <w:pPr>
        <w:autoSpaceDE w:val="0"/>
        <w:autoSpaceDN w:val="0"/>
        <w:adjustRightInd w:val="0"/>
        <w:spacing w:after="120"/>
        <w:rPr>
          <w:lang w:val="en-US"/>
        </w:rPr>
      </w:pPr>
    </w:p>
    <w:p w:rsidR="00343698" w:rsidRPr="00E56625" w:rsidRDefault="00343698" w:rsidP="00B15BF9">
      <w:pPr>
        <w:autoSpaceDE w:val="0"/>
        <w:autoSpaceDN w:val="0"/>
        <w:adjustRightInd w:val="0"/>
        <w:spacing w:after="120"/>
        <w:rPr>
          <w:b/>
          <w:lang w:val="en-US"/>
        </w:rPr>
      </w:pPr>
    </w:p>
    <w:p w:rsidR="00B15BF9" w:rsidRPr="00E56625" w:rsidRDefault="00B15BF9" w:rsidP="00DB66D3">
      <w:pPr>
        <w:pStyle w:val="Heading2"/>
        <w:numPr>
          <w:ilvl w:val="0"/>
          <w:numId w:val="6"/>
        </w:numPr>
        <w:tabs>
          <w:tab w:val="left" w:pos="360"/>
        </w:tabs>
        <w:spacing w:before="0"/>
        <w:ind w:left="0" w:firstLine="0"/>
        <w:rPr>
          <w:rFonts w:ascii="Times New Roman Bold" w:hAnsi="Times New Roman Bold" w:cs="Times New Roman"/>
          <w:color w:val="000000" w:themeColor="text1"/>
          <w:sz w:val="22"/>
          <w:szCs w:val="22"/>
          <w:lang w:val="en-US"/>
        </w:rPr>
      </w:pPr>
      <w:bookmarkStart w:id="33" w:name="_Toc419468537"/>
      <w:r w:rsidRPr="00E56625">
        <w:rPr>
          <w:rFonts w:ascii="Times New Roman Bold" w:hAnsi="Times New Roman Bold" w:cs="Times New Roman"/>
          <w:color w:val="000000" w:themeColor="text1"/>
          <w:sz w:val="22"/>
          <w:szCs w:val="22"/>
          <w:lang w:val="en-US"/>
        </w:rPr>
        <w:t>Urban expansion and income growth</w:t>
      </w:r>
      <w:bookmarkEnd w:id="33"/>
    </w:p>
    <w:p w:rsidR="00B15BF9" w:rsidRPr="008F3531" w:rsidRDefault="00B15BF9" w:rsidP="00DC2ACB">
      <w:pPr>
        <w:pStyle w:val="paranumb"/>
        <w:rPr>
          <w:rFonts w:cs="Times New Roman"/>
          <w:szCs w:val="24"/>
        </w:rPr>
      </w:pPr>
      <w:r w:rsidRPr="008F3531">
        <w:rPr>
          <w:rFonts w:cs="Times New Roman"/>
          <w:szCs w:val="24"/>
        </w:rPr>
        <w:t>Using three waves of census data (1987, 1998 and 2009), we are able to characterize urban population growth holding the spatial extent of agglomerations constant at their 2009 levels. We find that the population of Bamako grew on average at 4.9 percent annually over the period 1987-2009, with an acceleration over the period 1998-2009, when it grew at an extremely high annual average of 6.1 percent.</w:t>
      </w:r>
      <w:r w:rsidRPr="008F3531">
        <w:rPr>
          <w:rStyle w:val="FootnoteReference"/>
          <w:rFonts w:cs="Times New Roman"/>
          <w:szCs w:val="24"/>
        </w:rPr>
        <w:footnoteReference w:id="25"/>
      </w:r>
      <w:r w:rsidRPr="008F3531">
        <w:rPr>
          <w:rFonts w:cs="Times New Roman"/>
          <w:szCs w:val="24"/>
        </w:rPr>
        <w:t xml:space="preserve">  By contrast, secondary cities and places in rural areas grew at lower rates (3.6 percent and 2.3 percent respectively over 1987-2009). </w:t>
      </w:r>
    </w:p>
    <w:p w:rsidR="00B15BF9" w:rsidRPr="008F3531" w:rsidRDefault="00B15BF9" w:rsidP="00DC2ACB">
      <w:pPr>
        <w:pStyle w:val="paranumb"/>
        <w:rPr>
          <w:rFonts w:cs="Times New Roman"/>
          <w:szCs w:val="24"/>
        </w:rPr>
      </w:pPr>
      <w:r w:rsidRPr="008F3531">
        <w:rPr>
          <w:rFonts w:cs="Times New Roman"/>
          <w:szCs w:val="24"/>
        </w:rPr>
        <w:t xml:space="preserve">In spite of the lower rural population growth rate, because Mali remains predominantly rural, the population in rural locations grew by more than 4.1 million residents between 1987 and 2009 while the population of all towns and cities (defined as places with a density above 250 people per </w:t>
      </w:r>
      <w:r w:rsidR="00C8297A" w:rsidRPr="00C8297A">
        <w:rPr>
          <w:rFonts w:cs="Times New Roman"/>
          <w:szCs w:val="24"/>
        </w:rPr>
        <w:t>km2</w:t>
      </w:r>
      <w:r w:rsidRPr="008F3531">
        <w:rPr>
          <w:rFonts w:cs="Times New Roman"/>
          <w:szCs w:val="24"/>
        </w:rPr>
        <w:t xml:space="preserve">) “only” grew by 2.2 million. Hence cities and towns only contributed to 30.5 percent of the total population increase over the period whereas the bulk of the population increase came from rural areas with a total contribution of 69.5 percent. Because cities grew at a faster pace than rural areas Mali urbanized over the period. The urban population as we defined it more than doubled between 1987 and 2009 (+129 percent). </w:t>
      </w:r>
    </w:p>
    <w:p w:rsidR="00B15BF9" w:rsidRPr="008F3531" w:rsidRDefault="00B15BF9" w:rsidP="00DC2ACB">
      <w:pPr>
        <w:pStyle w:val="paranumb"/>
        <w:rPr>
          <w:rFonts w:cs="Times New Roman"/>
          <w:szCs w:val="24"/>
        </w:rPr>
      </w:pPr>
      <w:r w:rsidRPr="008F3531">
        <w:rPr>
          <w:rFonts w:cs="Times New Roman"/>
          <w:szCs w:val="24"/>
        </w:rPr>
        <w:t xml:space="preserve">Urbanization is believed to contribute to higher incomes through multiple channels. Process industries, such as chemicals or steel operate more effectively at higher volumes; for this reason they have traditionally establish in urban areas. Specialized services—such as accounting or tax advice are easier to obtain in large cities. Specialization among input producers may allow cost reductions, making local purchasers of their inputs more productive. Particularly in countries with poor transportation and communication infrastructure are these important advantages of agglomeration. Public services such as hospitals or sports stadiums also require a minimum number of consumers to be economically viable. </w:t>
      </w:r>
    </w:p>
    <w:p w:rsidR="00B15BF9" w:rsidRPr="008F3531" w:rsidRDefault="00B15BF9" w:rsidP="00DC2ACB">
      <w:pPr>
        <w:pStyle w:val="paranumb"/>
        <w:rPr>
          <w:rFonts w:cs="Times New Roman"/>
          <w:szCs w:val="24"/>
        </w:rPr>
      </w:pPr>
      <w:r w:rsidRPr="008F3531">
        <w:rPr>
          <w:rFonts w:cs="Times New Roman"/>
          <w:szCs w:val="24"/>
        </w:rPr>
        <w:t xml:space="preserve">High densities in cities allow workers with differentiated skills and firms with specific needs to reduce their search costs and agglomeration effects in cities affect knowledge sharing. By bringing together large numbers of people, cities facilitate the kinds of face to face interactions needed to generate, diffuse, and accumulate knowledge, especially in industries that experience rapid technological change. </w:t>
      </w:r>
    </w:p>
    <w:p w:rsidR="00B15BF9" w:rsidRPr="008F3531" w:rsidRDefault="00B15BF9" w:rsidP="00DC2ACB">
      <w:pPr>
        <w:pStyle w:val="paranumb"/>
        <w:rPr>
          <w:rFonts w:cs="Times New Roman"/>
          <w:szCs w:val="24"/>
        </w:rPr>
      </w:pPr>
      <w:r w:rsidRPr="008F3531">
        <w:rPr>
          <w:rFonts w:cs="Times New Roman"/>
          <w:szCs w:val="24"/>
        </w:rPr>
        <w:t xml:space="preserve">Despite these various reasons as to why urbanization may lead to higher incomes we find no clear association between urbanization and per capita incomes. This is illustrated in Figure 2.10 which shows, using World Bank data, how prior to the year 1995, the correlation between urbanization and GDP was very weak: GDP per capita stagnated while urbanization continued. Since the mid-1990s up to 2010 urbanization and GDP per capita appear to move in parallel. The latest data suggest continued urbanization but stagnating GDP per capita. </w:t>
      </w:r>
    </w:p>
    <w:p w:rsidR="00343698" w:rsidRPr="00E56625" w:rsidRDefault="00343698" w:rsidP="00B15BF9">
      <w:pPr>
        <w:autoSpaceDE w:val="0"/>
        <w:autoSpaceDN w:val="0"/>
        <w:adjustRightInd w:val="0"/>
        <w:spacing w:after="120"/>
        <w:rPr>
          <w:b/>
          <w:lang w:val="en-US"/>
        </w:rPr>
      </w:pPr>
    </w:p>
    <w:p w:rsidR="00343698" w:rsidRPr="00E56625" w:rsidRDefault="00343698" w:rsidP="00B15BF9">
      <w:pPr>
        <w:autoSpaceDE w:val="0"/>
        <w:autoSpaceDN w:val="0"/>
        <w:adjustRightInd w:val="0"/>
        <w:spacing w:after="120"/>
        <w:rPr>
          <w:b/>
          <w:lang w:val="en-US"/>
        </w:rPr>
      </w:pPr>
    </w:p>
    <w:p w:rsidR="00343698" w:rsidRPr="00E56625" w:rsidRDefault="00343698" w:rsidP="00B15BF9">
      <w:pPr>
        <w:autoSpaceDE w:val="0"/>
        <w:autoSpaceDN w:val="0"/>
        <w:adjustRightInd w:val="0"/>
        <w:spacing w:after="120"/>
        <w:rPr>
          <w:b/>
          <w:lang w:val="en-US"/>
        </w:rPr>
      </w:pPr>
    </w:p>
    <w:p w:rsidR="00B15BF9" w:rsidRPr="008F3531" w:rsidRDefault="00343698" w:rsidP="00343698">
      <w:pPr>
        <w:pStyle w:val="Caption"/>
        <w:rPr>
          <w:b w:val="0"/>
        </w:rPr>
      </w:pPr>
      <w:bookmarkStart w:id="34" w:name="_Toc390956379"/>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11</w:t>
      </w:r>
      <w:r w:rsidR="00943E46" w:rsidRPr="00E56625">
        <w:rPr>
          <w:noProof/>
        </w:rPr>
        <w:fldChar w:fldCharType="end"/>
      </w:r>
      <w:r w:rsidR="00B15BF9" w:rsidRPr="008F3531">
        <w:rPr>
          <w:b w:val="0"/>
        </w:rPr>
        <w:t>: GDP per capita and the degree of urbanization (1970-2012)</w:t>
      </w:r>
      <w:bookmarkEnd w:id="34"/>
    </w:p>
    <w:p w:rsidR="00B15BF9" w:rsidRPr="00E56625" w:rsidRDefault="00B15BF9" w:rsidP="00343698">
      <w:pPr>
        <w:autoSpaceDE w:val="0"/>
        <w:autoSpaceDN w:val="0"/>
        <w:adjustRightInd w:val="0"/>
        <w:spacing w:after="0"/>
        <w:jc w:val="center"/>
        <w:rPr>
          <w:lang w:val="en-US"/>
        </w:rPr>
      </w:pPr>
      <w:r w:rsidRPr="000370E2">
        <w:rPr>
          <w:noProof/>
          <w:lang w:val="en-US"/>
        </w:rPr>
        <w:drawing>
          <wp:inline distT="0" distB="0" distL="0" distR="0" wp14:anchorId="63E01B35" wp14:editId="2780A15D">
            <wp:extent cx="5549153" cy="25908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15BF9" w:rsidRPr="00E56625" w:rsidRDefault="00343698" w:rsidP="00343698">
      <w:pPr>
        <w:autoSpaceDE w:val="0"/>
        <w:autoSpaceDN w:val="0"/>
        <w:adjustRightInd w:val="0"/>
        <w:spacing w:after="0"/>
        <w:rPr>
          <w:sz w:val="20"/>
          <w:szCs w:val="20"/>
          <w:lang w:val="en-US"/>
        </w:rPr>
      </w:pPr>
      <w:r w:rsidRPr="00E56625">
        <w:rPr>
          <w:sz w:val="20"/>
          <w:szCs w:val="20"/>
          <w:lang w:val="en-US"/>
        </w:rPr>
        <w:t xml:space="preserve">    </w:t>
      </w:r>
      <w:r w:rsidR="00F66268" w:rsidRPr="00E56625">
        <w:rPr>
          <w:sz w:val="20"/>
          <w:szCs w:val="20"/>
          <w:lang w:val="en-US"/>
        </w:rPr>
        <w:t xml:space="preserve"> </w:t>
      </w:r>
      <w:r w:rsidR="00B15BF9" w:rsidRPr="00E56625">
        <w:rPr>
          <w:sz w:val="20"/>
          <w:szCs w:val="20"/>
          <w:lang w:val="en-US"/>
        </w:rPr>
        <w:t>Source: World Development Indicators 2013</w:t>
      </w:r>
      <w:r w:rsidRPr="00E56625">
        <w:rPr>
          <w:sz w:val="20"/>
          <w:szCs w:val="20"/>
          <w:lang w:val="en-US"/>
        </w:rPr>
        <w:t>.</w:t>
      </w:r>
    </w:p>
    <w:p w:rsidR="00343698" w:rsidRPr="00E56625" w:rsidRDefault="00343698" w:rsidP="00343698">
      <w:pPr>
        <w:autoSpaceDE w:val="0"/>
        <w:autoSpaceDN w:val="0"/>
        <w:adjustRightInd w:val="0"/>
        <w:spacing w:after="0"/>
        <w:rPr>
          <w:lang w:val="en-US"/>
        </w:rPr>
      </w:pPr>
    </w:p>
    <w:p w:rsidR="00B15BF9" w:rsidRPr="008F3531" w:rsidRDefault="00B15BF9" w:rsidP="00DC2ACB">
      <w:pPr>
        <w:pStyle w:val="paranumb"/>
        <w:rPr>
          <w:rFonts w:cs="Times New Roman"/>
          <w:szCs w:val="24"/>
        </w:rPr>
      </w:pPr>
      <w:r w:rsidRPr="008F3531">
        <w:rPr>
          <w:rFonts w:cs="Times New Roman"/>
          <w:szCs w:val="24"/>
        </w:rPr>
        <w:t>An (indirect) way to get a sense as to whether urbanization is a driver of economic growth is by checking how much rural-urban migration contributes to poverty reduction. If structural transformation is taking place and people move from low productivity agriculture into higher productive occupations in urban areas, then a rural-urban population shift can be expected to contribute to poverty reduction. We find little evidence for this. Decomposing the change in poverty that occurred between 2001 and 2010 (a decline by 9.9 percentage points) one finds that most of this change (9.4 percent) was due to a reduction in poverty amongst people who continued to reside in their location of origin. The contribution of people who shift from rural to urban areas is tiny: 0.3 percent (Table 2.5).</w:t>
      </w:r>
    </w:p>
    <w:p w:rsidR="00B15BF9" w:rsidRPr="008F3531" w:rsidRDefault="00343698" w:rsidP="00343698">
      <w:pPr>
        <w:pStyle w:val="Caption"/>
      </w:pPr>
      <w:bookmarkStart w:id="35" w:name="_Toc390956283"/>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5</w:t>
      </w:r>
      <w:r w:rsidR="00943E46" w:rsidRPr="00E56625">
        <w:rPr>
          <w:noProof/>
        </w:rPr>
        <w:fldChar w:fldCharType="end"/>
      </w:r>
      <w:r w:rsidR="00B15BF9" w:rsidRPr="008F3531">
        <w:rPr>
          <w:b w:val="0"/>
        </w:rPr>
        <w:t xml:space="preserve">: Decomposition of the change in poverty between 2001 and </w:t>
      </w:r>
      <w:r w:rsidR="00B15BF9" w:rsidRPr="008F3531">
        <w:t>2010</w:t>
      </w:r>
      <w:bookmarkEnd w:id="35"/>
    </w:p>
    <w:tbl>
      <w:tblPr>
        <w:tblW w:w="5000" w:type="pct"/>
        <w:tblBorders>
          <w:top w:val="single" w:sz="4" w:space="0" w:color="auto"/>
          <w:bottom w:val="single" w:sz="4" w:space="0" w:color="auto"/>
        </w:tblBorders>
        <w:tblLook w:val="04A0" w:firstRow="1" w:lastRow="0" w:firstColumn="1" w:lastColumn="0" w:noHBand="0" w:noVBand="1"/>
      </w:tblPr>
      <w:tblGrid>
        <w:gridCol w:w="6588"/>
        <w:gridCol w:w="2772"/>
      </w:tblGrid>
      <w:tr w:rsidR="00B15BF9" w:rsidRPr="008F3531" w:rsidTr="00E96123">
        <w:trPr>
          <w:trHeight w:val="270"/>
        </w:trPr>
        <w:tc>
          <w:tcPr>
            <w:tcW w:w="3519" w:type="pct"/>
            <w:shd w:val="clear" w:color="auto" w:fill="auto"/>
            <w:vAlign w:val="center"/>
            <w:hideMark/>
          </w:tcPr>
          <w:p w:rsidR="00B15BF9" w:rsidRPr="00E56625" w:rsidRDefault="00B15BF9" w:rsidP="00E96123">
            <w:pPr>
              <w:spacing w:after="0"/>
              <w:rPr>
                <w:rFonts w:eastAsia="Times New Roman"/>
                <w:b/>
                <w:color w:val="000000"/>
                <w:sz w:val="20"/>
                <w:szCs w:val="20"/>
                <w:lang w:val="en-US"/>
              </w:rPr>
            </w:pPr>
            <w:r w:rsidRPr="00E56625">
              <w:rPr>
                <w:rFonts w:eastAsia="Times New Roman"/>
                <w:b/>
                <w:color w:val="000000"/>
                <w:sz w:val="20"/>
                <w:szCs w:val="20"/>
                <w:lang w:val="en-US"/>
              </w:rPr>
              <w:t xml:space="preserve">Change in poverty </w:t>
            </w:r>
          </w:p>
        </w:tc>
        <w:tc>
          <w:tcPr>
            <w:tcW w:w="1481" w:type="pct"/>
            <w:shd w:val="clear" w:color="auto" w:fill="auto"/>
            <w:noWrap/>
            <w:vAlign w:val="center"/>
            <w:hideMark/>
          </w:tcPr>
          <w:p w:rsidR="00B15BF9" w:rsidRPr="00E56625" w:rsidRDefault="00B15BF9" w:rsidP="00E96123">
            <w:pPr>
              <w:spacing w:after="0"/>
              <w:jc w:val="center"/>
              <w:rPr>
                <w:rFonts w:eastAsia="Times New Roman"/>
                <w:b/>
                <w:color w:val="000000"/>
                <w:sz w:val="20"/>
                <w:szCs w:val="20"/>
                <w:lang w:val="en-US"/>
              </w:rPr>
            </w:pPr>
            <w:r w:rsidRPr="00E56625">
              <w:rPr>
                <w:rFonts w:eastAsia="Times New Roman"/>
                <w:b/>
                <w:color w:val="000000"/>
                <w:sz w:val="20"/>
                <w:szCs w:val="20"/>
                <w:lang w:val="en-US"/>
              </w:rPr>
              <w:t>-9.93%</w:t>
            </w:r>
          </w:p>
        </w:tc>
      </w:tr>
      <w:tr w:rsidR="00B15BF9" w:rsidRPr="008F3531" w:rsidTr="00E96123">
        <w:trPr>
          <w:trHeight w:val="270"/>
        </w:trPr>
        <w:tc>
          <w:tcPr>
            <w:tcW w:w="3519" w:type="pct"/>
            <w:shd w:val="clear" w:color="auto" w:fill="auto"/>
            <w:vAlign w:val="center"/>
            <w:hideMark/>
          </w:tcPr>
          <w:p w:rsidR="00B15BF9" w:rsidRPr="00E56625" w:rsidRDefault="00B15BF9" w:rsidP="00E96123">
            <w:pPr>
              <w:spacing w:after="0"/>
              <w:rPr>
                <w:rFonts w:eastAsia="Times New Roman"/>
                <w:color w:val="000000"/>
                <w:sz w:val="20"/>
                <w:szCs w:val="20"/>
                <w:lang w:val="en-US"/>
              </w:rPr>
            </w:pPr>
          </w:p>
          <w:p w:rsidR="00B15BF9" w:rsidRPr="00E56625" w:rsidRDefault="00B15BF9"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   of which: change of people who remained resident </w:t>
            </w:r>
          </w:p>
        </w:tc>
        <w:tc>
          <w:tcPr>
            <w:tcW w:w="1481" w:type="pct"/>
            <w:shd w:val="clear" w:color="auto" w:fill="auto"/>
            <w:noWrap/>
            <w:vAlign w:val="center"/>
            <w:hideMark/>
          </w:tcPr>
          <w:p w:rsidR="00B15BF9" w:rsidRPr="00E56625" w:rsidRDefault="00B15BF9"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-9.37%</w:t>
            </w:r>
          </w:p>
        </w:tc>
      </w:tr>
      <w:tr w:rsidR="00B15BF9" w:rsidRPr="008F3531" w:rsidTr="00E96123">
        <w:trPr>
          <w:trHeight w:val="270"/>
        </w:trPr>
        <w:tc>
          <w:tcPr>
            <w:tcW w:w="3519" w:type="pct"/>
            <w:shd w:val="clear" w:color="auto" w:fill="auto"/>
            <w:vAlign w:val="center"/>
            <w:hideMark/>
          </w:tcPr>
          <w:p w:rsidR="00B15BF9" w:rsidRPr="00E56625" w:rsidRDefault="00B15BF9"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   of which rural-urban migration </w:t>
            </w:r>
          </w:p>
        </w:tc>
        <w:tc>
          <w:tcPr>
            <w:tcW w:w="1481" w:type="pct"/>
            <w:shd w:val="clear" w:color="auto" w:fill="auto"/>
            <w:noWrap/>
            <w:vAlign w:val="center"/>
            <w:hideMark/>
          </w:tcPr>
          <w:p w:rsidR="00B15BF9" w:rsidRPr="00E56625" w:rsidRDefault="00B15BF9"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-0.33%</w:t>
            </w:r>
          </w:p>
        </w:tc>
      </w:tr>
      <w:tr w:rsidR="00B15BF9" w:rsidRPr="008F3531" w:rsidTr="00E96123">
        <w:trPr>
          <w:trHeight w:val="270"/>
        </w:trPr>
        <w:tc>
          <w:tcPr>
            <w:tcW w:w="3519" w:type="pct"/>
            <w:shd w:val="clear" w:color="auto" w:fill="auto"/>
            <w:vAlign w:val="center"/>
            <w:hideMark/>
          </w:tcPr>
          <w:p w:rsidR="00B15BF9" w:rsidRPr="00E56625" w:rsidRDefault="00B15BF9" w:rsidP="00E96123">
            <w:pPr>
              <w:spacing w:after="0"/>
              <w:rPr>
                <w:rFonts w:eastAsia="Times New Roman"/>
                <w:color w:val="000000"/>
                <w:sz w:val="20"/>
                <w:szCs w:val="20"/>
                <w:lang w:val="en-US"/>
              </w:rPr>
            </w:pPr>
            <w:r w:rsidRPr="00E56625">
              <w:rPr>
                <w:rFonts w:eastAsia="Times New Roman"/>
                <w:color w:val="000000"/>
                <w:sz w:val="20"/>
                <w:szCs w:val="20"/>
                <w:lang w:val="en-US"/>
              </w:rPr>
              <w:t>.. of which interaction effect</w:t>
            </w:r>
          </w:p>
        </w:tc>
        <w:tc>
          <w:tcPr>
            <w:tcW w:w="1481" w:type="pct"/>
            <w:shd w:val="clear" w:color="auto" w:fill="auto"/>
            <w:noWrap/>
            <w:vAlign w:val="center"/>
            <w:hideMark/>
          </w:tcPr>
          <w:p w:rsidR="00B15BF9" w:rsidRPr="00E56625" w:rsidRDefault="00B15BF9"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-0.23%</w:t>
            </w:r>
          </w:p>
        </w:tc>
      </w:tr>
    </w:tbl>
    <w:p w:rsidR="00B15BF9" w:rsidRPr="00E56625" w:rsidRDefault="00B15BF9" w:rsidP="00B15BF9">
      <w:pPr>
        <w:autoSpaceDE w:val="0"/>
        <w:autoSpaceDN w:val="0"/>
        <w:adjustRightInd w:val="0"/>
        <w:spacing w:after="120"/>
        <w:rPr>
          <w:sz w:val="20"/>
          <w:szCs w:val="20"/>
          <w:lang w:val="en-US"/>
        </w:rPr>
      </w:pPr>
      <w:r w:rsidRPr="00E56625">
        <w:rPr>
          <w:sz w:val="20"/>
          <w:szCs w:val="20"/>
          <w:lang w:val="en-US"/>
        </w:rPr>
        <w:t>Source: EMEP 2001 and ELIM 2010. Authors’ calculations</w:t>
      </w:r>
      <w:r w:rsidR="00343698" w:rsidRPr="00E56625">
        <w:rPr>
          <w:sz w:val="20"/>
          <w:szCs w:val="20"/>
          <w:lang w:val="en-US"/>
        </w:rPr>
        <w:t>.</w:t>
      </w:r>
    </w:p>
    <w:p w:rsidR="00B15BF9" w:rsidRPr="008F3531" w:rsidRDefault="00B15BF9" w:rsidP="00DC2ACB">
      <w:pPr>
        <w:pStyle w:val="paranumb"/>
        <w:rPr>
          <w:rFonts w:cs="Times New Roman"/>
          <w:b/>
          <w:szCs w:val="24"/>
        </w:rPr>
      </w:pPr>
      <w:r w:rsidRPr="008F3531">
        <w:rPr>
          <w:rFonts w:cs="Times New Roman"/>
          <w:szCs w:val="24"/>
        </w:rPr>
        <w:t>The contribution of Bamako proper to national poverty reduction is also very limited: 0.7 percent. This comes as no surprise because between 2001 and 2010 per capita consumption levels remained more or less unchanged (at FCFA 279,000 per capita). That poverty fell none the less from 14 percent on 2001 to 8 percent in 2010 is because poor households benefited from (albeit) low levels of positive per capita growth while the wealthiest households started consuming less. This is illustrated with the growth incidence curves for Bamako (Figure 2.11). A growth incidence curve shows for every percentile in the consumption distribution the (annualized) percentage change in consumption.</w:t>
      </w:r>
    </w:p>
    <w:p w:rsidR="00B15BF9" w:rsidRPr="008F3531" w:rsidRDefault="00B15BF9" w:rsidP="00DC2ACB">
      <w:pPr>
        <w:pStyle w:val="paranumb"/>
        <w:rPr>
          <w:rFonts w:cs="Times New Roman"/>
          <w:szCs w:val="24"/>
        </w:rPr>
      </w:pPr>
      <w:r w:rsidRPr="008F3531">
        <w:rPr>
          <w:rFonts w:cs="Times New Roman"/>
          <w:szCs w:val="24"/>
        </w:rPr>
        <w:t>The Figure illustrates how over the period 2001-2010 per capita consumption growth hovered around 1 percent per annum for most households, except for the top 10 percent who became less well off. If one decomposes the overall change in two period, 2001-2006 and 2006-2010 then one notes how Bamako changed from a city with high levels of per capita growth to a city in which consumption growth is negative. In other words despite the dominance of Bamako in the national economy, and despite its specialization in trade, commerce and public sector jobs, and despite Bamako being the destination of choice for internal migrants and job-seekers, Bamako was not an engine of growth or of structural transformation over the 2001-2010 period and certainly not for the period since 2006.</w:t>
      </w:r>
    </w:p>
    <w:p w:rsidR="00B15BF9" w:rsidRPr="008F3531" w:rsidRDefault="00343698" w:rsidP="00343698">
      <w:pPr>
        <w:pStyle w:val="Caption"/>
        <w:rPr>
          <w:b w:val="0"/>
        </w:rPr>
      </w:pPr>
      <w:bookmarkStart w:id="36" w:name="_Toc390956380"/>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12</w:t>
      </w:r>
      <w:r w:rsidR="00943E46" w:rsidRPr="00E56625">
        <w:rPr>
          <w:noProof/>
        </w:rPr>
        <w:fldChar w:fldCharType="end"/>
      </w:r>
      <w:r w:rsidR="00B15BF9" w:rsidRPr="008F3531">
        <w:rPr>
          <w:b w:val="0"/>
        </w:rPr>
        <w:t>: Growth incidence curve for Bamako: 2001-2010</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536"/>
      </w:tblGrid>
      <w:tr w:rsidR="00B15BF9" w:rsidRPr="008F3531" w:rsidTr="00E96123">
        <w:tc>
          <w:tcPr>
            <w:tcW w:w="9576" w:type="dxa"/>
            <w:gridSpan w:val="2"/>
          </w:tcPr>
          <w:p w:rsidR="00B15BF9" w:rsidRPr="00E56625" w:rsidRDefault="00B15BF9" w:rsidP="00E96123">
            <w:pPr>
              <w:autoSpaceDE w:val="0"/>
              <w:autoSpaceDN w:val="0"/>
              <w:adjustRightInd w:val="0"/>
              <w:spacing w:after="120"/>
              <w:rPr>
                <w:lang w:val="en-US"/>
              </w:rPr>
            </w:pPr>
            <w:r w:rsidRPr="000370E2">
              <w:rPr>
                <w:noProof/>
                <w:lang w:val="en-US"/>
              </w:rPr>
              <w:drawing>
                <wp:inline distT="0" distB="0" distL="0" distR="0" wp14:anchorId="0CBB2FD9" wp14:editId="0427611E">
                  <wp:extent cx="5740400" cy="2457450"/>
                  <wp:effectExtent l="0" t="0" r="12700" b="1905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B15BF9" w:rsidRPr="008F3531" w:rsidTr="00E96123">
        <w:tc>
          <w:tcPr>
            <w:tcW w:w="4906" w:type="dxa"/>
          </w:tcPr>
          <w:p w:rsidR="00B15BF9" w:rsidRPr="00E56625" w:rsidRDefault="00B15BF9" w:rsidP="00E96123">
            <w:pPr>
              <w:autoSpaceDE w:val="0"/>
              <w:autoSpaceDN w:val="0"/>
              <w:adjustRightInd w:val="0"/>
              <w:spacing w:after="120"/>
              <w:rPr>
                <w:lang w:val="en-US"/>
              </w:rPr>
            </w:pPr>
            <w:r w:rsidRPr="000370E2">
              <w:rPr>
                <w:noProof/>
                <w:lang w:val="en-US"/>
              </w:rPr>
              <w:drawing>
                <wp:inline distT="0" distB="0" distL="0" distR="0" wp14:anchorId="75C561BC" wp14:editId="30435F16">
                  <wp:extent cx="2882900" cy="2038350"/>
                  <wp:effectExtent l="0" t="0" r="12700" b="1905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670" w:type="dxa"/>
          </w:tcPr>
          <w:p w:rsidR="00B15BF9" w:rsidRPr="00E56625" w:rsidRDefault="00B15BF9" w:rsidP="00E96123">
            <w:pPr>
              <w:autoSpaceDE w:val="0"/>
              <w:autoSpaceDN w:val="0"/>
              <w:adjustRightInd w:val="0"/>
              <w:spacing w:after="120"/>
              <w:rPr>
                <w:lang w:val="en-US"/>
              </w:rPr>
            </w:pPr>
            <w:r w:rsidRPr="000370E2">
              <w:rPr>
                <w:noProof/>
                <w:lang w:val="en-US"/>
              </w:rPr>
              <w:drawing>
                <wp:inline distT="0" distB="0" distL="0" distR="0" wp14:anchorId="23A39726" wp14:editId="55EA6392">
                  <wp:extent cx="2695575" cy="2038350"/>
                  <wp:effectExtent l="0" t="0" r="9525" b="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B15BF9" w:rsidRPr="00E56625" w:rsidRDefault="00B15BF9" w:rsidP="00343698">
      <w:pPr>
        <w:autoSpaceDE w:val="0"/>
        <w:autoSpaceDN w:val="0"/>
        <w:adjustRightInd w:val="0"/>
        <w:spacing w:after="240"/>
        <w:rPr>
          <w:sz w:val="20"/>
          <w:szCs w:val="20"/>
          <w:lang w:val="en-US"/>
        </w:rPr>
      </w:pPr>
      <w:r w:rsidRPr="00E56625">
        <w:rPr>
          <w:sz w:val="20"/>
          <w:szCs w:val="20"/>
          <w:lang w:val="en-US"/>
        </w:rPr>
        <w:t>Source: EMEP 2001 and ELIM 2010. Authors’ calculations</w:t>
      </w:r>
      <w:r w:rsidR="00343698" w:rsidRPr="00E56625">
        <w:rPr>
          <w:sz w:val="20"/>
          <w:szCs w:val="20"/>
          <w:lang w:val="en-US"/>
        </w:rPr>
        <w:t>.</w:t>
      </w:r>
    </w:p>
    <w:p w:rsidR="00B15BF9" w:rsidRPr="00E56625" w:rsidRDefault="00B15BF9" w:rsidP="00DB66D3">
      <w:pPr>
        <w:pStyle w:val="Heading2"/>
        <w:numPr>
          <w:ilvl w:val="0"/>
          <w:numId w:val="6"/>
        </w:numPr>
        <w:tabs>
          <w:tab w:val="left" w:pos="360"/>
        </w:tabs>
        <w:spacing w:before="0"/>
        <w:ind w:left="0" w:firstLine="0"/>
        <w:rPr>
          <w:rFonts w:ascii="Times New Roman Bold" w:hAnsi="Times New Roman Bold" w:cs="Times New Roman"/>
          <w:color w:val="000000" w:themeColor="text1"/>
          <w:sz w:val="22"/>
          <w:szCs w:val="22"/>
          <w:lang w:val="en-US"/>
        </w:rPr>
      </w:pPr>
      <w:bookmarkStart w:id="37" w:name="_Toc419468538"/>
      <w:r w:rsidRPr="00E56625">
        <w:rPr>
          <w:rFonts w:ascii="Times New Roman Bold" w:hAnsi="Times New Roman Bold" w:cs="Times New Roman"/>
          <w:color w:val="000000" w:themeColor="text1"/>
          <w:sz w:val="22"/>
          <w:szCs w:val="22"/>
          <w:lang w:val="en-US"/>
        </w:rPr>
        <w:t>Conclusion</w:t>
      </w:r>
      <w:bookmarkEnd w:id="37"/>
    </w:p>
    <w:p w:rsidR="00B15BF9" w:rsidRPr="008F3531" w:rsidRDefault="00B15BF9" w:rsidP="00DC2ACB">
      <w:pPr>
        <w:pStyle w:val="paranumb"/>
        <w:rPr>
          <w:rFonts w:cs="Times New Roman"/>
          <w:szCs w:val="24"/>
        </w:rPr>
      </w:pPr>
      <w:r w:rsidRPr="008F3531">
        <w:rPr>
          <w:rFonts w:cs="Times New Roman"/>
          <w:szCs w:val="24"/>
        </w:rPr>
        <w:t xml:space="preserve">The economy remains predominantly rural: with over 10,000 rural localities with a population of less than 1,000 people and with as few as 75 urban agglomerations the country remains oriented versus the primary sector. With the exception of Bamako and in spite of a rapid urban expansion, cities remain rather small and only 15 agglomerations in the country host more than 30,000 people. </w:t>
      </w:r>
    </w:p>
    <w:p w:rsidR="00B15BF9" w:rsidRPr="008F3531" w:rsidRDefault="00B15BF9" w:rsidP="00DC2ACB">
      <w:pPr>
        <w:pStyle w:val="paranumb"/>
        <w:rPr>
          <w:rFonts w:cs="Times New Roman"/>
          <w:szCs w:val="24"/>
        </w:rPr>
      </w:pPr>
      <w:r w:rsidRPr="008F3531">
        <w:rPr>
          <w:rFonts w:cs="Times New Roman"/>
          <w:szCs w:val="24"/>
        </w:rPr>
        <w:t xml:space="preserve">All cities in the country perform more or less similar functions with a similar mix of activities and apparent lack of economic specialization. The main difference between towns and cities is the smaller share of the agricultural sector in cities which is replaced by a larger share of the trade, public, and service sectors, but not by a manufacturing sector. The lack of specialization suggests that the cities are not well connected among themselves, possibly due to long distances and the poor quality of roads resulting in high transport and communication costs. </w:t>
      </w:r>
    </w:p>
    <w:p w:rsidR="00B15BF9" w:rsidRPr="008F3531" w:rsidRDefault="00B15BF9" w:rsidP="00DC2ACB">
      <w:pPr>
        <w:pStyle w:val="paranumb"/>
        <w:rPr>
          <w:rFonts w:cs="Times New Roman"/>
          <w:szCs w:val="24"/>
        </w:rPr>
      </w:pPr>
      <w:r w:rsidRPr="008F3531">
        <w:rPr>
          <w:rFonts w:cs="Times New Roman"/>
          <w:szCs w:val="24"/>
        </w:rPr>
        <w:t>The manufacturing sector, although more present in larger urban areas, remains small, even in Bamako. There is no evidence of the manufacturing sector expanding rapidly and the share of the population working in manufacturing and crafts in Bamako has remained unchanged since 1998 (while the trade and transport sectors have gained in importance, at the expense of services and the public sector).</w:t>
      </w:r>
    </w:p>
    <w:p w:rsidR="00B15BF9" w:rsidRPr="008F3531" w:rsidRDefault="00006FF6" w:rsidP="00006FF6">
      <w:pPr>
        <w:pStyle w:val="Caption"/>
        <w:rPr>
          <w:b w:val="0"/>
        </w:rPr>
      </w:pPr>
      <w:bookmarkStart w:id="38" w:name="_Toc390956381"/>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2</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13</w:t>
      </w:r>
      <w:r w:rsidR="00943E46" w:rsidRPr="00E56625">
        <w:rPr>
          <w:noProof/>
        </w:rPr>
        <w:fldChar w:fldCharType="end"/>
      </w:r>
      <w:r w:rsidR="00B15BF9" w:rsidRPr="008F3531">
        <w:rPr>
          <w:b w:val="0"/>
        </w:rPr>
        <w:t>: Changes in economic sector of employment (*)</w:t>
      </w:r>
      <w:bookmarkEnd w:id="38"/>
    </w:p>
    <w:p w:rsidR="00B15BF9" w:rsidRPr="00E56625" w:rsidRDefault="00B15BF9" w:rsidP="00894994">
      <w:pPr>
        <w:spacing w:after="0"/>
        <w:jc w:val="center"/>
        <w:rPr>
          <w:lang w:val="en-US"/>
        </w:rPr>
      </w:pPr>
      <w:r w:rsidRPr="000370E2">
        <w:rPr>
          <w:noProof/>
          <w:lang w:val="en-US"/>
        </w:rPr>
        <w:drawing>
          <wp:inline distT="0" distB="0" distL="0" distR="0" wp14:anchorId="1BFABEEB" wp14:editId="7D7AFFE7">
            <wp:extent cx="5403850" cy="2311400"/>
            <wp:effectExtent l="0" t="0" r="6350" b="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15BF9" w:rsidRPr="00E56625" w:rsidRDefault="00B15BF9" w:rsidP="00894994">
      <w:pPr>
        <w:spacing w:after="0"/>
        <w:ind w:left="360"/>
        <w:jc w:val="both"/>
        <w:rPr>
          <w:sz w:val="20"/>
          <w:szCs w:val="20"/>
          <w:lang w:val="en-US"/>
        </w:rPr>
      </w:pPr>
      <w:r w:rsidRPr="00E56625">
        <w:rPr>
          <w:sz w:val="20"/>
          <w:szCs w:val="20"/>
          <w:lang w:val="en-US"/>
        </w:rPr>
        <w:t>(*) Excludes those working in agriculture and non-responses</w:t>
      </w:r>
      <w:r w:rsidR="00006FF6" w:rsidRPr="00E56625">
        <w:rPr>
          <w:sz w:val="20"/>
          <w:szCs w:val="20"/>
          <w:lang w:val="en-US"/>
        </w:rPr>
        <w:t>.</w:t>
      </w:r>
    </w:p>
    <w:p w:rsidR="00B15BF9" w:rsidRPr="00E56625" w:rsidRDefault="00B15BF9" w:rsidP="00894994">
      <w:pPr>
        <w:spacing w:after="0"/>
        <w:ind w:left="360"/>
        <w:jc w:val="both"/>
        <w:rPr>
          <w:sz w:val="20"/>
          <w:szCs w:val="20"/>
          <w:lang w:val="en-US"/>
        </w:rPr>
      </w:pPr>
      <w:r w:rsidRPr="00E56625">
        <w:rPr>
          <w:sz w:val="20"/>
          <w:szCs w:val="20"/>
          <w:lang w:val="en-US"/>
        </w:rPr>
        <w:t>Source: RGPH 1988 and 2009.</w:t>
      </w:r>
    </w:p>
    <w:p w:rsidR="00894994" w:rsidRPr="00E56625" w:rsidRDefault="00894994" w:rsidP="00894994">
      <w:pPr>
        <w:spacing w:after="0"/>
        <w:ind w:left="274"/>
        <w:jc w:val="both"/>
        <w:rPr>
          <w:lang w:val="en-US"/>
        </w:rPr>
      </w:pPr>
    </w:p>
    <w:p w:rsidR="00B15BF9" w:rsidRPr="008F3531" w:rsidRDefault="00B15BF9" w:rsidP="00DC2ACB">
      <w:pPr>
        <w:pStyle w:val="paranumb"/>
        <w:rPr>
          <w:rFonts w:cs="Times New Roman"/>
          <w:szCs w:val="24"/>
        </w:rPr>
      </w:pPr>
      <w:r w:rsidRPr="008F3531">
        <w:rPr>
          <w:rFonts w:cs="Times New Roman"/>
          <w:szCs w:val="24"/>
        </w:rPr>
        <w:t>These traits –coupled with the observation that per capita incomes have not been growing since 2001 are suggestive of an economy where agglomeration is not accompanied by structural transformation towards productive industrial and services sectors and where a scattered urban population of modest skills and modest incomes does not generate sufficient market size to boost the demand for transformed goods or for high value-added services and does not provide the educated workforce necessary for the development of such activities.</w:t>
      </w:r>
      <w:r w:rsidRPr="008F3531">
        <w:rPr>
          <w:rStyle w:val="FootnoteReference"/>
          <w:rFonts w:cs="Times New Roman"/>
          <w:szCs w:val="24"/>
        </w:rPr>
        <w:footnoteReference w:id="26"/>
      </w:r>
      <w:r w:rsidRPr="008F3531">
        <w:rPr>
          <w:rFonts w:cs="Times New Roman"/>
          <w:szCs w:val="24"/>
        </w:rPr>
        <w:t xml:space="preserve"> </w:t>
      </w:r>
      <w:r w:rsidR="00006FF6" w:rsidRPr="008F3531">
        <w:rPr>
          <w:rFonts w:cs="Times New Roman"/>
          <w:szCs w:val="24"/>
        </w:rPr>
        <w:t xml:space="preserve"> </w:t>
      </w:r>
      <w:r w:rsidRPr="008F3531">
        <w:rPr>
          <w:rFonts w:cs="Times New Roman"/>
          <w:szCs w:val="24"/>
        </w:rPr>
        <w:t xml:space="preserve">It should equally be noted as there is potential for development in rural areas through commercial agriculture and better exploitation of mining resources, this requires functioning cities with adequate infrastructure for transit and export. At present this does not seem to be the case. Instead the relatively greater wealth of households in Bamako reflects more the sorting of educated workers into the city and into greater opportunities for rent capture than true agglomeration effects whereby density would be associated with higher productivity. </w:t>
      </w:r>
    </w:p>
    <w:p w:rsidR="00B15BF9" w:rsidRPr="008F3531" w:rsidRDefault="00B15BF9" w:rsidP="00DC2ACB">
      <w:pPr>
        <w:pStyle w:val="paranumb"/>
        <w:rPr>
          <w:rFonts w:cs="Times New Roman"/>
          <w:szCs w:val="24"/>
        </w:rPr>
      </w:pPr>
      <w:r w:rsidRPr="008F3531">
        <w:rPr>
          <w:rFonts w:cs="Times New Roman"/>
          <w:szCs w:val="24"/>
        </w:rPr>
        <w:t>While Mali is likely to continue to urbanize, it will be important to reflect on the set of policies that can address the deficiencies that prevent urbanization from being conducive to sustained growth.</w:t>
      </w:r>
    </w:p>
    <w:p w:rsidR="00B15BF9" w:rsidRPr="00E56625" w:rsidRDefault="00B15BF9" w:rsidP="00B15BF9">
      <w:pPr>
        <w:rPr>
          <w:lang w:val="en-US"/>
        </w:rPr>
        <w:sectPr w:rsidR="00B15BF9" w:rsidRPr="00E56625">
          <w:footerReference w:type="default" r:id="rId55"/>
          <w:pgSz w:w="12240" w:h="15840"/>
          <w:pgMar w:top="1440" w:right="1440" w:bottom="1440" w:left="1440" w:header="720" w:footer="720" w:gutter="0"/>
          <w:cols w:space="720"/>
          <w:docGrid w:linePitch="360"/>
        </w:sectPr>
      </w:pPr>
    </w:p>
    <w:p w:rsidR="00CF0E26" w:rsidRPr="008F3531" w:rsidRDefault="00F66268" w:rsidP="00115567">
      <w:pPr>
        <w:pStyle w:val="Heading1"/>
        <w:ind w:left="0"/>
      </w:pPr>
      <w:bookmarkStart w:id="39" w:name="_Toc383519758"/>
      <w:bookmarkStart w:id="40" w:name="_Toc419468539"/>
      <w:r w:rsidRPr="008F3531">
        <w:t>Mali by Livelihood Z</w:t>
      </w:r>
      <w:r w:rsidR="00DC2ACB" w:rsidRPr="008F3531">
        <w:t>one</w:t>
      </w:r>
      <w:bookmarkEnd w:id="39"/>
      <w:bookmarkEnd w:id="40"/>
    </w:p>
    <w:p w:rsidR="00CF0E26" w:rsidRPr="00E56625" w:rsidRDefault="00DC2ACB" w:rsidP="003D20DD">
      <w:pPr>
        <w:pStyle w:val="Heading2"/>
        <w:numPr>
          <w:ilvl w:val="0"/>
          <w:numId w:val="8"/>
        </w:numPr>
        <w:spacing w:before="0"/>
        <w:ind w:left="540" w:hanging="540"/>
        <w:rPr>
          <w:rFonts w:ascii="Times New Roman Bold" w:hAnsi="Times New Roman Bold" w:cs="Times New Roman"/>
          <w:color w:val="000000" w:themeColor="text1"/>
          <w:sz w:val="22"/>
          <w:szCs w:val="22"/>
          <w:lang w:val="en-US"/>
        </w:rPr>
      </w:pPr>
      <w:bookmarkStart w:id="41" w:name="_Toc383519759"/>
      <w:bookmarkStart w:id="42" w:name="_Toc419468540"/>
      <w:r w:rsidRPr="00E56625">
        <w:rPr>
          <w:rFonts w:ascii="Times New Roman Bold" w:hAnsi="Times New Roman Bold" w:cs="Times New Roman"/>
          <w:color w:val="000000" w:themeColor="text1"/>
          <w:sz w:val="22"/>
          <w:szCs w:val="22"/>
          <w:lang w:val="en-US"/>
        </w:rPr>
        <w:t>I</w:t>
      </w:r>
      <w:r w:rsidR="00CF0E26" w:rsidRPr="00E56625">
        <w:rPr>
          <w:rFonts w:ascii="Times New Roman Bold" w:hAnsi="Times New Roman Bold" w:cs="Times New Roman"/>
          <w:color w:val="000000" w:themeColor="text1"/>
          <w:sz w:val="22"/>
          <w:szCs w:val="22"/>
          <w:lang w:val="en-US"/>
        </w:rPr>
        <w:t>ntroduction</w:t>
      </w:r>
      <w:bookmarkEnd w:id="41"/>
      <w:bookmarkEnd w:id="42"/>
    </w:p>
    <w:p w:rsidR="00DD1125" w:rsidRPr="008F3531" w:rsidRDefault="00DD1125" w:rsidP="00DD1125">
      <w:pPr>
        <w:pStyle w:val="paranumb"/>
        <w:spacing w:after="200"/>
        <w:rPr>
          <w:rFonts w:cs="Times New Roman"/>
          <w:szCs w:val="24"/>
        </w:rPr>
      </w:pPr>
      <w:r w:rsidRPr="008F3531">
        <w:rPr>
          <w:rFonts w:cs="Times New Roman"/>
          <w:szCs w:val="24"/>
        </w:rPr>
        <w:t>In the previous chapter we classified the country by agglomeration based on population density. In this chapter we introduce another type of classification: by economic activity or livelihood. Agro</w:t>
      </w:r>
      <w:r w:rsidRPr="008F3531">
        <w:rPr>
          <w:rFonts w:cs="Times New Roman"/>
          <w:b/>
          <w:bCs/>
          <w:szCs w:val="24"/>
        </w:rPr>
        <w:t>-</w:t>
      </w:r>
      <w:r w:rsidRPr="008F3531">
        <w:rPr>
          <w:rFonts w:cs="Times New Roman"/>
          <w:szCs w:val="24"/>
        </w:rPr>
        <w:t xml:space="preserve">ecology is an important determinant of livelihood, and since this factor is spatially correlated, it is possible to divide the country into a number of </w:t>
      </w:r>
      <w:r w:rsidRPr="008F3531">
        <w:rPr>
          <w:rFonts w:cs="Times New Roman"/>
          <w:bCs/>
          <w:szCs w:val="24"/>
        </w:rPr>
        <w:t xml:space="preserve">livelihood zones, </w:t>
      </w:r>
      <w:r w:rsidRPr="008F3531">
        <w:rPr>
          <w:rFonts w:cs="Times New Roman"/>
          <w:szCs w:val="24"/>
        </w:rPr>
        <w:t>defined as areas within which people share broadly the same production system.</w:t>
      </w:r>
    </w:p>
    <w:p w:rsidR="00DD1125" w:rsidRPr="008F3531" w:rsidRDefault="00DD1125" w:rsidP="00DD1125">
      <w:pPr>
        <w:pStyle w:val="paranumb"/>
        <w:spacing w:after="200"/>
        <w:rPr>
          <w:rFonts w:cs="Times New Roman"/>
          <w:szCs w:val="24"/>
        </w:rPr>
      </w:pPr>
      <w:r w:rsidRPr="008F3531">
        <w:rPr>
          <w:rFonts w:cs="Times New Roman"/>
          <w:szCs w:val="24"/>
        </w:rPr>
        <w:t>We follow a classification developed by FEWSNET (2010) based on an elaborate research using key-informant interviews and stakeholder discussions.  It identifies 13 livelihood zones. We borrow extensively from the document FEWSNET produced to describe these different zones.</w:t>
      </w:r>
      <w:r w:rsidRPr="008F3531">
        <w:rPr>
          <w:rStyle w:val="FootnoteReference"/>
          <w:rFonts w:cs="Times New Roman"/>
          <w:szCs w:val="24"/>
        </w:rPr>
        <w:footnoteReference w:id="27"/>
      </w:r>
      <w:r w:rsidRPr="008F3531">
        <w:rPr>
          <w:rFonts w:cs="Times New Roman"/>
          <w:szCs w:val="24"/>
        </w:rPr>
        <w:t xml:space="preserve"> </w:t>
      </w:r>
    </w:p>
    <w:p w:rsidR="00DD1125" w:rsidRPr="008F3531" w:rsidRDefault="00DD1125" w:rsidP="00DD1125">
      <w:pPr>
        <w:pStyle w:val="paranumb"/>
        <w:spacing w:after="200"/>
        <w:rPr>
          <w:rFonts w:cs="Times New Roman"/>
          <w:szCs w:val="24"/>
        </w:rPr>
      </w:pPr>
      <w:r w:rsidRPr="008F3531">
        <w:rPr>
          <w:rFonts w:cs="Times New Roman"/>
          <w:szCs w:val="24"/>
        </w:rPr>
        <w:t xml:space="preserve">Livelihood zone boundaries do not follow administrative boundaries. One finds, for instance, three different patterns of livelihood in Sikasso. But at finer administrative levels –the commune, livelihood zones are defined by administrative boundaries. This makes it possible, using geographic matching tools, to combine livelihood zone information with data from other sources such as the population censuses and the various household surveys. This information is used to complement the analysis presented by FEWSNET. </w:t>
      </w:r>
    </w:p>
    <w:p w:rsidR="00DD1125" w:rsidRPr="00E56625" w:rsidRDefault="00DD1125" w:rsidP="003D20DD">
      <w:pPr>
        <w:pStyle w:val="Heading2"/>
        <w:numPr>
          <w:ilvl w:val="0"/>
          <w:numId w:val="8"/>
        </w:numPr>
        <w:spacing w:before="0"/>
        <w:ind w:left="540" w:hanging="540"/>
        <w:rPr>
          <w:rFonts w:ascii="Times New Roman Bold" w:hAnsi="Times New Roman Bold" w:cs="Times New Roman"/>
          <w:color w:val="000000" w:themeColor="text1"/>
          <w:sz w:val="22"/>
          <w:szCs w:val="22"/>
          <w:lang w:val="en-US"/>
        </w:rPr>
      </w:pPr>
      <w:bookmarkStart w:id="43" w:name="_Toc419468541"/>
      <w:r w:rsidRPr="00E56625">
        <w:rPr>
          <w:rFonts w:ascii="Times New Roman Bold" w:hAnsi="Times New Roman Bold" w:cs="Times New Roman"/>
          <w:color w:val="000000" w:themeColor="text1"/>
          <w:sz w:val="22"/>
          <w:szCs w:val="22"/>
          <w:lang w:val="en-US"/>
        </w:rPr>
        <w:t>Livelihood zones in Mali</w:t>
      </w:r>
      <w:bookmarkEnd w:id="43"/>
    </w:p>
    <w:p w:rsidR="00DD1125" w:rsidRPr="008F3531" w:rsidRDefault="00DD1125" w:rsidP="003A7F60">
      <w:pPr>
        <w:pStyle w:val="paranumb"/>
        <w:spacing w:after="200"/>
        <w:rPr>
          <w:rFonts w:cs="Times New Roman"/>
          <w:szCs w:val="24"/>
        </w:rPr>
      </w:pPr>
      <w:r w:rsidRPr="008F3531">
        <w:rPr>
          <w:rFonts w:cs="Times New Roman"/>
          <w:szCs w:val="24"/>
        </w:rPr>
        <w:t xml:space="preserve">Rainfall is a decisive factor in identifying livelihood zones.  Levels of rainfall help explain the degree of dependence on livestock herding and the uses to which arable land can be put. Rainfall levels vary from very low in the desert in the far north (receiving under 200mm of precipitation per year) to between 1,000 and 1,300mm per year in the lusher zones in the south. Following the broad rainfall pattern, 12 rural livelihood zones plus Bamako are distinguished (see Figure 3.1 for their location) </w:t>
      </w:r>
    </w:p>
    <w:p w:rsidR="00DD1125" w:rsidRPr="008F3531" w:rsidRDefault="00DD1125" w:rsidP="003A7F60">
      <w:pPr>
        <w:pStyle w:val="paranumb"/>
        <w:spacing w:after="200"/>
        <w:rPr>
          <w:rFonts w:cs="Times New Roman"/>
          <w:szCs w:val="24"/>
        </w:rPr>
      </w:pPr>
      <w:r w:rsidRPr="008F3531">
        <w:rPr>
          <w:rFonts w:cs="Times New Roman"/>
          <w:szCs w:val="24"/>
        </w:rPr>
        <w:t xml:space="preserve">Zone 1 represents the desert, an area of low population density in which nomadism and commerce are the dominant activities.  Kidal lies in zone 1. Like zone 1, zone 2 does not receive sufficient rainfall to support rain fed agriculture: it is where nomadic and transhumant pastoralism are the dominant activity. Gao and Tombouctou are the main urban centers in this zone, even though strictly speaking both lie in the fluvial basin of the Niger river which is classified as livelihood zone 3. The higher precipitation in zone 4 -the wide Sahelian band- allows cultivation of millet and cowpeas, but low and unreliable levels of rainfall means that depending on agriculture alone is risky. It explains why transhumant livestock rearing is an important activity in this zone. </w:t>
      </w:r>
    </w:p>
    <w:p w:rsidR="00DD1125" w:rsidRPr="008F3531" w:rsidRDefault="00DD1125" w:rsidP="003A7F60">
      <w:pPr>
        <w:pStyle w:val="paranumb"/>
        <w:spacing w:after="200"/>
        <w:rPr>
          <w:rFonts w:cs="Times New Roman"/>
          <w:szCs w:val="24"/>
        </w:rPr>
      </w:pPr>
      <w:r w:rsidRPr="008F3531">
        <w:rPr>
          <w:rFonts w:cs="Times New Roman"/>
          <w:szCs w:val="24"/>
        </w:rPr>
        <w:t xml:space="preserve">Zone 9, the band stretching roughly from Kayes to Bamako to Ségou represents a transition from the north to the south; there is a decreasing dependence on livestock and an increasingly diverse range of food and cash crops that are being grown. With increasing agricultural potential, family size and population density increase. The three southern-most zones (10, 11, 12) which are demarcated by Bamako to the north and Sikasso to the south, are not only highly productive with the largest range of crops grown, these are also the zones with the largest families and greatest population density. </w:t>
      </w:r>
    </w:p>
    <w:p w:rsidR="00DD1125" w:rsidRPr="008F3531" w:rsidRDefault="00184C4E" w:rsidP="00184C4E">
      <w:pPr>
        <w:pStyle w:val="Caption"/>
        <w:rPr>
          <w:b w:val="0"/>
        </w:rPr>
      </w:pPr>
      <w:bookmarkStart w:id="44" w:name="_Toc390956382"/>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w:t>
      </w:r>
      <w:r w:rsidR="00943E46" w:rsidRPr="00E56625">
        <w:rPr>
          <w:noProof/>
        </w:rPr>
        <w:fldChar w:fldCharType="end"/>
      </w:r>
      <w:r w:rsidR="0019522F" w:rsidRPr="008F3531">
        <w:rPr>
          <w:b w:val="0"/>
        </w:rPr>
        <w:t>: Livelihood Z</w:t>
      </w:r>
      <w:r w:rsidR="00DD1125" w:rsidRPr="008F3531">
        <w:rPr>
          <w:b w:val="0"/>
        </w:rPr>
        <w:t>ones in Mali</w:t>
      </w:r>
      <w:bookmarkEnd w:id="44"/>
    </w:p>
    <w:p w:rsidR="00DD1125" w:rsidRPr="00E56625" w:rsidRDefault="00DD1125" w:rsidP="00DD1125">
      <w:pPr>
        <w:autoSpaceDE w:val="0"/>
        <w:autoSpaceDN w:val="0"/>
        <w:adjustRightInd w:val="0"/>
        <w:spacing w:after="120"/>
        <w:rPr>
          <w:lang w:val="en-US"/>
        </w:rPr>
      </w:pPr>
      <w:r w:rsidRPr="000370E2">
        <w:rPr>
          <w:noProof/>
          <w:lang w:val="en-US"/>
        </w:rPr>
        <w:drawing>
          <wp:inline distT="0" distB="0" distL="0" distR="0" wp14:anchorId="72B84C82" wp14:editId="235C005A">
            <wp:extent cx="5939790" cy="526415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5264150"/>
                    </a:xfrm>
                    <a:prstGeom prst="rect">
                      <a:avLst/>
                    </a:prstGeom>
                    <a:noFill/>
                    <a:ln>
                      <a:noFill/>
                    </a:ln>
                  </pic:spPr>
                </pic:pic>
              </a:graphicData>
            </a:graphic>
          </wp:inline>
        </w:drawing>
      </w:r>
    </w:p>
    <w:p w:rsidR="00DD1125" w:rsidRPr="00E56625" w:rsidRDefault="00DD1125" w:rsidP="00184C4E">
      <w:pPr>
        <w:autoSpaceDE w:val="0"/>
        <w:autoSpaceDN w:val="0"/>
        <w:adjustRightInd w:val="0"/>
        <w:spacing w:after="240"/>
        <w:rPr>
          <w:sz w:val="20"/>
          <w:szCs w:val="20"/>
          <w:lang w:val="en-US"/>
        </w:rPr>
      </w:pPr>
      <w:r w:rsidRPr="00E56625">
        <w:rPr>
          <w:sz w:val="20"/>
          <w:szCs w:val="20"/>
          <w:lang w:val="en-US"/>
        </w:rPr>
        <w:t>Source: FEWSNET 2010.</w:t>
      </w:r>
    </w:p>
    <w:p w:rsidR="00DD1125" w:rsidRPr="008F3531" w:rsidRDefault="00DD1125" w:rsidP="003A7F60">
      <w:pPr>
        <w:pStyle w:val="paranumb"/>
        <w:spacing w:after="200"/>
        <w:rPr>
          <w:rFonts w:cs="Times New Roman"/>
          <w:szCs w:val="24"/>
        </w:rPr>
      </w:pPr>
      <w:r w:rsidRPr="008F3531">
        <w:rPr>
          <w:rFonts w:cs="Times New Roman"/>
          <w:szCs w:val="24"/>
        </w:rPr>
        <w:t>The Niger river defines another three livelihood zones. The delta (zone 6) near Mopti is a vast flood plain that is inundated for five months of the year; flooding is facilitated by another factor - the very low slope of the ground, which allows the waters to spread out. This creates a major resource in terms of pasture and allows households to cultivate rice and sorghum. The river also defines the livelihoods of households living along its banks (zone 3) from the north of the delta to the international border between Mali and Niger, where irrigated rice is a particular feature. In a still more direct way, Bozo fishermen (representing a subzone in zone 6), who operate along the length of the river, are dependent on it for survival. Finally the Office du Niger (zone 7, north of Ségou) is a managed irrigation scheme dependent on water from the river. This zone is a manmade area reclaimed from the Sahel by irrigation canals and dams.</w:t>
      </w:r>
    </w:p>
    <w:p w:rsidR="00DD1125" w:rsidRPr="008F3531" w:rsidRDefault="00DD1125" w:rsidP="003A7F60">
      <w:pPr>
        <w:pStyle w:val="paranumb"/>
        <w:spacing w:after="200"/>
        <w:rPr>
          <w:rFonts w:cs="Times New Roman"/>
          <w:szCs w:val="24"/>
        </w:rPr>
      </w:pPr>
      <w:r w:rsidRPr="008F3531">
        <w:rPr>
          <w:rFonts w:cs="Times New Roman"/>
          <w:szCs w:val="24"/>
        </w:rPr>
        <w:t>Cultural, historical and ethnic factors play a role in identifying different zones. Notably, in zone 8 north of Kayes and bordering Mauretania, the Soninke are well-known for their dependence on remittances from family members who live and work abroad (often in France). The geographical location of a zone can be important too. The location of zone 9 means that it dominates the north-south commercial axis of grain trade towards the deficit north and livestock trade and seasonal migration towards the south. Zones1 and 2 are linked to Algeria by the long tradition of trans-Saharan trade.</w:t>
      </w:r>
    </w:p>
    <w:p w:rsidR="00DD1125" w:rsidRPr="008F3531" w:rsidRDefault="006A32B7" w:rsidP="006A32B7">
      <w:pPr>
        <w:pStyle w:val="Caption"/>
        <w:rPr>
          <w:b w:val="0"/>
        </w:rPr>
      </w:pPr>
      <w:bookmarkStart w:id="45" w:name="_Toc390956383"/>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w:t>
      </w:r>
      <w:r w:rsidR="00943E46" w:rsidRPr="00E56625">
        <w:rPr>
          <w:noProof/>
        </w:rPr>
        <w:fldChar w:fldCharType="end"/>
      </w:r>
      <w:r w:rsidR="00DD1125" w:rsidRPr="008F3531">
        <w:rPr>
          <w:b w:val="0"/>
        </w:rPr>
        <w:t>: Household size by livelihood zone</w:t>
      </w:r>
      <w:bookmarkEnd w:id="45"/>
    </w:p>
    <w:p w:rsidR="00DD1125" w:rsidRPr="00E56625" w:rsidRDefault="00DD1125" w:rsidP="006A32B7">
      <w:pPr>
        <w:autoSpaceDE w:val="0"/>
        <w:autoSpaceDN w:val="0"/>
        <w:adjustRightInd w:val="0"/>
        <w:spacing w:after="0"/>
        <w:rPr>
          <w:lang w:val="en-US"/>
        </w:rPr>
      </w:pPr>
      <w:r w:rsidRPr="000370E2">
        <w:rPr>
          <w:noProof/>
          <w:lang w:val="en-US"/>
        </w:rPr>
        <w:drawing>
          <wp:inline distT="0" distB="0" distL="0" distR="0" wp14:anchorId="1B86508B" wp14:editId="0ACCA1CA">
            <wp:extent cx="5683250" cy="2971800"/>
            <wp:effectExtent l="0" t="0" r="0"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D1125" w:rsidRPr="00E56625" w:rsidRDefault="00DD1125" w:rsidP="006A32B7">
      <w:pPr>
        <w:autoSpaceDE w:val="0"/>
        <w:autoSpaceDN w:val="0"/>
        <w:adjustRightInd w:val="0"/>
        <w:spacing w:after="0"/>
        <w:rPr>
          <w:sz w:val="20"/>
          <w:szCs w:val="20"/>
          <w:lang w:val="en-US"/>
        </w:rPr>
      </w:pPr>
      <w:r w:rsidRPr="00E56625">
        <w:rPr>
          <w:sz w:val="20"/>
          <w:szCs w:val="20"/>
          <w:lang w:val="en-US"/>
        </w:rPr>
        <w:t>Source: ELIM 2010. Authors’ calculations.</w:t>
      </w:r>
    </w:p>
    <w:p w:rsidR="0072054F" w:rsidRPr="00E56625" w:rsidRDefault="0072054F" w:rsidP="006A32B7">
      <w:pPr>
        <w:autoSpaceDE w:val="0"/>
        <w:autoSpaceDN w:val="0"/>
        <w:adjustRightInd w:val="0"/>
        <w:spacing w:after="0"/>
        <w:rPr>
          <w:sz w:val="20"/>
          <w:szCs w:val="20"/>
          <w:lang w:val="en-US"/>
        </w:rPr>
      </w:pPr>
    </w:p>
    <w:p w:rsidR="0072054F" w:rsidRPr="008F3531" w:rsidRDefault="0072054F" w:rsidP="0072054F">
      <w:pPr>
        <w:pStyle w:val="paranumb"/>
        <w:spacing w:after="200"/>
        <w:rPr>
          <w:rFonts w:cs="Times New Roman"/>
          <w:szCs w:val="24"/>
        </w:rPr>
      </w:pPr>
      <w:r w:rsidRPr="008F3531">
        <w:rPr>
          <w:rFonts w:cs="Times New Roman"/>
          <w:szCs w:val="24"/>
        </w:rPr>
        <w:t>While cultural and ethnic factors play a role in identifying different agro-ecological zones, at times the physical environment plays a critical role in cultural outcomes. There is, for instance, a strong relation between agro-ecological zone and household size and marriage patterns. In land abundant areas (most of Mali remains land abundant) with rain-fed agriculture and limited access to capital, household size is typically large as it compensates for absent labor markets (Binswanger and McIntire 1987)</w:t>
      </w:r>
      <w:r w:rsidR="00BE2D34" w:rsidRPr="008F3531">
        <w:rPr>
          <w:rFonts w:cs="Times New Roman"/>
          <w:szCs w:val="24"/>
        </w:rPr>
        <w:t>.</w:t>
      </w:r>
      <w:r w:rsidRPr="008F3531">
        <w:rPr>
          <w:rStyle w:val="FootnoteReference"/>
          <w:rFonts w:cs="Times New Roman"/>
          <w:szCs w:val="24"/>
        </w:rPr>
        <w:footnoteReference w:id="28"/>
      </w:r>
      <w:r w:rsidR="00BE2D34" w:rsidRPr="008F3531">
        <w:rPr>
          <w:rFonts w:cs="Times New Roman"/>
          <w:szCs w:val="24"/>
        </w:rPr>
        <w:t xml:space="preserve"> </w:t>
      </w:r>
      <w:r w:rsidRPr="008F3531">
        <w:rPr>
          <w:rFonts w:cs="Times New Roman"/>
          <w:szCs w:val="24"/>
        </w:rPr>
        <w:t>Hence one notes the largest families in the southern zones (10, 11 and 12) and much smaller families in zones where fisheries or commerce are dominant (zones 1,2,3,4 5 and 7) –see Figure 3.2. Household size is also closely associated to wealth and poorest are small families with few physically capable members. Preferences for family size, in turn, affect marriage patterns in turn. Polygamy is more common where large families are valued for their labor and one notes that polygamy is much more common in Southern Mali, less around in Gao and Tombouctou where there is less demand for household labor as pastoralism is the dominant form of livelihood  and significantly less so in Kidal where the main economic activity is commerce. The age at first marriage follows a similar pattern. Young people are more likely to be married in southern Mali and less so in Gao, Tombouctou or Kidal.</w:t>
      </w:r>
    </w:p>
    <w:p w:rsidR="00DD1125" w:rsidRPr="008F3531" w:rsidRDefault="00DD1125" w:rsidP="003A7F60">
      <w:pPr>
        <w:pStyle w:val="paranumb"/>
        <w:spacing w:after="200"/>
        <w:rPr>
          <w:rFonts w:cs="Times New Roman"/>
          <w:szCs w:val="24"/>
        </w:rPr>
      </w:pPr>
      <w:r w:rsidRPr="008F3531">
        <w:rPr>
          <w:rFonts w:cs="Times New Roman"/>
          <w:szCs w:val="24"/>
        </w:rPr>
        <w:t>The livelihood zones interact both with each other and with neighboring countries in a number of ways. Transhumant livestock herders move their animals towards southern regions during the dry season to take advantage of pastures there; migrant laborers also travel to other zones, urban centers and neighboring countries in search of work. Every year, for example, laborers from zone 6 move to zone 4 for the millet harvest; following this, laborers from zones 4 and 5 travel to the delta (zone 6) to work on the rice harvest. Trade is one of the most important links between zones. The surplus producing southern zones provide cereals to the deficit north as well as exporting cash crops to other zones and abroad. Livestock from the north is traded in the south of the country as well as abroad (e.g. Algeria and Niger).</w:t>
      </w:r>
    </w:p>
    <w:p w:rsidR="00DD1125" w:rsidRPr="00E56625" w:rsidRDefault="00DD1125" w:rsidP="003D20DD">
      <w:pPr>
        <w:pStyle w:val="Heading2"/>
        <w:numPr>
          <w:ilvl w:val="0"/>
          <w:numId w:val="8"/>
        </w:numPr>
        <w:spacing w:before="0"/>
        <w:ind w:left="540" w:hanging="540"/>
        <w:rPr>
          <w:rFonts w:ascii="Times New Roman Bold" w:hAnsi="Times New Roman Bold" w:cs="Times New Roman"/>
          <w:color w:val="000000" w:themeColor="text1"/>
          <w:sz w:val="22"/>
          <w:szCs w:val="22"/>
          <w:lang w:val="en-US"/>
        </w:rPr>
      </w:pPr>
      <w:bookmarkStart w:id="46" w:name="_Toc419468542"/>
      <w:r w:rsidRPr="00E56625">
        <w:rPr>
          <w:rFonts w:ascii="Times New Roman Bold" w:hAnsi="Times New Roman Bold" w:cs="Times New Roman"/>
          <w:color w:val="000000" w:themeColor="text1"/>
          <w:sz w:val="22"/>
          <w:szCs w:val="22"/>
          <w:lang w:val="en-US"/>
        </w:rPr>
        <w:t>Income and wealth</w:t>
      </w:r>
      <w:bookmarkEnd w:id="46"/>
    </w:p>
    <w:p w:rsidR="00DD1125" w:rsidRPr="008F3531" w:rsidRDefault="00DD1125" w:rsidP="003A7F60">
      <w:pPr>
        <w:pStyle w:val="paranumb"/>
        <w:spacing w:after="200"/>
        <w:rPr>
          <w:rFonts w:cs="Times New Roman"/>
          <w:szCs w:val="24"/>
        </w:rPr>
      </w:pPr>
      <w:r w:rsidRPr="008F3531">
        <w:rPr>
          <w:rFonts w:cs="Times New Roman"/>
          <w:szCs w:val="24"/>
        </w:rPr>
        <w:t>FEWSNET distinguishes four wealth categories: the very poor, poor, middle group and the better off. They estimate for each zone the percent of households in each category and provide a description of their wealth (Table 3.1). The Table demonstrates how small households (without livestock) are typically perceived as poor –an observation that makes sense since the ability to command labor and to share risks across household members is clearly associated to wealth. This observation is, however, at odds with what is typically reported by analyses using household surveys</w:t>
      </w:r>
      <w:r w:rsidRPr="008F3531">
        <w:rPr>
          <w:rStyle w:val="FootnoteReference"/>
          <w:rFonts w:cs="Times New Roman"/>
          <w:szCs w:val="24"/>
        </w:rPr>
        <w:footnoteReference w:id="29"/>
      </w:r>
      <w:r w:rsidRPr="008F3531">
        <w:rPr>
          <w:rFonts w:cs="Times New Roman"/>
          <w:szCs w:val="24"/>
        </w:rPr>
        <w:t xml:space="preserve"> which report that (all else being equal) larger households are poor. This deviation is caused by differences in definition; household surveys define as a household all those eating together implying that polygamous households are not considered one but multiple households. In the livelihoods approach this is not the case. </w:t>
      </w:r>
    </w:p>
    <w:p w:rsidR="004F4D13" w:rsidRDefault="004F4D13">
      <w:pPr>
        <w:spacing w:line="276" w:lineRule="auto"/>
        <w:rPr>
          <w:rFonts w:ascii="Times New Roman Bold" w:hAnsi="Times New Roman Bold" w:cstheme="minorBidi"/>
          <w:b/>
          <w:bCs/>
          <w:color w:val="000000" w:themeColor="text1"/>
          <w:sz w:val="22"/>
          <w:szCs w:val="18"/>
          <w:lang w:val="en-US"/>
        </w:rPr>
      </w:pPr>
      <w:bookmarkStart w:id="47" w:name="_Toc390956384"/>
      <w:r>
        <w:br w:type="page"/>
      </w:r>
    </w:p>
    <w:p w:rsidR="00DD1125" w:rsidRPr="008F3531" w:rsidRDefault="00686571" w:rsidP="00686571">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3</w:t>
      </w:r>
      <w:r w:rsidR="00943E46" w:rsidRPr="00E56625">
        <w:rPr>
          <w:noProof/>
        </w:rPr>
        <w:fldChar w:fldCharType="end"/>
      </w:r>
      <w:r w:rsidR="00DD1125" w:rsidRPr="008F3531">
        <w:rPr>
          <w:b w:val="0"/>
        </w:rPr>
        <w:t>: Coping mechanisms for households affected by a crisis</w:t>
      </w:r>
      <w:bookmarkEnd w:id="47"/>
    </w:p>
    <w:p w:rsidR="00DD1125" w:rsidRPr="00E56625" w:rsidRDefault="00DD1125" w:rsidP="00686571">
      <w:pPr>
        <w:autoSpaceDE w:val="0"/>
        <w:autoSpaceDN w:val="0"/>
        <w:adjustRightInd w:val="0"/>
        <w:spacing w:after="0"/>
        <w:jc w:val="center"/>
        <w:rPr>
          <w:lang w:val="en-US"/>
        </w:rPr>
      </w:pPr>
      <w:r w:rsidRPr="000370E2">
        <w:rPr>
          <w:noProof/>
          <w:lang w:val="en-US"/>
        </w:rPr>
        <w:drawing>
          <wp:inline distT="0" distB="0" distL="0" distR="0" wp14:anchorId="67678C2F" wp14:editId="0A79E40F">
            <wp:extent cx="5130800" cy="385762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D1125" w:rsidRPr="00E56625" w:rsidRDefault="00BE2D34" w:rsidP="00E56625">
      <w:pPr>
        <w:autoSpaceDE w:val="0"/>
        <w:autoSpaceDN w:val="0"/>
        <w:adjustRightInd w:val="0"/>
        <w:spacing w:after="240"/>
        <w:ind w:left="540"/>
        <w:rPr>
          <w:sz w:val="20"/>
          <w:szCs w:val="20"/>
          <w:lang w:val="en-US"/>
        </w:rPr>
      </w:pPr>
      <w:r w:rsidRPr="00E56625">
        <w:rPr>
          <w:sz w:val="20"/>
          <w:szCs w:val="20"/>
          <w:lang w:val="en-US"/>
        </w:rPr>
        <w:t xml:space="preserve"> </w:t>
      </w:r>
      <w:r w:rsidR="00DD1125" w:rsidRPr="00E56625">
        <w:rPr>
          <w:sz w:val="20"/>
          <w:szCs w:val="20"/>
          <w:lang w:val="en-US"/>
        </w:rPr>
        <w:t>Source: EMOP 2011. Authors’ calculations</w:t>
      </w:r>
      <w:r w:rsidR="00686571" w:rsidRPr="00E56625">
        <w:rPr>
          <w:sz w:val="20"/>
          <w:szCs w:val="20"/>
          <w:lang w:val="en-US"/>
        </w:rPr>
        <w:t>.</w:t>
      </w:r>
    </w:p>
    <w:p w:rsidR="00BE2D34" w:rsidRPr="008F3531" w:rsidRDefault="00BE2D34" w:rsidP="00BE2D34">
      <w:pPr>
        <w:pStyle w:val="paranumb"/>
        <w:spacing w:after="200"/>
        <w:rPr>
          <w:rFonts w:cs="Times New Roman"/>
          <w:szCs w:val="24"/>
        </w:rPr>
      </w:pPr>
      <w:r w:rsidRPr="008F3531">
        <w:rPr>
          <w:rFonts w:cs="Times New Roman"/>
          <w:szCs w:val="24"/>
        </w:rPr>
        <w:t xml:space="preserve">There are several factors that determine wealth; the two cardinal factors are livestock and the ability to cultivate land. </w:t>
      </w:r>
    </w:p>
    <w:p w:rsidR="00686571" w:rsidRPr="008F3531" w:rsidRDefault="00686571" w:rsidP="00686571">
      <w:pPr>
        <w:pStyle w:val="paranumb"/>
        <w:spacing w:after="200"/>
        <w:rPr>
          <w:rFonts w:cs="Times New Roman"/>
          <w:szCs w:val="24"/>
        </w:rPr>
      </w:pPr>
      <w:r w:rsidRPr="008F3531">
        <w:rPr>
          <w:rFonts w:cs="Times New Roman"/>
          <w:szCs w:val="24"/>
        </w:rPr>
        <w:t xml:space="preserve">Across the country wealthier households have larger livestock holdings. Livestock are a significant source of income, directly through the products they (re)produce and in zones where crop farming takes place because they are a source of traction power. Animals are an important way of saving and investing and a safeguard against a bad year. Particularly in regions where pastoralism is important, Tombouctou, Gap, Mopti and Koulikoro, do households in distress rely on the sale of livestock to deal with shocks (Figure 3.3). </w:t>
      </w:r>
    </w:p>
    <w:p w:rsidR="00DD1125" w:rsidRPr="008F3531" w:rsidRDefault="00DD1125" w:rsidP="003A7F60">
      <w:pPr>
        <w:pStyle w:val="paranumb"/>
        <w:spacing w:after="200"/>
        <w:rPr>
          <w:rFonts w:cs="Times New Roman"/>
          <w:szCs w:val="24"/>
        </w:rPr>
      </w:pPr>
      <w:r w:rsidRPr="008F3531">
        <w:rPr>
          <w:rFonts w:cs="Times New Roman"/>
          <w:szCs w:val="24"/>
        </w:rPr>
        <w:t>The most valuable animals are camels (only found in zones 1, 2 and 4) and cattle; ownership of just one of these animals can bring a considerable degree of economic security. As Table 3.1 shows, only the middle and better-off possess these animals. Camels are only found in livelihood zones 1 and 2 while cattle are found throughout the country. Livestock owned by very poor households is limited to a few chicken</w:t>
      </w:r>
      <w:r w:rsidR="00FA56FB" w:rsidRPr="008F3531">
        <w:rPr>
          <w:rFonts w:cs="Times New Roman"/>
          <w:szCs w:val="24"/>
        </w:rPr>
        <w:t>s</w:t>
      </w:r>
      <w:r w:rsidRPr="008F3531">
        <w:rPr>
          <w:rFonts w:cs="Times New Roman"/>
          <w:szCs w:val="24"/>
        </w:rPr>
        <w:t xml:space="preserve"> and sometimes a goat or a sheep. Poor households, have a wider variety of livestock: chicken, sheep, goats, donkeys but not cattle or camels. </w:t>
      </w:r>
    </w:p>
    <w:p w:rsidR="00DD1125" w:rsidRPr="008F3531" w:rsidRDefault="00DD1125" w:rsidP="003A7F60">
      <w:pPr>
        <w:pStyle w:val="paranumb"/>
        <w:spacing w:after="200"/>
        <w:rPr>
          <w:rFonts w:cs="Times New Roman"/>
          <w:szCs w:val="24"/>
        </w:rPr>
      </w:pPr>
      <w:r w:rsidRPr="008F3531">
        <w:rPr>
          <w:rFonts w:cs="Times New Roman"/>
          <w:szCs w:val="24"/>
        </w:rPr>
        <w:t>The ability to cultivate land is a key determinant of wealth in all zones but zone 2 (and perhaps zone 8). The acreage cultivated may depend on land availability, as in zone 7 where population density and pressure on irrigated land are high, but typically depends on the ability to work the land; across the country middle and better-off households have more able-bodied members than the poor and very poor. Additionally they employ members of the poorest households as agricultural laborers. Wealthy households are also those who can afford agricultural and livestock inputs; and are those who own productive assets - often carts, plows and plow oxen -although the nature of productive assets differs from zone to zone.</w:t>
      </w:r>
    </w:p>
    <w:p w:rsidR="00DD1125" w:rsidRPr="008F3531" w:rsidRDefault="00DD1125" w:rsidP="003A7F60">
      <w:pPr>
        <w:pStyle w:val="paranumb"/>
        <w:spacing w:after="200"/>
        <w:rPr>
          <w:rFonts w:cs="Times New Roman"/>
          <w:szCs w:val="24"/>
        </w:rPr>
      </w:pPr>
      <w:r w:rsidRPr="008F3531">
        <w:rPr>
          <w:rFonts w:cs="Times New Roman"/>
          <w:szCs w:val="24"/>
        </w:rPr>
        <w:t>Figure 3.4 summarizes the differing sources of cash for the poorest and wealthiest households in all livelihood zones. In broad terms, the better-off receive the majority of their cash income from own production, whether it be crop sales or livestock sales, while poor households earn their cash income through labor (typically local labor). Glancing from north to south one notes the decreasing importance of livestock and the increasing importance of crops.</w:t>
      </w:r>
    </w:p>
    <w:p w:rsidR="00DD1125" w:rsidRPr="008F3531" w:rsidRDefault="00DD1125" w:rsidP="003A7F60">
      <w:pPr>
        <w:pStyle w:val="paranumb"/>
        <w:spacing w:after="200"/>
        <w:rPr>
          <w:rFonts w:cs="Times New Roman"/>
          <w:szCs w:val="24"/>
        </w:rPr>
      </w:pPr>
      <w:r w:rsidRPr="008F3531">
        <w:rPr>
          <w:rFonts w:cs="Times New Roman"/>
          <w:szCs w:val="24"/>
        </w:rPr>
        <w:t>There are some exceptions to this trend. Zones 5 and 7 are principally dependent on crops (market gardening and rice cultivation respectively), despite being towards the north of the country. Notable is the remittance-based economy of zone 8, where livestock sales are relatively unimportant despite the large holdings there.</w:t>
      </w:r>
    </w:p>
    <w:p w:rsidR="00DD1125" w:rsidRPr="008F3531" w:rsidRDefault="00DD1125" w:rsidP="003A7F60">
      <w:pPr>
        <w:pStyle w:val="paranumb"/>
        <w:spacing w:after="200"/>
        <w:rPr>
          <w:rFonts w:cs="Times New Roman"/>
          <w:szCs w:val="24"/>
        </w:rPr>
      </w:pPr>
      <w:r w:rsidRPr="008F3531">
        <w:rPr>
          <w:rFonts w:cs="Times New Roman"/>
          <w:szCs w:val="24"/>
        </w:rPr>
        <w:t>Trade, including petty trade is dominated by the better-off households, because these households have the capital to invest. Trade is most important in the two most livestock-dependent zones (2 and 4). The movement inherent in nomadic and transhumant livestock rearing lends itself to trade and trade is one of the few ways in which wealthier pastoral households are able to diversify their livelihoods.</w:t>
      </w:r>
    </w:p>
    <w:p w:rsidR="00DD1125" w:rsidRPr="008F3531" w:rsidRDefault="00DD1125" w:rsidP="003A7F60">
      <w:pPr>
        <w:pStyle w:val="paranumb"/>
        <w:spacing w:after="200"/>
        <w:rPr>
          <w:rFonts w:cs="Times New Roman"/>
          <w:szCs w:val="24"/>
        </w:rPr>
      </w:pPr>
      <w:r w:rsidRPr="008F3531">
        <w:rPr>
          <w:rFonts w:cs="Times New Roman"/>
          <w:szCs w:val="24"/>
        </w:rPr>
        <w:t xml:space="preserve">In contrast, the poor earn their money from labor and self-employment. Local labor can be divided into two categories. First, agricultural labor involves clearing and preparing fields and sowing, weeding and harvesting crops. Its peak period is often during and after the rains and it is most important in primarily agricultural zones (notice, for example, zones 7 and 12, where more labor is required than in food deficit zone 4). Second, other local labor takes place during the dry season, when there is little (or at least less) demand for agricultural labor. This often involves brick-making and construction. </w:t>
      </w:r>
    </w:p>
    <w:p w:rsidR="00DD1125" w:rsidRPr="008F3531" w:rsidRDefault="00DD1125" w:rsidP="003A7F60">
      <w:pPr>
        <w:pStyle w:val="paranumb"/>
        <w:spacing w:after="200"/>
        <w:rPr>
          <w:rFonts w:cs="Times New Roman"/>
          <w:szCs w:val="24"/>
        </w:rPr>
      </w:pPr>
      <w:r w:rsidRPr="008F3531">
        <w:rPr>
          <w:rFonts w:cs="Times New Roman"/>
          <w:szCs w:val="24"/>
        </w:rPr>
        <w:t>Self-employment consists of several activities. Firewood/charcoal and wild food/product sales are the most common, followed by handicrafts and hay/bourgou sales. Exactly what is sold depends on the nature of the zone. In zone 12 where self-employment includes traditional gold mining.</w:t>
      </w:r>
    </w:p>
    <w:p w:rsidR="00DD1125" w:rsidRPr="008F3531" w:rsidRDefault="00DD1125" w:rsidP="003A7F60">
      <w:pPr>
        <w:pStyle w:val="paranumb"/>
        <w:spacing w:after="200"/>
        <w:rPr>
          <w:rFonts w:cs="Times New Roman"/>
          <w:szCs w:val="24"/>
        </w:rPr>
      </w:pPr>
      <w:r w:rsidRPr="008F3531">
        <w:rPr>
          <w:rFonts w:cs="Times New Roman"/>
          <w:szCs w:val="24"/>
        </w:rPr>
        <w:t xml:space="preserve">The category ‘labor migration/remittances’ is important in many zones, although more so in the north of the country where livelihoods are more uncertain and opportunities for work within each zone are, in general, more restricted than in the south. </w:t>
      </w:r>
    </w:p>
    <w:p w:rsidR="00DD1125" w:rsidRPr="008F3531" w:rsidRDefault="00DD1125" w:rsidP="003A7F60">
      <w:pPr>
        <w:pStyle w:val="paranumb"/>
        <w:spacing w:after="200"/>
        <w:rPr>
          <w:rFonts w:cs="Times New Roman"/>
          <w:szCs w:val="24"/>
        </w:rPr>
      </w:pPr>
      <w:r w:rsidRPr="008F3531">
        <w:rPr>
          <w:rFonts w:cs="Times New Roman"/>
          <w:szCs w:val="24"/>
        </w:rPr>
        <w:t>In the pastoral zone (2) livestock is the only productive asset and its ownership is concentrated among the better off. This creates a sharp distinction between the laboring poor and the livestock-selling wealthier households. In zone 8 remittances cause a similar skewing of wealth, as do cash crops in the southern zones, since poor households are mostly excluded from these activities, by their high cost in inputs.</w:t>
      </w:r>
    </w:p>
    <w:p w:rsidR="00DD474E" w:rsidRDefault="00DD474E">
      <w:pPr>
        <w:spacing w:line="276" w:lineRule="auto"/>
        <w:rPr>
          <w:rFonts w:ascii="Times New Roman Bold" w:hAnsi="Times New Roman Bold" w:cstheme="minorBidi"/>
          <w:b/>
          <w:bCs/>
          <w:color w:val="000000" w:themeColor="text1"/>
          <w:sz w:val="22"/>
          <w:szCs w:val="18"/>
          <w:lang w:val="en-US"/>
        </w:rPr>
      </w:pPr>
      <w:bookmarkStart w:id="48" w:name="_Toc390956385"/>
      <w:r>
        <w:br w:type="page"/>
      </w:r>
    </w:p>
    <w:p w:rsidR="00DD1125" w:rsidRPr="008F3531" w:rsidRDefault="004E7602" w:rsidP="004E7602">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4</w:t>
      </w:r>
      <w:r w:rsidR="00943E46" w:rsidRPr="00E56625">
        <w:rPr>
          <w:noProof/>
        </w:rPr>
        <w:fldChar w:fldCharType="end"/>
      </w:r>
      <w:r w:rsidR="00DD1125" w:rsidRPr="008F3531">
        <w:rPr>
          <w:b w:val="0"/>
        </w:rPr>
        <w:t>: Patterns of income generation by zone and household wealth</w:t>
      </w:r>
      <w:bookmarkEnd w:id="48"/>
    </w:p>
    <w:p w:rsidR="00DD1125" w:rsidRPr="00E56625" w:rsidRDefault="00DD1125" w:rsidP="004E7602">
      <w:pPr>
        <w:spacing w:after="0"/>
        <w:rPr>
          <w:lang w:val="en-US"/>
        </w:rPr>
      </w:pPr>
      <w:r w:rsidRPr="000370E2">
        <w:rPr>
          <w:noProof/>
          <w:lang w:val="en-US"/>
        </w:rPr>
        <w:drawing>
          <wp:inline distT="0" distB="0" distL="0" distR="0" wp14:anchorId="012EC608" wp14:editId="7A6FC551">
            <wp:extent cx="5600700" cy="4679950"/>
            <wp:effectExtent l="0" t="0" r="0" b="635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D1125" w:rsidRPr="00E56625" w:rsidRDefault="00DD1125" w:rsidP="004E7602">
      <w:pPr>
        <w:autoSpaceDE w:val="0"/>
        <w:autoSpaceDN w:val="0"/>
        <w:adjustRightInd w:val="0"/>
        <w:spacing w:after="0"/>
        <w:rPr>
          <w:sz w:val="20"/>
          <w:szCs w:val="20"/>
          <w:lang w:val="en-US"/>
        </w:rPr>
      </w:pPr>
      <w:r w:rsidRPr="00E56625">
        <w:rPr>
          <w:sz w:val="20"/>
          <w:szCs w:val="20"/>
          <w:lang w:val="en-US"/>
        </w:rPr>
        <w:t>Source: FEWSNET 2010. Livelihood Zoning and Profiling Report: Mali.</w:t>
      </w:r>
    </w:p>
    <w:p w:rsidR="00DD1125" w:rsidRPr="00E56625" w:rsidRDefault="00DD1125" w:rsidP="00DD1125">
      <w:pPr>
        <w:autoSpaceDE w:val="0"/>
        <w:autoSpaceDN w:val="0"/>
        <w:adjustRightInd w:val="0"/>
        <w:spacing w:after="120"/>
        <w:rPr>
          <w:lang w:val="en-US"/>
        </w:rPr>
      </w:pPr>
    </w:p>
    <w:p w:rsidR="00DD1125" w:rsidRPr="00E56625" w:rsidRDefault="00DD1125" w:rsidP="00DD1125">
      <w:pPr>
        <w:autoSpaceDE w:val="0"/>
        <w:autoSpaceDN w:val="0"/>
        <w:adjustRightInd w:val="0"/>
        <w:spacing w:after="120"/>
        <w:rPr>
          <w:lang w:val="en-US"/>
        </w:rPr>
        <w:sectPr w:rsidR="00DD1125" w:rsidRPr="00E56625">
          <w:pgSz w:w="12240" w:h="15840"/>
          <w:pgMar w:top="1440" w:right="1440" w:bottom="1440" w:left="1440" w:header="720" w:footer="720" w:gutter="0"/>
          <w:cols w:space="720"/>
          <w:docGrid w:linePitch="360"/>
        </w:sectPr>
      </w:pPr>
    </w:p>
    <w:p w:rsidR="00F95422" w:rsidRPr="008F3531" w:rsidRDefault="00F95422" w:rsidP="00F95422">
      <w:pPr>
        <w:pStyle w:val="Caption"/>
        <w:keepNext/>
        <w:spacing w:after="120"/>
      </w:pPr>
      <w:bookmarkStart w:id="49" w:name="_Toc390956284"/>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1</w:t>
      </w:r>
      <w:r w:rsidR="00943E46" w:rsidRPr="00E56625">
        <w:rPr>
          <w:noProof/>
        </w:rPr>
        <w:fldChar w:fldCharType="end"/>
      </w:r>
      <w:r w:rsidRPr="008F3531">
        <w:t>: Wealth Characteristics According to Livelihood Zone</w:t>
      </w:r>
      <w:bookmarkEnd w:id="49"/>
    </w:p>
    <w:tbl>
      <w:tblPr>
        <w:tblW w:w="5463" w:type="pct"/>
        <w:jc w:val="center"/>
        <w:tblLayout w:type="fixed"/>
        <w:tblLook w:val="04A0" w:firstRow="1" w:lastRow="0" w:firstColumn="1" w:lastColumn="0" w:noHBand="0" w:noVBand="1"/>
      </w:tblPr>
      <w:tblGrid>
        <w:gridCol w:w="4162"/>
        <w:gridCol w:w="699"/>
        <w:gridCol w:w="640"/>
        <w:gridCol w:w="629"/>
        <w:gridCol w:w="530"/>
        <w:gridCol w:w="445"/>
        <w:gridCol w:w="530"/>
        <w:gridCol w:w="530"/>
        <w:gridCol w:w="442"/>
        <w:gridCol w:w="592"/>
        <w:gridCol w:w="467"/>
        <w:gridCol w:w="4494"/>
      </w:tblGrid>
      <w:tr w:rsidR="00DD1125" w:rsidRPr="008F3531" w:rsidTr="00F95422">
        <w:trPr>
          <w:cantSplit/>
          <w:trHeight w:val="1134"/>
          <w:jc w:val="center"/>
        </w:trPr>
        <w:tc>
          <w:tcPr>
            <w:tcW w:w="1470" w:type="pct"/>
            <w:tcBorders>
              <w:top w:val="single" w:sz="4" w:space="0" w:color="auto"/>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b/>
                <w:bCs/>
                <w:color w:val="000000"/>
                <w:sz w:val="20"/>
                <w:szCs w:val="20"/>
                <w:lang w:val="en-US"/>
              </w:rPr>
            </w:pPr>
            <w:r w:rsidRPr="00E56625">
              <w:rPr>
                <w:rFonts w:eastAsia="Times New Roman"/>
                <w:b/>
                <w:bCs/>
                <w:color w:val="000000"/>
                <w:sz w:val="20"/>
                <w:szCs w:val="20"/>
                <w:lang w:val="en-US"/>
              </w:rPr>
              <w:t>Very poor</w:t>
            </w:r>
          </w:p>
        </w:tc>
        <w:tc>
          <w:tcPr>
            <w:tcW w:w="247"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Percent</w:t>
            </w:r>
          </w:p>
        </w:tc>
        <w:tc>
          <w:tcPr>
            <w:tcW w:w="226"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Household size</w:t>
            </w:r>
          </w:p>
        </w:tc>
        <w:tc>
          <w:tcPr>
            <w:tcW w:w="222"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Land cultivated</w:t>
            </w:r>
          </w:p>
        </w:tc>
        <w:tc>
          <w:tcPr>
            <w:tcW w:w="187"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Sheep</w:t>
            </w:r>
          </w:p>
        </w:tc>
        <w:tc>
          <w:tcPr>
            <w:tcW w:w="157"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Goats</w:t>
            </w:r>
          </w:p>
        </w:tc>
        <w:tc>
          <w:tcPr>
            <w:tcW w:w="187"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Donkeys</w:t>
            </w:r>
          </w:p>
        </w:tc>
        <w:tc>
          <w:tcPr>
            <w:tcW w:w="187"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Camels</w:t>
            </w:r>
          </w:p>
        </w:tc>
        <w:tc>
          <w:tcPr>
            <w:tcW w:w="156"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Cattle</w:t>
            </w:r>
          </w:p>
        </w:tc>
        <w:tc>
          <w:tcPr>
            <w:tcW w:w="209"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Plough Oxen</w:t>
            </w:r>
          </w:p>
        </w:tc>
        <w:tc>
          <w:tcPr>
            <w:tcW w:w="165" w:type="pct"/>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Poultry</w:t>
            </w:r>
          </w:p>
        </w:tc>
        <w:tc>
          <w:tcPr>
            <w:tcW w:w="1587" w:type="pct"/>
            <w:tcBorders>
              <w:top w:val="single" w:sz="4" w:space="0" w:color="auto"/>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b/>
                <w:color w:val="000000"/>
                <w:sz w:val="20"/>
                <w:szCs w:val="20"/>
                <w:lang w:val="en-US"/>
              </w:rPr>
            </w:pPr>
            <w:r w:rsidRPr="00E56625">
              <w:rPr>
                <w:rFonts w:eastAsia="Times New Roman"/>
                <w:b/>
                <w:color w:val="000000"/>
                <w:sz w:val="20"/>
                <w:szCs w:val="20"/>
                <w:lang w:val="en-US"/>
              </w:rPr>
              <w:t>Other assets</w:t>
            </w:r>
          </w:p>
        </w:tc>
      </w:tr>
      <w:tr w:rsidR="00DD1125" w:rsidRPr="008F3531" w:rsidTr="00F95422">
        <w:trPr>
          <w:trHeight w:val="300"/>
          <w:jc w:val="center"/>
        </w:trPr>
        <w:tc>
          <w:tcPr>
            <w:tcW w:w="1470"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Nomadic and transhumant pastoralism</w:t>
            </w:r>
          </w:p>
        </w:tc>
        <w:tc>
          <w:tcPr>
            <w:tcW w:w="247"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30.0</w:t>
            </w:r>
          </w:p>
        </w:tc>
        <w:tc>
          <w:tcPr>
            <w:tcW w:w="226"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6</w:t>
            </w:r>
          </w:p>
        </w:tc>
        <w:tc>
          <w:tcPr>
            <w:tcW w:w="222"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187"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87"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4-6 small ruminants on loan from better off</w:t>
            </w: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 Fluvial rice and transhumant livestock rearing</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7</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0.8</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2-3 small ruminants on loan from better off</w:t>
            </w: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 Millet and transhumant livestock rearing</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0.3</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5. Dogon plateau </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0.5</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6. Niger delta - rice and livestock rearing </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7. Office du Niger (irrigated rice)</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8. Remittances, sorghum, transhumant livestock </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8.0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9. West and central rain-fed millet/sorghum</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10. Sorghum, millet and cotton</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11. South maize, cotton and fruits</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South-west maize, sorghum and fruits</w:t>
            </w:r>
          </w:p>
        </w:tc>
        <w:tc>
          <w:tcPr>
            <w:tcW w:w="24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226"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222"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5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rPr>
                <w:rFonts w:eastAsia="Times New Roman"/>
                <w:b/>
                <w:bCs/>
                <w:color w:val="000000"/>
                <w:sz w:val="20"/>
                <w:szCs w:val="20"/>
                <w:lang w:val="en-US"/>
              </w:rPr>
            </w:pPr>
            <w:r w:rsidRPr="00E56625">
              <w:rPr>
                <w:rFonts w:eastAsia="Times New Roman"/>
                <w:b/>
                <w:bCs/>
                <w:color w:val="000000"/>
                <w:sz w:val="20"/>
                <w:szCs w:val="20"/>
                <w:lang w:val="en-US"/>
              </w:rPr>
              <w:t>Poor</w:t>
            </w:r>
          </w:p>
        </w:tc>
        <w:tc>
          <w:tcPr>
            <w:tcW w:w="247"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226"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222"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187"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157"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187"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187"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156"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209"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165" w:type="pct"/>
            <w:tcBorders>
              <w:top w:val="single" w:sz="4" w:space="0" w:color="auto"/>
              <w:left w:val="nil"/>
              <w:bottom w:val="nil"/>
              <w:right w:val="nil"/>
            </w:tcBorders>
            <w:shd w:val="clear" w:color="auto" w:fill="auto"/>
            <w:noWrap/>
            <w:vAlign w:val="bottom"/>
          </w:tcPr>
          <w:p w:rsidR="00DD1125" w:rsidRPr="00E56625" w:rsidRDefault="00DD1125" w:rsidP="00E96123">
            <w:pPr>
              <w:spacing w:after="0"/>
              <w:jc w:val="center"/>
              <w:rPr>
                <w:rFonts w:eastAsia="Times New Roman"/>
                <w:color w:val="000000"/>
                <w:sz w:val="20"/>
                <w:szCs w:val="20"/>
                <w:lang w:val="en-US"/>
              </w:rPr>
            </w:pPr>
          </w:p>
        </w:tc>
        <w:tc>
          <w:tcPr>
            <w:tcW w:w="1587"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Nomadic and transhumant pastoralism</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27.0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8</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6</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15</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4-6 small ruminants on loaned from better off</w:t>
            </w: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 Fluvial rice and transhumant livestock rearing</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9</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1.5</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0-2 fishing nets; 2-3 small ruminants on loan</w:t>
            </w: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 Millet and transhumant livestock rearing</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8</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5. Dogon plateau </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43.0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6. Niger delta - rice and livestock rearing </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7</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7</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12</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7. Office du Niger (irrigated rice)</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 plow, 1 cart</w:t>
            </w: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8. Remittances, sorghum, transhumant livestock </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12</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9. West and central rain-fed millet/sorghum</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8</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10. Sorghum, millet and cotton</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35.0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9</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7</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 plow</w:t>
            </w:r>
          </w:p>
        </w:tc>
      </w:tr>
      <w:tr w:rsidR="00DD1125" w:rsidRPr="008F3531" w:rsidTr="00F95422">
        <w:trPr>
          <w:trHeight w:val="300"/>
          <w:jc w:val="center"/>
        </w:trPr>
        <w:tc>
          <w:tcPr>
            <w:tcW w:w="1470" w:type="pct"/>
            <w:tcBorders>
              <w:top w:val="nil"/>
              <w:left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11. South maize, cotton and fruits</w:t>
            </w:r>
          </w:p>
        </w:tc>
        <w:tc>
          <w:tcPr>
            <w:tcW w:w="247"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20.0</w:t>
            </w:r>
          </w:p>
        </w:tc>
        <w:tc>
          <w:tcPr>
            <w:tcW w:w="226"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222"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87"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187"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30</w:t>
            </w:r>
          </w:p>
        </w:tc>
        <w:tc>
          <w:tcPr>
            <w:tcW w:w="1587" w:type="pct"/>
            <w:tcBorders>
              <w:top w:val="nil"/>
              <w:left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 plow</w:t>
            </w:r>
          </w:p>
        </w:tc>
      </w:tr>
      <w:tr w:rsidR="00DD1125" w:rsidRPr="008F3531" w:rsidTr="00F95422">
        <w:trPr>
          <w:trHeight w:val="300"/>
          <w:jc w:val="center"/>
        </w:trPr>
        <w:tc>
          <w:tcPr>
            <w:tcW w:w="1470"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South-west maize, sorghum and fruits</w:t>
            </w:r>
          </w:p>
        </w:tc>
        <w:tc>
          <w:tcPr>
            <w:tcW w:w="24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30.0</w:t>
            </w:r>
          </w:p>
        </w:tc>
        <w:tc>
          <w:tcPr>
            <w:tcW w:w="22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6</w:t>
            </w:r>
          </w:p>
        </w:tc>
        <w:tc>
          <w:tcPr>
            <w:tcW w:w="222"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87"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56"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209"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0</w:t>
            </w:r>
          </w:p>
        </w:tc>
        <w:tc>
          <w:tcPr>
            <w:tcW w:w="165" w:type="pct"/>
            <w:tcBorders>
              <w:top w:val="nil"/>
              <w:left w:val="nil"/>
              <w:bottom w:val="nil"/>
              <w:right w:val="nil"/>
            </w:tcBorders>
            <w:shd w:val="clear" w:color="auto" w:fill="auto"/>
            <w:noWrap/>
            <w:vAlign w:val="bottom"/>
            <w:hideMark/>
          </w:tcPr>
          <w:p w:rsidR="00DD1125" w:rsidRPr="00E56625" w:rsidRDefault="00DD1125" w:rsidP="00E96123">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1587" w:type="pct"/>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 plow</w:t>
            </w:r>
          </w:p>
        </w:tc>
      </w:tr>
      <w:tr w:rsidR="00DD1125" w:rsidRPr="008F3531" w:rsidTr="00F95422">
        <w:trPr>
          <w:trHeight w:val="300"/>
          <w:jc w:val="center"/>
        </w:trPr>
        <w:tc>
          <w:tcPr>
            <w:tcW w:w="1470"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24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226"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222"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1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15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1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1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156"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209"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165"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c>
          <w:tcPr>
            <w:tcW w:w="1587" w:type="pct"/>
            <w:tcBorders>
              <w:top w:val="nil"/>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bl>
    <w:p w:rsidR="00DD1125" w:rsidRPr="00E56625" w:rsidRDefault="00DD1125" w:rsidP="00DD1125">
      <w:pPr>
        <w:rPr>
          <w:lang w:val="en-US"/>
        </w:rPr>
      </w:pPr>
      <w:r w:rsidRPr="00E56625">
        <w:rPr>
          <w:lang w:val="en-US"/>
        </w:rPr>
        <w:br w:type="page"/>
      </w:r>
    </w:p>
    <w:tbl>
      <w:tblPr>
        <w:tblW w:w="5668" w:type="pct"/>
        <w:tblInd w:w="-792" w:type="dxa"/>
        <w:tblLayout w:type="fixed"/>
        <w:tblLook w:val="04A0" w:firstRow="1" w:lastRow="0" w:firstColumn="1" w:lastColumn="0" w:noHBand="0" w:noVBand="1"/>
      </w:tblPr>
      <w:tblGrid>
        <w:gridCol w:w="4171"/>
        <w:gridCol w:w="76"/>
        <w:gridCol w:w="705"/>
        <w:gridCol w:w="12"/>
        <w:gridCol w:w="629"/>
        <w:gridCol w:w="15"/>
        <w:gridCol w:w="611"/>
        <w:gridCol w:w="15"/>
        <w:gridCol w:w="514"/>
        <w:gridCol w:w="15"/>
        <w:gridCol w:w="429"/>
        <w:gridCol w:w="15"/>
        <w:gridCol w:w="514"/>
        <w:gridCol w:w="15"/>
        <w:gridCol w:w="514"/>
        <w:gridCol w:w="15"/>
        <w:gridCol w:w="426"/>
        <w:gridCol w:w="15"/>
        <w:gridCol w:w="573"/>
        <w:gridCol w:w="15"/>
        <w:gridCol w:w="452"/>
        <w:gridCol w:w="15"/>
        <w:gridCol w:w="4921"/>
        <w:gridCol w:w="9"/>
      </w:tblGrid>
      <w:tr w:rsidR="00DD1125" w:rsidRPr="008F3531" w:rsidTr="00E96123">
        <w:trPr>
          <w:cantSplit/>
          <w:trHeight w:val="1134"/>
        </w:trPr>
        <w:tc>
          <w:tcPr>
            <w:tcW w:w="1420" w:type="pct"/>
            <w:tcBorders>
              <w:top w:val="single" w:sz="4" w:space="0" w:color="auto"/>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b/>
                <w:bCs/>
                <w:color w:val="000000"/>
                <w:sz w:val="20"/>
                <w:szCs w:val="20"/>
                <w:lang w:val="en-US"/>
              </w:rPr>
            </w:pPr>
            <w:r w:rsidRPr="00E56625">
              <w:rPr>
                <w:rFonts w:eastAsia="Times New Roman"/>
                <w:b/>
                <w:bCs/>
                <w:color w:val="000000"/>
                <w:sz w:val="20"/>
                <w:szCs w:val="20"/>
                <w:lang w:val="en-US"/>
              </w:rPr>
              <w:t>Middle</w:t>
            </w:r>
          </w:p>
        </w:tc>
        <w:tc>
          <w:tcPr>
            <w:tcW w:w="270" w:type="pct"/>
            <w:gridSpan w:val="3"/>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Percent</w:t>
            </w:r>
          </w:p>
        </w:tc>
        <w:tc>
          <w:tcPr>
            <w:tcW w:w="219"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Household size</w:t>
            </w:r>
          </w:p>
        </w:tc>
        <w:tc>
          <w:tcPr>
            <w:tcW w:w="213"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Land cultivated</w:t>
            </w:r>
          </w:p>
        </w:tc>
        <w:tc>
          <w:tcPr>
            <w:tcW w:w="180"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Sheep</w:t>
            </w:r>
          </w:p>
        </w:tc>
        <w:tc>
          <w:tcPr>
            <w:tcW w:w="151"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Goats</w:t>
            </w:r>
          </w:p>
        </w:tc>
        <w:tc>
          <w:tcPr>
            <w:tcW w:w="180"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Donkeys</w:t>
            </w:r>
          </w:p>
        </w:tc>
        <w:tc>
          <w:tcPr>
            <w:tcW w:w="180"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Camels</w:t>
            </w:r>
          </w:p>
        </w:tc>
        <w:tc>
          <w:tcPr>
            <w:tcW w:w="150"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Cattle</w:t>
            </w:r>
          </w:p>
        </w:tc>
        <w:tc>
          <w:tcPr>
            <w:tcW w:w="200"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Plough Oxen</w:t>
            </w:r>
          </w:p>
        </w:tc>
        <w:tc>
          <w:tcPr>
            <w:tcW w:w="159" w:type="pct"/>
            <w:gridSpan w:val="2"/>
            <w:tcBorders>
              <w:top w:val="single" w:sz="4" w:space="0" w:color="auto"/>
              <w:left w:val="nil"/>
              <w:bottom w:val="single" w:sz="4" w:space="0" w:color="auto"/>
              <w:right w:val="nil"/>
            </w:tcBorders>
            <w:shd w:val="clear" w:color="auto" w:fill="auto"/>
            <w:noWrap/>
            <w:textDirection w:val="btLr"/>
            <w:vAlign w:val="bottom"/>
            <w:hideMark/>
          </w:tcPr>
          <w:p w:rsidR="00DD1125" w:rsidRPr="00E56625" w:rsidRDefault="00DD1125" w:rsidP="00E96123">
            <w:pPr>
              <w:spacing w:after="0"/>
              <w:ind w:left="113" w:right="113"/>
              <w:jc w:val="center"/>
              <w:rPr>
                <w:rFonts w:eastAsia="Times New Roman"/>
                <w:b/>
                <w:color w:val="000000"/>
                <w:sz w:val="20"/>
                <w:szCs w:val="20"/>
                <w:lang w:val="en-US"/>
              </w:rPr>
            </w:pPr>
            <w:r w:rsidRPr="00E56625">
              <w:rPr>
                <w:rFonts w:eastAsia="Times New Roman"/>
                <w:b/>
                <w:color w:val="000000"/>
                <w:sz w:val="20"/>
                <w:szCs w:val="20"/>
                <w:lang w:val="en-US"/>
              </w:rPr>
              <w:t>Poultry</w:t>
            </w:r>
          </w:p>
        </w:tc>
        <w:tc>
          <w:tcPr>
            <w:tcW w:w="1678" w:type="pct"/>
            <w:gridSpan w:val="2"/>
            <w:tcBorders>
              <w:top w:val="single" w:sz="4" w:space="0" w:color="auto"/>
              <w:left w:val="nil"/>
              <w:bottom w:val="single" w:sz="4" w:space="0" w:color="auto"/>
              <w:right w:val="nil"/>
            </w:tcBorders>
            <w:shd w:val="clear" w:color="auto" w:fill="auto"/>
            <w:noWrap/>
            <w:vAlign w:val="bottom"/>
            <w:hideMark/>
          </w:tcPr>
          <w:p w:rsidR="00DD1125" w:rsidRPr="00E56625" w:rsidRDefault="00DD1125" w:rsidP="00E96123">
            <w:pPr>
              <w:spacing w:after="0"/>
              <w:rPr>
                <w:rFonts w:eastAsia="Times New Roman"/>
                <w:b/>
                <w:color w:val="000000"/>
                <w:sz w:val="20"/>
                <w:szCs w:val="20"/>
                <w:lang w:val="en-US"/>
              </w:rPr>
            </w:pPr>
          </w:p>
        </w:tc>
      </w:tr>
      <w:tr w:rsidR="00DD1125" w:rsidRPr="008F3531" w:rsidTr="00E96123">
        <w:trPr>
          <w:gridAfter w:val="1"/>
          <w:wAfter w:w="3" w:type="pct"/>
          <w:trHeight w:val="300"/>
        </w:trPr>
        <w:tc>
          <w:tcPr>
            <w:tcW w:w="1446" w:type="pct"/>
            <w:gridSpan w:val="2"/>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Nomadic and transhumant pastoralism</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23.0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11</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 Fluvial rice and transhumant livestock rearing</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11</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5.5</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13</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9</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0-1 canoe, 0-2 plows, 0-2 fishing nets</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 Millet and transhumant livestock rearing</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7</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22</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18</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carts, 1 plow</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5. Dogon plateau </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32.0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17</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11</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motorized pumps, 1 plow, 1 cart</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6. Niger delta - rice and livestock rearing </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11</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7</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plows, 1 cart</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7. Office du Niger (irrigated rice)</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7</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plows, 1 cart</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8. Remittances, sorghum, transhumant livestock </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55.0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plows, 1 cart, 2-3 full time agricultural workers</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9. West and central rain-fed millet/sorghum</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12</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 plow, 1 cart, 1 seeding machine</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10. Sorghum, millet and cotton</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17</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17</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12</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plows, 1 cart, 1 seeding machine, 1 motor cultivator</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11. South maize, cotton and fruits</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60.0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plows, 1 cart, 1 seeding machine, 1 motor cultivator, 2 fertilizer equipment</w:t>
            </w:r>
          </w:p>
        </w:tc>
      </w:tr>
      <w:tr w:rsidR="00DD1125" w:rsidRPr="008F3531" w:rsidTr="00E96123">
        <w:trPr>
          <w:gridAfter w:val="1"/>
          <w:wAfter w:w="3" w:type="pct"/>
          <w:trHeight w:val="300"/>
        </w:trPr>
        <w:tc>
          <w:tcPr>
            <w:tcW w:w="1446"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South-west maize, sorghum and fruits</w:t>
            </w:r>
          </w:p>
        </w:tc>
        <w:tc>
          <w:tcPr>
            <w:tcW w:w="240" w:type="pct"/>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50.0</w:t>
            </w:r>
          </w:p>
        </w:tc>
        <w:tc>
          <w:tcPr>
            <w:tcW w:w="218"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213"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11</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151"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20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1680" w:type="pct"/>
            <w:gridSpan w:val="2"/>
            <w:tcBorders>
              <w:top w:val="nil"/>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 plows, 1 cart,  1 seeding machine, 1 motor cultivator, 2 fertilizer equipment, orchards</w:t>
            </w:r>
          </w:p>
        </w:tc>
      </w:tr>
      <w:tr w:rsidR="00DD1125" w:rsidRPr="008F3531" w:rsidTr="00E96123">
        <w:trPr>
          <w:trHeight w:val="66"/>
        </w:trPr>
        <w:tc>
          <w:tcPr>
            <w:tcW w:w="1420" w:type="pct"/>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rPr>
                <w:rFonts w:eastAsia="Times New Roman"/>
                <w:b/>
                <w:bCs/>
                <w:color w:val="000000"/>
                <w:sz w:val="20"/>
                <w:szCs w:val="20"/>
                <w:lang w:val="en-US"/>
              </w:rPr>
            </w:pPr>
            <w:r w:rsidRPr="00E56625">
              <w:rPr>
                <w:rFonts w:eastAsia="Times New Roman"/>
                <w:b/>
                <w:bCs/>
                <w:color w:val="000000"/>
                <w:sz w:val="20"/>
                <w:szCs w:val="20"/>
                <w:lang w:val="en-US"/>
              </w:rPr>
              <w:t>Better off</w:t>
            </w:r>
          </w:p>
        </w:tc>
        <w:tc>
          <w:tcPr>
            <w:tcW w:w="270" w:type="pct"/>
            <w:gridSpan w:val="3"/>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219"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213"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180"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151"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180"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180"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150"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200"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jc w:val="right"/>
              <w:rPr>
                <w:rFonts w:eastAsia="Times New Roman"/>
                <w:color w:val="000000"/>
                <w:sz w:val="20"/>
                <w:szCs w:val="20"/>
                <w:lang w:val="en-US"/>
              </w:rPr>
            </w:pPr>
          </w:p>
        </w:tc>
        <w:tc>
          <w:tcPr>
            <w:tcW w:w="159" w:type="pct"/>
            <w:gridSpan w:val="2"/>
            <w:tcBorders>
              <w:top w:val="single" w:sz="4" w:space="0" w:color="auto"/>
              <w:left w:val="nil"/>
              <w:bottom w:val="nil"/>
              <w:right w:val="nil"/>
            </w:tcBorders>
            <w:shd w:val="clear" w:color="auto" w:fill="auto"/>
            <w:noWrap/>
            <w:vAlign w:val="bottom"/>
          </w:tcPr>
          <w:p w:rsidR="00DD1125" w:rsidRPr="00E56625" w:rsidRDefault="00DD1125" w:rsidP="00E96123">
            <w:pPr>
              <w:spacing w:after="0"/>
              <w:rPr>
                <w:rFonts w:eastAsia="Times New Roman"/>
                <w:color w:val="000000"/>
                <w:sz w:val="20"/>
                <w:szCs w:val="20"/>
                <w:lang w:val="en-US"/>
              </w:rPr>
            </w:pPr>
          </w:p>
        </w:tc>
        <w:tc>
          <w:tcPr>
            <w:tcW w:w="1678" w:type="pct"/>
            <w:gridSpan w:val="2"/>
            <w:tcBorders>
              <w:top w:val="single" w:sz="4" w:space="0" w:color="auto"/>
              <w:left w:val="nil"/>
              <w:bottom w:val="nil"/>
              <w:right w:val="nil"/>
            </w:tcBorders>
            <w:shd w:val="clear" w:color="auto" w:fill="auto"/>
            <w:noWrap/>
            <w:vAlign w:val="bottom"/>
            <w:hideMark/>
          </w:tcPr>
          <w:p w:rsidR="00DD1125" w:rsidRPr="00E56625" w:rsidRDefault="00DD1125" w:rsidP="00E96123">
            <w:pPr>
              <w:spacing w:after="0"/>
              <w:rPr>
                <w:rFonts w:eastAsia="Times New Roman"/>
                <w:color w:val="000000"/>
                <w:sz w:val="20"/>
                <w:szCs w:val="20"/>
                <w:lang w:val="en-US"/>
              </w:rPr>
            </w:pP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Nomadic and transhumant pastoralism</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18</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70</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 Fluvial rice and transhumant livestock rearing</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9.0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23</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22</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0-2 canoes, 1-2 plows, 0-2 fishing nets, 0-2 motor pumps</w:t>
            </w: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 Millet and transhumant livestock rearing</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17</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3-4 carts, 2 plows</w:t>
            </w: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5. Dogon plateau</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13</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18</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2-3 motorized pumps, 2-3 plow2, 2 carts</w:t>
            </w: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6. Niger delta - rice and livestock rearing</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14</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3-4 plows, 2-3 carts</w:t>
            </w: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7. Office du Niger (irrigated rice)</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3-4 plows, 2-3 carts, 1 motorized cultivator</w:t>
            </w: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8. Remittances, sorghum, transhumant livestock</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12.0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45</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40</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100</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4-5 plows, 3-4 carts, 5-6 full time agricultural workers</w:t>
            </w: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9. West and central rain-fed millet/sorghum</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4</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60</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 plows, 2 carts, 1 seeding machine, 1 motorized cultivator, 2 full time agricultural laborers</w:t>
            </w:r>
          </w:p>
        </w:tc>
      </w:tr>
      <w:tr w:rsidR="00DD1125" w:rsidRPr="008F3531" w:rsidTr="00E96123">
        <w:trPr>
          <w:trHeight w:val="300"/>
        </w:trPr>
        <w:tc>
          <w:tcPr>
            <w:tcW w:w="1420" w:type="pct"/>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10. Sorghum, millet and cotton</w:t>
            </w:r>
          </w:p>
        </w:tc>
        <w:tc>
          <w:tcPr>
            <w:tcW w:w="270" w:type="pct"/>
            <w:gridSpan w:val="3"/>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10.0</w:t>
            </w:r>
          </w:p>
        </w:tc>
        <w:tc>
          <w:tcPr>
            <w:tcW w:w="21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30</w:t>
            </w:r>
          </w:p>
        </w:tc>
        <w:tc>
          <w:tcPr>
            <w:tcW w:w="213"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51"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25</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w:t>
            </w:r>
          </w:p>
        </w:tc>
        <w:tc>
          <w:tcPr>
            <w:tcW w:w="18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w:t>
            </w:r>
          </w:p>
        </w:tc>
        <w:tc>
          <w:tcPr>
            <w:tcW w:w="200"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60</w:t>
            </w:r>
          </w:p>
        </w:tc>
        <w:tc>
          <w:tcPr>
            <w:tcW w:w="1678" w:type="pct"/>
            <w:gridSpan w:val="2"/>
            <w:tcBorders>
              <w:top w:val="nil"/>
              <w:left w:val="nil"/>
              <w:bottom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 plows, 2 carts, 2 seeding machines, 2 motor cultivators</w:t>
            </w:r>
          </w:p>
        </w:tc>
      </w:tr>
      <w:tr w:rsidR="00DD1125" w:rsidRPr="008F3531" w:rsidTr="00E96123">
        <w:trPr>
          <w:trHeight w:val="300"/>
        </w:trPr>
        <w:tc>
          <w:tcPr>
            <w:tcW w:w="1420" w:type="pct"/>
            <w:tcBorders>
              <w:top w:val="nil"/>
              <w:left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11. South maize, cotton and fruits</w:t>
            </w:r>
          </w:p>
        </w:tc>
        <w:tc>
          <w:tcPr>
            <w:tcW w:w="270" w:type="pct"/>
            <w:gridSpan w:val="3"/>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10.0</w:t>
            </w:r>
          </w:p>
        </w:tc>
        <w:tc>
          <w:tcPr>
            <w:tcW w:w="219"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213"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180"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w:t>
            </w:r>
          </w:p>
        </w:tc>
        <w:tc>
          <w:tcPr>
            <w:tcW w:w="151"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80"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w:t>
            </w:r>
          </w:p>
        </w:tc>
        <w:tc>
          <w:tcPr>
            <w:tcW w:w="180"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200"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50</w:t>
            </w:r>
          </w:p>
        </w:tc>
        <w:tc>
          <w:tcPr>
            <w:tcW w:w="1678" w:type="pct"/>
            <w:gridSpan w:val="2"/>
            <w:tcBorders>
              <w:top w:val="nil"/>
              <w:left w:val="nil"/>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 plows, 2 carts, 2 seeding machines, 2 motor cultivators, 2 fertilizer equipment</w:t>
            </w:r>
          </w:p>
        </w:tc>
      </w:tr>
      <w:tr w:rsidR="00DD1125" w:rsidRPr="008F3531" w:rsidTr="00E96123">
        <w:trPr>
          <w:trHeight w:val="300"/>
        </w:trPr>
        <w:tc>
          <w:tcPr>
            <w:tcW w:w="1420" w:type="pct"/>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 South-west maize, sorghum and fruits</w:t>
            </w:r>
          </w:p>
        </w:tc>
        <w:tc>
          <w:tcPr>
            <w:tcW w:w="270" w:type="pct"/>
            <w:gridSpan w:val="3"/>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10.0</w:t>
            </w:r>
          </w:p>
        </w:tc>
        <w:tc>
          <w:tcPr>
            <w:tcW w:w="219"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15</w:t>
            </w:r>
          </w:p>
        </w:tc>
        <w:tc>
          <w:tcPr>
            <w:tcW w:w="213"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20</w:t>
            </w:r>
          </w:p>
        </w:tc>
        <w:tc>
          <w:tcPr>
            <w:tcW w:w="180"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10</w:t>
            </w:r>
          </w:p>
        </w:tc>
        <w:tc>
          <w:tcPr>
            <w:tcW w:w="151"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8</w:t>
            </w:r>
          </w:p>
        </w:tc>
        <w:tc>
          <w:tcPr>
            <w:tcW w:w="180"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w:t>
            </w:r>
          </w:p>
        </w:tc>
        <w:tc>
          <w:tcPr>
            <w:tcW w:w="180"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0"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35</w:t>
            </w:r>
          </w:p>
        </w:tc>
        <w:tc>
          <w:tcPr>
            <w:tcW w:w="200"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0</w:t>
            </w:r>
          </w:p>
        </w:tc>
        <w:tc>
          <w:tcPr>
            <w:tcW w:w="159"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jc w:val="right"/>
              <w:rPr>
                <w:rFonts w:eastAsia="Times New Roman"/>
                <w:color w:val="000000"/>
                <w:sz w:val="20"/>
                <w:szCs w:val="20"/>
                <w:lang w:val="en-US"/>
              </w:rPr>
            </w:pPr>
            <w:r w:rsidRPr="00E56625">
              <w:rPr>
                <w:rFonts w:eastAsia="Times New Roman"/>
                <w:color w:val="000000"/>
                <w:sz w:val="20"/>
                <w:szCs w:val="20"/>
                <w:lang w:val="en-US"/>
              </w:rPr>
              <w:t>60</w:t>
            </w:r>
          </w:p>
        </w:tc>
        <w:tc>
          <w:tcPr>
            <w:tcW w:w="1678" w:type="pct"/>
            <w:gridSpan w:val="2"/>
            <w:tcBorders>
              <w:top w:val="nil"/>
              <w:left w:val="nil"/>
              <w:bottom w:val="single" w:sz="4" w:space="0" w:color="auto"/>
              <w:right w:val="nil"/>
            </w:tcBorders>
            <w:shd w:val="clear" w:color="auto" w:fill="auto"/>
            <w:noWrap/>
            <w:vAlign w:val="center"/>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 plows, 2 carts, 2 seeding machines, 2 motor cultivators, 2 fertilizer equipment, orchards</w:t>
            </w:r>
          </w:p>
        </w:tc>
      </w:tr>
    </w:tbl>
    <w:p w:rsidR="00DD1125" w:rsidRPr="00E56625" w:rsidRDefault="00DD1125" w:rsidP="00DD1125">
      <w:pPr>
        <w:autoSpaceDE w:val="0"/>
        <w:autoSpaceDN w:val="0"/>
        <w:adjustRightInd w:val="0"/>
        <w:spacing w:after="120"/>
        <w:ind w:left="-810"/>
        <w:rPr>
          <w:sz w:val="20"/>
          <w:szCs w:val="20"/>
          <w:lang w:val="en-US"/>
        </w:rPr>
      </w:pPr>
      <w:r w:rsidRPr="00E56625">
        <w:rPr>
          <w:sz w:val="20"/>
          <w:szCs w:val="20"/>
          <w:lang w:val="en-US"/>
        </w:rPr>
        <w:t xml:space="preserve">Source: </w:t>
      </w:r>
      <w:r w:rsidR="000370E2">
        <w:rPr>
          <w:sz w:val="20"/>
          <w:szCs w:val="20"/>
          <w:lang w:val="en-US"/>
        </w:rPr>
        <w:t xml:space="preserve">Calculated from </w:t>
      </w:r>
      <w:r w:rsidRPr="00E56625">
        <w:rPr>
          <w:sz w:val="20"/>
          <w:szCs w:val="20"/>
          <w:lang w:val="en-US"/>
        </w:rPr>
        <w:t>FEWSNET 2010. Livelihood Zoning and Profiling Report: Mali.</w:t>
      </w:r>
    </w:p>
    <w:p w:rsidR="00DD1125" w:rsidRPr="00E56625" w:rsidRDefault="00DD1125" w:rsidP="00DD1125">
      <w:pPr>
        <w:rPr>
          <w:lang w:val="en-US"/>
        </w:rPr>
        <w:sectPr w:rsidR="00DD1125" w:rsidRPr="00E56625" w:rsidSect="00E96123">
          <w:pgSz w:w="15840" w:h="12240" w:orient="landscape"/>
          <w:pgMar w:top="1440" w:right="1440" w:bottom="1440" w:left="1440" w:header="720" w:footer="720" w:gutter="0"/>
          <w:cols w:space="720"/>
          <w:docGrid w:linePitch="360"/>
        </w:sectPr>
      </w:pPr>
    </w:p>
    <w:p w:rsidR="00DD1125" w:rsidRPr="00E56625" w:rsidRDefault="00DD1125" w:rsidP="003D20DD">
      <w:pPr>
        <w:pStyle w:val="Heading2"/>
        <w:numPr>
          <w:ilvl w:val="0"/>
          <w:numId w:val="8"/>
        </w:numPr>
        <w:spacing w:before="0"/>
        <w:ind w:left="540" w:hanging="540"/>
        <w:rPr>
          <w:rFonts w:ascii="Times New Roman Bold" w:hAnsi="Times New Roman Bold" w:cs="Times New Roman"/>
          <w:color w:val="000000" w:themeColor="text1"/>
          <w:sz w:val="22"/>
          <w:szCs w:val="22"/>
          <w:lang w:val="en-US"/>
        </w:rPr>
      </w:pPr>
      <w:bookmarkStart w:id="50" w:name="_Toc419468543"/>
      <w:r w:rsidRPr="00E56625">
        <w:rPr>
          <w:rFonts w:ascii="Times New Roman Bold" w:hAnsi="Times New Roman Bold" w:cs="Times New Roman"/>
          <w:color w:val="000000" w:themeColor="text1"/>
          <w:sz w:val="22"/>
          <w:szCs w:val="22"/>
          <w:lang w:val="en-US"/>
        </w:rPr>
        <w:t>Patterns of consumption</w:t>
      </w:r>
      <w:bookmarkEnd w:id="50"/>
    </w:p>
    <w:p w:rsidR="00DD1125" w:rsidRPr="008F3531" w:rsidRDefault="00DD1125" w:rsidP="003A7F60">
      <w:pPr>
        <w:pStyle w:val="paranumb"/>
        <w:spacing w:after="200"/>
        <w:rPr>
          <w:rFonts w:cs="Times New Roman"/>
          <w:szCs w:val="24"/>
        </w:rPr>
      </w:pPr>
      <w:r w:rsidRPr="008F3531">
        <w:rPr>
          <w:rFonts w:cs="Times New Roman"/>
          <w:szCs w:val="24"/>
        </w:rPr>
        <w:t xml:space="preserve">Patterns of food consumption differ across livelihood zones and across wealth categories. At the most general level, there is a north-south trend whereby households in the south depend more on own production for food and less on the market. A difference exists between zones 3 and 4 in the north, which produce a deficit, import staple foods and are food insecure, and zones 10, 11 and 12 in the south, which produce a surplus, export cereals and are food secure. However, households in </w:t>
      </w:r>
      <w:r w:rsidRPr="008F3531">
        <w:rPr>
          <w:rFonts w:cs="Times New Roman"/>
          <w:i/>
          <w:iCs/>
          <w:szCs w:val="24"/>
        </w:rPr>
        <w:t xml:space="preserve">all </w:t>
      </w:r>
      <w:r w:rsidRPr="008F3531">
        <w:rPr>
          <w:rFonts w:cs="Times New Roman"/>
          <w:szCs w:val="24"/>
        </w:rPr>
        <w:t xml:space="preserve">zones rely on the market for their food needs. Even in the south, the very poor and poor depend heavily on the market and must use cash income to purchase food. Thus the graph reveals something about the structure of poverty in that poor households are more dependent on food purchases than are the better off households who mostly rely on own production to meet their food needs. </w:t>
      </w:r>
    </w:p>
    <w:p w:rsidR="00DD1125" w:rsidRPr="008F3531" w:rsidRDefault="00F27876" w:rsidP="00F27876">
      <w:pPr>
        <w:pStyle w:val="Caption"/>
        <w:rPr>
          <w:b w:val="0"/>
        </w:rPr>
      </w:pPr>
      <w:bookmarkStart w:id="51" w:name="_Toc390956386"/>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5</w:t>
      </w:r>
      <w:r w:rsidR="00943E46" w:rsidRPr="00E56625">
        <w:rPr>
          <w:noProof/>
        </w:rPr>
        <w:fldChar w:fldCharType="end"/>
      </w:r>
      <w:r w:rsidRPr="008F3531">
        <w:t>:</w:t>
      </w:r>
      <w:r w:rsidR="00DD1125" w:rsidRPr="008F3531">
        <w:rPr>
          <w:b w:val="0"/>
        </w:rPr>
        <w:t xml:space="preserve"> Patterns of food consumption by zone and household wealth</w:t>
      </w:r>
      <w:bookmarkEnd w:id="51"/>
    </w:p>
    <w:p w:rsidR="00DD1125" w:rsidRPr="00E56625" w:rsidRDefault="00DD1125" w:rsidP="00F27876">
      <w:pPr>
        <w:autoSpaceDE w:val="0"/>
        <w:autoSpaceDN w:val="0"/>
        <w:adjustRightInd w:val="0"/>
        <w:spacing w:after="120"/>
        <w:jc w:val="center"/>
        <w:rPr>
          <w:lang w:val="en-US"/>
        </w:rPr>
      </w:pPr>
      <w:r w:rsidRPr="0045185C">
        <w:rPr>
          <w:noProof/>
          <w:lang w:val="en-US"/>
        </w:rPr>
        <w:drawing>
          <wp:inline distT="0" distB="0" distL="0" distR="0" wp14:anchorId="2CF1BF45" wp14:editId="51438F69">
            <wp:extent cx="5824151" cy="4654378"/>
            <wp:effectExtent l="0" t="0" r="571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D1125" w:rsidRPr="00E56625" w:rsidRDefault="00DD1125" w:rsidP="00F27876">
      <w:pPr>
        <w:autoSpaceDE w:val="0"/>
        <w:autoSpaceDN w:val="0"/>
        <w:adjustRightInd w:val="0"/>
        <w:spacing w:after="240"/>
        <w:rPr>
          <w:sz w:val="20"/>
          <w:szCs w:val="20"/>
          <w:lang w:val="en-US"/>
        </w:rPr>
      </w:pPr>
      <w:r w:rsidRPr="00E56625">
        <w:rPr>
          <w:sz w:val="20"/>
          <w:szCs w:val="20"/>
          <w:lang w:val="en-US"/>
        </w:rPr>
        <w:t>Source: FEWSNET 2010. Livelihood Zoning and Profiling Report: Mali.</w:t>
      </w:r>
    </w:p>
    <w:p w:rsidR="00DD1125" w:rsidRPr="008F3531" w:rsidRDefault="00DD1125" w:rsidP="003A7F60">
      <w:pPr>
        <w:pStyle w:val="paranumb"/>
        <w:spacing w:after="200"/>
        <w:rPr>
          <w:rFonts w:cs="Times New Roman"/>
          <w:szCs w:val="24"/>
        </w:rPr>
      </w:pPr>
      <w:r w:rsidRPr="008F3531">
        <w:rPr>
          <w:rFonts w:cs="Times New Roman"/>
          <w:szCs w:val="24"/>
        </w:rPr>
        <w:t xml:space="preserve">In all zones the poorest households receive payments in-kind for work carried out for the middle and better-off. Under this type of arrangement wealthier households pay laborers using grain from their own harvests; zone 2 is distinctive in that there is payment in-kind in bought grain, but no agricultural production. In all zones the poor and very poor receive some of their annual food requirement from a combination of loans and gifts in-kind, given by the middle and better-off. Loans are commonly taken during the hard hunger months when poor households are most dependent on the market and staple food prices are high. They are repaid after the harvest when the economic situation of these households has improved. The general trend across zones is for the very poor to depend more on these sources than the poor. One exception is zone 8 in the north-east where this category is large for both groups. This has to do with the importance of remittances, the benefits of which are partially received by the poorest households in the form of food gifts. The contribution of loans and gifts in-kind tells us something about the degree and nature of poverty in Mali. The graphs illustrate how dependent the poorest are on the wealthier groups in order merely to survive and meet their food needs. </w:t>
      </w:r>
    </w:p>
    <w:p w:rsidR="00DD1125" w:rsidRPr="008F3531" w:rsidRDefault="00DD1125" w:rsidP="003A7F60">
      <w:pPr>
        <w:pStyle w:val="paranumb"/>
        <w:spacing w:after="200"/>
        <w:rPr>
          <w:rFonts w:cs="Times New Roman"/>
          <w:szCs w:val="24"/>
        </w:rPr>
      </w:pPr>
      <w:r w:rsidRPr="008F3531">
        <w:rPr>
          <w:rFonts w:cs="Times New Roman"/>
          <w:szCs w:val="24"/>
        </w:rPr>
        <w:t xml:space="preserve">In broad terms, milk and livestock product consumption decreases as one travels south. It is the highest in pastoral zone 2, where a poor household consumes more milk than typical middle and better-off households in all other zones. Within each zone it is the wealthier households who consume more than the poorer households. </w:t>
      </w:r>
    </w:p>
    <w:p w:rsidR="00DD1125" w:rsidRPr="008F3531" w:rsidRDefault="00F27876" w:rsidP="00F27876">
      <w:pPr>
        <w:pStyle w:val="Caption"/>
        <w:rPr>
          <w:b w:val="0"/>
        </w:rPr>
      </w:pPr>
      <w:bookmarkStart w:id="52" w:name="_Toc390956387"/>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6</w:t>
      </w:r>
      <w:r w:rsidR="00943E46" w:rsidRPr="00E56625">
        <w:rPr>
          <w:noProof/>
        </w:rPr>
        <w:fldChar w:fldCharType="end"/>
      </w:r>
      <w:r w:rsidR="00DD1125" w:rsidRPr="008F3531">
        <w:rPr>
          <w:b w:val="0"/>
        </w:rPr>
        <w:t>: Quantities of milk and meat consumed by region (2001)</w:t>
      </w:r>
      <w:bookmarkEnd w:id="52"/>
    </w:p>
    <w:tbl>
      <w:tblPr>
        <w:tblW w:w="0" w:type="auto"/>
        <w:tblLook w:val="04A0" w:firstRow="1" w:lastRow="0" w:firstColumn="1" w:lastColumn="0" w:noHBand="0" w:noVBand="1"/>
      </w:tblPr>
      <w:tblGrid>
        <w:gridCol w:w="4711"/>
        <w:gridCol w:w="4649"/>
      </w:tblGrid>
      <w:tr w:rsidR="00DD1125" w:rsidRPr="008F3531" w:rsidTr="00E96123">
        <w:tc>
          <w:tcPr>
            <w:tcW w:w="4788" w:type="dxa"/>
          </w:tcPr>
          <w:p w:rsidR="00DD1125" w:rsidRPr="00E56625" w:rsidRDefault="00DD1125" w:rsidP="00E849F5">
            <w:pPr>
              <w:autoSpaceDE w:val="0"/>
              <w:autoSpaceDN w:val="0"/>
              <w:adjustRightInd w:val="0"/>
              <w:spacing w:after="0"/>
              <w:rPr>
                <w:b/>
                <w:lang w:val="en-US"/>
              </w:rPr>
            </w:pPr>
            <w:r w:rsidRPr="0045185C">
              <w:rPr>
                <w:noProof/>
                <w:lang w:val="en-US"/>
              </w:rPr>
              <w:drawing>
                <wp:inline distT="0" distB="0" distL="0" distR="0" wp14:anchorId="27E184B7" wp14:editId="11AD2498">
                  <wp:extent cx="2957384" cy="2067697"/>
                  <wp:effectExtent l="0" t="0" r="0" b="889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788" w:type="dxa"/>
          </w:tcPr>
          <w:p w:rsidR="00DD1125" w:rsidRPr="00E56625" w:rsidRDefault="00DD1125" w:rsidP="00E849F5">
            <w:pPr>
              <w:autoSpaceDE w:val="0"/>
              <w:autoSpaceDN w:val="0"/>
              <w:adjustRightInd w:val="0"/>
              <w:spacing w:after="0"/>
              <w:rPr>
                <w:b/>
                <w:lang w:val="en-US"/>
              </w:rPr>
            </w:pPr>
            <w:r w:rsidRPr="0045185C">
              <w:rPr>
                <w:noProof/>
                <w:lang w:val="en-US"/>
              </w:rPr>
              <w:drawing>
                <wp:inline distT="0" distB="0" distL="0" distR="0" wp14:anchorId="3A6192F7" wp14:editId="4C4FECF7">
                  <wp:extent cx="2916195" cy="2067697"/>
                  <wp:effectExtent l="0" t="0" r="0" b="889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DD1125" w:rsidRPr="00E56625" w:rsidRDefault="00DD1125" w:rsidP="00E849F5">
      <w:pPr>
        <w:autoSpaceDE w:val="0"/>
        <w:autoSpaceDN w:val="0"/>
        <w:adjustRightInd w:val="0"/>
        <w:spacing w:after="0"/>
        <w:rPr>
          <w:sz w:val="20"/>
          <w:szCs w:val="20"/>
          <w:lang w:val="en-US"/>
        </w:rPr>
      </w:pPr>
      <w:r w:rsidRPr="00E56625">
        <w:rPr>
          <w:sz w:val="20"/>
          <w:szCs w:val="20"/>
          <w:lang w:val="en-US"/>
        </w:rPr>
        <w:t>Source: EMEP 2001. Authors’ calculations</w:t>
      </w:r>
      <w:r w:rsidR="007A5169" w:rsidRPr="00E56625">
        <w:rPr>
          <w:sz w:val="20"/>
          <w:szCs w:val="20"/>
          <w:lang w:val="en-US"/>
        </w:rPr>
        <w:t>.</w:t>
      </w:r>
    </w:p>
    <w:p w:rsidR="00E849F5" w:rsidRPr="00E56625" w:rsidRDefault="00E849F5" w:rsidP="00E849F5">
      <w:pPr>
        <w:autoSpaceDE w:val="0"/>
        <w:autoSpaceDN w:val="0"/>
        <w:adjustRightInd w:val="0"/>
        <w:spacing w:after="0"/>
        <w:rPr>
          <w:lang w:val="en-US"/>
        </w:rPr>
      </w:pPr>
    </w:p>
    <w:p w:rsidR="00DD1125" w:rsidRPr="008F3531" w:rsidRDefault="00DD1125" w:rsidP="003A7F60">
      <w:pPr>
        <w:pStyle w:val="paranumb"/>
        <w:spacing w:after="200"/>
        <w:rPr>
          <w:rFonts w:cs="Times New Roman"/>
          <w:szCs w:val="24"/>
        </w:rPr>
      </w:pPr>
      <w:r w:rsidRPr="008F3531">
        <w:rPr>
          <w:rFonts w:cs="Times New Roman"/>
          <w:szCs w:val="24"/>
        </w:rPr>
        <w:t xml:space="preserve">Levels of milk consumption are closely tied to the size of livestock holdings. Less milk is consumed by households in the Office du Niger and Dogon plateau zones (7 and 5) than in the large Sahelian band (zone 4) because of lower livestock holdings. However, middle and better-off households in the southern zones own enough animals to consume more milk than they but milk consumption generally (including cows' milk) is not really part of the dietary habits of households in these areas. In those zones where milk is consumed in larger quantities, it provides a significant boost to the quality of households' diets, and it is no coincidence that the prevalence of chronic malnutrition is significantly higher in the southern </w:t>
      </w:r>
      <w:r w:rsidR="00292C6F" w:rsidRPr="008F3531">
        <w:rPr>
          <w:rFonts w:cs="Times New Roman"/>
          <w:szCs w:val="24"/>
        </w:rPr>
        <w:t xml:space="preserve">parts of the country </w:t>
      </w:r>
      <w:r w:rsidRPr="008F3531">
        <w:rPr>
          <w:rFonts w:cs="Times New Roman"/>
          <w:szCs w:val="24"/>
        </w:rPr>
        <w:t xml:space="preserve">than it is in the north. </w:t>
      </w:r>
    </w:p>
    <w:p w:rsidR="00DD1125" w:rsidRPr="008F3531" w:rsidRDefault="00DD1125" w:rsidP="003A7F60">
      <w:pPr>
        <w:pStyle w:val="paranumb"/>
        <w:spacing w:after="200"/>
        <w:rPr>
          <w:rFonts w:cs="Times New Roman"/>
          <w:szCs w:val="24"/>
        </w:rPr>
      </w:pPr>
      <w:r w:rsidRPr="008F3531">
        <w:rPr>
          <w:rFonts w:cs="Times New Roman"/>
          <w:szCs w:val="24"/>
        </w:rPr>
        <w:t xml:space="preserve">Zone 2 should be mentioned separately. While it fits with the general cross-country trends it is the only purely pastoral zone (excluding zone 1). The inhabitants of the zone primarily consume cereals purchased on the market. They are consequently vulnerable to poor terms of trade between the price of millet (the main staple) and the price of livestock. </w:t>
      </w:r>
    </w:p>
    <w:p w:rsidR="00F27876" w:rsidRPr="00E56625" w:rsidRDefault="00F27876" w:rsidP="00F27876">
      <w:pPr>
        <w:autoSpaceDE w:val="0"/>
        <w:autoSpaceDN w:val="0"/>
        <w:adjustRightInd w:val="0"/>
        <w:spacing w:after="120"/>
        <w:rPr>
          <w:b/>
          <w:lang w:val="en-US"/>
        </w:rPr>
      </w:pPr>
    </w:p>
    <w:p w:rsidR="00DD1125" w:rsidRPr="00E56625" w:rsidRDefault="00DD1125" w:rsidP="003D20DD">
      <w:pPr>
        <w:pStyle w:val="Heading2"/>
        <w:numPr>
          <w:ilvl w:val="0"/>
          <w:numId w:val="8"/>
        </w:numPr>
        <w:spacing w:before="0"/>
        <w:ind w:left="540" w:hanging="540"/>
        <w:rPr>
          <w:rFonts w:ascii="Times New Roman Bold" w:hAnsi="Times New Roman Bold" w:cs="Times New Roman"/>
          <w:color w:val="000000" w:themeColor="text1"/>
          <w:sz w:val="22"/>
          <w:szCs w:val="22"/>
          <w:lang w:val="en-US"/>
        </w:rPr>
      </w:pPr>
      <w:bookmarkStart w:id="53" w:name="_Toc419468544"/>
      <w:r w:rsidRPr="00E56625">
        <w:rPr>
          <w:rFonts w:ascii="Times New Roman Bold" w:hAnsi="Times New Roman Bold" w:cs="Times New Roman"/>
          <w:color w:val="000000" w:themeColor="text1"/>
          <w:sz w:val="22"/>
          <w:szCs w:val="22"/>
          <w:lang w:val="en-US"/>
        </w:rPr>
        <w:t>Access to services</w:t>
      </w:r>
      <w:bookmarkEnd w:id="53"/>
    </w:p>
    <w:p w:rsidR="00DD1125" w:rsidRPr="008F3531" w:rsidRDefault="00DD1125" w:rsidP="003A7F60">
      <w:pPr>
        <w:pStyle w:val="paranumb"/>
        <w:spacing w:after="200"/>
        <w:rPr>
          <w:rFonts w:cs="Times New Roman"/>
          <w:szCs w:val="24"/>
        </w:rPr>
      </w:pPr>
      <w:r w:rsidRPr="008F3531">
        <w:rPr>
          <w:rFonts w:cs="Times New Roman"/>
          <w:szCs w:val="24"/>
        </w:rPr>
        <w:t xml:space="preserve">Access to services differs across livelihood zones. The first aspect to note is that in Bamako access to piped water, electricity as well as the use of (modern) toilet facilities is much higher than elsewhere. At the same time the number of schools per ‘000 residents, as well as the number of health facilities per ‘000 residents is amongst the lowest in the country. This pattern has been observed before in Chapter 2: better access to piped water and electricity are associated with high population density. The lower number of schools and health facilities is possibly also a reflection of high density in that in a high density environment one can benefit from economies of density and construct larger schools and health centers. </w:t>
      </w:r>
    </w:p>
    <w:p w:rsidR="00DD1125" w:rsidRPr="008F3531" w:rsidRDefault="00DD1125" w:rsidP="003A7F60">
      <w:pPr>
        <w:pStyle w:val="paranumb"/>
        <w:spacing w:after="200"/>
        <w:rPr>
          <w:rFonts w:cs="Times New Roman"/>
          <w:szCs w:val="24"/>
        </w:rPr>
      </w:pPr>
      <w:r w:rsidRPr="008F3531">
        <w:rPr>
          <w:rFonts w:cs="Times New Roman"/>
          <w:szCs w:val="24"/>
        </w:rPr>
        <w:t xml:space="preserve">Between the different livelihood zones, access to piped water and electricity varies, but it is in essence uniformly low, with the exception of households in zone 8 (Northern Kayes) who rely on remittances amongst whom some 14 percent of households have access to electricity. </w:t>
      </w:r>
    </w:p>
    <w:p w:rsidR="00DD1125" w:rsidRPr="008F3531" w:rsidRDefault="00F27876" w:rsidP="00F27876">
      <w:pPr>
        <w:pStyle w:val="Caption"/>
        <w:rPr>
          <w:b w:val="0"/>
        </w:rPr>
      </w:pPr>
      <w:bookmarkStart w:id="54" w:name="_Toc390956285"/>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2</w:t>
      </w:r>
      <w:r w:rsidR="00943E46" w:rsidRPr="00E56625">
        <w:rPr>
          <w:noProof/>
        </w:rPr>
        <w:fldChar w:fldCharType="end"/>
      </w:r>
      <w:r w:rsidR="00DD1125" w:rsidRPr="008F3531">
        <w:rPr>
          <w:b w:val="0"/>
        </w:rPr>
        <w:t>: Market access by livelihood zone</w:t>
      </w:r>
      <w:bookmarkEnd w:id="54"/>
    </w:p>
    <w:tbl>
      <w:tblPr>
        <w:tblW w:w="4944" w:type="pct"/>
        <w:jc w:val="center"/>
        <w:tblLayout w:type="fixed"/>
        <w:tblLook w:val="04A0" w:firstRow="1" w:lastRow="0" w:firstColumn="1" w:lastColumn="0" w:noHBand="0" w:noVBand="1"/>
      </w:tblPr>
      <w:tblGrid>
        <w:gridCol w:w="431"/>
        <w:gridCol w:w="3458"/>
        <w:gridCol w:w="5366"/>
      </w:tblGrid>
      <w:tr w:rsidR="00DD1125" w:rsidRPr="008F3531" w:rsidTr="00F27876">
        <w:trPr>
          <w:trHeight w:val="300"/>
          <w:jc w:val="center"/>
        </w:trPr>
        <w:tc>
          <w:tcPr>
            <w:tcW w:w="233" w:type="pct"/>
            <w:tcBorders>
              <w:top w:val="single" w:sz="4" w:space="0" w:color="auto"/>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w:t>
            </w:r>
          </w:p>
        </w:tc>
        <w:tc>
          <w:tcPr>
            <w:tcW w:w="1868" w:type="pct"/>
            <w:tcBorders>
              <w:top w:val="single" w:sz="4" w:space="0" w:color="auto"/>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Nomadism and trans-Saharan trade</w:t>
            </w:r>
          </w:p>
        </w:tc>
        <w:tc>
          <w:tcPr>
            <w:tcW w:w="2899" w:type="pct"/>
            <w:tcBorders>
              <w:top w:val="single" w:sz="4" w:space="0" w:color="auto"/>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Very poor.</w:t>
            </w:r>
          </w:p>
        </w:tc>
      </w:tr>
      <w:tr w:rsidR="00DD1125" w:rsidRPr="008F3531" w:rsidTr="00F27876">
        <w:trPr>
          <w:trHeight w:val="9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2</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Nomadic and transhumant pastoralism</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Sand and dirt roads are most frequent in this region, with very few surfaced with bitumen. Market access in the zone is poor and herders may have to travel long distances to take their animals to market.</w:t>
            </w:r>
          </w:p>
        </w:tc>
      </w:tr>
      <w:tr w:rsidR="00DD1125" w:rsidRPr="008F3531" w:rsidTr="00F27876">
        <w:trPr>
          <w:trHeight w:val="9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3</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 Fluvial rice and transhumant livestock rearing (agropastoral)</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Market access varies; communes in the middle section of the zone are fairly isolated as the river flows along the edge of the desert. During the rainy season, for example, it takes sometimes two to three days to travel by road from Téméra to Gao.</w:t>
            </w:r>
          </w:p>
        </w:tc>
      </w:tr>
      <w:tr w:rsidR="00DD1125" w:rsidRPr="008F3531" w:rsidTr="00F27876">
        <w:trPr>
          <w:trHeight w:val="6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4</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Millet and transhumant livestock rearing</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Access to markets in this zone is generally easy during the dry season, although areas of the zone are isolated. Access becomes more difficult in the rainy season.</w:t>
            </w:r>
          </w:p>
        </w:tc>
      </w:tr>
      <w:tr w:rsidR="00DD1125" w:rsidRPr="008F3531" w:rsidTr="00F27876">
        <w:trPr>
          <w:trHeight w:val="567"/>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5</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Dogon plateau -- millet, shallots, wild foods and tourism</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 xml:space="preserve">Market access is relatively good and better than in zone 6. </w:t>
            </w:r>
          </w:p>
        </w:tc>
      </w:tr>
      <w:tr w:rsidR="00DD1125" w:rsidRPr="008F3531" w:rsidTr="00F27876">
        <w:trPr>
          <w:trHeight w:val="9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6</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Niger delta - rice and livestock rearing (agropastoral)</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Market access in this zone is worse than in zones 4 and 5 and during the flooding many roads are impassable. Trading is also carried out by canoe and motorized canoes; this decreases from March to July when the water levels are low.</w:t>
            </w:r>
          </w:p>
        </w:tc>
      </w:tr>
      <w:tr w:rsidR="00DD1125" w:rsidRPr="008F3531" w:rsidTr="00F27876">
        <w:trPr>
          <w:trHeight w:val="3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7</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Office du Niger (irrigated rice)</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Markets are generally accessible in all seasons, although during the rains some areas can be cut off.</w:t>
            </w:r>
          </w:p>
        </w:tc>
      </w:tr>
      <w:tr w:rsidR="00DD1125" w:rsidRPr="008F3531" w:rsidTr="00F27876">
        <w:trPr>
          <w:trHeight w:val="6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8</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North-west remittances, sorghum and transhumant livestock rearing</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Access to markets is relatively poor; during the dry season roads can very sandy and in the wet season very muddy.</w:t>
            </w:r>
          </w:p>
        </w:tc>
      </w:tr>
      <w:tr w:rsidR="00DD1125" w:rsidRPr="008F3531" w:rsidTr="00F27876">
        <w:trPr>
          <w:trHeight w:val="6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9</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West and central rainfed millet/sorghum</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Markets access in this zone is generally good; however, it can become very difficult in some areas during the wet season, because of rivers and muddy roads.</w:t>
            </w:r>
          </w:p>
        </w:tc>
      </w:tr>
      <w:tr w:rsidR="00DD1125" w:rsidRPr="008F3531" w:rsidTr="00F27876">
        <w:trPr>
          <w:trHeight w:val="3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10</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Sorghum, millet and cotton</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Market access is generally good, but can become difficult in some areas during the rainy season.</w:t>
            </w:r>
          </w:p>
        </w:tc>
      </w:tr>
      <w:tr w:rsidR="00DD1125" w:rsidRPr="008F3531" w:rsidTr="00F27876">
        <w:trPr>
          <w:trHeight w:val="600"/>
          <w:jc w:val="center"/>
        </w:trPr>
        <w:tc>
          <w:tcPr>
            <w:tcW w:w="233"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11</w:t>
            </w:r>
          </w:p>
        </w:tc>
        <w:tc>
          <w:tcPr>
            <w:tcW w:w="1868" w:type="pct"/>
            <w:tcBorders>
              <w:top w:val="nil"/>
              <w:left w:val="nil"/>
              <w:bottom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South maize, cotton and fruits</w:t>
            </w:r>
          </w:p>
        </w:tc>
        <w:tc>
          <w:tcPr>
            <w:tcW w:w="2899" w:type="pct"/>
            <w:tcBorders>
              <w:top w:val="nil"/>
              <w:left w:val="nil"/>
              <w:bottom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Market access is generally good, apart from during the rains when areas can become isolated and lorries easily get bogged down on the roads. Roads may also be blocked by seasonal rivers.</w:t>
            </w:r>
          </w:p>
        </w:tc>
      </w:tr>
      <w:tr w:rsidR="00DD1125" w:rsidRPr="008F3531" w:rsidTr="00F27876">
        <w:trPr>
          <w:trHeight w:val="600"/>
          <w:jc w:val="center"/>
        </w:trPr>
        <w:tc>
          <w:tcPr>
            <w:tcW w:w="233" w:type="pct"/>
            <w:tcBorders>
              <w:top w:val="nil"/>
              <w:left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12</w:t>
            </w:r>
          </w:p>
        </w:tc>
        <w:tc>
          <w:tcPr>
            <w:tcW w:w="1868" w:type="pct"/>
            <w:tcBorders>
              <w:top w:val="nil"/>
              <w:left w:val="nil"/>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South-west maize, sorghum and fruits</w:t>
            </w:r>
          </w:p>
        </w:tc>
        <w:tc>
          <w:tcPr>
            <w:tcW w:w="2899" w:type="pct"/>
            <w:tcBorders>
              <w:top w:val="nil"/>
              <w:left w:val="nil"/>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Market access is this zone is generally good, but can become difficult in some areas during the rainy season.</w:t>
            </w:r>
          </w:p>
        </w:tc>
      </w:tr>
      <w:tr w:rsidR="00DD1125" w:rsidRPr="008F3531" w:rsidTr="00F27876">
        <w:trPr>
          <w:trHeight w:val="300"/>
          <w:jc w:val="center"/>
        </w:trPr>
        <w:tc>
          <w:tcPr>
            <w:tcW w:w="233" w:type="pct"/>
            <w:tcBorders>
              <w:top w:val="nil"/>
              <w:left w:val="nil"/>
              <w:bottom w:val="single" w:sz="4" w:space="0" w:color="auto"/>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13</w:t>
            </w:r>
          </w:p>
        </w:tc>
        <w:tc>
          <w:tcPr>
            <w:tcW w:w="1868" w:type="pct"/>
            <w:tcBorders>
              <w:top w:val="nil"/>
              <w:left w:val="nil"/>
              <w:bottom w:val="single" w:sz="4" w:space="0" w:color="auto"/>
              <w:right w:val="nil"/>
            </w:tcBorders>
            <w:shd w:val="clear" w:color="auto" w:fill="auto"/>
            <w:noWrap/>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2899" w:type="pct"/>
            <w:tcBorders>
              <w:top w:val="nil"/>
              <w:left w:val="nil"/>
              <w:bottom w:val="single" w:sz="4" w:space="0" w:color="auto"/>
              <w:right w:val="nil"/>
            </w:tcBorders>
            <w:shd w:val="clear" w:color="auto" w:fill="auto"/>
            <w:hideMark/>
          </w:tcPr>
          <w:p w:rsidR="00DD1125" w:rsidRPr="00E56625" w:rsidRDefault="00DD1125" w:rsidP="00E96123">
            <w:pPr>
              <w:spacing w:after="0"/>
              <w:rPr>
                <w:rFonts w:eastAsia="Times New Roman"/>
                <w:color w:val="000000"/>
                <w:sz w:val="20"/>
                <w:szCs w:val="20"/>
                <w:lang w:val="en-US"/>
              </w:rPr>
            </w:pPr>
            <w:r w:rsidRPr="00E56625">
              <w:rPr>
                <w:rFonts w:eastAsia="Times New Roman"/>
                <w:color w:val="000000"/>
                <w:sz w:val="20"/>
                <w:szCs w:val="20"/>
                <w:lang w:val="en-US"/>
              </w:rPr>
              <w:t>Good</w:t>
            </w:r>
          </w:p>
        </w:tc>
      </w:tr>
    </w:tbl>
    <w:p w:rsidR="00DD1125" w:rsidRPr="00E56625" w:rsidRDefault="00DD1125" w:rsidP="00DD1125">
      <w:pPr>
        <w:spacing w:after="120"/>
        <w:rPr>
          <w:sz w:val="20"/>
          <w:szCs w:val="20"/>
          <w:lang w:val="en-US"/>
        </w:rPr>
      </w:pPr>
      <w:r w:rsidRPr="00E56625">
        <w:rPr>
          <w:sz w:val="20"/>
          <w:szCs w:val="20"/>
          <w:lang w:val="en-US"/>
        </w:rPr>
        <w:t>Source: FEWSNET 2010. Authors’ compilation.</w:t>
      </w:r>
    </w:p>
    <w:p w:rsidR="00F27876" w:rsidRPr="008F3531" w:rsidRDefault="00F27876" w:rsidP="00F27876">
      <w:pPr>
        <w:pStyle w:val="paranumb"/>
        <w:spacing w:after="200"/>
        <w:rPr>
          <w:rFonts w:cs="Times New Roman"/>
          <w:szCs w:val="24"/>
        </w:rPr>
      </w:pPr>
      <w:r w:rsidRPr="008F3531">
        <w:rPr>
          <w:rFonts w:cs="Times New Roman"/>
          <w:szCs w:val="24"/>
        </w:rPr>
        <w:t>In the previous chapter it was noted that there is a clear pattern in the number of schools or health centers, with relatively more schools and health facilities in low density areas agglomerations (villages). Doing the breakdown by livelihood zone, one notes a substantial variation which can only be partially explained. For instance, in the desert (zone 1) one finds a relatively high number of schools, which is a reflection of the low population density necessitating the construction of relatively many (presumably small) schools. But in Southern Sikasso (zone 11) one finds a comparable number of schools, while in other low density areas such as in zones 2 and 4 the  number of schools per ‘000 residents seems pretty low. In chapter 5 we will consider the placement of schools across the country in greater detail.</w:t>
      </w:r>
    </w:p>
    <w:p w:rsidR="00F27876" w:rsidRPr="008F3531" w:rsidRDefault="00F27876" w:rsidP="00F27876">
      <w:pPr>
        <w:pStyle w:val="paranumb"/>
        <w:spacing w:after="200"/>
        <w:rPr>
          <w:rFonts w:cs="Times New Roman"/>
          <w:szCs w:val="24"/>
        </w:rPr>
      </w:pPr>
      <w:r w:rsidRPr="008F3531">
        <w:rPr>
          <w:rFonts w:cs="Times New Roman"/>
          <w:szCs w:val="24"/>
        </w:rPr>
        <w:t>Access to markets also varies by livelihood zone and is closely associated with population density: it is worst in the north of the country (zones 1,2 and 3) better in the middle (zones 4, 8 and 9) and best in the south (zones 10, 11 and 12).</w:t>
      </w:r>
    </w:p>
    <w:p w:rsidR="00DD1125" w:rsidRPr="008F3531" w:rsidRDefault="00DD1125" w:rsidP="00DD1125">
      <w:pPr>
        <w:autoSpaceDE w:val="0"/>
        <w:autoSpaceDN w:val="0"/>
        <w:adjustRightInd w:val="0"/>
        <w:spacing w:after="120"/>
        <w:rPr>
          <w:lang w:val="en-US"/>
        </w:rPr>
      </w:pPr>
    </w:p>
    <w:p w:rsidR="00DD1125" w:rsidRPr="00E56625" w:rsidRDefault="00DD1125" w:rsidP="00DD1125">
      <w:pPr>
        <w:autoSpaceDE w:val="0"/>
        <w:autoSpaceDN w:val="0"/>
        <w:adjustRightInd w:val="0"/>
        <w:spacing w:after="120"/>
        <w:rPr>
          <w:b/>
          <w:lang w:val="en-US"/>
        </w:rPr>
      </w:pPr>
    </w:p>
    <w:p w:rsidR="00DD1125" w:rsidRPr="00E56625" w:rsidRDefault="00DD1125" w:rsidP="00DD1125">
      <w:pPr>
        <w:autoSpaceDE w:val="0"/>
        <w:autoSpaceDN w:val="0"/>
        <w:adjustRightInd w:val="0"/>
        <w:spacing w:after="120"/>
        <w:rPr>
          <w:b/>
          <w:lang w:val="en-US"/>
        </w:rPr>
        <w:sectPr w:rsidR="00DD1125" w:rsidRPr="00E56625">
          <w:pgSz w:w="12240" w:h="15840"/>
          <w:pgMar w:top="1440" w:right="1440" w:bottom="1440" w:left="1440" w:header="720" w:footer="720" w:gutter="0"/>
          <w:cols w:space="720"/>
          <w:docGrid w:linePitch="360"/>
        </w:sectPr>
      </w:pPr>
    </w:p>
    <w:p w:rsidR="00DD1125" w:rsidRPr="008F3531" w:rsidRDefault="008B650F" w:rsidP="008B650F">
      <w:pPr>
        <w:pStyle w:val="Caption"/>
        <w:rPr>
          <w:b w:val="0"/>
        </w:rPr>
      </w:pPr>
      <w:bookmarkStart w:id="55" w:name="_Toc390956286"/>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3</w:t>
      </w:r>
      <w:r w:rsidR="00943E46" w:rsidRPr="00E56625">
        <w:rPr>
          <w:noProof/>
        </w:rPr>
        <w:fldChar w:fldCharType="end"/>
      </w:r>
      <w:r w:rsidRPr="008F3531">
        <w:t>:</w:t>
      </w:r>
      <w:r w:rsidR="00DD1125" w:rsidRPr="008F3531">
        <w:rPr>
          <w:b w:val="0"/>
        </w:rPr>
        <w:t xml:space="preserve"> Population density and access to basic utilities by livelihood zone (2009)</w:t>
      </w:r>
      <w:bookmarkEnd w:id="55"/>
    </w:p>
    <w:tbl>
      <w:tblPr>
        <w:tblStyle w:val="TableGrid"/>
        <w:tblW w:w="4925"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0"/>
        <w:gridCol w:w="1152"/>
        <w:gridCol w:w="1417"/>
        <w:gridCol w:w="1243"/>
        <w:gridCol w:w="1238"/>
        <w:gridCol w:w="978"/>
        <w:gridCol w:w="1067"/>
        <w:gridCol w:w="1067"/>
        <w:gridCol w:w="1044"/>
      </w:tblGrid>
      <w:tr w:rsidR="008B650F" w:rsidRPr="008F3531" w:rsidTr="008B650F">
        <w:trPr>
          <w:trHeight w:val="1394"/>
        </w:trPr>
        <w:tc>
          <w:tcPr>
            <w:tcW w:w="1394" w:type="pct"/>
            <w:tcBorders>
              <w:top w:val="single" w:sz="4" w:space="0" w:color="auto"/>
              <w:bottom w:val="single" w:sz="4" w:space="0" w:color="auto"/>
            </w:tcBorders>
            <w:noWrap/>
            <w:vAlign w:val="bottom"/>
            <w:hideMark/>
          </w:tcPr>
          <w:p w:rsidR="00DD1125" w:rsidRPr="00E56625" w:rsidRDefault="00DD1125" w:rsidP="00E96123">
            <w:pPr>
              <w:rPr>
                <w:b/>
                <w:sz w:val="20"/>
                <w:szCs w:val="20"/>
                <w:lang w:val="en-US"/>
              </w:rPr>
            </w:pPr>
            <w:r w:rsidRPr="00E56625">
              <w:rPr>
                <w:b/>
                <w:sz w:val="20"/>
                <w:szCs w:val="20"/>
                <w:lang w:val="en-US"/>
              </w:rPr>
              <w:t>Livelihood zone</w:t>
            </w:r>
          </w:p>
        </w:tc>
        <w:tc>
          <w:tcPr>
            <w:tcW w:w="451" w:type="pct"/>
            <w:tcBorders>
              <w:top w:val="single" w:sz="4" w:space="0" w:color="auto"/>
              <w:bottom w:val="single" w:sz="4" w:space="0" w:color="auto"/>
            </w:tcBorders>
          </w:tcPr>
          <w:p w:rsidR="00DD1125" w:rsidRPr="00E56625" w:rsidRDefault="00DD1125" w:rsidP="00E96123">
            <w:pPr>
              <w:jc w:val="center"/>
              <w:rPr>
                <w:b/>
                <w:bCs/>
                <w:sz w:val="20"/>
                <w:szCs w:val="20"/>
                <w:lang w:val="en-US"/>
              </w:rPr>
            </w:pPr>
            <w:r w:rsidRPr="00E56625">
              <w:rPr>
                <w:b/>
                <w:bCs/>
                <w:sz w:val="20"/>
                <w:szCs w:val="20"/>
                <w:lang w:val="en-US"/>
              </w:rPr>
              <w:t>Population density</w:t>
            </w:r>
          </w:p>
        </w:tc>
        <w:tc>
          <w:tcPr>
            <w:tcW w:w="555" w:type="pct"/>
            <w:tcBorders>
              <w:top w:val="single" w:sz="4" w:space="0" w:color="auto"/>
              <w:bottom w:val="single" w:sz="4" w:space="0" w:color="auto"/>
            </w:tcBorders>
            <w:hideMark/>
          </w:tcPr>
          <w:p w:rsidR="00DD1125" w:rsidRPr="00E56625" w:rsidRDefault="00DD1125" w:rsidP="00E96123">
            <w:pPr>
              <w:jc w:val="center"/>
              <w:rPr>
                <w:b/>
                <w:bCs/>
                <w:sz w:val="20"/>
                <w:szCs w:val="20"/>
                <w:lang w:val="en-US"/>
              </w:rPr>
            </w:pPr>
            <w:r w:rsidRPr="00E56625">
              <w:rPr>
                <w:b/>
                <w:bCs/>
                <w:sz w:val="20"/>
                <w:szCs w:val="20"/>
                <w:lang w:val="en-US"/>
              </w:rPr>
              <w:t>Households whose main supply of water is from a faucet</w:t>
            </w:r>
          </w:p>
        </w:tc>
        <w:tc>
          <w:tcPr>
            <w:tcW w:w="487" w:type="pct"/>
            <w:tcBorders>
              <w:top w:val="single" w:sz="4" w:space="0" w:color="auto"/>
              <w:bottom w:val="single" w:sz="4" w:space="0" w:color="auto"/>
            </w:tcBorders>
            <w:hideMark/>
          </w:tcPr>
          <w:p w:rsidR="00DD1125" w:rsidRPr="00E56625" w:rsidRDefault="00DD1125" w:rsidP="00E96123">
            <w:pPr>
              <w:jc w:val="center"/>
              <w:rPr>
                <w:b/>
                <w:bCs/>
                <w:sz w:val="20"/>
                <w:szCs w:val="20"/>
                <w:lang w:val="en-US"/>
              </w:rPr>
            </w:pPr>
            <w:r w:rsidRPr="00E56625">
              <w:rPr>
                <w:b/>
                <w:bCs/>
                <w:sz w:val="20"/>
                <w:szCs w:val="20"/>
                <w:lang w:val="en-US"/>
              </w:rPr>
              <w:t>Households whose main supply of water is from a well or bore hole</w:t>
            </w:r>
          </w:p>
        </w:tc>
        <w:tc>
          <w:tcPr>
            <w:tcW w:w="485" w:type="pct"/>
            <w:tcBorders>
              <w:top w:val="single" w:sz="4" w:space="0" w:color="auto"/>
              <w:bottom w:val="single" w:sz="4" w:space="0" w:color="auto"/>
            </w:tcBorders>
            <w:hideMark/>
          </w:tcPr>
          <w:p w:rsidR="00DD1125" w:rsidRPr="00E56625" w:rsidRDefault="00DD1125" w:rsidP="00E96123">
            <w:pPr>
              <w:jc w:val="center"/>
              <w:rPr>
                <w:b/>
                <w:bCs/>
                <w:sz w:val="20"/>
                <w:szCs w:val="20"/>
                <w:lang w:val="en-US"/>
              </w:rPr>
            </w:pPr>
            <w:r w:rsidRPr="00E56625">
              <w:rPr>
                <w:b/>
                <w:bCs/>
                <w:sz w:val="20"/>
                <w:szCs w:val="20"/>
                <w:lang w:val="en-US"/>
              </w:rPr>
              <w:t>Households with electricity</w:t>
            </w:r>
          </w:p>
        </w:tc>
        <w:tc>
          <w:tcPr>
            <w:tcW w:w="383" w:type="pct"/>
            <w:tcBorders>
              <w:top w:val="single" w:sz="4" w:space="0" w:color="auto"/>
              <w:bottom w:val="single" w:sz="4" w:space="0" w:color="auto"/>
            </w:tcBorders>
            <w:hideMark/>
          </w:tcPr>
          <w:p w:rsidR="00DD1125" w:rsidRPr="00E56625" w:rsidRDefault="00DD1125" w:rsidP="00E96123">
            <w:pPr>
              <w:jc w:val="center"/>
              <w:rPr>
                <w:b/>
                <w:bCs/>
                <w:sz w:val="20"/>
                <w:szCs w:val="20"/>
                <w:lang w:val="en-US"/>
              </w:rPr>
            </w:pPr>
            <w:r w:rsidRPr="00E56625">
              <w:rPr>
                <w:b/>
                <w:bCs/>
                <w:sz w:val="20"/>
                <w:szCs w:val="20"/>
                <w:lang w:val="en-US"/>
              </w:rPr>
              <w:t>Households with toilets</w:t>
            </w:r>
          </w:p>
        </w:tc>
        <w:tc>
          <w:tcPr>
            <w:tcW w:w="418" w:type="pct"/>
            <w:tcBorders>
              <w:top w:val="single" w:sz="4" w:space="0" w:color="auto"/>
              <w:bottom w:val="single" w:sz="4" w:space="0" w:color="auto"/>
            </w:tcBorders>
            <w:hideMark/>
          </w:tcPr>
          <w:p w:rsidR="00DD1125" w:rsidRPr="00E56625" w:rsidRDefault="00DD1125" w:rsidP="00E96123">
            <w:pPr>
              <w:jc w:val="center"/>
              <w:rPr>
                <w:b/>
                <w:bCs/>
                <w:sz w:val="20"/>
                <w:szCs w:val="20"/>
                <w:lang w:val="en-US"/>
              </w:rPr>
            </w:pPr>
            <w:r w:rsidRPr="00E56625">
              <w:rPr>
                <w:b/>
                <w:bCs/>
                <w:sz w:val="20"/>
                <w:szCs w:val="20"/>
                <w:lang w:val="en-US"/>
              </w:rPr>
              <w:t>Households using latrines</w:t>
            </w:r>
          </w:p>
        </w:tc>
        <w:tc>
          <w:tcPr>
            <w:tcW w:w="418" w:type="pct"/>
            <w:tcBorders>
              <w:top w:val="single" w:sz="4" w:space="0" w:color="auto"/>
              <w:bottom w:val="single" w:sz="4" w:space="0" w:color="auto"/>
            </w:tcBorders>
          </w:tcPr>
          <w:p w:rsidR="00DD1125" w:rsidRPr="00E56625" w:rsidRDefault="00DD1125" w:rsidP="00E96123">
            <w:pPr>
              <w:jc w:val="center"/>
              <w:rPr>
                <w:b/>
                <w:bCs/>
                <w:sz w:val="20"/>
                <w:szCs w:val="20"/>
                <w:lang w:val="en-US"/>
              </w:rPr>
            </w:pPr>
            <w:r w:rsidRPr="00E56625">
              <w:rPr>
                <w:b/>
                <w:bCs/>
                <w:sz w:val="20"/>
                <w:szCs w:val="20"/>
                <w:lang w:val="en-US"/>
              </w:rPr>
              <w:t>Schools (per '000 residents)</w:t>
            </w:r>
          </w:p>
        </w:tc>
        <w:tc>
          <w:tcPr>
            <w:tcW w:w="410" w:type="pct"/>
            <w:tcBorders>
              <w:top w:val="single" w:sz="4" w:space="0" w:color="auto"/>
              <w:bottom w:val="single" w:sz="4" w:space="0" w:color="auto"/>
            </w:tcBorders>
          </w:tcPr>
          <w:p w:rsidR="00DD1125" w:rsidRPr="00E56625" w:rsidRDefault="00DD1125" w:rsidP="00E96123">
            <w:pPr>
              <w:jc w:val="center"/>
              <w:rPr>
                <w:b/>
                <w:bCs/>
                <w:sz w:val="20"/>
                <w:szCs w:val="20"/>
                <w:lang w:val="en-US"/>
              </w:rPr>
            </w:pPr>
            <w:r w:rsidRPr="00E56625">
              <w:rPr>
                <w:b/>
                <w:bCs/>
                <w:sz w:val="20"/>
                <w:szCs w:val="20"/>
                <w:lang w:val="en-US"/>
              </w:rPr>
              <w:t>Health centers</w:t>
            </w:r>
            <w:r w:rsidRPr="00E56625">
              <w:rPr>
                <w:b/>
                <w:bCs/>
                <w:sz w:val="20"/>
                <w:szCs w:val="20"/>
                <w:lang w:val="en-US"/>
              </w:rPr>
              <w:br/>
              <w:t>(per '000 residents)</w:t>
            </w:r>
          </w:p>
        </w:tc>
      </w:tr>
      <w:tr w:rsidR="008B650F" w:rsidRPr="008F3531" w:rsidTr="008B650F">
        <w:trPr>
          <w:trHeight w:val="300"/>
        </w:trPr>
        <w:tc>
          <w:tcPr>
            <w:tcW w:w="1394" w:type="pct"/>
            <w:tcBorders>
              <w:top w:val="single" w:sz="4" w:space="0" w:color="auto"/>
            </w:tcBorders>
            <w:noWrap/>
            <w:vAlign w:val="bottom"/>
          </w:tcPr>
          <w:p w:rsidR="00DD1125" w:rsidRPr="00E56625" w:rsidRDefault="00DD1125" w:rsidP="00E96123">
            <w:pPr>
              <w:rPr>
                <w:sz w:val="20"/>
                <w:szCs w:val="20"/>
                <w:lang w:val="en-US"/>
              </w:rPr>
            </w:pPr>
            <w:r w:rsidRPr="00E56625">
              <w:rPr>
                <w:color w:val="000000"/>
                <w:sz w:val="20"/>
                <w:szCs w:val="20"/>
                <w:lang w:val="en-US"/>
              </w:rPr>
              <w:t>1. Nomadism and trans-Saharan trade</w:t>
            </w:r>
          </w:p>
        </w:tc>
        <w:tc>
          <w:tcPr>
            <w:tcW w:w="451" w:type="pct"/>
            <w:tcBorders>
              <w:top w:val="single" w:sz="4" w:space="0" w:color="auto"/>
            </w:tcBorders>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0.2</w:t>
            </w:r>
          </w:p>
        </w:tc>
        <w:tc>
          <w:tcPr>
            <w:tcW w:w="555" w:type="pct"/>
            <w:tcBorders>
              <w:top w:val="single" w:sz="4" w:space="0" w:color="auto"/>
            </w:tcBorders>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2.5%</w:t>
            </w:r>
          </w:p>
        </w:tc>
        <w:tc>
          <w:tcPr>
            <w:tcW w:w="487" w:type="pct"/>
            <w:tcBorders>
              <w:top w:val="single" w:sz="4" w:space="0" w:color="auto"/>
            </w:tcBorders>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87.6%</w:t>
            </w:r>
          </w:p>
        </w:tc>
        <w:tc>
          <w:tcPr>
            <w:tcW w:w="485" w:type="pct"/>
            <w:tcBorders>
              <w:top w:val="single" w:sz="4" w:space="0" w:color="auto"/>
            </w:tcBorders>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0.6%</w:t>
            </w:r>
          </w:p>
        </w:tc>
        <w:tc>
          <w:tcPr>
            <w:tcW w:w="383" w:type="pct"/>
            <w:tcBorders>
              <w:top w:val="single" w:sz="4" w:space="0" w:color="auto"/>
            </w:tcBorders>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1.4%</w:t>
            </w:r>
          </w:p>
        </w:tc>
        <w:tc>
          <w:tcPr>
            <w:tcW w:w="418" w:type="pct"/>
            <w:tcBorders>
              <w:top w:val="single" w:sz="4" w:space="0" w:color="auto"/>
            </w:tcBorders>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15.8%</w:t>
            </w:r>
          </w:p>
        </w:tc>
        <w:tc>
          <w:tcPr>
            <w:tcW w:w="418" w:type="pct"/>
            <w:tcBorders>
              <w:top w:val="single" w:sz="4" w:space="0" w:color="auto"/>
            </w:tcBorders>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1.81</w:t>
            </w:r>
          </w:p>
        </w:tc>
        <w:tc>
          <w:tcPr>
            <w:tcW w:w="410" w:type="pct"/>
            <w:tcBorders>
              <w:top w:val="single" w:sz="4" w:space="0" w:color="auto"/>
            </w:tcBorders>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0.21</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2. Nomadic and transhumant pastoralism</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1.9</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5.3%</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73.2%</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3.8%</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2.5%</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20.7%</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0.77</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0.23</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3. Fluvial rice and transhumant livestock rearing</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27.3</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1.0%</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63.0%</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0.5%</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2.5%</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40.0%</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0.88</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0.11</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4. Millet and transhumant livestock rearing</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7.7</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4.1%</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77.1%</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1.7%</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4.3%</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35.6%</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0.57</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0.05</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 xml:space="preserve">5. Dogon plateau </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44.5</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2.5%</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84.1%</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3.4%</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2.5%</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15.4%</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0.71</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0.07</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 xml:space="preserve">6. Niger delta - rice and livestock rearing </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33.0</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5.2%</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72.4%</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5.1%</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5.1%</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54.9%</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0.39</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0.06</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7. Office du Niger (irrigated rice)</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180.9</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5.3%</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85.9%</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6.3%</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8.4%</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82.6%</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0.84</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0.05</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 xml:space="preserve">8. Remittances, sorghum, transhumant livestock </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18.4</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14.1%</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71.3%</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2.4%</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7.2%</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71.9%</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0.80</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0.13</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9. West and central rain-fed millet/sorghum</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27.7</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5.2%</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83.0%</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3.7%</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7.1%</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73.1%</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0.90</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0.10</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10. Sorghum, millet and cotton</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52.3</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2.4%</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92.0%</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2.2%</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5.4%</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72.9%</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0.89</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0.12</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11. South maize, cotton and fruits</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33.7</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3.2%</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89.5%</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4.1%</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7.0%</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79.4%</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1.76</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0.24</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12. South-west maize, sorghum and fruits</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19.2</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2.2%</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83.4%</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3.0%</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4.1%</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65.1%</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1.27</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0.14</w:t>
            </w:r>
          </w:p>
        </w:tc>
      </w:tr>
      <w:tr w:rsidR="008B650F" w:rsidRPr="008F3531" w:rsidTr="008B650F">
        <w:trPr>
          <w:trHeight w:val="300"/>
        </w:trPr>
        <w:tc>
          <w:tcPr>
            <w:tcW w:w="1394" w:type="pct"/>
            <w:noWrap/>
            <w:vAlign w:val="bottom"/>
          </w:tcPr>
          <w:p w:rsidR="00DD1125" w:rsidRPr="00E56625" w:rsidRDefault="00DD1125" w:rsidP="00E96123">
            <w:pPr>
              <w:rPr>
                <w:sz w:val="20"/>
                <w:szCs w:val="20"/>
                <w:lang w:val="en-US"/>
              </w:rPr>
            </w:pPr>
            <w:r w:rsidRPr="00E56625">
              <w:rPr>
                <w:color w:val="000000"/>
                <w:sz w:val="20"/>
                <w:szCs w:val="20"/>
                <w:lang w:val="en-US"/>
              </w:rPr>
              <w:t>13. Bamako</w:t>
            </w:r>
          </w:p>
        </w:tc>
        <w:tc>
          <w:tcPr>
            <w:tcW w:w="451"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7380.0</w:t>
            </w:r>
          </w:p>
        </w:tc>
        <w:tc>
          <w:tcPr>
            <w:tcW w:w="55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44.5%</w:t>
            </w:r>
          </w:p>
        </w:tc>
        <w:tc>
          <w:tcPr>
            <w:tcW w:w="487"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27.9%</w:t>
            </w:r>
          </w:p>
        </w:tc>
        <w:tc>
          <w:tcPr>
            <w:tcW w:w="485"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76.9%</w:t>
            </w:r>
          </w:p>
        </w:tc>
        <w:tc>
          <w:tcPr>
            <w:tcW w:w="383"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21.5%</w:t>
            </w:r>
          </w:p>
        </w:tc>
        <w:tc>
          <w:tcPr>
            <w:tcW w:w="418" w:type="pct"/>
            <w:noWrap/>
            <w:vAlign w:val="bottom"/>
          </w:tcPr>
          <w:p w:rsidR="00DD1125" w:rsidRPr="00E56625" w:rsidRDefault="00DD1125" w:rsidP="00E96123">
            <w:pPr>
              <w:jc w:val="center"/>
              <w:rPr>
                <w:color w:val="000000"/>
                <w:sz w:val="20"/>
                <w:szCs w:val="20"/>
                <w:lang w:val="en-US"/>
              </w:rPr>
            </w:pPr>
            <w:r w:rsidRPr="00E56625">
              <w:rPr>
                <w:color w:val="000000"/>
                <w:sz w:val="20"/>
                <w:szCs w:val="20"/>
                <w:lang w:val="en-US"/>
              </w:rPr>
              <w:t>74.9%</w:t>
            </w:r>
          </w:p>
        </w:tc>
        <w:tc>
          <w:tcPr>
            <w:tcW w:w="418"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0.54</w:t>
            </w:r>
          </w:p>
        </w:tc>
        <w:tc>
          <w:tcPr>
            <w:tcW w:w="410" w:type="pct"/>
            <w:vAlign w:val="bottom"/>
          </w:tcPr>
          <w:p w:rsidR="00DD1125" w:rsidRPr="00E56625" w:rsidRDefault="00DD1125" w:rsidP="00E96123">
            <w:pPr>
              <w:jc w:val="center"/>
              <w:rPr>
                <w:color w:val="000000"/>
                <w:sz w:val="20"/>
                <w:szCs w:val="20"/>
                <w:lang w:val="en-US"/>
              </w:rPr>
            </w:pPr>
            <w:r w:rsidRPr="00E56625">
              <w:rPr>
                <w:color w:val="000000"/>
                <w:sz w:val="20"/>
                <w:szCs w:val="20"/>
                <w:lang w:val="en-US"/>
              </w:rPr>
              <w:t>0.09</w:t>
            </w:r>
          </w:p>
        </w:tc>
      </w:tr>
    </w:tbl>
    <w:p w:rsidR="00DD1125" w:rsidRPr="00E56625" w:rsidRDefault="00DD1125" w:rsidP="00DD1125">
      <w:pPr>
        <w:spacing w:after="0"/>
        <w:rPr>
          <w:sz w:val="20"/>
          <w:szCs w:val="20"/>
          <w:lang w:val="en-US"/>
        </w:rPr>
      </w:pPr>
      <w:r w:rsidRPr="00E56625">
        <w:rPr>
          <w:sz w:val="20"/>
          <w:szCs w:val="20"/>
          <w:lang w:val="en-US"/>
        </w:rPr>
        <w:t>Source: 2009 census of the Malian population. Authors’ calculations.</w:t>
      </w:r>
    </w:p>
    <w:p w:rsidR="00DD1125" w:rsidRPr="00E56625" w:rsidRDefault="00DD1125" w:rsidP="00DD1125">
      <w:pPr>
        <w:autoSpaceDE w:val="0"/>
        <w:autoSpaceDN w:val="0"/>
        <w:adjustRightInd w:val="0"/>
        <w:spacing w:after="120"/>
        <w:rPr>
          <w:b/>
          <w:lang w:val="en-US"/>
        </w:rPr>
      </w:pPr>
    </w:p>
    <w:p w:rsidR="00DD1125" w:rsidRPr="00E56625" w:rsidRDefault="00DD1125" w:rsidP="00DD1125">
      <w:pPr>
        <w:autoSpaceDE w:val="0"/>
        <w:autoSpaceDN w:val="0"/>
        <w:adjustRightInd w:val="0"/>
        <w:spacing w:after="120"/>
        <w:rPr>
          <w:b/>
          <w:lang w:val="en-US"/>
        </w:rPr>
      </w:pPr>
    </w:p>
    <w:p w:rsidR="00DD1125" w:rsidRPr="00E56625" w:rsidRDefault="00DD1125" w:rsidP="00DD1125">
      <w:pPr>
        <w:autoSpaceDE w:val="0"/>
        <w:autoSpaceDN w:val="0"/>
        <w:adjustRightInd w:val="0"/>
        <w:spacing w:after="120"/>
        <w:rPr>
          <w:b/>
          <w:lang w:val="en-US"/>
        </w:rPr>
        <w:sectPr w:rsidR="00DD1125" w:rsidRPr="00E56625" w:rsidSect="00E96123">
          <w:pgSz w:w="15840" w:h="12240" w:orient="landscape"/>
          <w:pgMar w:top="1440" w:right="1440" w:bottom="1440" w:left="1440" w:header="720" w:footer="720" w:gutter="0"/>
          <w:cols w:space="720"/>
          <w:docGrid w:linePitch="360"/>
        </w:sectPr>
      </w:pPr>
    </w:p>
    <w:p w:rsidR="00DD1125" w:rsidRPr="00E56625" w:rsidRDefault="00DD1125" w:rsidP="003D20DD">
      <w:pPr>
        <w:pStyle w:val="Heading2"/>
        <w:numPr>
          <w:ilvl w:val="0"/>
          <w:numId w:val="8"/>
        </w:numPr>
        <w:spacing w:before="0"/>
        <w:ind w:left="540" w:hanging="540"/>
        <w:rPr>
          <w:rFonts w:ascii="Times New Roman Bold" w:hAnsi="Times New Roman Bold" w:cs="Times New Roman"/>
          <w:color w:val="000000" w:themeColor="text1"/>
          <w:sz w:val="22"/>
          <w:szCs w:val="22"/>
          <w:lang w:val="en-US"/>
        </w:rPr>
      </w:pPr>
      <w:bookmarkStart w:id="56" w:name="_Toc419468545"/>
      <w:r w:rsidRPr="00E56625">
        <w:rPr>
          <w:rFonts w:ascii="Times New Roman Bold" w:hAnsi="Times New Roman Bold" w:cs="Times New Roman"/>
          <w:color w:val="000000" w:themeColor="text1"/>
          <w:sz w:val="22"/>
          <w:szCs w:val="22"/>
          <w:lang w:val="en-US"/>
        </w:rPr>
        <w:t>Characteristics of poor households across livelihood zones</w:t>
      </w:r>
      <w:bookmarkEnd w:id="56"/>
    </w:p>
    <w:p w:rsidR="00DD1125" w:rsidRPr="008F3531" w:rsidRDefault="00DD1125" w:rsidP="008B650F">
      <w:pPr>
        <w:pStyle w:val="paranumb"/>
        <w:spacing w:after="200"/>
      </w:pPr>
      <w:r w:rsidRPr="008F3531">
        <w:t xml:space="preserve">In the predominantly agricultural zones of Mali the ability to cultivate is the most important determinant of </w:t>
      </w:r>
      <w:r w:rsidRPr="008F3531">
        <w:rPr>
          <w:rFonts w:cs="Times New Roman"/>
          <w:szCs w:val="24"/>
        </w:rPr>
        <w:t>wealth</w:t>
      </w:r>
      <w:r w:rsidRPr="008F3531">
        <w:t>. In most livelihood zones access to land is not a limiting factor but access to labor, to agricultural inputs and productive assets is.</w:t>
      </w:r>
      <w:r w:rsidR="00595FAD">
        <w:rPr>
          <w:rStyle w:val="FootnoteReference"/>
        </w:rPr>
        <w:footnoteReference w:id="30"/>
      </w:r>
      <w:r w:rsidRPr="008F3531">
        <w:t xml:space="preserve"> Hence a key difference between wealthier and poorer households is less how much land they possess and more how much land they are able to cultivate. </w:t>
      </w:r>
    </w:p>
    <w:p w:rsidR="00DD1125" w:rsidRPr="008F3531" w:rsidRDefault="00DD1125" w:rsidP="003A7F60">
      <w:pPr>
        <w:pStyle w:val="paranumb"/>
        <w:spacing w:after="200"/>
        <w:rPr>
          <w:rFonts w:cs="Times New Roman"/>
          <w:szCs w:val="24"/>
        </w:rPr>
      </w:pPr>
      <w:r w:rsidRPr="008F3531">
        <w:rPr>
          <w:rFonts w:cs="Times New Roman"/>
          <w:szCs w:val="24"/>
        </w:rPr>
        <w:t xml:space="preserve">The number of able-bodied household members and the ownership of productive assets (plow, oxen, fishing nets, motorized pumps) are critical determinants of the acreage that can be cultivated and, consequently, of poverty. Poor households typically lack both and end-up with a production system in which they cultivate small plots of land, obtain low yields and depend on labor income to make ends meet. Once in it, it is very hard to escape this low productivity system. </w:t>
      </w:r>
    </w:p>
    <w:p w:rsidR="00DD1125" w:rsidRPr="008F3531" w:rsidRDefault="00DD1125" w:rsidP="003A7F60">
      <w:pPr>
        <w:pStyle w:val="paranumb"/>
        <w:spacing w:after="200"/>
        <w:rPr>
          <w:rFonts w:cs="Times New Roman"/>
          <w:szCs w:val="24"/>
        </w:rPr>
      </w:pPr>
      <w:r w:rsidRPr="008F3531">
        <w:rPr>
          <w:rFonts w:cs="Times New Roman"/>
          <w:szCs w:val="24"/>
        </w:rPr>
        <w:t>Poor households do not own the livestock to provide them with organic manure, nor do they own carts (or the donkeys or the cattle to pull them) with which to transport manure to the fields. Hence the poorest households do not use manure and are not able to fertilize their fields.</w:t>
      </w:r>
    </w:p>
    <w:p w:rsidR="00DD1125" w:rsidRPr="008F3531" w:rsidRDefault="00DD1125" w:rsidP="003A7F60">
      <w:pPr>
        <w:pStyle w:val="paranumb"/>
        <w:spacing w:after="200"/>
        <w:rPr>
          <w:rFonts w:cs="Times New Roman"/>
          <w:szCs w:val="24"/>
        </w:rPr>
      </w:pPr>
      <w:r w:rsidRPr="008F3531">
        <w:rPr>
          <w:rFonts w:cs="Times New Roman"/>
          <w:szCs w:val="24"/>
        </w:rPr>
        <w:t>When the time for land preparation comes, access to a plow and plow oxen is important as land preparation is labor-intensive. Poor households may own a plow, but will typically lack the oxen. By the time oxen can be borrowed or rented, the better off households owning the animals have already completed planting and the optimal time for planting has past. In the meantime, poor households may prepare their land using the traditional daba (a type of hoe), thus limiting the acreage that can be sowed. Alternatively they may opt (or be forced to) first work for wealthier households, before devoting themselves to their own fields. In either case, poor households sow late, weed less, and consequently receive lower yields.</w:t>
      </w:r>
    </w:p>
    <w:p w:rsidR="00DD1125" w:rsidRPr="008F3531" w:rsidRDefault="00DD1125" w:rsidP="003A7F60">
      <w:pPr>
        <w:pStyle w:val="paranumb"/>
        <w:spacing w:after="200"/>
        <w:rPr>
          <w:rFonts w:cs="Times New Roman"/>
          <w:szCs w:val="24"/>
        </w:rPr>
      </w:pPr>
      <w:r w:rsidRPr="008F3531">
        <w:rPr>
          <w:rFonts w:cs="Times New Roman"/>
          <w:szCs w:val="24"/>
        </w:rPr>
        <w:t xml:space="preserve">Since little land is brought under cultivation, poor households prefer to grow food crops over cash crops like cotton: these are predominantly grown by the better off households. It means poor households forego the possibility to access fertilizer on credit which is offered by the CDMT. So in comparison to better-off households, poor households not only have less able-bodied household members, they end up working for better off households as laborers, are unable to afford agricultural inputs such as fertilizer and pesticides, and do not grow cash crops such as cotton. </w:t>
      </w:r>
    </w:p>
    <w:p w:rsidR="00DD1125" w:rsidRPr="008F3531" w:rsidRDefault="00DD1125" w:rsidP="003A7F60">
      <w:pPr>
        <w:pStyle w:val="paranumb"/>
        <w:spacing w:after="200"/>
        <w:rPr>
          <w:rFonts w:cs="Times New Roman"/>
          <w:szCs w:val="24"/>
        </w:rPr>
      </w:pPr>
      <w:r w:rsidRPr="008F3531">
        <w:rPr>
          <w:rFonts w:cs="Times New Roman"/>
          <w:szCs w:val="24"/>
        </w:rPr>
        <w:t>The food poor household obtain from their own plots is insufficient to sustain them till the next harvest (in fact some of it may be eaten prematurely prior to the harvest–thus reducing yields further) and poor households rely heavily on casual labor as a source of income and on markets to purchase their food. The dependence on food and labor markets may seem at odds with the perception of poor households being subsistence households. The subsistence aspect only references to the fact that poor households interact little with the market as a producer. As a net purchaser of food, and as an active participant in the labor market, access to markets is critical to poor households. Market access varies, however, across the county and is worst in the north and in the west (Figure 3.7). In chapter 5 we will note that limited market access, is in turn associated to high levels of consumption variability.</w:t>
      </w:r>
    </w:p>
    <w:p w:rsidR="008B650F" w:rsidRPr="00E56625" w:rsidRDefault="008B650F" w:rsidP="00DD1125">
      <w:pPr>
        <w:autoSpaceDE w:val="0"/>
        <w:autoSpaceDN w:val="0"/>
        <w:adjustRightInd w:val="0"/>
        <w:spacing w:after="120"/>
        <w:rPr>
          <w:b/>
          <w:lang w:val="en-US"/>
        </w:rPr>
      </w:pPr>
    </w:p>
    <w:p w:rsidR="008B650F" w:rsidRPr="00E56625" w:rsidRDefault="008B650F" w:rsidP="00DD1125">
      <w:pPr>
        <w:autoSpaceDE w:val="0"/>
        <w:autoSpaceDN w:val="0"/>
        <w:adjustRightInd w:val="0"/>
        <w:spacing w:after="120"/>
        <w:rPr>
          <w:b/>
          <w:lang w:val="en-US"/>
        </w:rPr>
      </w:pPr>
    </w:p>
    <w:p w:rsidR="00DD1125" w:rsidRPr="008F3531" w:rsidRDefault="008B650F" w:rsidP="008B650F">
      <w:pPr>
        <w:pStyle w:val="Caption"/>
        <w:rPr>
          <w:b w:val="0"/>
        </w:rPr>
      </w:pPr>
      <w:bookmarkStart w:id="57" w:name="_Toc390956388"/>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7</w:t>
      </w:r>
      <w:r w:rsidR="00943E46" w:rsidRPr="00E56625">
        <w:rPr>
          <w:noProof/>
        </w:rPr>
        <w:fldChar w:fldCharType="end"/>
      </w:r>
      <w:r w:rsidR="00DD1125" w:rsidRPr="008F3531">
        <w:rPr>
          <w:b w:val="0"/>
        </w:rPr>
        <w:t>: Daily and weekly markets</w:t>
      </w:r>
      <w:bookmarkEnd w:id="57"/>
      <w:r w:rsidR="00DD1125" w:rsidRPr="008F3531">
        <w:rPr>
          <w:b w:val="0"/>
        </w:rPr>
        <w:t xml:space="preserve"> </w:t>
      </w:r>
    </w:p>
    <w:p w:rsidR="00DD1125" w:rsidRPr="00E56625" w:rsidRDefault="00DD1125" w:rsidP="008B650F">
      <w:pPr>
        <w:autoSpaceDE w:val="0"/>
        <w:autoSpaceDN w:val="0"/>
        <w:adjustRightInd w:val="0"/>
        <w:spacing w:after="0"/>
        <w:rPr>
          <w:sz w:val="20"/>
          <w:szCs w:val="20"/>
          <w:lang w:val="en-US"/>
        </w:rPr>
      </w:pPr>
      <w:r w:rsidRPr="0045185C">
        <w:rPr>
          <w:b/>
          <w:noProof/>
          <w:sz w:val="20"/>
          <w:szCs w:val="20"/>
          <w:lang w:val="en-US"/>
        </w:rPr>
        <w:drawing>
          <wp:inline distT="0" distB="0" distL="0" distR="0" wp14:anchorId="31429467" wp14:editId="6243F0A2">
            <wp:extent cx="5943600" cy="55721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distribution_marche_et_livelihoods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5572125"/>
                    </a:xfrm>
                    <a:prstGeom prst="rect">
                      <a:avLst/>
                    </a:prstGeom>
                  </pic:spPr>
                </pic:pic>
              </a:graphicData>
            </a:graphic>
          </wp:inline>
        </w:drawing>
      </w:r>
      <w:r w:rsidRPr="00E56625">
        <w:rPr>
          <w:sz w:val="20"/>
          <w:szCs w:val="20"/>
          <w:lang w:val="en-US"/>
        </w:rPr>
        <w:t>Source: RGPH 2009. Authors’</w:t>
      </w:r>
      <w:r w:rsidR="00765DF8" w:rsidRPr="00E56625">
        <w:rPr>
          <w:sz w:val="20"/>
          <w:szCs w:val="20"/>
          <w:lang w:val="en-US"/>
        </w:rPr>
        <w:t xml:space="preserve"> </w:t>
      </w:r>
      <w:r w:rsidRPr="00E56625">
        <w:rPr>
          <w:sz w:val="20"/>
          <w:szCs w:val="20"/>
          <w:lang w:val="en-US"/>
        </w:rPr>
        <w:t>calculations</w:t>
      </w:r>
      <w:r w:rsidR="008B650F" w:rsidRPr="00E56625">
        <w:rPr>
          <w:sz w:val="20"/>
          <w:szCs w:val="20"/>
          <w:lang w:val="en-US"/>
        </w:rPr>
        <w:t>.</w:t>
      </w:r>
    </w:p>
    <w:p w:rsidR="008B650F" w:rsidRPr="00E56625" w:rsidRDefault="008B650F" w:rsidP="008B650F">
      <w:pPr>
        <w:autoSpaceDE w:val="0"/>
        <w:autoSpaceDN w:val="0"/>
        <w:adjustRightInd w:val="0"/>
        <w:spacing w:after="0"/>
        <w:rPr>
          <w:lang w:val="en-US"/>
        </w:rPr>
      </w:pPr>
    </w:p>
    <w:p w:rsidR="00DD1125" w:rsidRPr="008F3531" w:rsidRDefault="00DD1125" w:rsidP="003A7F60">
      <w:pPr>
        <w:pStyle w:val="paranumb"/>
        <w:spacing w:after="200"/>
        <w:rPr>
          <w:rFonts w:cs="Times New Roman"/>
          <w:szCs w:val="24"/>
        </w:rPr>
      </w:pPr>
      <w:r w:rsidRPr="008F3531">
        <w:rPr>
          <w:rFonts w:cs="Times New Roman"/>
          <w:szCs w:val="24"/>
        </w:rPr>
        <w:t xml:space="preserve">In the areas where pastoralism is important, the poorest lack the livestock to be called ‘pastoralists’. Rather like poor agriculturalists, the poorest depend on work offered by the middle class and the better-off. To the extent that poor pastoralists have animals, they are less likely to move with them because their herd sizes are not large enough to warrant such movement and because their herd comprises mostly of goats. </w:t>
      </w:r>
    </w:p>
    <w:p w:rsidR="00DD1125" w:rsidRPr="008F3531" w:rsidRDefault="00DD1125" w:rsidP="003A7F60">
      <w:pPr>
        <w:pStyle w:val="paranumb"/>
        <w:spacing w:after="200"/>
        <w:rPr>
          <w:rFonts w:cs="Times New Roman"/>
          <w:szCs w:val="24"/>
        </w:rPr>
      </w:pPr>
      <w:r w:rsidRPr="008F3531">
        <w:rPr>
          <w:rFonts w:cs="Times New Roman"/>
          <w:szCs w:val="24"/>
        </w:rPr>
        <w:t xml:space="preserve">Across Mali labor migration is important, more so in the north of the country where livelihoods are more uncertain and opportunities for work within each zone are, in general, more restricted than in the south. The poorest often lack the means to migrate for labor, either because they have too few able-bodied members or lack the cash to pay for transport. Hence the very poor look for casual labor opportunities nearby, and often end up doing tasks like weeding, plowing, winnowing, harvesting and construction work. Other kinds of work include shepherding, fishing and punting/paddling canoes. </w:t>
      </w:r>
    </w:p>
    <w:p w:rsidR="00DD1125" w:rsidRPr="008F3531" w:rsidRDefault="00DD1125" w:rsidP="003A7F60">
      <w:pPr>
        <w:pStyle w:val="paranumb"/>
        <w:spacing w:after="200"/>
        <w:rPr>
          <w:rFonts w:cs="Times New Roman"/>
          <w:szCs w:val="24"/>
        </w:rPr>
      </w:pPr>
      <w:r w:rsidRPr="008F3531">
        <w:rPr>
          <w:rFonts w:cs="Times New Roman"/>
          <w:szCs w:val="24"/>
        </w:rPr>
        <w:t xml:space="preserve">If poor households do migrate they tend to migrate less far than better off households who have the means to pay for travel over long distances. Poor household thus have to forego the most remunerative sources of income open to the better of who may end up working in Ghana, Mauretania, Côte d’Ivoire, Algeria or even in Europe. </w:t>
      </w:r>
    </w:p>
    <w:p w:rsidR="00DD1125" w:rsidRPr="008F3531" w:rsidRDefault="00DD1125" w:rsidP="003A7F60">
      <w:pPr>
        <w:pStyle w:val="paranumb"/>
        <w:spacing w:after="200"/>
        <w:rPr>
          <w:rFonts w:cs="Times New Roman"/>
          <w:szCs w:val="24"/>
        </w:rPr>
      </w:pPr>
      <w:r w:rsidRPr="008F3531">
        <w:rPr>
          <w:rFonts w:cs="Times New Roman"/>
          <w:szCs w:val="24"/>
        </w:rPr>
        <w:t xml:space="preserve">To diversify their income base, poor households may seek to self-employ by collecting and sell firewood and wild fruits or by producing charcoal. Again the options open to the poor are limited as they lack the capital to engage in more remunerative self-employment options such as trade, commerce or agricultural transformation. </w:t>
      </w:r>
    </w:p>
    <w:p w:rsidR="00DD1125" w:rsidRPr="008F3531" w:rsidRDefault="00DD1125" w:rsidP="003A7F60">
      <w:pPr>
        <w:pStyle w:val="paranumb"/>
        <w:spacing w:after="200"/>
        <w:rPr>
          <w:rFonts w:cs="Times New Roman"/>
          <w:szCs w:val="24"/>
        </w:rPr>
      </w:pPr>
      <w:r w:rsidRPr="008F3531">
        <w:rPr>
          <w:rFonts w:cs="Times New Roman"/>
          <w:szCs w:val="24"/>
        </w:rPr>
        <w:t xml:space="preserve">The dependence on labor as their main asset makes poor households extremely vulnerable to health shocks. Malaria is a particularly important acute source of risk. When malaria strikes during the lean season when food stocks have run out and households depend on the income able bodied household members are able to make, or during the planting season when the presence of able bodied household members determines the size of next years’ harvest, the consequences can be severe. Malnutrition is a more chronic type of risk: high levels of anemia (in part caused by frequent bouts of malaria and regular infections) reduce labor productivity, and poor diets (poor households do not drink milk) increase the risk of stunting. </w:t>
      </w:r>
    </w:p>
    <w:p w:rsidR="00DD1125" w:rsidRPr="008F3531" w:rsidRDefault="00DD1125" w:rsidP="003A7F60">
      <w:pPr>
        <w:pStyle w:val="paranumb"/>
        <w:spacing w:after="200"/>
        <w:rPr>
          <w:rFonts w:cs="Times New Roman"/>
          <w:szCs w:val="24"/>
        </w:rPr>
      </w:pPr>
      <w:r w:rsidRPr="008F3531">
        <w:rPr>
          <w:rFonts w:cs="Times New Roman"/>
          <w:szCs w:val="24"/>
        </w:rPr>
        <w:t xml:space="preserve">Dependence on purchased food during the lean season make poor households rely more on wild foods (which are labor intensive to collect) and exposes poor households to the vagaries of the market. Rising food prices and falling livestock prices are particularly harmful to the poorest; for pastoralists the worst possible combination is one of falling livestock prices and rising food prices, a combination that typically occurs when a covariate shock (drought, insects, insecurity) affects an area. </w:t>
      </w:r>
    </w:p>
    <w:p w:rsidR="00DD1125" w:rsidRPr="008F3531" w:rsidRDefault="00DD1125" w:rsidP="003A7F60">
      <w:pPr>
        <w:pStyle w:val="paranumb"/>
        <w:spacing w:after="200"/>
        <w:rPr>
          <w:rFonts w:cs="Times New Roman"/>
          <w:szCs w:val="24"/>
        </w:rPr>
      </w:pPr>
      <w:r w:rsidRPr="008F3531">
        <w:rPr>
          <w:rFonts w:cs="Times New Roman"/>
          <w:szCs w:val="24"/>
        </w:rPr>
        <w:t xml:space="preserve">The need for able bodied people to work also means that children from very poor households are more likely to receive only a basic primary education (if at all), thus given an intergenerational dimension to poverty. </w:t>
      </w:r>
    </w:p>
    <w:p w:rsidR="00DD1125" w:rsidRPr="00E56625" w:rsidRDefault="00DD1125" w:rsidP="003D20DD">
      <w:pPr>
        <w:pStyle w:val="Heading2"/>
        <w:numPr>
          <w:ilvl w:val="0"/>
          <w:numId w:val="8"/>
        </w:numPr>
        <w:spacing w:before="0"/>
        <w:ind w:left="540" w:hanging="540"/>
        <w:rPr>
          <w:rFonts w:ascii="Times New Roman Bold" w:hAnsi="Times New Roman Bold" w:cs="Times New Roman"/>
          <w:color w:val="000000" w:themeColor="text1"/>
          <w:sz w:val="22"/>
          <w:szCs w:val="22"/>
          <w:lang w:val="en-US"/>
        </w:rPr>
      </w:pPr>
      <w:bookmarkStart w:id="58" w:name="_Toc419468546"/>
      <w:r w:rsidRPr="00E56625">
        <w:rPr>
          <w:rFonts w:ascii="Times New Roman Bold" w:hAnsi="Times New Roman Bold" w:cs="Times New Roman"/>
          <w:color w:val="000000" w:themeColor="text1"/>
          <w:sz w:val="22"/>
          <w:szCs w:val="22"/>
          <w:lang w:val="en-US"/>
        </w:rPr>
        <w:t>Discussion</w:t>
      </w:r>
      <w:bookmarkEnd w:id="58"/>
    </w:p>
    <w:p w:rsidR="00DD1125" w:rsidRPr="008F3531" w:rsidRDefault="00DD1125" w:rsidP="003A7F60">
      <w:pPr>
        <w:pStyle w:val="paranumb"/>
        <w:spacing w:after="200"/>
        <w:rPr>
          <w:rFonts w:cs="Times New Roman"/>
          <w:szCs w:val="24"/>
        </w:rPr>
      </w:pPr>
      <w:r w:rsidRPr="008F3531">
        <w:rPr>
          <w:rFonts w:cs="Times New Roman"/>
          <w:szCs w:val="24"/>
        </w:rPr>
        <w:t>The 13 livelihood zones offer a rich description of the various ways production systems in the country. By delving deeper into the ways people earn a living it has become clear that poor households are not able to realize their full productive potential. Policies that allow poor households to break the cycle of poverty seem critical. As land is still relatively abundant, such policies should seek ways to increase the capital base of poor households and/or to increase their labor productivity. Policies leading to greater access to traction animals, improved seed or fertilizer seem critical as do policies that reduce exposure to malaria and anemia and policies that offer labor opportunities during the lean season.</w:t>
      </w:r>
    </w:p>
    <w:p w:rsidR="008B650F" w:rsidRPr="00E56625" w:rsidRDefault="008B650F" w:rsidP="00DD1125">
      <w:pPr>
        <w:spacing w:after="120"/>
        <w:rPr>
          <w:b/>
          <w:lang w:val="en-US"/>
        </w:rPr>
      </w:pPr>
    </w:p>
    <w:p w:rsidR="008B650F" w:rsidRPr="00E56625" w:rsidRDefault="008B650F" w:rsidP="00DD1125">
      <w:pPr>
        <w:spacing w:after="120"/>
        <w:rPr>
          <w:b/>
          <w:lang w:val="en-US"/>
        </w:rPr>
      </w:pPr>
    </w:p>
    <w:p w:rsidR="0045185C" w:rsidRDefault="0045185C">
      <w:pPr>
        <w:spacing w:line="276" w:lineRule="auto"/>
        <w:rPr>
          <w:rFonts w:ascii="Times New Roman Bold" w:hAnsi="Times New Roman Bold" w:cstheme="minorBidi"/>
          <w:b/>
          <w:bCs/>
          <w:color w:val="000000" w:themeColor="text1"/>
          <w:sz w:val="22"/>
          <w:szCs w:val="18"/>
          <w:lang w:val="en-US"/>
        </w:rPr>
      </w:pPr>
      <w:bookmarkStart w:id="59" w:name="_Toc390956389"/>
      <w:r>
        <w:br w:type="page"/>
      </w:r>
    </w:p>
    <w:p w:rsidR="00DD1125" w:rsidRPr="008F3531" w:rsidRDefault="008B650F" w:rsidP="008B650F">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3</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8</w:t>
      </w:r>
      <w:r w:rsidR="00943E46" w:rsidRPr="00E56625">
        <w:rPr>
          <w:noProof/>
        </w:rPr>
        <w:fldChar w:fldCharType="end"/>
      </w:r>
      <w:r w:rsidR="00DD1125" w:rsidRPr="008F3531">
        <w:rPr>
          <w:b w:val="0"/>
        </w:rPr>
        <w:t>: Percent of adult, non-pregnant women (15-49) that is anemic</w:t>
      </w:r>
      <w:bookmarkEnd w:id="59"/>
      <w:r w:rsidR="00DD1125" w:rsidRPr="008F3531">
        <w:rPr>
          <w:b w:val="0"/>
        </w:rPr>
        <w:t xml:space="preserve"> </w:t>
      </w:r>
    </w:p>
    <w:p w:rsidR="00DD1125" w:rsidRPr="00E56625" w:rsidRDefault="00DD1125" w:rsidP="00727A4C">
      <w:pPr>
        <w:spacing w:after="0"/>
        <w:jc w:val="center"/>
        <w:rPr>
          <w:b/>
          <w:lang w:val="en-US"/>
        </w:rPr>
      </w:pPr>
      <w:r w:rsidRPr="0045185C">
        <w:rPr>
          <w:noProof/>
          <w:lang w:val="en-US"/>
        </w:rPr>
        <w:drawing>
          <wp:inline distT="0" distB="0" distL="0" distR="0" wp14:anchorId="6373600D" wp14:editId="5C38AD76">
            <wp:extent cx="5818094"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D1125" w:rsidRPr="00E56625" w:rsidRDefault="00DD1125" w:rsidP="00727A4C">
      <w:pPr>
        <w:spacing w:after="0"/>
        <w:rPr>
          <w:sz w:val="20"/>
          <w:szCs w:val="20"/>
          <w:lang w:val="en-US"/>
        </w:rPr>
      </w:pPr>
      <w:r w:rsidRPr="00E56625">
        <w:rPr>
          <w:sz w:val="20"/>
          <w:szCs w:val="20"/>
          <w:lang w:val="en-US"/>
        </w:rPr>
        <w:t>Source: SMART 2013.</w:t>
      </w:r>
    </w:p>
    <w:p w:rsidR="00727A4C" w:rsidRPr="00E56625" w:rsidRDefault="00727A4C" w:rsidP="00727A4C">
      <w:pPr>
        <w:spacing w:after="0"/>
        <w:rPr>
          <w:lang w:val="en-US"/>
        </w:rPr>
      </w:pPr>
    </w:p>
    <w:p w:rsidR="00DD1125" w:rsidRPr="008F3531" w:rsidRDefault="00DD1125" w:rsidP="003A7F60">
      <w:pPr>
        <w:pStyle w:val="paranumb"/>
        <w:spacing w:after="200"/>
        <w:rPr>
          <w:rFonts w:cs="Times New Roman"/>
          <w:szCs w:val="24"/>
        </w:rPr>
      </w:pPr>
      <w:r w:rsidRPr="008F3531">
        <w:rPr>
          <w:rFonts w:cs="Times New Roman"/>
          <w:szCs w:val="24"/>
        </w:rPr>
        <w:t xml:space="preserve">Poor households are (surprisingly?) dependent on food and labor markets. Low food prices –often seen as critical for the urban poor, are equally critically for poor people in rural areas. Increasing food production would be pro-poor as it can be expected to increase the demand for labor and to reduce food prices. In the next section we will see that, indeed, livelihood zones where poverty has dropped the fastest are those where food production has increased. </w:t>
      </w:r>
    </w:p>
    <w:p w:rsidR="00DD1125" w:rsidRPr="008F3531" w:rsidRDefault="00DD1125" w:rsidP="003A7F60">
      <w:pPr>
        <w:pStyle w:val="paranumb"/>
        <w:spacing w:after="200"/>
        <w:rPr>
          <w:rFonts w:cs="Times New Roman"/>
          <w:szCs w:val="24"/>
        </w:rPr>
      </w:pPr>
      <w:r w:rsidRPr="008F3531">
        <w:rPr>
          <w:rFonts w:cs="Times New Roman"/>
          <w:szCs w:val="24"/>
        </w:rPr>
        <w:t>Poor households are found not to have much livestock –even in pastoralist zones, and are less likely to be involved in transhumant livestock rearing – other than as herders. Hence policies that increase the demand for their labor may be more astute to reducing poverty than interventions aimed at cattle or other large animals; also interventions that focus on small ruminants can be expected to benefit non-poor households disproportionately.</w:t>
      </w:r>
    </w:p>
    <w:p w:rsidR="00CF0E26" w:rsidRPr="008F3531" w:rsidRDefault="00DD1125" w:rsidP="008B650F">
      <w:pPr>
        <w:pStyle w:val="paranumb"/>
        <w:spacing w:after="200"/>
      </w:pPr>
      <w:r w:rsidRPr="008F3531">
        <w:rPr>
          <w:rFonts w:cs="Times New Roman"/>
          <w:szCs w:val="24"/>
        </w:rPr>
        <w:t>The dependence on able-bodied household members for their labor is likely to exert a negative influence on children from poor households to go to school, and particularly to secondary school as the opportunity cost to labor is rises with age. Indeed for every 100 children from the poorest wealth quintile attending primary school, only 36 continue to secondary school; for children from the top wealth quintile the corresponding number is 57. Policies that reduce the opportunity cost to labor while increasing school attendance would be welcome. This could include reducing the age at school entry, but also offering school meals</w:t>
      </w:r>
    </w:p>
    <w:p w:rsidR="00CF0E26" w:rsidRPr="00E56625" w:rsidRDefault="00CF0E26" w:rsidP="00CF0E26">
      <w:pPr>
        <w:spacing w:after="0"/>
        <w:rPr>
          <w:b/>
          <w:sz w:val="22"/>
          <w:u w:val="single"/>
          <w:lang w:val="en-US"/>
        </w:rPr>
      </w:pPr>
    </w:p>
    <w:p w:rsidR="00CF0E26" w:rsidRPr="00E56625" w:rsidRDefault="00CF0E26" w:rsidP="00CF0E26">
      <w:pPr>
        <w:spacing w:after="0"/>
        <w:rPr>
          <w:b/>
          <w:sz w:val="22"/>
          <w:u w:val="single"/>
          <w:lang w:val="en-US"/>
        </w:rPr>
      </w:pPr>
    </w:p>
    <w:p w:rsidR="001158E5" w:rsidRPr="00E56625" w:rsidRDefault="001158E5" w:rsidP="00CF0E26">
      <w:pPr>
        <w:spacing w:after="0"/>
        <w:rPr>
          <w:b/>
          <w:sz w:val="22"/>
          <w:u w:val="single"/>
          <w:lang w:val="en-US"/>
        </w:rPr>
        <w:sectPr w:rsidR="001158E5" w:rsidRPr="00E56625">
          <w:pgSz w:w="12240" w:h="15840"/>
          <w:pgMar w:top="1440" w:right="1440" w:bottom="1440" w:left="1440" w:header="720" w:footer="720" w:gutter="0"/>
          <w:cols w:space="720"/>
          <w:docGrid w:linePitch="360"/>
        </w:sectPr>
      </w:pPr>
    </w:p>
    <w:p w:rsidR="00CF0E26" w:rsidRPr="008F3531" w:rsidRDefault="00594BAD" w:rsidP="00115567">
      <w:pPr>
        <w:pStyle w:val="Heading1"/>
        <w:ind w:left="0"/>
      </w:pPr>
      <w:bookmarkStart w:id="60" w:name="_Toc383519762"/>
      <w:bookmarkStart w:id="61" w:name="_Toc419468547"/>
      <w:r w:rsidRPr="008F3531">
        <w:t>Explaining Well-being U</w:t>
      </w:r>
      <w:r w:rsidR="00101263" w:rsidRPr="008F3531">
        <w:t>sing a Spatial Perspective</w:t>
      </w:r>
      <w:bookmarkEnd w:id="60"/>
      <w:bookmarkEnd w:id="61"/>
      <w:r w:rsidR="00CF0E26" w:rsidRPr="008F3531">
        <w:t xml:space="preserve"> </w:t>
      </w:r>
    </w:p>
    <w:p w:rsidR="00CF0E26" w:rsidRPr="00E56625" w:rsidRDefault="00101263"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62" w:name="_Toc419468548"/>
      <w:r w:rsidRPr="00E56625">
        <w:rPr>
          <w:rFonts w:ascii="Times New Roman Bold" w:hAnsi="Times New Roman Bold" w:cs="Times New Roman"/>
          <w:color w:val="000000" w:themeColor="text1"/>
          <w:sz w:val="22"/>
          <w:szCs w:val="22"/>
          <w:lang w:val="en-US"/>
        </w:rPr>
        <w:t>I</w:t>
      </w:r>
      <w:r w:rsidR="00CF0E26" w:rsidRPr="00E56625">
        <w:rPr>
          <w:rFonts w:ascii="Times New Roman Bold" w:hAnsi="Times New Roman Bold" w:cs="Times New Roman"/>
          <w:color w:val="000000" w:themeColor="text1"/>
          <w:sz w:val="22"/>
          <w:szCs w:val="22"/>
          <w:lang w:val="en-US"/>
        </w:rPr>
        <w:t>ntroduction</w:t>
      </w:r>
      <w:bookmarkEnd w:id="62"/>
    </w:p>
    <w:p w:rsidR="003C49A2" w:rsidRPr="008F3531" w:rsidRDefault="003C49A2" w:rsidP="003C49A2">
      <w:pPr>
        <w:pStyle w:val="paranumb"/>
        <w:spacing w:after="200"/>
      </w:pPr>
      <w:r w:rsidRPr="00E56625">
        <w:t>Well-</w:t>
      </w:r>
      <w:r w:rsidRPr="008F3531">
        <w:rPr>
          <w:rFonts w:cs="Times New Roman"/>
          <w:szCs w:val="24"/>
        </w:rPr>
        <w:t xml:space="preserve">being has different dimensions from happiness to poverty and from life expectancy to literacy. In this chapter the focus is on those elements of well-being that are largely determined at the household level, while aspects determined by decisions of the state are discussed in the next chapter. Hence we discuss life expectancy, mortality and nutrition but not access to health care. We consider literacy, but not access to education. We primarily focus on consumption, ownership of assets as well as income poverty. In the next chapter we deal with access to services. </w:t>
      </w:r>
    </w:p>
    <w:p w:rsidR="003C49A2" w:rsidRPr="008F3531" w:rsidRDefault="003C49A2" w:rsidP="00D17889">
      <w:pPr>
        <w:pStyle w:val="paranumb"/>
        <w:spacing w:after="200"/>
        <w:rPr>
          <w:rFonts w:cs="Times New Roman"/>
          <w:b/>
          <w:szCs w:val="24"/>
        </w:rPr>
      </w:pPr>
      <w:r w:rsidRPr="008F3531">
        <w:rPr>
          <w:rFonts w:cs="Times New Roman"/>
          <w:szCs w:val="24"/>
        </w:rPr>
        <w:t>The perspective remains a spatial one. We combine information about the livelihood zone with household surveys and explore how poverty and poverty trends vary spatially and what might explain these trends. We also consider more typical correlates of welfare such as education and nutrition. At times the relation may be as expected: better educated people have, on average, higher levels of consumption and lower levels of poverty. In other instances, the relation is less obvious</w:t>
      </w:r>
      <w:r w:rsidR="0045185C">
        <w:rPr>
          <w:rFonts w:cs="Times New Roman"/>
          <w:szCs w:val="24"/>
        </w:rPr>
        <w:t xml:space="preserve"> such as the </w:t>
      </w:r>
      <w:r w:rsidRPr="008F3531">
        <w:rPr>
          <w:rFonts w:cs="Times New Roman"/>
          <w:szCs w:val="24"/>
        </w:rPr>
        <w:t>relation between acute malnutrition and average levels of consumption</w:t>
      </w:r>
      <w:r w:rsidR="0045185C">
        <w:rPr>
          <w:rFonts w:cs="Times New Roman"/>
          <w:szCs w:val="24"/>
        </w:rPr>
        <w:t>.</w:t>
      </w:r>
      <w:r w:rsidRPr="008F3531">
        <w:rPr>
          <w:rFonts w:cs="Times New Roman"/>
          <w:szCs w:val="24"/>
        </w:rPr>
        <w:t xml:space="preserve"> </w:t>
      </w: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63" w:name="_Toc419468549"/>
      <w:r w:rsidRPr="00E56625">
        <w:rPr>
          <w:rFonts w:ascii="Times New Roman Bold" w:hAnsi="Times New Roman Bold" w:cs="Times New Roman"/>
          <w:color w:val="000000" w:themeColor="text1"/>
          <w:sz w:val="22"/>
          <w:szCs w:val="22"/>
          <w:lang w:val="en-US"/>
        </w:rPr>
        <w:t>Consumption</w:t>
      </w:r>
      <w:bookmarkEnd w:id="63"/>
      <w:r w:rsidRPr="00E56625">
        <w:rPr>
          <w:rFonts w:ascii="Times New Roman Bold" w:hAnsi="Times New Roman Bold" w:cs="Times New Roman"/>
          <w:color w:val="000000" w:themeColor="text1"/>
          <w:sz w:val="22"/>
          <w:szCs w:val="22"/>
          <w:lang w:val="en-US"/>
        </w:rPr>
        <w:t xml:space="preserve"> </w:t>
      </w:r>
    </w:p>
    <w:p w:rsidR="003C49A2" w:rsidRPr="008F3531" w:rsidRDefault="003C49A2" w:rsidP="00D17889">
      <w:pPr>
        <w:pStyle w:val="paranumb"/>
        <w:spacing w:after="200"/>
        <w:rPr>
          <w:rFonts w:cs="Times New Roman"/>
          <w:szCs w:val="24"/>
        </w:rPr>
      </w:pPr>
      <w:r w:rsidRPr="008F3531">
        <w:rPr>
          <w:rFonts w:cs="Times New Roman"/>
          <w:szCs w:val="24"/>
        </w:rPr>
        <w:t>Consumption captures the ability of an individual to meet his or her basic and other needs</w:t>
      </w:r>
      <w:r w:rsidR="0045185C">
        <w:rPr>
          <w:rFonts w:cs="Times New Roman"/>
          <w:szCs w:val="24"/>
        </w:rPr>
        <w:t>.</w:t>
      </w:r>
      <w:r w:rsidRPr="008F3531">
        <w:rPr>
          <w:rFonts w:cs="Times New Roman"/>
          <w:szCs w:val="24"/>
        </w:rPr>
        <w:t xml:space="preserve"> </w:t>
      </w:r>
      <w:r w:rsidR="0045185C">
        <w:rPr>
          <w:rFonts w:cs="Times New Roman"/>
          <w:szCs w:val="24"/>
        </w:rPr>
        <w:t xml:space="preserve">In doing so it </w:t>
      </w:r>
      <w:r w:rsidRPr="008F3531">
        <w:rPr>
          <w:rFonts w:cs="Times New Roman"/>
          <w:szCs w:val="24"/>
        </w:rPr>
        <w:t xml:space="preserve">is an important metric of well-being. Consumption data can be obtained from household surveys. For Mali three comparable nationwide household surveys are available. These surveys were administrated in 2001 (EMEP), 2006 (ELIM) and in 2009/2010 (ELIM) </w:t>
      </w:r>
      <w:r w:rsidRPr="008F3531">
        <w:rPr>
          <w:rStyle w:val="FootnoteReference"/>
          <w:rFonts w:cs="Times New Roman"/>
          <w:szCs w:val="24"/>
        </w:rPr>
        <w:footnoteReference w:id="31"/>
      </w:r>
      <w:r w:rsidRPr="008F3531">
        <w:rPr>
          <w:rFonts w:cs="Times New Roman"/>
          <w:szCs w:val="24"/>
        </w:rPr>
        <w:t xml:space="preserve"> and had sample sizes of 4966, 4494 and 9235 households respectively. The surveys had modules capturing information about household consumption as well as dwelling characteristics, durable goods ownership, education etc. The consumption measure we use is defined as the aggregate of all household consumption, expressed in 2001 prices. This aggregate includes cash expenditure on food and non-food items, consumption of home produced goods, and user values of owned durable goods. A provision for owner-occupied dwellings is also taken into account. </w:t>
      </w:r>
    </w:p>
    <w:p w:rsidR="003C49A2" w:rsidRPr="008F3531" w:rsidRDefault="003C49A2" w:rsidP="00D17889">
      <w:pPr>
        <w:pStyle w:val="paranumb"/>
        <w:spacing w:after="200"/>
        <w:rPr>
          <w:rFonts w:cs="Times New Roman"/>
          <w:szCs w:val="24"/>
        </w:rPr>
      </w:pPr>
      <w:r w:rsidRPr="008F3531">
        <w:rPr>
          <w:rFonts w:cs="Times New Roman"/>
          <w:szCs w:val="24"/>
        </w:rPr>
        <w:t>Two other household surveys, EMOP</w:t>
      </w:r>
      <w:r w:rsidRPr="008F3531">
        <w:rPr>
          <w:rStyle w:val="FootnoteReference"/>
          <w:rFonts w:cs="Times New Roman"/>
          <w:szCs w:val="24"/>
        </w:rPr>
        <w:footnoteReference w:id="32"/>
      </w:r>
      <w:r w:rsidRPr="008F3531">
        <w:rPr>
          <w:rFonts w:cs="Times New Roman"/>
          <w:szCs w:val="24"/>
        </w:rPr>
        <w:t xml:space="preserve">, were implemented in 2011 and 2013. Unlike the three annual surveys carried out between 2001 and 2010, the EMOP surveys are quarterly. The consumption information they collect, however, is not comparable to that collected earlier. Hence we treat this information separately. For 2013 only information for the first two waves is available. As we are interested in trends most of our analysis will focus on data collected between 2001 and 2010. </w:t>
      </w:r>
    </w:p>
    <w:p w:rsidR="003C49A2" w:rsidRPr="008F3531" w:rsidRDefault="003C49A2" w:rsidP="00D17889">
      <w:pPr>
        <w:pStyle w:val="paranumb"/>
        <w:spacing w:after="200"/>
        <w:rPr>
          <w:rFonts w:cs="Times New Roman"/>
          <w:szCs w:val="24"/>
        </w:rPr>
      </w:pPr>
      <w:r w:rsidRPr="008F3531">
        <w:rPr>
          <w:rFonts w:cs="Times New Roman"/>
          <w:szCs w:val="24"/>
        </w:rPr>
        <w:t>In 2010, levels of consumption in rural areas were approximately half (FCFA 119,000 per capita) those in urban areas (FCFA 239,000 per capita). Price differences between rural and urban areas – life in urban areas is more expensive than in rural areas</w:t>
      </w:r>
      <w:r w:rsidR="00420EDA" w:rsidRPr="008F3531">
        <w:rPr>
          <w:rFonts w:cs="Times New Roman"/>
          <w:szCs w:val="24"/>
        </w:rPr>
        <w:t>,</w:t>
      </w:r>
      <w:r w:rsidRPr="008F3531">
        <w:rPr>
          <w:rStyle w:val="FootnoteReference"/>
          <w:rFonts w:cs="Times New Roman"/>
          <w:szCs w:val="24"/>
        </w:rPr>
        <w:footnoteReference w:id="33"/>
      </w:r>
      <w:r w:rsidR="00420EDA" w:rsidRPr="008F3531">
        <w:rPr>
          <w:rFonts w:cs="Times New Roman"/>
          <w:szCs w:val="24"/>
        </w:rPr>
        <w:t xml:space="preserve"> </w:t>
      </w:r>
      <w:r w:rsidRPr="008F3531">
        <w:rPr>
          <w:rFonts w:cs="Times New Roman"/>
          <w:szCs w:val="24"/>
        </w:rPr>
        <w:t xml:space="preserve">reduce the difference </w:t>
      </w:r>
      <w:r w:rsidR="0045185C">
        <w:rPr>
          <w:rFonts w:cs="Times New Roman"/>
          <w:szCs w:val="24"/>
        </w:rPr>
        <w:t xml:space="preserve">in real terms </w:t>
      </w:r>
      <w:r w:rsidRPr="008F3531">
        <w:rPr>
          <w:rFonts w:cs="Times New Roman"/>
          <w:szCs w:val="24"/>
        </w:rPr>
        <w:t>but it is evident that levels of consumption are considerably higher in urban than in rural areas. Because of the large differences in consumption, the poorest households – those in the first two wealth quintiles are almost exclusively found in the rural areas, whereas the richest households are almost exclusively found in urban areas (Figure 4.1). Out of approximately 1 million rural households, only 90,000 belong to the top wealth quintile, while of the approximately 330,000 urban households, more than half belong to the top wealth quintile.</w:t>
      </w:r>
    </w:p>
    <w:p w:rsidR="003C49A2" w:rsidRPr="008F3531" w:rsidRDefault="0093379F" w:rsidP="0093379F">
      <w:pPr>
        <w:pStyle w:val="Caption"/>
        <w:rPr>
          <w:b w:val="0"/>
        </w:rPr>
      </w:pPr>
      <w:bookmarkStart w:id="64" w:name="_Toc390956390"/>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w:t>
      </w:r>
      <w:r w:rsidR="00943E46" w:rsidRPr="00E56625">
        <w:rPr>
          <w:noProof/>
        </w:rPr>
        <w:fldChar w:fldCharType="end"/>
      </w:r>
      <w:r w:rsidR="003C49A2" w:rsidRPr="008F3531">
        <w:rPr>
          <w:b w:val="0"/>
        </w:rPr>
        <w:t>: Distribution of rural and urban households by consumption quintile</w:t>
      </w:r>
      <w:bookmarkEnd w:id="64"/>
    </w:p>
    <w:p w:rsidR="003C49A2" w:rsidRPr="00E56625" w:rsidRDefault="003C49A2" w:rsidP="0093379F">
      <w:pPr>
        <w:spacing w:after="0"/>
        <w:jc w:val="center"/>
        <w:rPr>
          <w:lang w:val="en-US"/>
        </w:rPr>
      </w:pPr>
      <w:r w:rsidRPr="0045185C">
        <w:rPr>
          <w:noProof/>
          <w:lang w:val="en-US"/>
        </w:rPr>
        <w:drawing>
          <wp:inline distT="0" distB="0" distL="0" distR="0" wp14:anchorId="05636070" wp14:editId="507750A0">
            <wp:extent cx="5651653" cy="2765233"/>
            <wp:effectExtent l="0" t="0" r="635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C49A2" w:rsidRPr="00E56625" w:rsidRDefault="0093379F" w:rsidP="0093379F">
      <w:pPr>
        <w:spacing w:after="0"/>
        <w:rPr>
          <w:sz w:val="20"/>
          <w:szCs w:val="20"/>
          <w:lang w:val="en-US"/>
        </w:rPr>
      </w:pPr>
      <w:r w:rsidRPr="00E56625">
        <w:rPr>
          <w:sz w:val="20"/>
          <w:szCs w:val="20"/>
          <w:lang w:val="en-US"/>
        </w:rPr>
        <w:t xml:space="preserve">   </w:t>
      </w:r>
      <w:r w:rsidR="003C49A2" w:rsidRPr="00E56625">
        <w:rPr>
          <w:sz w:val="20"/>
          <w:szCs w:val="20"/>
          <w:lang w:val="en-US"/>
        </w:rPr>
        <w:t xml:space="preserve">Source: ELIM 2010. Authors’ calculations. </w:t>
      </w:r>
    </w:p>
    <w:p w:rsidR="0093379F" w:rsidRPr="00E56625" w:rsidRDefault="0093379F" w:rsidP="0093379F">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 xml:space="preserve">Breaking down the data by region one finds that expressed in consumption per capita, households in Sikasso are worst off and those in Bamako best off (Figure 4.2). By expressing consumption in per capita terms, we do not take into account that households in Sikasso are amongst the largest, nor that not all household members have equal consumption needs, or that certain consumption items (such as televisions or radios) can be shared. One approach to take these aspects into consideration is by defining the number of adult equivalents. This can be done using a formula where </w:t>
      </w:r>
      <w:r w:rsidRPr="008F3531">
        <w:rPr>
          <w:rFonts w:cs="Times New Roman"/>
          <w:i/>
          <w:iCs/>
          <w:szCs w:val="24"/>
        </w:rPr>
        <w:t xml:space="preserve">A </w:t>
      </w:r>
      <w:r w:rsidRPr="008F3531">
        <w:rPr>
          <w:rFonts w:cs="Times New Roman"/>
          <w:szCs w:val="24"/>
        </w:rPr>
        <w:t xml:space="preserve">is the number of adults in the household, and </w:t>
      </w:r>
      <w:r w:rsidRPr="008F3531">
        <w:rPr>
          <w:rFonts w:cs="Times New Roman"/>
          <w:i/>
          <w:iCs/>
          <w:szCs w:val="24"/>
        </w:rPr>
        <w:t xml:space="preserve">K </w:t>
      </w:r>
      <w:r w:rsidRPr="008F3531">
        <w:rPr>
          <w:rFonts w:cs="Times New Roman"/>
          <w:szCs w:val="24"/>
        </w:rPr>
        <w:t xml:space="preserve">is the number of children. The parameter </w:t>
      </w:r>
      <w:r w:rsidRPr="008F3531">
        <w:rPr>
          <w:rFonts w:cs="Times New Roman"/>
          <w:i/>
          <w:iCs/>
          <w:szCs w:val="24"/>
        </w:rPr>
        <w:t xml:space="preserve">α </w:t>
      </w:r>
      <w:r w:rsidRPr="008F3531">
        <w:rPr>
          <w:rFonts w:cs="Times New Roman"/>
          <w:szCs w:val="24"/>
        </w:rPr>
        <w:t xml:space="preserve">is the cost of a child relative to that of an adult, and lies somewhere between 0 and 1. The other parameter, </w:t>
      </w:r>
      <w:r w:rsidRPr="008F3531">
        <w:rPr>
          <w:rFonts w:cs="Times New Roman"/>
          <w:i/>
          <w:iCs/>
          <w:szCs w:val="24"/>
        </w:rPr>
        <w:t>β</w:t>
      </w:r>
      <w:r w:rsidRPr="008F3531">
        <w:rPr>
          <w:rFonts w:cs="Times New Roman"/>
          <w:szCs w:val="24"/>
        </w:rPr>
        <w:t xml:space="preserve"> also lies between 0 and 1 and controls the extent of economies of scale. </w:t>
      </w:r>
    </w:p>
    <w:p w:rsidR="003C49A2" w:rsidRPr="00E56625" w:rsidRDefault="003C49A2" w:rsidP="003C49A2">
      <w:pPr>
        <w:autoSpaceDE w:val="0"/>
        <w:autoSpaceDN w:val="0"/>
        <w:adjustRightInd w:val="0"/>
        <w:spacing w:after="120"/>
        <w:rPr>
          <w:vertAlign w:val="superscript"/>
          <w:lang w:val="en-US"/>
        </w:rPr>
      </w:pPr>
      <w:r w:rsidRPr="00E56625">
        <w:rPr>
          <w:lang w:val="en-US"/>
        </w:rPr>
        <w:t>Adult equivalent = (A +</w:t>
      </w:r>
      <w:r w:rsidRPr="00E56625">
        <w:rPr>
          <w:i/>
          <w:iCs/>
          <w:lang w:val="en-US"/>
        </w:rPr>
        <w:t xml:space="preserve"> αK)</w:t>
      </w:r>
      <w:r w:rsidRPr="00E56625">
        <w:rPr>
          <w:i/>
          <w:iCs/>
          <w:vertAlign w:val="superscript"/>
          <w:lang w:val="en-US"/>
        </w:rPr>
        <w:t xml:space="preserve"> β</w:t>
      </w:r>
    </w:p>
    <w:p w:rsidR="003C49A2" w:rsidRPr="00E56625" w:rsidRDefault="003C49A2" w:rsidP="003C49A2">
      <w:pPr>
        <w:autoSpaceDE w:val="0"/>
        <w:autoSpaceDN w:val="0"/>
        <w:adjustRightInd w:val="0"/>
        <w:spacing w:after="120"/>
        <w:rPr>
          <w:lang w:val="en-US"/>
        </w:rPr>
      </w:pPr>
      <w:r w:rsidRPr="00E56625">
        <w:rPr>
          <w:lang w:val="en-US"/>
        </w:rPr>
        <w:t xml:space="preserve">When both </w:t>
      </w:r>
      <w:r w:rsidRPr="00E56625">
        <w:rPr>
          <w:i/>
          <w:iCs/>
          <w:lang w:val="en-US"/>
        </w:rPr>
        <w:t xml:space="preserve">a </w:t>
      </w:r>
      <w:r w:rsidRPr="00E56625">
        <w:rPr>
          <w:lang w:val="en-US"/>
        </w:rPr>
        <w:t xml:space="preserve">and </w:t>
      </w:r>
      <w:r w:rsidRPr="00E56625">
        <w:rPr>
          <w:i/>
          <w:iCs/>
          <w:lang w:val="en-US"/>
        </w:rPr>
        <w:t xml:space="preserve">β </w:t>
      </w:r>
      <w:r w:rsidRPr="00E56625">
        <w:rPr>
          <w:lang w:val="en-US"/>
        </w:rPr>
        <w:t xml:space="preserve">are unity—the most extreme case—the number of adult equivalents is simply household size, and consumption is expressed on a per capita basis. </w:t>
      </w:r>
    </w:p>
    <w:p w:rsidR="003C49A2" w:rsidRPr="008F3531" w:rsidRDefault="003C49A2" w:rsidP="00D17889">
      <w:pPr>
        <w:pStyle w:val="paranumb"/>
        <w:spacing w:after="200"/>
        <w:rPr>
          <w:rFonts w:cs="Times New Roman"/>
          <w:szCs w:val="24"/>
        </w:rPr>
      </w:pPr>
      <w:r w:rsidRPr="008F3531">
        <w:rPr>
          <w:rFonts w:cs="Times New Roman"/>
          <w:szCs w:val="24"/>
        </w:rPr>
        <w:t xml:space="preserve">Values for </w:t>
      </w:r>
      <w:r w:rsidRPr="008F3531">
        <w:rPr>
          <w:rFonts w:cs="Times New Roman"/>
          <w:i/>
          <w:iCs/>
          <w:szCs w:val="24"/>
        </w:rPr>
        <w:t>a</w:t>
      </w:r>
      <w:r w:rsidRPr="008F3531">
        <w:rPr>
          <w:rFonts w:cs="Times New Roman"/>
          <w:szCs w:val="24"/>
        </w:rPr>
        <w:t xml:space="preserve"> used by INSTAT are provided in the footnote</w:t>
      </w:r>
      <w:r w:rsidR="00E25BF9" w:rsidRPr="008F3531">
        <w:rPr>
          <w:rFonts w:cs="Times New Roman"/>
          <w:szCs w:val="24"/>
        </w:rPr>
        <w:t>.</w:t>
      </w:r>
      <w:r w:rsidRPr="008F3531">
        <w:rPr>
          <w:rStyle w:val="FootnoteReference"/>
          <w:rFonts w:cs="Times New Roman"/>
          <w:szCs w:val="24"/>
        </w:rPr>
        <w:footnoteReference w:id="34"/>
      </w:r>
      <w:r w:rsidRPr="008F3531">
        <w:rPr>
          <w:rFonts w:cs="Times New Roman"/>
          <w:szCs w:val="24"/>
        </w:rPr>
        <w:t xml:space="preserve"> The values suggest that children are relatively cheap: small children count for less than half an adult.</w:t>
      </w:r>
      <w:r w:rsidRPr="008F3531">
        <w:rPr>
          <w:rStyle w:val="FootnoteReference"/>
          <w:rFonts w:cs="Times New Roman"/>
          <w:szCs w:val="24"/>
        </w:rPr>
        <w:t xml:space="preserve"> </w:t>
      </w:r>
      <w:r w:rsidRPr="008F3531">
        <w:rPr>
          <w:rFonts w:cs="Times New Roman"/>
          <w:szCs w:val="24"/>
        </w:rPr>
        <w:t xml:space="preserve">If we think of economies of scale as coming from the existence of shared goods in the household, then </w:t>
      </w:r>
      <w:r w:rsidRPr="008F3531">
        <w:rPr>
          <w:rFonts w:cs="Times New Roman"/>
          <w:i/>
          <w:iCs/>
          <w:szCs w:val="24"/>
        </w:rPr>
        <w:t xml:space="preserve">β </w:t>
      </w:r>
      <w:r w:rsidRPr="008F3531">
        <w:rPr>
          <w:rFonts w:cs="Times New Roman"/>
          <w:iCs/>
          <w:szCs w:val="24"/>
        </w:rPr>
        <w:t>has to be</w:t>
      </w:r>
      <w:r w:rsidRPr="008F3531">
        <w:rPr>
          <w:rFonts w:cs="Times New Roman"/>
          <w:i/>
          <w:iCs/>
          <w:szCs w:val="24"/>
        </w:rPr>
        <w:t xml:space="preserve"> </w:t>
      </w:r>
      <w:r w:rsidRPr="008F3531">
        <w:rPr>
          <w:rFonts w:cs="Times New Roman"/>
          <w:szCs w:val="24"/>
        </w:rPr>
        <w:t>high since households in Mali spend a large fraction of their budget on food and relatively little on shared public goods. Deaton and Zaidi (2002) suggest to set in such circumstances the economies of scale factor to 0.9.</w:t>
      </w:r>
      <w:r w:rsidRPr="008F3531">
        <w:rPr>
          <w:rStyle w:val="FootnoteReference"/>
          <w:rFonts w:cs="Times New Roman"/>
          <w:szCs w:val="24"/>
        </w:rPr>
        <w:footnoteReference w:id="35"/>
      </w:r>
    </w:p>
    <w:p w:rsidR="003C49A2" w:rsidRPr="000370E2" w:rsidRDefault="0093379F" w:rsidP="0093379F">
      <w:pPr>
        <w:pStyle w:val="Caption"/>
        <w:rPr>
          <w:b w:val="0"/>
          <w:lang w:val="fr-FR"/>
        </w:rPr>
      </w:pPr>
      <w:bookmarkStart w:id="65" w:name="_Toc390956391"/>
      <w:r w:rsidRPr="000370E2">
        <w:rPr>
          <w:lang w:val="fr-FR"/>
        </w:rPr>
        <w:t xml:space="preserve">Figure </w:t>
      </w:r>
      <w:r w:rsidR="00EE6599" w:rsidRPr="00E56625">
        <w:fldChar w:fldCharType="begin"/>
      </w:r>
      <w:r w:rsidR="00EE6599" w:rsidRPr="000370E2">
        <w:rPr>
          <w:lang w:val="fr-FR"/>
        </w:rPr>
        <w:instrText xml:space="preserve"> STYLEREF 1 \s </w:instrText>
      </w:r>
      <w:r w:rsidR="00EE6599" w:rsidRPr="00E56625">
        <w:fldChar w:fldCharType="separate"/>
      </w:r>
      <w:r w:rsidR="002779FA">
        <w:rPr>
          <w:noProof/>
          <w:lang w:val="fr-FR"/>
        </w:rPr>
        <w:t>4</w:t>
      </w:r>
      <w:r w:rsidR="00EE6599" w:rsidRPr="00E56625">
        <w:fldChar w:fldCharType="end"/>
      </w:r>
      <w:r w:rsidR="00EE6599" w:rsidRPr="000370E2">
        <w:rPr>
          <w:lang w:val="fr-FR"/>
        </w:rPr>
        <w:t>.</w:t>
      </w:r>
      <w:r w:rsidR="00EE6599" w:rsidRPr="00E56625">
        <w:fldChar w:fldCharType="begin"/>
      </w:r>
      <w:r w:rsidR="00EE6599" w:rsidRPr="000370E2">
        <w:rPr>
          <w:lang w:val="fr-FR"/>
        </w:rPr>
        <w:instrText xml:space="preserve"> SEQ Figure \* ARABIC \s 1 </w:instrText>
      </w:r>
      <w:r w:rsidR="00EE6599" w:rsidRPr="00E56625">
        <w:fldChar w:fldCharType="separate"/>
      </w:r>
      <w:r w:rsidR="002779FA">
        <w:rPr>
          <w:noProof/>
          <w:lang w:val="fr-FR"/>
        </w:rPr>
        <w:t>2</w:t>
      </w:r>
      <w:r w:rsidR="00EE6599" w:rsidRPr="00E56625">
        <w:fldChar w:fldCharType="end"/>
      </w:r>
      <w:r w:rsidR="003C49A2" w:rsidRPr="000370E2">
        <w:rPr>
          <w:b w:val="0"/>
          <w:lang w:val="fr-FR"/>
        </w:rPr>
        <w:t>: Consommation par région: définitions différentes</w:t>
      </w:r>
      <w:bookmarkEnd w:id="65"/>
      <w:r w:rsidR="003C49A2" w:rsidRPr="000370E2">
        <w:rPr>
          <w:b w:val="0"/>
          <w:lang w:val="fr-FR"/>
        </w:rPr>
        <w:t xml:space="preserve"> </w:t>
      </w:r>
    </w:p>
    <w:p w:rsidR="003C49A2" w:rsidRPr="00E56625" w:rsidRDefault="003C49A2" w:rsidP="0093379F">
      <w:pPr>
        <w:spacing w:after="0"/>
        <w:jc w:val="center"/>
        <w:rPr>
          <w:lang w:val="en-US"/>
        </w:rPr>
      </w:pPr>
      <w:r w:rsidRPr="0045185C">
        <w:rPr>
          <w:noProof/>
          <w:lang w:val="en-US"/>
        </w:rPr>
        <w:drawing>
          <wp:inline distT="0" distB="0" distL="0" distR="0" wp14:anchorId="0C5CDCD9" wp14:editId="619138B0">
            <wp:extent cx="6092328" cy="2798284"/>
            <wp:effectExtent l="0" t="0" r="3810" b="25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C49A2" w:rsidRPr="00E56625" w:rsidRDefault="003C49A2" w:rsidP="0093379F">
      <w:pPr>
        <w:spacing w:after="0"/>
        <w:rPr>
          <w:sz w:val="20"/>
          <w:szCs w:val="20"/>
          <w:lang w:val="en-US"/>
        </w:rPr>
      </w:pPr>
      <w:r w:rsidRPr="00E56625">
        <w:rPr>
          <w:sz w:val="20"/>
          <w:szCs w:val="20"/>
          <w:lang w:val="en-US"/>
        </w:rPr>
        <w:t xml:space="preserve">Source: ELIM 2010. Authors’ calculations. </w:t>
      </w:r>
    </w:p>
    <w:p w:rsidR="0093379F" w:rsidRPr="00E56625" w:rsidRDefault="0093379F" w:rsidP="0093379F">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 xml:space="preserve">Figure 4.2 presents the results for consumption per adult equivalent under various assumptions. The first panel presents consumption per capita (setting </w:t>
      </w:r>
      <w:r w:rsidRPr="008F3531">
        <w:rPr>
          <w:rFonts w:cs="Times New Roman"/>
          <w:i/>
          <w:szCs w:val="24"/>
        </w:rPr>
        <w:t>α</w:t>
      </w:r>
      <w:r w:rsidRPr="008F3531">
        <w:rPr>
          <w:rFonts w:cs="Times New Roman"/>
          <w:szCs w:val="24"/>
        </w:rPr>
        <w:t xml:space="preserve"> </w:t>
      </w:r>
      <w:r w:rsidRPr="008F3531">
        <w:rPr>
          <w:rFonts w:cs="Times New Roman"/>
          <w:iCs/>
          <w:szCs w:val="24"/>
        </w:rPr>
        <w:t xml:space="preserve">to 1 for all household members); </w:t>
      </w:r>
      <w:r w:rsidRPr="008F3531">
        <w:rPr>
          <w:rFonts w:cs="Times New Roman"/>
          <w:szCs w:val="24"/>
        </w:rPr>
        <w:t xml:space="preserve">the second panel presents consumption per adult equivalent. The third panel does the same but accounts for economies of scale at the household level as well (setting </w:t>
      </w:r>
      <w:r w:rsidRPr="008F3531">
        <w:rPr>
          <w:rFonts w:cs="Times New Roman"/>
          <w:i/>
          <w:iCs/>
          <w:szCs w:val="24"/>
        </w:rPr>
        <w:t xml:space="preserve">β </w:t>
      </w:r>
      <w:r w:rsidRPr="008F3531">
        <w:rPr>
          <w:rFonts w:cs="Times New Roman"/>
          <w:iCs/>
          <w:szCs w:val="24"/>
        </w:rPr>
        <w:t>equal to 0.9)</w:t>
      </w:r>
      <w:r w:rsidRPr="008F3531">
        <w:rPr>
          <w:rFonts w:cs="Times New Roman"/>
          <w:szCs w:val="24"/>
        </w:rPr>
        <w:t>. The Figure demonstrates that irrespective of the assumptions made the patterns of consumption do not differ: those living in Sikasso invariably consume least, closely followed by those in Ségou and Mopti while those living in Kayes, Kidal and particularly in Bamako consume most. Because of the insensitivity of the pattern of consumption to the choice of adult equivalent measure, we use per capita consumption in the remainder of this document.</w:t>
      </w:r>
    </w:p>
    <w:p w:rsidR="003C49A2" w:rsidRPr="008F3531" w:rsidRDefault="003C49A2" w:rsidP="00D17889">
      <w:pPr>
        <w:pStyle w:val="paranumb"/>
        <w:spacing w:after="200"/>
        <w:rPr>
          <w:rFonts w:cs="Times New Roman"/>
          <w:szCs w:val="24"/>
        </w:rPr>
      </w:pPr>
      <w:r w:rsidRPr="008F3531">
        <w:rPr>
          <w:rFonts w:cs="Times New Roman"/>
          <w:szCs w:val="24"/>
        </w:rPr>
        <w:t xml:space="preserve">Consumption data can also be presented by livelihood zone (see Figure 4.3). It is informative in that – in addition to the large difference with Bamako, it demonstrates that average consumption in two livelihoods zones, 4 (millet and transhumant livestock keeping) and 10 (sorghum, millet and cotton) are particularly low, while two other livelihood zones 2 (nomadic transhumant pastoralism) and 8 (remittances, sorghum and transhumant livestock rearing) are doing considerably better than the other rural zones. As zones 2 and 4 lie entirely (2), respectively partly (4) in north Mali consumption in these zones is expected to have declined significantly as a result of the continuing security crisis. </w:t>
      </w:r>
    </w:p>
    <w:p w:rsidR="003C49A2" w:rsidRPr="008F3531" w:rsidRDefault="005B2E4B" w:rsidP="005B2E4B">
      <w:pPr>
        <w:pStyle w:val="Caption"/>
      </w:pPr>
      <w:bookmarkStart w:id="66" w:name="_Toc390956392"/>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3</w:t>
      </w:r>
      <w:r w:rsidR="00943E46" w:rsidRPr="00E56625">
        <w:rPr>
          <w:noProof/>
        </w:rPr>
        <w:fldChar w:fldCharType="end"/>
      </w:r>
      <w:r w:rsidR="003C49A2" w:rsidRPr="008F3531">
        <w:rPr>
          <w:b w:val="0"/>
        </w:rPr>
        <w:t>: Consumption per capita by livelihood zone</w:t>
      </w:r>
      <w:bookmarkEnd w:id="66"/>
      <w:r w:rsidR="003C49A2" w:rsidRPr="008F3531">
        <w:rPr>
          <w:b w:val="0"/>
        </w:rPr>
        <w:t xml:space="preserve"> </w:t>
      </w:r>
    </w:p>
    <w:p w:rsidR="003C49A2" w:rsidRPr="00E56625" w:rsidRDefault="003C49A2" w:rsidP="005B2E4B">
      <w:pPr>
        <w:spacing w:after="0"/>
        <w:jc w:val="both"/>
        <w:rPr>
          <w:lang w:val="en-US"/>
        </w:rPr>
      </w:pPr>
      <w:r w:rsidRPr="0045185C">
        <w:rPr>
          <w:noProof/>
          <w:lang w:val="en-US"/>
        </w:rPr>
        <w:drawing>
          <wp:inline distT="0" distB="0" distL="0" distR="0" wp14:anchorId="1B389932" wp14:editId="6559E429">
            <wp:extent cx="6203576" cy="3872753"/>
            <wp:effectExtent l="0" t="0" r="6985"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C49A2" w:rsidRPr="00E56625" w:rsidRDefault="003C49A2" w:rsidP="005B2E4B">
      <w:pPr>
        <w:spacing w:after="0"/>
        <w:rPr>
          <w:sz w:val="20"/>
          <w:szCs w:val="20"/>
          <w:lang w:val="en-US"/>
        </w:rPr>
      </w:pPr>
      <w:r w:rsidRPr="00E56625">
        <w:rPr>
          <w:sz w:val="20"/>
          <w:szCs w:val="20"/>
          <w:lang w:val="en-US"/>
        </w:rPr>
        <w:t xml:space="preserve">Source: ELIM 2010. Authors’ calculations. </w:t>
      </w:r>
    </w:p>
    <w:p w:rsidR="005B2E4B" w:rsidRPr="00E56625" w:rsidRDefault="005B2E4B" w:rsidP="005B2E4B">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By replicating Figure 4.1 by livelihood zone we can illustrate the relative wealth of households in Bamako. Approximately half of all households in the top consumption quintile reside in the capital city. Households in zone 8 whose livelihoods evolve around remittances, sorghum and transhumant livestock rearing are also relatively wealthy: they are predominantly found in the top two consumption quintiles. Compare this to households from zones 10 (sorghum, millet and cotton) and 12 (maize, sorghum and fruits) who are predominantly found in the bottom three consumption quintiles. It strongly suggests the existence of areas of relative wealth and pockets with widespread poverty.</w:t>
      </w:r>
    </w:p>
    <w:p w:rsidR="005B2E4B" w:rsidRPr="00E56625" w:rsidRDefault="005B2E4B">
      <w:pPr>
        <w:rPr>
          <w:b/>
          <w:lang w:val="en-US"/>
        </w:rPr>
      </w:pPr>
      <w:r w:rsidRPr="00E56625">
        <w:rPr>
          <w:b/>
          <w:lang w:val="en-US"/>
        </w:rPr>
        <w:br w:type="page"/>
      </w:r>
    </w:p>
    <w:p w:rsidR="003C49A2" w:rsidRPr="008F3531" w:rsidRDefault="005B2E4B" w:rsidP="005B2E4B">
      <w:pPr>
        <w:pStyle w:val="Caption"/>
        <w:rPr>
          <w:b w:val="0"/>
        </w:rPr>
      </w:pPr>
      <w:bookmarkStart w:id="67" w:name="_Toc390956393"/>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4</w:t>
      </w:r>
      <w:r w:rsidR="00943E46" w:rsidRPr="00E56625">
        <w:rPr>
          <w:noProof/>
        </w:rPr>
        <w:fldChar w:fldCharType="end"/>
      </w:r>
      <w:r w:rsidR="003C49A2" w:rsidRPr="008F3531">
        <w:rPr>
          <w:b w:val="0"/>
        </w:rPr>
        <w:t>: Distribution of households by livelihood zone and by consumption quintile</w:t>
      </w:r>
      <w:bookmarkEnd w:id="67"/>
    </w:p>
    <w:p w:rsidR="003C49A2" w:rsidRPr="00E56625" w:rsidRDefault="003C49A2" w:rsidP="005B2E4B">
      <w:pPr>
        <w:autoSpaceDE w:val="0"/>
        <w:autoSpaceDN w:val="0"/>
        <w:adjustRightInd w:val="0"/>
        <w:spacing w:after="0"/>
        <w:rPr>
          <w:lang w:val="en-US"/>
        </w:rPr>
      </w:pPr>
      <w:r w:rsidRPr="0045185C">
        <w:rPr>
          <w:noProof/>
          <w:lang w:val="en-US"/>
        </w:rPr>
        <w:drawing>
          <wp:inline distT="0" distB="0" distL="0" distR="0" wp14:anchorId="4492E04C" wp14:editId="51B3908F">
            <wp:extent cx="5938092" cy="3437263"/>
            <wp:effectExtent l="0" t="0" r="5715"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C49A2" w:rsidRPr="00E56625" w:rsidRDefault="003C49A2" w:rsidP="005B2E4B">
      <w:pPr>
        <w:spacing w:after="0"/>
        <w:rPr>
          <w:sz w:val="20"/>
          <w:szCs w:val="20"/>
          <w:lang w:val="en-US"/>
        </w:rPr>
      </w:pPr>
      <w:r w:rsidRPr="00E56625">
        <w:rPr>
          <w:sz w:val="20"/>
          <w:szCs w:val="20"/>
          <w:lang w:val="en-US"/>
        </w:rPr>
        <w:t xml:space="preserve">Source: ELIM 2010. Authors’ calculations. </w:t>
      </w:r>
    </w:p>
    <w:p w:rsidR="003C49A2" w:rsidRPr="00E56625" w:rsidRDefault="003C49A2" w:rsidP="005B2E4B">
      <w:pPr>
        <w:spacing w:after="0"/>
        <w:ind w:left="360"/>
        <w:rPr>
          <w:lang w:val="en-US"/>
        </w:rPr>
      </w:pP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68" w:name="_Toc419468550"/>
      <w:r w:rsidRPr="00E56625">
        <w:rPr>
          <w:rFonts w:ascii="Times New Roman Bold" w:hAnsi="Times New Roman Bold" w:cs="Times New Roman"/>
          <w:color w:val="000000" w:themeColor="text1"/>
          <w:sz w:val="22"/>
          <w:szCs w:val="22"/>
          <w:lang w:val="en-US"/>
        </w:rPr>
        <w:t>New poverty lines for this report</w:t>
      </w:r>
      <w:bookmarkEnd w:id="68"/>
    </w:p>
    <w:p w:rsidR="003C49A2" w:rsidRPr="00E56625" w:rsidRDefault="003C49A2" w:rsidP="00D17889">
      <w:pPr>
        <w:pStyle w:val="paranumb"/>
        <w:spacing w:after="200"/>
        <w:rPr>
          <w:rFonts w:eastAsia="Calibri"/>
          <w:szCs w:val="24"/>
        </w:rPr>
      </w:pPr>
      <w:r w:rsidRPr="0045185C">
        <w:rPr>
          <w:rFonts w:eastAsia="Calibri"/>
          <w:szCs w:val="24"/>
        </w:rPr>
        <w:t>Based on the 2001 EMEP survey poverty lines were constructed by a joint INSTAT/World Bank team following the cost of basic needs approach.</w:t>
      </w:r>
      <w:r w:rsidRPr="00782B0C">
        <w:rPr>
          <w:rStyle w:val="FootnoteReference"/>
          <w:rFonts w:eastAsia="Calibri"/>
          <w:szCs w:val="24"/>
        </w:rPr>
        <w:footnoteReference w:id="36"/>
      </w:r>
      <w:r w:rsidRPr="00E56625">
        <w:rPr>
          <w:rFonts w:eastAsia="Calibri"/>
          <w:szCs w:val="24"/>
        </w:rPr>
        <w:t xml:space="preserve">  To this end food poverty lines were computed for each of the nine regions by identifying and costing the food baskets consumed by Malian households that provide 2450 kcal per capita per day.  That food basket included some 20 items representing around 80% of the total food expenditure. The quantities in this basket were then scaled so that they would provide exactly 2450 kilocalories per day. The non-food component of the poverty line was estimated using the non-food expenditure level of the households whose food consumption was within five percent of the food poverty line.  The poverty lines were estimated for rural and urban areas within each region except Bamako which is exclusively urban. </w:t>
      </w:r>
    </w:p>
    <w:p w:rsidR="003C49A2" w:rsidRPr="00E56625" w:rsidRDefault="003C49A2" w:rsidP="00D17889">
      <w:pPr>
        <w:pStyle w:val="paranumb"/>
        <w:spacing w:after="200"/>
        <w:rPr>
          <w:rFonts w:eastAsia="Calibri"/>
          <w:szCs w:val="24"/>
        </w:rPr>
      </w:pPr>
      <w:r w:rsidRPr="00E56625">
        <w:rPr>
          <w:rFonts w:eastAsia="Calibri"/>
          <w:szCs w:val="24"/>
        </w:rPr>
        <w:t xml:space="preserve">One of the drawbacks of the approach used is that the non-food poverty lines were based on a very small number of observations. For example the urban non-food poverty line for Kayes used the non-food expenditure of 14 households. For Sikasso 14 respectively 53 observations were used for urban and rural areas. The most extreme case was Gao where only four urban and nine rural observations were used. </w:t>
      </w:r>
    </w:p>
    <w:p w:rsidR="003C49A2" w:rsidRPr="00E56625" w:rsidRDefault="003C49A2" w:rsidP="00D17889">
      <w:pPr>
        <w:pStyle w:val="paranumb"/>
        <w:spacing w:after="200"/>
        <w:rPr>
          <w:rFonts w:eastAsia="Calibri"/>
          <w:szCs w:val="24"/>
        </w:rPr>
      </w:pPr>
      <w:r w:rsidRPr="00E56625">
        <w:rPr>
          <w:rFonts w:eastAsia="Calibri"/>
          <w:szCs w:val="24"/>
        </w:rPr>
        <w:t>A consequence of estimating non-food poverty lines using such a small number of observations is the considerable variation in the size of the non-food share components across regions. This is illustrated in Figure 4.5: in rural and urban Sikasso but also in urban Ségou are the non-food components very large relative to their comparators. Such large non-food components affect the measurement of poverty. Indeed amongst the explanations advanced for the Sikasso paradox (the coincidence of high levels of poverty with the region Sikasso with the greatest agricultural potential) is that the rural poverty line for Sikasso is unrealistically high.</w:t>
      </w:r>
      <w:r w:rsidRPr="00E56625">
        <w:rPr>
          <w:rStyle w:val="FootnoteReference"/>
          <w:rFonts w:eastAsia="Calibri"/>
          <w:szCs w:val="24"/>
        </w:rPr>
        <w:footnoteReference w:id="37"/>
      </w:r>
    </w:p>
    <w:p w:rsidR="003C49A2" w:rsidRPr="008F3531" w:rsidRDefault="009C50B1" w:rsidP="009C50B1">
      <w:pPr>
        <w:pStyle w:val="Caption"/>
        <w:rPr>
          <w:rFonts w:eastAsia="Calibri"/>
          <w:b w:val="0"/>
        </w:rPr>
      </w:pPr>
      <w:bookmarkStart w:id="69" w:name="_Toc390956394"/>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5</w:t>
      </w:r>
      <w:r w:rsidR="00943E46" w:rsidRPr="00E56625">
        <w:rPr>
          <w:noProof/>
        </w:rPr>
        <w:fldChar w:fldCharType="end"/>
      </w:r>
      <w:r w:rsidR="003C49A2" w:rsidRPr="008F3531">
        <w:rPr>
          <w:rFonts w:eastAsia="Calibri"/>
          <w:b w:val="0"/>
        </w:rPr>
        <w:t xml:space="preserve">: Decomposition of the 2001 regional poverty lines </w:t>
      </w:r>
      <w:r w:rsidR="001F435C" w:rsidRPr="008F3531">
        <w:rPr>
          <w:rFonts w:eastAsia="Calibri"/>
          <w:b w:val="0"/>
        </w:rPr>
        <w:t>in food</w:t>
      </w:r>
      <w:r w:rsidR="001F435C" w:rsidRPr="008F3531">
        <w:rPr>
          <w:rFonts w:eastAsia="Calibri"/>
          <w:b w:val="0"/>
        </w:rPr>
        <w:br/>
      </w:r>
      <w:r w:rsidR="003C49A2" w:rsidRPr="008F3531">
        <w:rPr>
          <w:rFonts w:eastAsia="Calibri"/>
          <w:b w:val="0"/>
        </w:rPr>
        <w:t>and non-food components</w:t>
      </w:r>
      <w:bookmarkEnd w:id="69"/>
    </w:p>
    <w:p w:rsidR="003C49A2" w:rsidRPr="008F3531" w:rsidRDefault="003C49A2" w:rsidP="003E62FB">
      <w:pPr>
        <w:pStyle w:val="MainParawithChapter"/>
        <w:spacing w:before="0" w:after="0"/>
        <w:jc w:val="center"/>
        <w:rPr>
          <w:rFonts w:eastAsia="Calibri"/>
        </w:rPr>
      </w:pPr>
      <w:r w:rsidRPr="0045185C">
        <w:rPr>
          <w:noProof/>
        </w:rPr>
        <w:drawing>
          <wp:inline distT="0" distB="0" distL="0" distR="0" wp14:anchorId="70BDACB1" wp14:editId="3796EDF9">
            <wp:extent cx="5186855" cy="2270235"/>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C49A2" w:rsidRPr="00E56625" w:rsidRDefault="003E62FB" w:rsidP="003E62FB">
      <w:pPr>
        <w:spacing w:after="0"/>
        <w:rPr>
          <w:sz w:val="20"/>
          <w:szCs w:val="20"/>
          <w:lang w:val="en-US"/>
        </w:rPr>
      </w:pPr>
      <w:r w:rsidRPr="00E56625">
        <w:rPr>
          <w:sz w:val="20"/>
          <w:szCs w:val="20"/>
          <w:lang w:val="en-US"/>
        </w:rPr>
        <w:t xml:space="preserve">        </w:t>
      </w:r>
      <w:r w:rsidR="001F435C" w:rsidRPr="00E56625">
        <w:rPr>
          <w:sz w:val="20"/>
          <w:szCs w:val="20"/>
          <w:lang w:val="en-US"/>
        </w:rPr>
        <w:t xml:space="preserve">   </w:t>
      </w:r>
      <w:r w:rsidR="003C49A2" w:rsidRPr="00E56625">
        <w:rPr>
          <w:sz w:val="20"/>
          <w:szCs w:val="20"/>
          <w:lang w:val="en-US"/>
        </w:rPr>
        <w:t xml:space="preserve">Source: EMEP 2001. Authors’ calculations. </w:t>
      </w:r>
    </w:p>
    <w:p w:rsidR="003E62FB" w:rsidRPr="00E56625" w:rsidRDefault="003E62FB" w:rsidP="003E62FB">
      <w:pPr>
        <w:spacing w:after="0"/>
        <w:rPr>
          <w:lang w:val="en-US"/>
        </w:rPr>
      </w:pPr>
    </w:p>
    <w:p w:rsidR="003C49A2" w:rsidRPr="008F3531" w:rsidRDefault="003C49A2" w:rsidP="00D17889">
      <w:pPr>
        <w:pStyle w:val="paranumb"/>
        <w:spacing w:after="200"/>
        <w:rPr>
          <w:rFonts w:eastAsia="Calibri"/>
        </w:rPr>
      </w:pPr>
      <w:r w:rsidRPr="008F3531">
        <w:rPr>
          <w:rFonts w:eastAsia="Calibri"/>
        </w:rPr>
        <w:t xml:space="preserve">To address this problem and to explore whether the Sikasso paradox is indeed explained by an incorrectly defined non-food share, poverty lines were re-estimated, taking the existing food poverty lines as given, but calculating the non-food component as the median of the fraction of non-food expenditures for households whose food consumption is within 10 percent of the food poverty line.  To avoid the problem of too few </w:t>
      </w:r>
      <w:r w:rsidRPr="008F3531">
        <w:rPr>
          <w:rFonts w:cs="Times New Roman"/>
          <w:szCs w:val="24"/>
        </w:rPr>
        <w:t>observations</w:t>
      </w:r>
      <w:r w:rsidRPr="008F3531">
        <w:rPr>
          <w:rFonts w:eastAsia="Calibri"/>
        </w:rPr>
        <w:t xml:space="preserve"> that affected the earlier estimation of poverty lines, Kidal, Gao and Tombouctou were lumped together into one region. The newly estimated poverty lines demonstrate less variation, although the non-food share in rural Sikasso remains relatively large. </w:t>
      </w:r>
    </w:p>
    <w:p w:rsidR="003C49A2" w:rsidRPr="008F3531" w:rsidRDefault="003E62FB" w:rsidP="003E62FB">
      <w:pPr>
        <w:pStyle w:val="Caption"/>
        <w:rPr>
          <w:rFonts w:eastAsia="Calibri"/>
          <w:b w:val="0"/>
        </w:rPr>
      </w:pPr>
      <w:bookmarkStart w:id="70" w:name="_Toc390956395"/>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6</w:t>
      </w:r>
      <w:r w:rsidR="00943E46" w:rsidRPr="00E56625">
        <w:rPr>
          <w:noProof/>
        </w:rPr>
        <w:fldChar w:fldCharType="end"/>
      </w:r>
      <w:r w:rsidR="003C49A2" w:rsidRPr="008F3531">
        <w:rPr>
          <w:rFonts w:eastAsia="Calibri"/>
          <w:b w:val="0"/>
        </w:rPr>
        <w:t>: Decomposition of the newly estimated 2001 regional poverty lines</w:t>
      </w:r>
      <w:bookmarkEnd w:id="70"/>
    </w:p>
    <w:p w:rsidR="003C49A2" w:rsidRPr="008F3531" w:rsidRDefault="003C49A2" w:rsidP="003E62FB">
      <w:pPr>
        <w:pStyle w:val="MainParawithChapter"/>
        <w:spacing w:before="0" w:after="0"/>
        <w:jc w:val="center"/>
        <w:rPr>
          <w:b/>
        </w:rPr>
      </w:pPr>
      <w:r w:rsidRPr="0045185C">
        <w:rPr>
          <w:noProof/>
        </w:rPr>
        <w:drawing>
          <wp:inline distT="0" distB="0" distL="0" distR="0" wp14:anchorId="3434440C" wp14:editId="54234AFD">
            <wp:extent cx="5822950" cy="2705100"/>
            <wp:effectExtent l="0" t="0" r="635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C49A2" w:rsidRDefault="003C49A2" w:rsidP="003E62FB">
      <w:pPr>
        <w:spacing w:after="0"/>
        <w:rPr>
          <w:sz w:val="20"/>
          <w:szCs w:val="20"/>
          <w:lang w:val="en-US"/>
        </w:rPr>
      </w:pPr>
      <w:r w:rsidRPr="00E56625">
        <w:rPr>
          <w:sz w:val="20"/>
          <w:szCs w:val="20"/>
          <w:lang w:val="en-US"/>
        </w:rPr>
        <w:t xml:space="preserve">Source: EMEP 2001. Authors’ calculations. </w:t>
      </w:r>
    </w:p>
    <w:p w:rsidR="007D5F5B" w:rsidRPr="00E56625" w:rsidRDefault="007D5F5B" w:rsidP="003E62FB">
      <w:pPr>
        <w:spacing w:after="0"/>
        <w:rPr>
          <w:sz w:val="20"/>
          <w:szCs w:val="20"/>
          <w:lang w:val="en-US"/>
        </w:rPr>
      </w:pP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71" w:name="_Toc419468551"/>
      <w:r w:rsidRPr="00E56625">
        <w:rPr>
          <w:rFonts w:ascii="Times New Roman Bold" w:hAnsi="Times New Roman Bold" w:cs="Times New Roman"/>
          <w:color w:val="000000" w:themeColor="text1"/>
          <w:sz w:val="22"/>
          <w:szCs w:val="22"/>
          <w:lang w:val="en-US"/>
        </w:rPr>
        <w:t>Poverty and poverty trends</w:t>
      </w:r>
      <w:bookmarkEnd w:id="71"/>
    </w:p>
    <w:p w:rsidR="003C49A2" w:rsidRPr="008F3531" w:rsidRDefault="003C49A2" w:rsidP="00D17889">
      <w:pPr>
        <w:pStyle w:val="paranumb"/>
        <w:spacing w:after="200"/>
      </w:pPr>
      <w:r w:rsidRPr="008F3531">
        <w:t xml:space="preserve">Using the new poverty lines poverty is calculated as the fraction of people consuming less than the poverty line. Levels of poverty are closely correlated to levels of consumption and one finds that poverty in rural areas is much higher than poverty in rural areas. Poverty trends, however, are found to be much more encouraging than trends in per capita consumption:  despite the limited change in per capita consumption between 2001 and 2010 (it increased by 2.2 percent between 2001 and 2010 from FCFA 142,000 per capita to FCFA 145,000), the proportion of people living in poverty declined by 10 percent from 50.9 percent in 2001 to 41.7 percent in 2006 and to 41.1 percent in 2010. This decline, while impressive, still coincides with an increase in the absolute numbers of poor by around 360,000 people.  Given the very high population growth rate (3.6% per year) in Mali a steeper decline in poverty is needed to lower the absolute number of poor individuals. The number of non-poor increased by approximately 3 million between 2001 and 2010.  </w:t>
      </w:r>
    </w:p>
    <w:p w:rsidR="003C49A2" w:rsidRPr="008F3531" w:rsidRDefault="004F114F" w:rsidP="005E4D84">
      <w:pPr>
        <w:pStyle w:val="Caption"/>
        <w:spacing w:after="0"/>
        <w:rPr>
          <w:b w:val="0"/>
        </w:rPr>
      </w:pPr>
      <w:bookmarkStart w:id="72" w:name="_Toc390956396"/>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7</w:t>
      </w:r>
      <w:r w:rsidR="00943E46" w:rsidRPr="00E56625">
        <w:rPr>
          <w:noProof/>
        </w:rPr>
        <w:fldChar w:fldCharType="end"/>
      </w:r>
      <w:r w:rsidR="003C49A2" w:rsidRPr="008F3531">
        <w:rPr>
          <w:b w:val="0"/>
        </w:rPr>
        <w:t>: Poverty trends: 2001-2010 by rural and urban</w:t>
      </w:r>
      <w:bookmarkEnd w:id="72"/>
    </w:p>
    <w:p w:rsidR="003C49A2" w:rsidRPr="008F3531" w:rsidRDefault="003C49A2" w:rsidP="004F114F">
      <w:pPr>
        <w:pStyle w:val="MainParawithChapter"/>
        <w:jc w:val="center"/>
      </w:pPr>
      <w:r w:rsidRPr="0045185C">
        <w:rPr>
          <w:noProof/>
        </w:rPr>
        <w:drawing>
          <wp:inline distT="0" distB="0" distL="0" distR="0" wp14:anchorId="6900A273" wp14:editId="58650E1C">
            <wp:extent cx="5905041" cy="2258458"/>
            <wp:effectExtent l="0" t="0" r="635" b="889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C49A2" w:rsidRPr="008F3531" w:rsidRDefault="003C49A2" w:rsidP="005E4D84">
      <w:pPr>
        <w:pStyle w:val="paranumb"/>
        <w:spacing w:before="240"/>
      </w:pPr>
      <w:r w:rsidRPr="008F3531">
        <w:t xml:space="preserve">Most of the decline in poverty was realized between 2001 and 2006, while between 2006 and 2010 very little changed. The rapid reduction in poverty is explained by the fact that for the poorest households consumption grew most rapidly, while for the better off households consumption grew much more slowly: in fact for households in the top wealth quintile consumption fell between 2001 and 2010. This is illustrated in Figure 4.8, presenting growth incidence curves for the period 2001-2010, and curves for the sub-periods 2001-2006 and 2006-2010. The Figure covering the entire period demonstrates that consumption growth was positive for households up to </w:t>
      </w:r>
      <w:r w:rsidRPr="008F3531">
        <w:rPr>
          <w:rFonts w:cs="Times New Roman"/>
          <w:szCs w:val="24"/>
        </w:rPr>
        <w:t>the</w:t>
      </w:r>
      <w:r w:rsidRPr="008F3531">
        <w:t xml:space="preserve"> 78</w:t>
      </w:r>
      <w:r w:rsidRPr="008F3531">
        <w:rPr>
          <w:vertAlign w:val="superscript"/>
        </w:rPr>
        <w:t>th</w:t>
      </w:r>
      <w:r w:rsidRPr="008F3531">
        <w:t xml:space="preserve"> percentile (the curve lies above the zero line) and growth was highest for the poorest households.  Consequently growth was pro-poor – even though the average per capita rate of growth was very low (only 0.2% per annum), consumption was being redistributed towards the poor. It is therefore unsurprising that the reduction in poverty coincided with a fall in the Gini coefficient from 0.40 in 2001 to 0.33 in 2010.</w:t>
      </w:r>
    </w:p>
    <w:p w:rsidR="003C49A2" w:rsidRPr="008F3531" w:rsidRDefault="003C49A2" w:rsidP="00E31EED">
      <w:pPr>
        <w:pStyle w:val="paranumb"/>
        <w:spacing w:after="200"/>
      </w:pPr>
      <w:r w:rsidRPr="008F3531">
        <w:t>The curves for the sub-periods 2001-2006 and 2006-2010 demonstrate that the patterns of growth were very different for each sub-period. During the first half of the decade growth was positive for households in all wealth categories, with households in the 2</w:t>
      </w:r>
      <w:r w:rsidRPr="008F3531">
        <w:rPr>
          <w:vertAlign w:val="superscript"/>
        </w:rPr>
        <w:t>nd</w:t>
      </w:r>
      <w:r w:rsidRPr="008F3531">
        <w:t xml:space="preserve"> and 3</w:t>
      </w:r>
      <w:r w:rsidRPr="008F3531">
        <w:rPr>
          <w:vertAlign w:val="superscript"/>
        </w:rPr>
        <w:t>rd</w:t>
      </w:r>
      <w:r w:rsidRPr="008F3531">
        <w:t xml:space="preserve"> decile benefiting most. In the second half of the decade, between 2006 and 2010, growth continued to be positive for the poorest households, but for households in the 3</w:t>
      </w:r>
      <w:r w:rsidRPr="008F3531">
        <w:rPr>
          <w:vertAlign w:val="superscript"/>
        </w:rPr>
        <w:t>rd</w:t>
      </w:r>
      <w:r w:rsidRPr="008F3531">
        <w:t xml:space="preserve"> till the 7</w:t>
      </w:r>
      <w:r w:rsidRPr="008F3531">
        <w:rPr>
          <w:vertAlign w:val="superscript"/>
        </w:rPr>
        <w:t>th</w:t>
      </w:r>
      <w:r w:rsidRPr="008F3531">
        <w:t xml:space="preserve"> decile it was negligible, while for the wealthiest households it was negative. </w:t>
      </w:r>
      <w:bookmarkStart w:id="73" w:name="_Toc390956397"/>
      <w:r w:rsidR="007C27E6"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8</w:t>
      </w:r>
      <w:r w:rsidR="00943E46" w:rsidRPr="00E56625">
        <w:rPr>
          <w:noProof/>
        </w:rPr>
        <w:fldChar w:fldCharType="end"/>
      </w:r>
      <w:r w:rsidRPr="008F3531">
        <w:t>: Growth incidence curve national level: 2001-2010</w:t>
      </w:r>
      <w:bookmarkEnd w:id="73"/>
    </w:p>
    <w:tbl>
      <w:tblPr>
        <w:tblW w:w="0" w:type="auto"/>
        <w:tblLook w:val="04A0" w:firstRow="1" w:lastRow="0" w:firstColumn="1" w:lastColumn="0" w:noHBand="0" w:noVBand="1"/>
      </w:tblPr>
      <w:tblGrid>
        <w:gridCol w:w="4734"/>
        <w:gridCol w:w="4626"/>
      </w:tblGrid>
      <w:tr w:rsidR="003C49A2" w:rsidRPr="008F3531" w:rsidTr="00B3325F">
        <w:tc>
          <w:tcPr>
            <w:tcW w:w="9576" w:type="dxa"/>
            <w:gridSpan w:val="2"/>
            <w:tcBorders>
              <w:top w:val="nil"/>
              <w:left w:val="nil"/>
              <w:bottom w:val="nil"/>
              <w:right w:val="nil"/>
            </w:tcBorders>
          </w:tcPr>
          <w:p w:rsidR="003C49A2" w:rsidRPr="008F3531" w:rsidRDefault="003C49A2" w:rsidP="00B3325F">
            <w:pPr>
              <w:pStyle w:val="MainParawithChapter"/>
              <w:spacing w:after="120"/>
              <w:jc w:val="center"/>
            </w:pPr>
            <w:r w:rsidRPr="0045185C">
              <w:rPr>
                <w:noProof/>
              </w:rPr>
              <w:drawing>
                <wp:inline distT="0" distB="0" distL="0" distR="0" wp14:anchorId="37DB3D6F" wp14:editId="70D0AF6D">
                  <wp:extent cx="5695950" cy="3311525"/>
                  <wp:effectExtent l="0" t="0" r="0" b="317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3C49A2" w:rsidRPr="008F3531" w:rsidTr="00B3325F">
        <w:tc>
          <w:tcPr>
            <w:tcW w:w="4830" w:type="dxa"/>
            <w:tcBorders>
              <w:top w:val="nil"/>
              <w:left w:val="nil"/>
              <w:bottom w:val="nil"/>
              <w:right w:val="nil"/>
            </w:tcBorders>
          </w:tcPr>
          <w:p w:rsidR="003C49A2" w:rsidRPr="008F3531" w:rsidRDefault="003C49A2" w:rsidP="007C27E6">
            <w:pPr>
              <w:pStyle w:val="MainParawithChapter"/>
              <w:spacing w:before="0" w:after="0"/>
            </w:pPr>
            <w:r w:rsidRPr="0045185C">
              <w:rPr>
                <w:noProof/>
              </w:rPr>
              <w:drawing>
                <wp:inline distT="0" distB="0" distL="0" distR="0" wp14:anchorId="10E6DC37" wp14:editId="039AE7F3">
                  <wp:extent cx="2817341" cy="1902940"/>
                  <wp:effectExtent l="0" t="0" r="21590" b="2159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746" w:type="dxa"/>
            <w:tcBorders>
              <w:top w:val="nil"/>
              <w:left w:val="nil"/>
              <w:bottom w:val="nil"/>
              <w:right w:val="nil"/>
            </w:tcBorders>
          </w:tcPr>
          <w:p w:rsidR="003C49A2" w:rsidRPr="008F3531" w:rsidRDefault="003C49A2" w:rsidP="007C27E6">
            <w:pPr>
              <w:pStyle w:val="MainParawithChapter"/>
              <w:spacing w:before="0" w:after="0"/>
            </w:pPr>
            <w:r w:rsidRPr="0045185C">
              <w:rPr>
                <w:noProof/>
              </w:rPr>
              <w:drawing>
                <wp:inline distT="0" distB="0" distL="0" distR="0" wp14:anchorId="68C11111" wp14:editId="51B8B76E">
                  <wp:extent cx="2762250" cy="1902460"/>
                  <wp:effectExtent l="0" t="0" r="0" b="254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rsidR="003C49A2" w:rsidRPr="008F3531" w:rsidRDefault="003C49A2" w:rsidP="007C27E6">
      <w:pPr>
        <w:pStyle w:val="MainParawithChapter"/>
        <w:spacing w:before="0" w:after="0"/>
        <w:rPr>
          <w:sz w:val="20"/>
          <w:szCs w:val="20"/>
        </w:rPr>
      </w:pPr>
      <w:r w:rsidRPr="008F3531">
        <w:rPr>
          <w:sz w:val="20"/>
          <w:szCs w:val="20"/>
        </w:rPr>
        <w:t>Source: EMEP 2001, ELIM 2006 and ELIM 2010. Authors’ calculations</w:t>
      </w:r>
      <w:r w:rsidR="007C27E6" w:rsidRPr="008F3531">
        <w:rPr>
          <w:sz w:val="20"/>
          <w:szCs w:val="20"/>
        </w:rPr>
        <w:t>.</w:t>
      </w:r>
    </w:p>
    <w:p w:rsidR="007C27E6" w:rsidRPr="0045185C" w:rsidRDefault="007C27E6" w:rsidP="007C27E6">
      <w:pPr>
        <w:pStyle w:val="MainParawithChapter"/>
        <w:spacing w:before="0" w:after="0"/>
      </w:pPr>
    </w:p>
    <w:p w:rsidR="0045185C" w:rsidRDefault="003C49A2" w:rsidP="00E56625">
      <w:pPr>
        <w:pStyle w:val="paranumb"/>
      </w:pPr>
      <w:r w:rsidRPr="00782B0C">
        <w:t xml:space="preserve">Considering changes in poverty from a regional perspective one notes how poverty declined rapidly in </w:t>
      </w:r>
      <w:r w:rsidRPr="00E56625">
        <w:t xml:space="preserve">Kayes, Koulikoro and Mopti. In Koulikoro and Mopti most of the decline occurred during the first half of the decade, in Kayes the reduction in poverty continued throughout the period. The reduction in poverty in these two regions, contrasts with that in Sikasso where poverty remained very high and largely unchanged. In Ségou, Tombouctou and Gao, finally, regions with the lowest incidence of poverty (apart from Kidal and Bamako which have even lower poverty levels), levels of poverty increased somewhat. </w:t>
      </w:r>
      <w:bookmarkStart w:id="74" w:name="_Toc390956398"/>
      <w:r w:rsidR="0045185C">
        <w:br w:type="page"/>
      </w:r>
    </w:p>
    <w:p w:rsidR="003C49A2" w:rsidRPr="00E56625" w:rsidRDefault="007C27E6" w:rsidP="00E56625">
      <w:pPr>
        <w:pStyle w:val="paranumb"/>
        <w:numPr>
          <w:ilvl w:val="0"/>
          <w:numId w:val="0"/>
        </w:numPr>
        <w:jc w:val="center"/>
        <w:rPr>
          <w:b/>
        </w:rPr>
      </w:pPr>
      <w:r w:rsidRPr="00E56625">
        <w:rPr>
          <w:b/>
        </w:rPr>
        <w:t xml:space="preserve">Figure </w:t>
      </w:r>
      <w:r w:rsidR="00943E46" w:rsidRPr="00E56625">
        <w:rPr>
          <w:b/>
        </w:rPr>
        <w:fldChar w:fldCharType="begin"/>
      </w:r>
      <w:r w:rsidR="00943E46" w:rsidRPr="00E56625">
        <w:rPr>
          <w:b/>
        </w:rPr>
        <w:instrText xml:space="preserve"> STYLEREF 1 \s </w:instrText>
      </w:r>
      <w:r w:rsidR="00943E46" w:rsidRPr="00E56625">
        <w:rPr>
          <w:b/>
        </w:rPr>
        <w:fldChar w:fldCharType="separate"/>
      </w:r>
      <w:r w:rsidR="002779FA">
        <w:rPr>
          <w:b/>
          <w:noProof/>
        </w:rPr>
        <w:t>4</w:t>
      </w:r>
      <w:r w:rsidR="00943E46" w:rsidRPr="00E56625">
        <w:rPr>
          <w:b/>
          <w:noProof/>
        </w:rPr>
        <w:fldChar w:fldCharType="end"/>
      </w:r>
      <w:r w:rsidR="00EE6599" w:rsidRPr="00E56625">
        <w:rPr>
          <w:b/>
        </w:rPr>
        <w:t>.</w:t>
      </w:r>
      <w:r w:rsidR="00943E46" w:rsidRPr="00E56625">
        <w:rPr>
          <w:b/>
        </w:rPr>
        <w:fldChar w:fldCharType="begin"/>
      </w:r>
      <w:r w:rsidR="00943E46" w:rsidRPr="00E56625">
        <w:rPr>
          <w:b/>
        </w:rPr>
        <w:instrText xml:space="preserve"> SEQ Figure \* ARABIC \s 1 </w:instrText>
      </w:r>
      <w:r w:rsidR="00943E46" w:rsidRPr="00E56625">
        <w:rPr>
          <w:b/>
        </w:rPr>
        <w:fldChar w:fldCharType="separate"/>
      </w:r>
      <w:r w:rsidR="002779FA">
        <w:rPr>
          <w:b/>
          <w:noProof/>
        </w:rPr>
        <w:t>9</w:t>
      </w:r>
      <w:r w:rsidR="00943E46" w:rsidRPr="00E56625">
        <w:rPr>
          <w:b/>
          <w:noProof/>
        </w:rPr>
        <w:fldChar w:fldCharType="end"/>
      </w:r>
      <w:r w:rsidR="003C49A2" w:rsidRPr="00E56625">
        <w:rPr>
          <w:b/>
        </w:rPr>
        <w:t>: Poverty trends: 2001-2010, by region</w:t>
      </w:r>
      <w:bookmarkEnd w:id="74"/>
    </w:p>
    <w:p w:rsidR="003C49A2" w:rsidRPr="00E56625" w:rsidRDefault="003C49A2" w:rsidP="007C27E6">
      <w:pPr>
        <w:spacing w:after="0"/>
        <w:jc w:val="center"/>
        <w:rPr>
          <w:lang w:val="en-US"/>
        </w:rPr>
      </w:pPr>
      <w:r w:rsidRPr="00782B0C">
        <w:rPr>
          <w:noProof/>
          <w:lang w:val="en-US"/>
        </w:rPr>
        <w:drawing>
          <wp:inline distT="0" distB="0" distL="0" distR="0" wp14:anchorId="3661D346" wp14:editId="61F2F5E0">
            <wp:extent cx="5982159" cy="274320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C49A2" w:rsidRPr="00E56625" w:rsidRDefault="003C49A2" w:rsidP="007C27E6">
      <w:pPr>
        <w:spacing w:after="0"/>
        <w:rPr>
          <w:sz w:val="20"/>
          <w:szCs w:val="20"/>
          <w:lang w:val="en-US"/>
        </w:rPr>
      </w:pPr>
      <w:r w:rsidRPr="00E56625">
        <w:rPr>
          <w:sz w:val="20"/>
          <w:szCs w:val="20"/>
          <w:lang w:val="en-US"/>
        </w:rPr>
        <w:t>Source: ELIM 2001, 2006 and 2010. Authors’ calculations</w:t>
      </w:r>
      <w:r w:rsidR="007C27E6" w:rsidRPr="00E56625">
        <w:rPr>
          <w:sz w:val="20"/>
          <w:szCs w:val="20"/>
          <w:lang w:val="en-US"/>
        </w:rPr>
        <w:t>.</w:t>
      </w:r>
    </w:p>
    <w:p w:rsidR="007C27E6" w:rsidRPr="00E56625" w:rsidRDefault="007C27E6" w:rsidP="007C27E6">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Table 4.1 presents poverty by livelihood zone</w:t>
      </w:r>
      <w:r w:rsidR="00FC7657">
        <w:rPr>
          <w:rFonts w:cs="Times New Roman"/>
          <w:szCs w:val="24"/>
        </w:rPr>
        <w:t xml:space="preserve"> (annex 4 repeats this Table while also providing standard errors)</w:t>
      </w:r>
      <w:r w:rsidRPr="008F3531">
        <w:rPr>
          <w:rFonts w:cs="Times New Roman"/>
          <w:szCs w:val="24"/>
        </w:rPr>
        <w:t xml:space="preserve">. Since the household surveys were not designed to be representative at the livelihood zone one has to be cautious doing so: we only present poverty estimates for zones for which we have at least 100 observations. </w:t>
      </w:r>
    </w:p>
    <w:p w:rsidR="003C49A2" w:rsidRPr="008F3531" w:rsidRDefault="0062371B" w:rsidP="0062371B">
      <w:pPr>
        <w:pStyle w:val="Caption"/>
        <w:rPr>
          <w:b w:val="0"/>
        </w:rPr>
      </w:pPr>
      <w:bookmarkStart w:id="75" w:name="_Toc390956287"/>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1</w:t>
      </w:r>
      <w:r w:rsidR="00943E46" w:rsidRPr="00E56625">
        <w:rPr>
          <w:noProof/>
        </w:rPr>
        <w:fldChar w:fldCharType="end"/>
      </w:r>
      <w:r w:rsidR="003C49A2" w:rsidRPr="008F3531">
        <w:rPr>
          <w:b w:val="0"/>
        </w:rPr>
        <w:t>: Poverty incidence by livelihood zone</w:t>
      </w:r>
      <w:bookmarkEnd w:id="75"/>
    </w:p>
    <w:tbl>
      <w:tblPr>
        <w:tblW w:w="4995" w:type="pct"/>
        <w:tblLook w:val="04A0" w:firstRow="1" w:lastRow="0" w:firstColumn="1" w:lastColumn="0" w:noHBand="0" w:noVBand="1"/>
      </w:tblPr>
      <w:tblGrid>
        <w:gridCol w:w="719"/>
        <w:gridCol w:w="6589"/>
        <w:gridCol w:w="681"/>
        <w:gridCol w:w="681"/>
        <w:gridCol w:w="681"/>
      </w:tblGrid>
      <w:tr w:rsidR="003C49A2" w:rsidRPr="008F3531" w:rsidTr="00B3325F">
        <w:trPr>
          <w:trHeight w:val="300"/>
        </w:trPr>
        <w:tc>
          <w:tcPr>
            <w:tcW w:w="385" w:type="pct"/>
            <w:tcBorders>
              <w:top w:val="single" w:sz="4" w:space="0" w:color="auto"/>
              <w:left w:val="nil"/>
              <w:bottom w:val="single" w:sz="4" w:space="0" w:color="auto"/>
              <w:right w:val="nil"/>
            </w:tcBorders>
          </w:tcPr>
          <w:p w:rsidR="003C49A2" w:rsidRPr="00E56625" w:rsidRDefault="003C49A2" w:rsidP="002744E6">
            <w:pPr>
              <w:spacing w:before="40" w:after="40"/>
              <w:rPr>
                <w:rFonts w:eastAsia="Times New Roman"/>
                <w:color w:val="000000"/>
                <w:sz w:val="20"/>
                <w:szCs w:val="20"/>
                <w:lang w:val="en-US"/>
              </w:rPr>
            </w:pPr>
            <w:r w:rsidRPr="00E56625">
              <w:rPr>
                <w:rFonts w:eastAsia="Times New Roman"/>
                <w:b/>
                <w:color w:val="000000"/>
                <w:sz w:val="20"/>
                <w:szCs w:val="20"/>
                <w:lang w:val="en-US"/>
              </w:rPr>
              <w:t>Zone</w:t>
            </w:r>
          </w:p>
        </w:tc>
        <w:tc>
          <w:tcPr>
            <w:tcW w:w="3523" w:type="pct"/>
            <w:tcBorders>
              <w:top w:val="single" w:sz="4" w:space="0" w:color="auto"/>
              <w:left w:val="nil"/>
              <w:bottom w:val="single" w:sz="4" w:space="0" w:color="auto"/>
              <w:right w:val="nil"/>
            </w:tcBorders>
            <w:shd w:val="clear" w:color="auto" w:fill="auto"/>
            <w:noWrap/>
            <w:vAlign w:val="bottom"/>
            <w:hideMark/>
          </w:tcPr>
          <w:p w:rsidR="003C49A2" w:rsidRPr="00E56625" w:rsidRDefault="003C49A2" w:rsidP="002744E6">
            <w:pPr>
              <w:spacing w:before="40" w:after="40"/>
              <w:rPr>
                <w:rFonts w:eastAsia="Times New Roman"/>
                <w:b/>
                <w:color w:val="000000"/>
                <w:sz w:val="20"/>
                <w:szCs w:val="20"/>
                <w:lang w:val="en-US"/>
              </w:rPr>
            </w:pPr>
            <w:r w:rsidRPr="00E56625">
              <w:rPr>
                <w:rFonts w:eastAsia="Times New Roman"/>
                <w:b/>
                <w:color w:val="000000"/>
                <w:sz w:val="20"/>
                <w:szCs w:val="20"/>
                <w:lang w:val="en-US"/>
              </w:rPr>
              <w:t>Description</w:t>
            </w:r>
          </w:p>
        </w:tc>
        <w:tc>
          <w:tcPr>
            <w:tcW w:w="364" w:type="pct"/>
            <w:tcBorders>
              <w:top w:val="single" w:sz="4" w:space="0" w:color="auto"/>
              <w:left w:val="nil"/>
              <w:bottom w:val="single" w:sz="4" w:space="0" w:color="auto"/>
              <w:right w:val="nil"/>
            </w:tcBorders>
            <w:shd w:val="clear" w:color="auto" w:fill="auto"/>
            <w:vAlign w:val="center"/>
            <w:hideMark/>
          </w:tcPr>
          <w:p w:rsidR="003C49A2" w:rsidRPr="00E56625" w:rsidRDefault="003C49A2" w:rsidP="002744E6">
            <w:pPr>
              <w:spacing w:before="40" w:after="40"/>
              <w:jc w:val="center"/>
              <w:rPr>
                <w:rFonts w:eastAsia="Times New Roman"/>
                <w:b/>
                <w:bCs/>
                <w:color w:val="000000"/>
                <w:sz w:val="20"/>
                <w:szCs w:val="20"/>
                <w:lang w:val="en-US"/>
              </w:rPr>
            </w:pPr>
            <w:r w:rsidRPr="00E56625">
              <w:rPr>
                <w:rFonts w:eastAsia="Times New Roman"/>
                <w:b/>
                <w:bCs/>
                <w:color w:val="000000"/>
                <w:sz w:val="20"/>
                <w:szCs w:val="20"/>
                <w:lang w:val="en-US"/>
              </w:rPr>
              <w:t>2001</w:t>
            </w:r>
          </w:p>
        </w:tc>
        <w:tc>
          <w:tcPr>
            <w:tcW w:w="364" w:type="pct"/>
            <w:tcBorders>
              <w:top w:val="single" w:sz="4" w:space="0" w:color="auto"/>
              <w:left w:val="nil"/>
              <w:bottom w:val="single" w:sz="4" w:space="0" w:color="auto"/>
              <w:right w:val="nil"/>
            </w:tcBorders>
            <w:shd w:val="clear" w:color="auto" w:fill="auto"/>
            <w:vAlign w:val="center"/>
            <w:hideMark/>
          </w:tcPr>
          <w:p w:rsidR="003C49A2" w:rsidRPr="00E56625" w:rsidRDefault="003C49A2" w:rsidP="002744E6">
            <w:pPr>
              <w:spacing w:before="40" w:after="40"/>
              <w:jc w:val="center"/>
              <w:rPr>
                <w:rFonts w:eastAsia="Times New Roman"/>
                <w:b/>
                <w:bCs/>
                <w:color w:val="000000"/>
                <w:sz w:val="20"/>
                <w:szCs w:val="20"/>
                <w:lang w:val="en-US"/>
              </w:rPr>
            </w:pPr>
            <w:r w:rsidRPr="00E56625">
              <w:rPr>
                <w:rFonts w:eastAsia="Times New Roman"/>
                <w:b/>
                <w:bCs/>
                <w:color w:val="000000"/>
                <w:sz w:val="20"/>
                <w:szCs w:val="20"/>
                <w:lang w:val="en-US"/>
              </w:rPr>
              <w:t>2006</w:t>
            </w:r>
          </w:p>
        </w:tc>
        <w:tc>
          <w:tcPr>
            <w:tcW w:w="364" w:type="pct"/>
            <w:tcBorders>
              <w:top w:val="single" w:sz="4" w:space="0" w:color="auto"/>
              <w:left w:val="nil"/>
              <w:bottom w:val="single" w:sz="4" w:space="0" w:color="auto"/>
              <w:right w:val="nil"/>
            </w:tcBorders>
            <w:shd w:val="clear" w:color="auto" w:fill="auto"/>
            <w:vAlign w:val="center"/>
            <w:hideMark/>
          </w:tcPr>
          <w:p w:rsidR="003C49A2" w:rsidRPr="00E56625" w:rsidRDefault="003C49A2" w:rsidP="002744E6">
            <w:pPr>
              <w:spacing w:before="40" w:after="40"/>
              <w:jc w:val="center"/>
              <w:rPr>
                <w:rFonts w:eastAsia="Times New Roman"/>
                <w:b/>
                <w:bCs/>
                <w:color w:val="000000"/>
                <w:sz w:val="20"/>
                <w:szCs w:val="20"/>
                <w:lang w:val="en-US"/>
              </w:rPr>
            </w:pPr>
            <w:r w:rsidRPr="00E56625">
              <w:rPr>
                <w:rFonts w:eastAsia="Times New Roman"/>
                <w:b/>
                <w:bCs/>
                <w:color w:val="000000"/>
                <w:sz w:val="20"/>
                <w:szCs w:val="20"/>
                <w:lang w:val="en-US"/>
              </w:rPr>
              <w:t>2010</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w:t>
            </w:r>
          </w:p>
        </w:tc>
        <w:tc>
          <w:tcPr>
            <w:tcW w:w="3523" w:type="pct"/>
            <w:tcBorders>
              <w:top w:val="nil"/>
              <w:left w:val="nil"/>
              <w:bottom w:val="nil"/>
              <w:right w:val="nil"/>
            </w:tcBorders>
            <w:shd w:val="clear" w:color="auto" w:fill="auto"/>
            <w:noWrap/>
            <w:vAlign w:val="center"/>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Nomadism and trans-Saharan trade</w:t>
            </w:r>
          </w:p>
        </w:tc>
        <w:tc>
          <w:tcPr>
            <w:tcW w:w="364" w:type="pct"/>
            <w:tcBorders>
              <w:top w:val="nil"/>
              <w:left w:val="nil"/>
              <w:bottom w:val="nil"/>
              <w:right w:val="nil"/>
            </w:tcBorders>
            <w:shd w:val="clear" w:color="auto" w:fill="auto"/>
            <w:noWrap/>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364" w:type="pct"/>
            <w:tcBorders>
              <w:top w:val="nil"/>
              <w:left w:val="nil"/>
              <w:bottom w:val="nil"/>
              <w:right w:val="nil"/>
            </w:tcBorders>
            <w:shd w:val="clear" w:color="auto" w:fill="auto"/>
            <w:noWrap/>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364" w:type="pct"/>
            <w:tcBorders>
              <w:top w:val="nil"/>
              <w:left w:val="nil"/>
              <w:bottom w:val="nil"/>
              <w:right w:val="nil"/>
            </w:tcBorders>
            <w:shd w:val="clear" w:color="auto" w:fill="auto"/>
            <w:noWrap/>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37.5</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2</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Nomadic and transhumant pastoralism</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20.6</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17.1</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22.3</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3</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Fluvial rice and transhumant livestock rearing (agropastoral)</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29.7</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Millet and transhumant livestock rearing</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68.2</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42.5</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58.2</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Dogon plateau -- millet, shallots, wild foods and tourism</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40.7</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6</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Niger delta - rice and livestock rearing (agropastoral)</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23.7</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19.5</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29.6</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7</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Office du Niger (irrigated rice)</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color w:val="000000"/>
                <w:sz w:val="20"/>
                <w:szCs w:val="20"/>
                <w:lang w:val="en-US"/>
              </w:rPr>
              <w:t>40.8</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color w:val="000000"/>
                <w:sz w:val="20"/>
                <w:szCs w:val="20"/>
                <w:lang w:val="en-US"/>
              </w:rPr>
              <w:t>57.0</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color w:val="000000"/>
                <w:sz w:val="20"/>
                <w:szCs w:val="20"/>
                <w:lang w:val="en-US"/>
              </w:rPr>
              <w:t>21.2</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8</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North-west remittances, sorghum and transhumant livestock rearing</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62.6</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30.4</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19.6</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9</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West and central rain-fed millet/sorghum</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49.9</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45.7</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42.5</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10</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Sorghum, millet and cotton</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54.6</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70.9</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74.3</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11</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South maize, cotton and fruits</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71.8</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56.2</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52.0</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12</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South-west maize, sorghum and fruits</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80.1</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63.0</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52.7</w:t>
            </w:r>
          </w:p>
        </w:tc>
      </w:tr>
      <w:tr w:rsidR="003C49A2" w:rsidRPr="008F3531" w:rsidTr="00B3325F">
        <w:trPr>
          <w:trHeight w:val="300"/>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13</w:t>
            </w: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14.1</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6.3</w:t>
            </w:r>
          </w:p>
        </w:tc>
        <w:tc>
          <w:tcPr>
            <w:tcW w:w="364" w:type="pct"/>
            <w:tcBorders>
              <w:top w:val="nil"/>
              <w:left w:val="nil"/>
              <w:bottom w:val="nil"/>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7.6</w:t>
            </w:r>
          </w:p>
        </w:tc>
      </w:tr>
      <w:tr w:rsidR="003C49A2" w:rsidRPr="008F3531" w:rsidTr="002744E6">
        <w:trPr>
          <w:trHeight w:val="144"/>
        </w:trPr>
        <w:tc>
          <w:tcPr>
            <w:tcW w:w="385" w:type="pct"/>
            <w:tcBorders>
              <w:top w:val="nil"/>
              <w:left w:val="nil"/>
              <w:bottom w:val="nil"/>
              <w:right w:val="nil"/>
            </w:tcBorders>
            <w:vAlign w:val="center"/>
          </w:tcPr>
          <w:p w:rsidR="003C49A2" w:rsidRPr="00E56625" w:rsidRDefault="003C49A2" w:rsidP="0062371B">
            <w:pPr>
              <w:spacing w:after="0"/>
              <w:jc w:val="center"/>
              <w:rPr>
                <w:rFonts w:eastAsia="Times New Roman"/>
                <w:color w:val="000000"/>
                <w:sz w:val="20"/>
                <w:szCs w:val="20"/>
                <w:lang w:val="en-US"/>
              </w:rPr>
            </w:pPr>
          </w:p>
        </w:tc>
        <w:tc>
          <w:tcPr>
            <w:tcW w:w="3523" w:type="pct"/>
            <w:tcBorders>
              <w:top w:val="nil"/>
              <w:left w:val="nil"/>
              <w:bottom w:val="nil"/>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p>
        </w:tc>
        <w:tc>
          <w:tcPr>
            <w:tcW w:w="364" w:type="pct"/>
            <w:tcBorders>
              <w:top w:val="nil"/>
              <w:left w:val="nil"/>
              <w:bottom w:val="nil"/>
              <w:right w:val="nil"/>
            </w:tcBorders>
            <w:shd w:val="clear" w:color="auto" w:fill="auto"/>
            <w:vAlign w:val="center"/>
            <w:hideMark/>
          </w:tcPr>
          <w:p w:rsidR="003C49A2" w:rsidRPr="00E56625" w:rsidRDefault="003C49A2" w:rsidP="0062371B">
            <w:pPr>
              <w:spacing w:after="0"/>
              <w:jc w:val="center"/>
              <w:rPr>
                <w:rFonts w:eastAsia="Times New Roman"/>
                <w:color w:val="000000"/>
                <w:sz w:val="20"/>
                <w:szCs w:val="20"/>
                <w:lang w:val="en-US"/>
              </w:rPr>
            </w:pPr>
          </w:p>
        </w:tc>
        <w:tc>
          <w:tcPr>
            <w:tcW w:w="364" w:type="pct"/>
            <w:tcBorders>
              <w:top w:val="nil"/>
              <w:left w:val="nil"/>
              <w:bottom w:val="nil"/>
              <w:right w:val="nil"/>
            </w:tcBorders>
            <w:shd w:val="clear" w:color="auto" w:fill="auto"/>
            <w:vAlign w:val="center"/>
            <w:hideMark/>
          </w:tcPr>
          <w:p w:rsidR="003C49A2" w:rsidRPr="00E56625" w:rsidRDefault="003C49A2" w:rsidP="0062371B">
            <w:pPr>
              <w:spacing w:after="0"/>
              <w:jc w:val="center"/>
              <w:rPr>
                <w:rFonts w:eastAsia="Times New Roman"/>
                <w:color w:val="000000"/>
                <w:sz w:val="20"/>
                <w:szCs w:val="20"/>
                <w:lang w:val="en-US"/>
              </w:rPr>
            </w:pPr>
          </w:p>
        </w:tc>
        <w:tc>
          <w:tcPr>
            <w:tcW w:w="364" w:type="pct"/>
            <w:tcBorders>
              <w:top w:val="nil"/>
              <w:left w:val="nil"/>
              <w:bottom w:val="nil"/>
              <w:right w:val="nil"/>
            </w:tcBorders>
            <w:shd w:val="clear" w:color="auto" w:fill="auto"/>
            <w:vAlign w:val="center"/>
            <w:hideMark/>
          </w:tcPr>
          <w:p w:rsidR="003C49A2" w:rsidRPr="00E56625" w:rsidRDefault="003C49A2" w:rsidP="0062371B">
            <w:pPr>
              <w:spacing w:after="0"/>
              <w:jc w:val="center"/>
              <w:rPr>
                <w:rFonts w:eastAsia="Times New Roman"/>
                <w:color w:val="000000"/>
                <w:sz w:val="20"/>
                <w:szCs w:val="20"/>
                <w:lang w:val="en-US"/>
              </w:rPr>
            </w:pPr>
          </w:p>
        </w:tc>
      </w:tr>
      <w:tr w:rsidR="003C49A2" w:rsidRPr="008F3531" w:rsidTr="00B3325F">
        <w:trPr>
          <w:trHeight w:val="300"/>
        </w:trPr>
        <w:tc>
          <w:tcPr>
            <w:tcW w:w="385" w:type="pct"/>
            <w:tcBorders>
              <w:top w:val="nil"/>
              <w:left w:val="nil"/>
              <w:bottom w:val="single" w:sz="4" w:space="0" w:color="auto"/>
              <w:right w:val="nil"/>
            </w:tcBorders>
            <w:vAlign w:val="center"/>
          </w:tcPr>
          <w:p w:rsidR="003C49A2" w:rsidRPr="00E56625" w:rsidRDefault="003C49A2" w:rsidP="0062371B">
            <w:pPr>
              <w:spacing w:after="0"/>
              <w:jc w:val="center"/>
              <w:rPr>
                <w:rFonts w:eastAsia="Times New Roman"/>
                <w:color w:val="000000"/>
                <w:sz w:val="20"/>
                <w:szCs w:val="20"/>
                <w:lang w:val="en-US"/>
              </w:rPr>
            </w:pPr>
          </w:p>
        </w:tc>
        <w:tc>
          <w:tcPr>
            <w:tcW w:w="3523" w:type="pct"/>
            <w:tcBorders>
              <w:top w:val="nil"/>
              <w:left w:val="nil"/>
              <w:bottom w:val="single" w:sz="4" w:space="0" w:color="auto"/>
              <w:right w:val="nil"/>
            </w:tcBorders>
            <w:shd w:val="clear" w:color="auto" w:fill="auto"/>
            <w:noWrap/>
            <w:vAlign w:val="center"/>
            <w:hideMark/>
          </w:tcPr>
          <w:p w:rsidR="003C49A2" w:rsidRPr="00E56625" w:rsidRDefault="003C49A2" w:rsidP="0062371B">
            <w:pPr>
              <w:spacing w:after="0"/>
              <w:rPr>
                <w:rFonts w:eastAsia="Times New Roman"/>
                <w:color w:val="000000"/>
                <w:sz w:val="20"/>
                <w:szCs w:val="20"/>
                <w:lang w:val="en-US"/>
              </w:rPr>
            </w:pPr>
            <w:r w:rsidRPr="00E56625">
              <w:rPr>
                <w:rFonts w:eastAsia="Times New Roman"/>
                <w:color w:val="000000"/>
                <w:sz w:val="20"/>
                <w:szCs w:val="20"/>
                <w:lang w:val="en-US"/>
              </w:rPr>
              <w:t>Mali</w:t>
            </w:r>
          </w:p>
        </w:tc>
        <w:tc>
          <w:tcPr>
            <w:tcW w:w="364" w:type="pct"/>
            <w:tcBorders>
              <w:top w:val="nil"/>
              <w:left w:val="nil"/>
              <w:bottom w:val="single" w:sz="4" w:space="0" w:color="auto"/>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50.9</w:t>
            </w:r>
          </w:p>
        </w:tc>
        <w:tc>
          <w:tcPr>
            <w:tcW w:w="364" w:type="pct"/>
            <w:tcBorders>
              <w:top w:val="nil"/>
              <w:left w:val="nil"/>
              <w:bottom w:val="single" w:sz="4" w:space="0" w:color="auto"/>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41.7</w:t>
            </w:r>
          </w:p>
        </w:tc>
        <w:tc>
          <w:tcPr>
            <w:tcW w:w="364" w:type="pct"/>
            <w:tcBorders>
              <w:top w:val="nil"/>
              <w:left w:val="nil"/>
              <w:bottom w:val="single" w:sz="4" w:space="0" w:color="auto"/>
              <w:right w:val="nil"/>
            </w:tcBorders>
            <w:shd w:val="clear" w:color="auto" w:fill="auto"/>
            <w:noWrap/>
            <w:vAlign w:val="center"/>
            <w:hideMark/>
          </w:tcPr>
          <w:p w:rsidR="003C49A2" w:rsidRPr="00E56625" w:rsidRDefault="003C49A2" w:rsidP="0062371B">
            <w:pPr>
              <w:spacing w:after="0"/>
              <w:jc w:val="center"/>
              <w:rPr>
                <w:rFonts w:eastAsia="Times New Roman"/>
                <w:color w:val="000000"/>
                <w:sz w:val="20"/>
                <w:szCs w:val="20"/>
                <w:lang w:val="en-US"/>
              </w:rPr>
            </w:pPr>
            <w:r w:rsidRPr="00E56625">
              <w:rPr>
                <w:rFonts w:eastAsia="Times New Roman"/>
                <w:color w:val="000000"/>
                <w:sz w:val="20"/>
                <w:szCs w:val="20"/>
                <w:lang w:val="en-US"/>
              </w:rPr>
              <w:t>41.1</w:t>
            </w:r>
          </w:p>
        </w:tc>
      </w:tr>
    </w:tbl>
    <w:p w:rsidR="003C49A2" w:rsidRPr="00E56625" w:rsidRDefault="003C49A2" w:rsidP="002744E6">
      <w:pPr>
        <w:spacing w:after="100"/>
        <w:rPr>
          <w:sz w:val="20"/>
          <w:szCs w:val="20"/>
          <w:lang w:val="en-US"/>
        </w:rPr>
      </w:pPr>
      <w:r w:rsidRPr="00E56625">
        <w:rPr>
          <w:sz w:val="20"/>
          <w:szCs w:val="20"/>
          <w:lang w:val="en-US"/>
        </w:rPr>
        <w:t>(*) only cells for which there are at least 100 observations are shown.</w:t>
      </w:r>
    </w:p>
    <w:p w:rsidR="003C49A2" w:rsidRPr="00E56625" w:rsidRDefault="003C49A2" w:rsidP="003C49A2">
      <w:pPr>
        <w:spacing w:after="120"/>
        <w:rPr>
          <w:sz w:val="20"/>
          <w:szCs w:val="20"/>
          <w:lang w:val="en-US"/>
        </w:rPr>
      </w:pPr>
      <w:r w:rsidRPr="00E56625">
        <w:rPr>
          <w:sz w:val="20"/>
          <w:szCs w:val="20"/>
          <w:lang w:val="en-US"/>
        </w:rPr>
        <w:t>Source: ELIM 2001, 2006 and 2010. Authors’ calculations</w:t>
      </w:r>
      <w:r w:rsidR="0062371B" w:rsidRPr="00E56625">
        <w:rPr>
          <w:sz w:val="20"/>
          <w:szCs w:val="20"/>
          <w:lang w:val="en-US"/>
        </w:rPr>
        <w:t>.</w:t>
      </w:r>
    </w:p>
    <w:p w:rsidR="0062371B" w:rsidRPr="00E56625" w:rsidRDefault="0062371B" w:rsidP="002744E6">
      <w:pPr>
        <w:spacing w:after="0"/>
        <w:rPr>
          <w:sz w:val="20"/>
          <w:szCs w:val="20"/>
          <w:lang w:val="en-US"/>
        </w:rPr>
      </w:pPr>
    </w:p>
    <w:p w:rsidR="003C49A2" w:rsidRPr="008F3531" w:rsidRDefault="003C49A2" w:rsidP="00D17889">
      <w:pPr>
        <w:pStyle w:val="paranumb"/>
        <w:spacing w:after="200"/>
        <w:rPr>
          <w:rFonts w:cs="Times New Roman"/>
          <w:szCs w:val="24"/>
        </w:rPr>
      </w:pPr>
      <w:r w:rsidRPr="008F3531">
        <w:rPr>
          <w:rFonts w:cs="Times New Roman"/>
          <w:szCs w:val="24"/>
        </w:rPr>
        <w:t xml:space="preserve">The first aspect that comes to attention is the high rate of poverty in livelihood zone 10. With a rate of poverty 74.3 percent, poverty is at least 15 percent higher than in the next poorest livelihood zone (that with millet and transhumant livestock rearing). Poverty incidence in the other two livelihood zones in Sikasso is substantially lower (52 percent). This puts a different perspective on the high levels of poverty in this region. There are three livelihood zones which lie in Sikasso with populations of respectively of 800,000 (zone 10), 1.5 million (zone 11) and 320,000 (zone 12). The high levels of poverty in Sikasso are driven by households in zone 10 as households in zones 11 and 12 experience an incidence of poverty that is substantially lower (52 percent) and not far above the average for rural areas in general (around 48 percent). </w:t>
      </w:r>
    </w:p>
    <w:p w:rsidR="003C49A2" w:rsidRPr="008F3531" w:rsidRDefault="003C49A2" w:rsidP="00D17889">
      <w:pPr>
        <w:pStyle w:val="paranumb"/>
        <w:spacing w:after="200"/>
        <w:rPr>
          <w:rFonts w:cs="Times New Roman"/>
          <w:szCs w:val="24"/>
        </w:rPr>
      </w:pPr>
      <w:r w:rsidRPr="008F3531">
        <w:rPr>
          <w:rFonts w:cs="Times New Roman"/>
          <w:szCs w:val="24"/>
        </w:rPr>
        <w:t>Poverty in livelihood zone 10 has been increasing rapidly (from 55 percent in 2001 to 74 percent in 2010), whereas in zone 11 it has been decreasing (from 72 percent in 2001 to 52 percent in 2010). Consequently stagnant levels of poverty in Sikasso hide the fact that underlying this has been a reversal of fortunes: households in zone 10 started to do worse, those in zone 11 did better.</w:t>
      </w:r>
    </w:p>
    <w:p w:rsidR="003C49A2" w:rsidRPr="008F3531" w:rsidRDefault="003C49A2" w:rsidP="00D17889">
      <w:pPr>
        <w:pStyle w:val="paranumb"/>
        <w:spacing w:after="200"/>
        <w:rPr>
          <w:rFonts w:cs="Times New Roman"/>
          <w:szCs w:val="24"/>
        </w:rPr>
      </w:pPr>
      <w:r w:rsidRPr="008F3531">
        <w:rPr>
          <w:rFonts w:cs="Times New Roman"/>
          <w:szCs w:val="24"/>
        </w:rPr>
        <w:t xml:space="preserve">The increase in poverty in zone 10 – as opposed to zones 11 and 12 may just be a reflection of bad weather. According to FEWSNET (2008/9 and 2009/10 were very poor agricultural years in zone 10, unlike in zones 11 and 12 where they were acceptable or even good. </w:t>
      </w:r>
    </w:p>
    <w:p w:rsidR="003C49A2" w:rsidRPr="008F3531" w:rsidRDefault="003C49A2" w:rsidP="00D17889">
      <w:pPr>
        <w:pStyle w:val="paranumb"/>
        <w:spacing w:after="200"/>
        <w:rPr>
          <w:rFonts w:cs="Times New Roman"/>
          <w:szCs w:val="24"/>
        </w:rPr>
      </w:pPr>
      <w:r w:rsidRPr="008F3531">
        <w:rPr>
          <w:rFonts w:cs="Times New Roman"/>
          <w:szCs w:val="24"/>
        </w:rPr>
        <w:t xml:space="preserve">Households depending on livestock rearing or who combine livestock rearing with other activities, those depending on </w:t>
      </w:r>
      <w:r w:rsidRPr="008F3531">
        <w:rPr>
          <w:rFonts w:eastAsia="Times New Roman" w:cs="Times New Roman"/>
          <w:color w:val="000000"/>
          <w:szCs w:val="24"/>
        </w:rPr>
        <w:t>nomadic and transhumant pastoralism</w:t>
      </w:r>
      <w:r w:rsidRPr="008F3531">
        <w:rPr>
          <w:rFonts w:cs="Times New Roman"/>
          <w:szCs w:val="24"/>
        </w:rPr>
        <w:t xml:space="preserve"> living in zones 2 in the north, those living in the Niger delta combining rice and livestock rearing (zone 6) and those in the in the north West, combining remittances with livestock rearing (zone 8) are comparatively better off. Yet not all those rearing livestock are better off: those living in zone 4, growing millet and depending on transhumant livestock rearing are significant worse.</w:t>
      </w:r>
    </w:p>
    <w:p w:rsidR="003C49A2" w:rsidRPr="008F3531" w:rsidRDefault="0062371B" w:rsidP="0062371B">
      <w:pPr>
        <w:pStyle w:val="Caption"/>
        <w:rPr>
          <w:b w:val="0"/>
        </w:rPr>
      </w:pPr>
      <w:bookmarkStart w:id="76" w:name="_Toc390956399"/>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10</w:t>
      </w:r>
      <w:r w:rsidR="00943E46" w:rsidRPr="00E56625">
        <w:rPr>
          <w:noProof/>
        </w:rPr>
        <w:fldChar w:fldCharType="end"/>
      </w:r>
      <w:r w:rsidR="003C49A2" w:rsidRPr="008F3531">
        <w:rPr>
          <w:b w:val="0"/>
        </w:rPr>
        <w:t>: Index of cereal production per capita (2000/1=100)</w:t>
      </w:r>
      <w:bookmarkEnd w:id="76"/>
    </w:p>
    <w:p w:rsidR="003C49A2" w:rsidRPr="00E56625" w:rsidRDefault="003C49A2" w:rsidP="0062371B">
      <w:pPr>
        <w:spacing w:after="0"/>
        <w:jc w:val="center"/>
        <w:rPr>
          <w:lang w:val="en-US"/>
        </w:rPr>
      </w:pPr>
      <w:r w:rsidRPr="00782B0C">
        <w:rPr>
          <w:noProof/>
          <w:lang w:val="en-US"/>
        </w:rPr>
        <w:drawing>
          <wp:inline distT="0" distB="0" distL="0" distR="0" wp14:anchorId="40CF7D39" wp14:editId="7303CE4B">
            <wp:extent cx="5797550" cy="2622550"/>
            <wp:effectExtent l="0" t="0" r="0" b="635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C49A2" w:rsidRPr="00E56625" w:rsidRDefault="003C49A2" w:rsidP="0062371B">
      <w:pPr>
        <w:spacing w:after="0"/>
        <w:rPr>
          <w:sz w:val="20"/>
          <w:szCs w:val="20"/>
          <w:lang w:val="en-US"/>
        </w:rPr>
      </w:pPr>
      <w:r w:rsidRPr="00E56625">
        <w:rPr>
          <w:sz w:val="20"/>
          <w:szCs w:val="20"/>
          <w:lang w:val="en-US"/>
        </w:rPr>
        <w:t>Source: IMF 2014.</w:t>
      </w:r>
    </w:p>
    <w:p w:rsidR="0062371B" w:rsidRPr="00E56625" w:rsidRDefault="0062371B" w:rsidP="0062371B">
      <w:pPr>
        <w:spacing w:after="0"/>
        <w:rPr>
          <w:lang w:val="en-US"/>
        </w:rPr>
      </w:pPr>
    </w:p>
    <w:p w:rsidR="003C49A2" w:rsidRPr="008F3531" w:rsidRDefault="003C49A2" w:rsidP="00D17889">
      <w:pPr>
        <w:pStyle w:val="paranumb"/>
        <w:spacing w:after="200"/>
      </w:pPr>
      <w:r w:rsidRPr="008F3531">
        <w:t xml:space="preserve">The observed patterns of poverty reduction –rapid reductions in poverty and in inequality in livelihood zones growing rice and maize are closely associated with the increase in the production of cereals. The remarkable increase is illustrated in Figure </w:t>
      </w:r>
      <w:r w:rsidR="005D2B94">
        <w:t>4.10</w:t>
      </w:r>
      <w:r w:rsidRPr="008F3531">
        <w:t xml:space="preserve"> presenting production per capita. Production is expressed as an index to illustrate for the four most important cereal crops, maize, rice, millet and sorghum the increase in production relative to the base year. Since 2000/1 maize production increased five-fold; particularly since 2008/9 one observes accelerating maize production. The rapid increase in maize production is associated to the rapid decline in poverty incidence in livelihoods zones 11 and 12, where most of the maize is grown. And, as the growth incidence curves for zones 11 and 12 demonstrate, the increase in maize production has been highly pro-poor. Poor households benefited even more from the boom in maize production than did better of households. This comes as no surprise. For poor households who rely, in part, on farm jobs for their income and </w:t>
      </w:r>
      <w:r w:rsidRPr="008F3531">
        <w:rPr>
          <w:rFonts w:cs="Times New Roman"/>
          <w:szCs w:val="24"/>
        </w:rPr>
        <w:t>who</w:t>
      </w:r>
      <w:r w:rsidRPr="008F3531">
        <w:t xml:space="preserve"> purchase much of their food needs, increased maize production affects their welfare positively through at least two channels. Increasing cereal production leads to more demand for farm work and secondly, increased cereal production exercises downward pressure on (rural) food prices.</w:t>
      </w:r>
      <w:r w:rsidRPr="008F3531">
        <w:rPr>
          <w:rStyle w:val="FootnoteReference"/>
        </w:rPr>
        <w:footnoteReference w:id="38"/>
      </w:r>
      <w:r w:rsidRPr="008F3531">
        <w:t xml:space="preserve"> Better off households also benefit from increased cereal production but as net sellers of maize the positive effect of increased production is mitigated by lower prices. </w:t>
      </w:r>
    </w:p>
    <w:p w:rsidR="003C49A2" w:rsidRPr="008F3531" w:rsidRDefault="003C49A2" w:rsidP="00D17889">
      <w:pPr>
        <w:pStyle w:val="paranumb"/>
        <w:spacing w:after="200"/>
        <w:rPr>
          <w:rFonts w:cs="Times New Roman"/>
          <w:szCs w:val="24"/>
        </w:rPr>
      </w:pPr>
      <w:r w:rsidRPr="008F3531">
        <w:rPr>
          <w:rFonts w:cs="Times New Roman"/>
          <w:szCs w:val="24"/>
        </w:rPr>
        <w:t>Like maize, rice production per capita increased significantly, doubling relative to 2001/1. The increase in rice production is equally reflected in the poverty trends: poverty in rice growing areas declined, especially in the zone office du Niger and the areas where rice is grown on the borders of the Niger around Tombouctou and Gao. As the growth incidence curve demonstrates, and as was the case for maize, poor househ</w:t>
      </w:r>
      <w:r w:rsidR="0062371B" w:rsidRPr="008F3531">
        <w:rPr>
          <w:rFonts w:cs="Times New Roman"/>
          <w:szCs w:val="24"/>
        </w:rPr>
        <w:t>o</w:t>
      </w:r>
      <w:r w:rsidRPr="008F3531">
        <w:rPr>
          <w:rFonts w:cs="Times New Roman"/>
          <w:szCs w:val="24"/>
        </w:rPr>
        <w:t xml:space="preserve">lds benefited most from the increase in rice production. It is somewhat surprising that households living in the Niger delta (zone 6) have not been able to benefit from increased rice production. It will be explored later whether this may be associated to a limited access to markets in the delta. </w:t>
      </w:r>
    </w:p>
    <w:p w:rsidR="003C49A2" w:rsidRPr="008F3531" w:rsidRDefault="0062371B" w:rsidP="0062371B">
      <w:pPr>
        <w:pStyle w:val="Caption"/>
        <w:rPr>
          <w:b w:val="0"/>
        </w:rPr>
      </w:pPr>
      <w:bookmarkStart w:id="77" w:name="_Toc390956400"/>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11</w:t>
      </w:r>
      <w:r w:rsidR="00943E46" w:rsidRPr="00E56625">
        <w:rPr>
          <w:noProof/>
        </w:rPr>
        <w:fldChar w:fldCharType="end"/>
      </w:r>
      <w:r w:rsidR="003C49A2" w:rsidRPr="008F3531">
        <w:rPr>
          <w:b w:val="0"/>
        </w:rPr>
        <w:t>: Production and value of production for cotton</w:t>
      </w:r>
      <w:bookmarkEnd w:id="77"/>
    </w:p>
    <w:p w:rsidR="003C49A2" w:rsidRPr="00E56625" w:rsidRDefault="003C49A2" w:rsidP="0062371B">
      <w:pPr>
        <w:spacing w:after="0"/>
        <w:rPr>
          <w:lang w:val="en-US"/>
        </w:rPr>
      </w:pPr>
      <w:r w:rsidRPr="00782B0C">
        <w:rPr>
          <w:noProof/>
          <w:lang w:val="en-US"/>
        </w:rPr>
        <w:drawing>
          <wp:inline distT="0" distB="0" distL="0" distR="0" wp14:anchorId="740E043C" wp14:editId="58C56EB3">
            <wp:extent cx="5934635" cy="2868706"/>
            <wp:effectExtent l="0" t="0" r="0" b="825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C49A2" w:rsidRPr="00E56625" w:rsidRDefault="003C49A2" w:rsidP="0062371B">
      <w:pPr>
        <w:spacing w:after="0"/>
        <w:rPr>
          <w:sz w:val="20"/>
          <w:szCs w:val="20"/>
          <w:lang w:val="en-US"/>
        </w:rPr>
      </w:pPr>
      <w:r w:rsidRPr="00E56625">
        <w:rPr>
          <w:sz w:val="20"/>
          <w:szCs w:val="20"/>
          <w:lang w:val="en-US"/>
        </w:rPr>
        <w:t>Source: IMF 2014.</w:t>
      </w:r>
    </w:p>
    <w:p w:rsidR="0062371B" w:rsidRPr="00E56625" w:rsidRDefault="0062371B" w:rsidP="0062371B">
      <w:pPr>
        <w:spacing w:after="0"/>
        <w:rPr>
          <w:lang w:val="en-US"/>
        </w:rPr>
      </w:pPr>
    </w:p>
    <w:p w:rsidR="0062371B" w:rsidRPr="008F3531" w:rsidRDefault="0062371B" w:rsidP="0062371B">
      <w:pPr>
        <w:pStyle w:val="paranumb"/>
        <w:spacing w:after="200"/>
        <w:rPr>
          <w:rFonts w:cs="Times New Roman"/>
          <w:szCs w:val="24"/>
        </w:rPr>
      </w:pPr>
      <w:r w:rsidRPr="008F3531">
        <w:rPr>
          <w:rFonts w:cs="Times New Roman"/>
          <w:szCs w:val="24"/>
        </w:rPr>
        <w:t>For households relying on cotton, millet and sorghum production, those living in livelihood zones 10 (where poverty incidence is 74 percent), the story is rather different. The production of millet and sorghum has barely increased (expressed in per capita terms) while the production, as well as the value of the most important cash crop has fluctuated considerably (Figure 4.11). Particularly around the year of the last survey, 2009/10 the value of cotton production was low –which is possibly reflected in the poverty incidence. Since that time, through a combination of increased production and high world market prices, the value of cotton production has increased significantly. Indeed, INSTAT (2013) reports based on the 2011/12 EMOP that Sikasso is no longer the poorest region in the country.</w:t>
      </w:r>
      <w:r w:rsidRPr="008F3531">
        <w:rPr>
          <w:rStyle w:val="FootnoteReference"/>
          <w:rFonts w:cs="Times New Roman"/>
          <w:szCs w:val="24"/>
        </w:rPr>
        <w:footnoteReference w:id="39"/>
      </w:r>
      <w:r w:rsidRPr="008F3531">
        <w:rPr>
          <w:rFonts w:cs="Times New Roman"/>
          <w:szCs w:val="24"/>
        </w:rPr>
        <w:t xml:space="preserve"> This dubious honor is now reserved for Mopti.</w:t>
      </w:r>
    </w:p>
    <w:p w:rsidR="003C49A2" w:rsidRPr="008F3531" w:rsidRDefault="003C49A2" w:rsidP="00D17889">
      <w:pPr>
        <w:pStyle w:val="paranumb"/>
        <w:spacing w:after="200"/>
        <w:rPr>
          <w:rFonts w:cs="Times New Roman"/>
          <w:szCs w:val="24"/>
        </w:rPr>
      </w:pPr>
      <w:r w:rsidRPr="008F3531">
        <w:rPr>
          <w:rFonts w:cs="Times New Roman"/>
          <w:szCs w:val="24"/>
        </w:rPr>
        <w:t xml:space="preserve">Unlike households in zone 10, households in zone 11 who grow maize, cotton and fruits experienced rapid poverty reduction, despite the variations in the value of cotton production: this is probably associated (but we are speculating here) that these households are opting to grow maize rather than cotton and rely on the sale of fruits as an additional source of income. </w:t>
      </w:r>
    </w:p>
    <w:p w:rsidR="003C49A2" w:rsidRPr="008F3531" w:rsidRDefault="004136D1" w:rsidP="004136D1">
      <w:pPr>
        <w:pStyle w:val="Caption"/>
        <w:rPr>
          <w:b w:val="0"/>
        </w:rPr>
      </w:pPr>
      <w:bookmarkStart w:id="78" w:name="_Toc390956401"/>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12</w:t>
      </w:r>
      <w:r w:rsidR="00943E46" w:rsidRPr="00E56625">
        <w:rPr>
          <w:noProof/>
        </w:rPr>
        <w:fldChar w:fldCharType="end"/>
      </w:r>
      <w:r w:rsidR="003C49A2" w:rsidRPr="008F3531">
        <w:rPr>
          <w:b w:val="0"/>
        </w:rPr>
        <w:t>: Index of per capita remittances from workers (2000=100)</w:t>
      </w:r>
      <w:bookmarkEnd w:id="78"/>
    </w:p>
    <w:p w:rsidR="003C49A2" w:rsidRPr="00E56625" w:rsidRDefault="003C49A2" w:rsidP="004136D1">
      <w:pPr>
        <w:spacing w:after="0"/>
        <w:jc w:val="center"/>
        <w:rPr>
          <w:lang w:val="en-US"/>
        </w:rPr>
      </w:pPr>
      <w:r w:rsidRPr="00782B0C">
        <w:rPr>
          <w:noProof/>
          <w:lang w:val="en-US"/>
        </w:rPr>
        <w:drawing>
          <wp:inline distT="0" distB="0" distL="0" distR="0" wp14:anchorId="2934C170" wp14:editId="67EDBB8E">
            <wp:extent cx="5423647" cy="2196353"/>
            <wp:effectExtent l="0" t="0" r="5715"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C49A2" w:rsidRPr="00E56625" w:rsidRDefault="004136D1" w:rsidP="004136D1">
      <w:pPr>
        <w:spacing w:after="0"/>
        <w:rPr>
          <w:sz w:val="20"/>
          <w:szCs w:val="20"/>
          <w:lang w:val="en-US"/>
        </w:rPr>
      </w:pPr>
      <w:r w:rsidRPr="00E56625">
        <w:rPr>
          <w:lang w:val="en-US"/>
        </w:rPr>
        <w:t xml:space="preserve">      </w:t>
      </w:r>
      <w:r w:rsidR="003C49A2" w:rsidRPr="00E56625">
        <w:rPr>
          <w:sz w:val="20"/>
          <w:szCs w:val="20"/>
          <w:lang w:val="en-US"/>
        </w:rPr>
        <w:t>Source: IMF 2014.</w:t>
      </w:r>
    </w:p>
    <w:p w:rsidR="004136D1" w:rsidRPr="00E56625" w:rsidRDefault="004136D1" w:rsidP="004136D1">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For households in Kayes whose livelihoods evolve around remittances, sorghum cultivation and transhumant livestock rearing, one notes a rapid decline in poverty (which is the combined effect of high rates of growth and a pattern of growth that favors poor households). The doubling of per capita sorghum production between 2000/1 and 2009/10 (Figure 3.8) coupled with the three-fold increase in per capita remittances, of which a significant share can be expected to have arrived in livelihood zone 8</w:t>
      </w:r>
      <w:r w:rsidR="00E27617" w:rsidRPr="008F3531">
        <w:rPr>
          <w:rFonts w:cs="Times New Roman"/>
          <w:szCs w:val="24"/>
        </w:rPr>
        <w:t>,</w:t>
      </w:r>
      <w:r w:rsidRPr="008F3531">
        <w:rPr>
          <w:rStyle w:val="FootnoteReference"/>
          <w:rFonts w:cs="Times New Roman"/>
          <w:szCs w:val="24"/>
        </w:rPr>
        <w:footnoteReference w:id="40"/>
      </w:r>
      <w:r w:rsidRPr="008F3531">
        <w:rPr>
          <w:rFonts w:cs="Times New Roman"/>
          <w:szCs w:val="24"/>
        </w:rPr>
        <w:t xml:space="preserve"> appears to be behind this rapid decline. </w:t>
      </w:r>
    </w:p>
    <w:p w:rsidR="003C49A2" w:rsidRPr="008F3531" w:rsidRDefault="003C49A2" w:rsidP="00D17889">
      <w:pPr>
        <w:pStyle w:val="paranumb"/>
        <w:spacing w:after="200"/>
        <w:rPr>
          <w:rFonts w:cs="Times New Roman"/>
          <w:szCs w:val="24"/>
        </w:rPr>
      </w:pPr>
      <w:r w:rsidRPr="00E56625">
        <w:rPr>
          <w:rFonts w:cs="Times New Roman"/>
          <w:szCs w:val="24"/>
        </w:rPr>
        <w:t>Finally the steady decline in poverty in livelihood zone 9 (West and Central), but also in zones 8 (North of Kayes) and 12 (South of Kayes) coincides with an increase in infrastructure. The</w:t>
      </w:r>
      <w:r w:rsidRPr="008F3531">
        <w:rPr>
          <w:rFonts w:cs="Times New Roman"/>
          <w:szCs w:val="24"/>
        </w:rPr>
        <w:t xml:space="preserve"> newly built infrastructure has significantly improved connectivity between Bamako and Senegal. Beyond that, infrastructure development larely appears to have kept pace with increases in population (between 1994 and 2007 Mali’s population almost doubled).</w:t>
      </w:r>
    </w:p>
    <w:p w:rsidR="003C49A2" w:rsidRPr="008F3531" w:rsidRDefault="004136D1" w:rsidP="004136D1">
      <w:pPr>
        <w:pStyle w:val="Caption"/>
        <w:rPr>
          <w:b w:val="0"/>
        </w:rPr>
      </w:pPr>
      <w:bookmarkStart w:id="79" w:name="_Toc390956402"/>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13</w:t>
      </w:r>
      <w:r w:rsidR="00943E46" w:rsidRPr="00E56625">
        <w:rPr>
          <w:noProof/>
        </w:rPr>
        <w:fldChar w:fldCharType="end"/>
      </w:r>
      <w:r w:rsidRPr="008F3531">
        <w:rPr>
          <w:b w:val="0"/>
        </w:rPr>
        <w:t>:</w:t>
      </w:r>
      <w:r w:rsidR="003C49A2" w:rsidRPr="008F3531">
        <w:rPr>
          <w:b w:val="0"/>
        </w:rPr>
        <w:t xml:space="preserve"> Road infrastructure in 1994 and 2007</w:t>
      </w:r>
      <w:bookmarkEnd w:id="79"/>
    </w:p>
    <w:tbl>
      <w:tblPr>
        <w:tblStyle w:val="TableGrid"/>
        <w:tblW w:w="0" w:type="auto"/>
        <w:tblLook w:val="04A0" w:firstRow="1" w:lastRow="0" w:firstColumn="1" w:lastColumn="0" w:noHBand="0" w:noVBand="1"/>
      </w:tblPr>
      <w:tblGrid>
        <w:gridCol w:w="4675"/>
        <w:gridCol w:w="4675"/>
      </w:tblGrid>
      <w:tr w:rsidR="003C49A2" w:rsidRPr="008F3531" w:rsidTr="00B3325F">
        <w:tc>
          <w:tcPr>
            <w:tcW w:w="4788" w:type="dxa"/>
          </w:tcPr>
          <w:p w:rsidR="003C49A2" w:rsidRPr="00E56625" w:rsidRDefault="003C49A2" w:rsidP="00B3325F">
            <w:pPr>
              <w:spacing w:after="120"/>
              <w:rPr>
                <w:lang w:val="en-US"/>
              </w:rPr>
            </w:pPr>
            <w:r w:rsidRPr="00E56625">
              <w:rPr>
                <w:lang w:val="en-US"/>
              </w:rPr>
              <w:t>1994</w:t>
            </w:r>
          </w:p>
        </w:tc>
        <w:tc>
          <w:tcPr>
            <w:tcW w:w="4788" w:type="dxa"/>
          </w:tcPr>
          <w:p w:rsidR="003C49A2" w:rsidRPr="00E56625" w:rsidRDefault="003C49A2" w:rsidP="00B3325F">
            <w:pPr>
              <w:spacing w:after="120"/>
              <w:rPr>
                <w:lang w:val="en-US"/>
              </w:rPr>
            </w:pPr>
            <w:r w:rsidRPr="00E56625">
              <w:rPr>
                <w:lang w:val="en-US"/>
              </w:rPr>
              <w:t>2007</w:t>
            </w:r>
          </w:p>
        </w:tc>
      </w:tr>
      <w:tr w:rsidR="003C49A2" w:rsidRPr="008F3531" w:rsidTr="00B3325F">
        <w:tc>
          <w:tcPr>
            <w:tcW w:w="4788" w:type="dxa"/>
          </w:tcPr>
          <w:p w:rsidR="003C49A2" w:rsidRPr="00E56625" w:rsidRDefault="003C49A2" w:rsidP="00B3325F">
            <w:pPr>
              <w:spacing w:after="120"/>
              <w:rPr>
                <w:lang w:val="en-US"/>
              </w:rPr>
            </w:pPr>
            <w:r w:rsidRPr="00782B0C">
              <w:rPr>
                <w:noProof/>
                <w:lang w:val="en-US"/>
              </w:rPr>
              <w:drawing>
                <wp:inline distT="0" distB="0" distL="0" distR="0" wp14:anchorId="26411692" wp14:editId="2A0BACAB">
                  <wp:extent cx="2868706" cy="2724076"/>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routes_1994.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72751" cy="2727918"/>
                          </a:xfrm>
                          <a:prstGeom prst="rect">
                            <a:avLst/>
                          </a:prstGeom>
                        </pic:spPr>
                      </pic:pic>
                    </a:graphicData>
                  </a:graphic>
                </wp:inline>
              </w:drawing>
            </w:r>
          </w:p>
        </w:tc>
        <w:tc>
          <w:tcPr>
            <w:tcW w:w="4788" w:type="dxa"/>
          </w:tcPr>
          <w:p w:rsidR="003C49A2" w:rsidRPr="00E56625" w:rsidRDefault="003C49A2" w:rsidP="00B3325F">
            <w:pPr>
              <w:spacing w:after="120"/>
              <w:rPr>
                <w:lang w:val="en-US"/>
              </w:rPr>
            </w:pPr>
            <w:r w:rsidRPr="00782B0C">
              <w:rPr>
                <w:noProof/>
                <w:lang w:val="en-US"/>
              </w:rPr>
              <w:drawing>
                <wp:inline distT="0" distB="0" distL="0" distR="0" wp14:anchorId="1CEBD67E" wp14:editId="1E90665C">
                  <wp:extent cx="2869962" cy="272527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routes_200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1468" cy="2726701"/>
                          </a:xfrm>
                          <a:prstGeom prst="rect">
                            <a:avLst/>
                          </a:prstGeom>
                        </pic:spPr>
                      </pic:pic>
                    </a:graphicData>
                  </a:graphic>
                </wp:inline>
              </w:drawing>
            </w:r>
          </w:p>
        </w:tc>
      </w:tr>
    </w:tbl>
    <w:p w:rsidR="003C49A2" w:rsidRPr="00E56625" w:rsidRDefault="003C49A2" w:rsidP="003C49A2">
      <w:pPr>
        <w:spacing w:after="120"/>
        <w:rPr>
          <w:lang w:val="en-US"/>
        </w:rPr>
      </w:pPr>
    </w:p>
    <w:p w:rsidR="003C49A2" w:rsidRPr="008F3531" w:rsidRDefault="00A9572D" w:rsidP="00A9572D">
      <w:pPr>
        <w:pStyle w:val="Caption"/>
        <w:rPr>
          <w:b w:val="0"/>
        </w:rPr>
      </w:pPr>
      <w:bookmarkStart w:id="80" w:name="_Toc390956403"/>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14</w:t>
      </w:r>
      <w:r w:rsidR="00943E46" w:rsidRPr="00E56625">
        <w:rPr>
          <w:noProof/>
        </w:rPr>
        <w:fldChar w:fldCharType="end"/>
      </w:r>
      <w:r w:rsidR="003C49A2" w:rsidRPr="008F3531">
        <w:rPr>
          <w:b w:val="0"/>
        </w:rPr>
        <w:t>: Growth incidence curves by livelihood zone (2001-2010)</w:t>
      </w:r>
      <w:bookmarkEnd w:id="80"/>
    </w:p>
    <w:p w:rsidR="003C49A2" w:rsidRPr="00E56625" w:rsidRDefault="003C49A2" w:rsidP="00E27617">
      <w:pPr>
        <w:spacing w:after="120"/>
        <w:jc w:val="center"/>
        <w:rPr>
          <w:lang w:val="en-US"/>
        </w:rPr>
      </w:pPr>
      <w:r w:rsidRPr="00782B0C">
        <w:rPr>
          <w:noProof/>
          <w:lang w:val="en-US"/>
        </w:rPr>
        <w:drawing>
          <wp:inline distT="0" distB="0" distL="0" distR="0" wp14:anchorId="24B38EF2" wp14:editId="177FA43F">
            <wp:extent cx="5424616" cy="2335427"/>
            <wp:effectExtent l="0" t="0" r="24130" b="2730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C49A2" w:rsidRPr="00E56625" w:rsidRDefault="003C49A2" w:rsidP="00E27617">
      <w:pPr>
        <w:spacing w:after="120"/>
        <w:jc w:val="center"/>
        <w:rPr>
          <w:lang w:val="en-US"/>
        </w:rPr>
      </w:pPr>
      <w:r w:rsidRPr="00782B0C">
        <w:rPr>
          <w:noProof/>
          <w:lang w:val="en-US"/>
        </w:rPr>
        <w:drawing>
          <wp:inline distT="0" distB="0" distL="0" distR="0" wp14:anchorId="16CCBF8F" wp14:editId="47DD8D0B">
            <wp:extent cx="5424616" cy="2446638"/>
            <wp:effectExtent l="0" t="0" r="24130" b="1143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C49A2" w:rsidRPr="00E56625" w:rsidRDefault="003C49A2" w:rsidP="00E27617">
      <w:pPr>
        <w:spacing w:after="120"/>
        <w:jc w:val="center"/>
        <w:rPr>
          <w:lang w:val="en-US"/>
        </w:rPr>
      </w:pPr>
      <w:r w:rsidRPr="00782B0C">
        <w:rPr>
          <w:noProof/>
          <w:lang w:val="en-US"/>
        </w:rPr>
        <w:drawing>
          <wp:inline distT="0" distB="0" distL="0" distR="0" wp14:anchorId="1978AC66" wp14:editId="457A90E2">
            <wp:extent cx="5424616" cy="2594919"/>
            <wp:effectExtent l="0" t="0" r="24130" b="152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C49A2" w:rsidRPr="00E56625" w:rsidRDefault="003C49A2" w:rsidP="00E27617">
      <w:pPr>
        <w:spacing w:after="120"/>
        <w:jc w:val="center"/>
        <w:rPr>
          <w:lang w:val="en-US"/>
        </w:rPr>
      </w:pPr>
      <w:r w:rsidRPr="00782B0C">
        <w:rPr>
          <w:noProof/>
          <w:lang w:val="en-US"/>
        </w:rPr>
        <w:drawing>
          <wp:inline distT="0" distB="0" distL="0" distR="0" wp14:anchorId="0A15010D" wp14:editId="62D6061E">
            <wp:extent cx="5424616" cy="2545492"/>
            <wp:effectExtent l="0" t="0" r="24130" b="2667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C49A2" w:rsidRPr="00E56625" w:rsidRDefault="003C49A2" w:rsidP="00E27617">
      <w:pPr>
        <w:spacing w:after="120"/>
        <w:jc w:val="center"/>
        <w:rPr>
          <w:lang w:val="en-US"/>
        </w:rPr>
      </w:pPr>
      <w:r w:rsidRPr="00782B0C">
        <w:rPr>
          <w:noProof/>
          <w:lang w:val="en-US"/>
        </w:rPr>
        <w:drawing>
          <wp:inline distT="0" distB="0" distL="0" distR="0" wp14:anchorId="47B5A828" wp14:editId="1F00D8A8">
            <wp:extent cx="5424616" cy="2557849"/>
            <wp:effectExtent l="0" t="0" r="24130" b="139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C49A2" w:rsidRPr="00E56625" w:rsidRDefault="003C49A2" w:rsidP="00E27617">
      <w:pPr>
        <w:spacing w:after="120"/>
        <w:jc w:val="center"/>
        <w:rPr>
          <w:lang w:val="en-US"/>
        </w:rPr>
      </w:pPr>
      <w:r w:rsidRPr="00782B0C">
        <w:rPr>
          <w:noProof/>
          <w:lang w:val="en-US"/>
        </w:rPr>
        <w:drawing>
          <wp:inline distT="0" distB="0" distL="0" distR="0" wp14:anchorId="7E845B80" wp14:editId="36B73FBA">
            <wp:extent cx="5424616" cy="2706130"/>
            <wp:effectExtent l="0" t="0" r="24130" b="1841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C49A2" w:rsidRPr="00E56625" w:rsidRDefault="003C49A2" w:rsidP="00E27617">
      <w:pPr>
        <w:spacing w:after="120"/>
        <w:jc w:val="center"/>
        <w:rPr>
          <w:lang w:val="en-US"/>
        </w:rPr>
      </w:pPr>
      <w:r w:rsidRPr="00782B0C">
        <w:rPr>
          <w:noProof/>
          <w:lang w:val="en-US"/>
        </w:rPr>
        <w:drawing>
          <wp:inline distT="0" distB="0" distL="0" distR="0" wp14:anchorId="2F1490B9" wp14:editId="4300CDFE">
            <wp:extent cx="5424616" cy="2496065"/>
            <wp:effectExtent l="0" t="0" r="24130"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C49A2" w:rsidRPr="00E56625" w:rsidRDefault="003C49A2" w:rsidP="00E27617">
      <w:pPr>
        <w:spacing w:after="120"/>
        <w:jc w:val="center"/>
        <w:rPr>
          <w:lang w:val="en-US"/>
        </w:rPr>
      </w:pPr>
      <w:r w:rsidRPr="00782B0C">
        <w:rPr>
          <w:noProof/>
          <w:lang w:val="en-US"/>
        </w:rPr>
        <w:drawing>
          <wp:inline distT="0" distB="0" distL="0" distR="0" wp14:anchorId="10EB5960" wp14:editId="2FD07205">
            <wp:extent cx="5424616" cy="2434282"/>
            <wp:effectExtent l="0" t="0" r="24130" b="2349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C49A2" w:rsidRPr="00E56625" w:rsidRDefault="003C49A2" w:rsidP="00E27617">
      <w:pPr>
        <w:spacing w:after="0"/>
        <w:jc w:val="center"/>
        <w:rPr>
          <w:lang w:val="en-US"/>
        </w:rPr>
      </w:pPr>
      <w:r w:rsidRPr="00782B0C">
        <w:rPr>
          <w:noProof/>
          <w:lang w:val="en-US"/>
        </w:rPr>
        <w:drawing>
          <wp:inline distT="0" distB="0" distL="0" distR="0" wp14:anchorId="6AB301DB" wp14:editId="705B18CE">
            <wp:extent cx="5431316" cy="2401677"/>
            <wp:effectExtent l="0" t="0" r="17145" b="1778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C49A2" w:rsidRPr="00E56625" w:rsidRDefault="00E27617" w:rsidP="00A9572D">
      <w:pPr>
        <w:spacing w:after="0"/>
        <w:rPr>
          <w:sz w:val="20"/>
          <w:szCs w:val="20"/>
          <w:lang w:val="en-US"/>
        </w:rPr>
      </w:pPr>
      <w:r w:rsidRPr="00E56625">
        <w:rPr>
          <w:sz w:val="20"/>
          <w:szCs w:val="20"/>
          <w:lang w:val="en-US"/>
        </w:rPr>
        <w:t xml:space="preserve">       </w:t>
      </w:r>
      <w:r w:rsidR="003C49A2" w:rsidRPr="00E56625">
        <w:rPr>
          <w:sz w:val="20"/>
          <w:szCs w:val="20"/>
          <w:lang w:val="en-US"/>
        </w:rPr>
        <w:t>Source: EMEP 2001 and E</w:t>
      </w:r>
      <w:r w:rsidR="00A9572D" w:rsidRPr="00E56625">
        <w:rPr>
          <w:sz w:val="20"/>
          <w:szCs w:val="20"/>
          <w:lang w:val="en-US"/>
        </w:rPr>
        <w:t>LIM 2010. Authors’ calculations</w:t>
      </w:r>
      <w:r w:rsidR="003C49A2" w:rsidRPr="00E56625">
        <w:rPr>
          <w:sz w:val="20"/>
          <w:szCs w:val="20"/>
          <w:lang w:val="en-US"/>
        </w:rPr>
        <w:t>.</w:t>
      </w:r>
    </w:p>
    <w:p w:rsidR="00A9572D" w:rsidRPr="00E56625" w:rsidRDefault="00A9572D" w:rsidP="00A9572D">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Figure 4.1</w:t>
      </w:r>
      <w:r w:rsidR="005D2B94">
        <w:rPr>
          <w:rFonts w:cs="Times New Roman"/>
          <w:szCs w:val="24"/>
        </w:rPr>
        <w:t>6</w:t>
      </w:r>
      <w:r w:rsidRPr="008F3531">
        <w:rPr>
          <w:rFonts w:cs="Times New Roman"/>
          <w:szCs w:val="24"/>
        </w:rPr>
        <w:t xml:space="preserve"> presents the distribution of poor people across livelihood zones. One key message from the Figure is that 70 percent of all poor are located in only three livelihood zones: 9 (west and central rain-fed millet/sorghum), 10 (sorghum, millet and cotton) and 11 (south, maize, cotton and fruits). Encouraging is the fact that in the zone in which the greatest number of poor can be found (zone 11) poverty has been falling, while the potential for further declines in poverty seems real given the realistic prospect that the cotton and maize markets will continue to expand and the fact that access to markets is relatively good (see chapter 5). Also in zone 9 (west and central rain-fed millet/sorghum) poverty has been on the decline, albeit at a lower pace than in zone 11. The zone that is in need of the greatest attention is zone 10, where 15% of poor people reside and where poverty is on the increase. Zone 4 (millet and transhumant livestock rearing) also needs to be mentioned, not only because some 10 percent of all poor live in this zone, but also because it is not evident that much progress in poverty reduction is being made. Poverty in this livelihood zone declined rapidly between 2001 and 2006 and then rose again in 2010. It can be expected that after 2010 poverty has increased further, due to the exposure of households in this zone to the negative consequences of the conflict in the North. </w:t>
      </w:r>
    </w:p>
    <w:p w:rsidR="00A9572D" w:rsidRPr="008F3531" w:rsidRDefault="00A9572D" w:rsidP="00A9572D">
      <w:pPr>
        <w:pStyle w:val="Caption"/>
      </w:pPr>
    </w:p>
    <w:p w:rsidR="003C49A2" w:rsidRPr="008F3531" w:rsidRDefault="00A9572D" w:rsidP="00A9572D">
      <w:pPr>
        <w:pStyle w:val="Caption"/>
        <w:rPr>
          <w:b w:val="0"/>
        </w:rPr>
      </w:pPr>
      <w:bookmarkStart w:id="81" w:name="_Toc390956404"/>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15</w:t>
      </w:r>
      <w:r w:rsidR="00943E46" w:rsidRPr="00E56625">
        <w:rPr>
          <w:noProof/>
        </w:rPr>
        <w:fldChar w:fldCharType="end"/>
      </w:r>
      <w:r w:rsidR="003C49A2" w:rsidRPr="008F3531">
        <w:rPr>
          <w:b w:val="0"/>
        </w:rPr>
        <w:t>: Distribution of poor people across livelihood zones</w:t>
      </w:r>
      <w:bookmarkEnd w:id="81"/>
    </w:p>
    <w:p w:rsidR="003C49A2" w:rsidRPr="00E56625" w:rsidRDefault="003C49A2" w:rsidP="00A9572D">
      <w:pPr>
        <w:spacing w:after="0"/>
        <w:jc w:val="center"/>
        <w:rPr>
          <w:lang w:val="en-US"/>
        </w:rPr>
      </w:pPr>
      <w:r w:rsidRPr="00782B0C">
        <w:rPr>
          <w:noProof/>
          <w:lang w:val="en-US"/>
        </w:rPr>
        <w:drawing>
          <wp:inline distT="0" distB="0" distL="0" distR="0" wp14:anchorId="71D38667" wp14:editId="5AD80917">
            <wp:extent cx="5943600" cy="3269615"/>
            <wp:effectExtent l="0" t="0" r="0" b="698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C49A2" w:rsidRPr="00E56625" w:rsidRDefault="003C49A2" w:rsidP="00A9572D">
      <w:pPr>
        <w:spacing w:after="0"/>
        <w:rPr>
          <w:sz w:val="20"/>
          <w:szCs w:val="20"/>
          <w:lang w:val="en-US"/>
        </w:rPr>
      </w:pPr>
      <w:r w:rsidRPr="00E56625">
        <w:rPr>
          <w:sz w:val="20"/>
          <w:szCs w:val="20"/>
          <w:lang w:val="en-US"/>
        </w:rPr>
        <w:t>Source: ELIM 2010. Authors’ calculations.</w:t>
      </w:r>
    </w:p>
    <w:p w:rsidR="003C49A2" w:rsidRPr="00E56625" w:rsidRDefault="003C49A2" w:rsidP="003C49A2">
      <w:pPr>
        <w:spacing w:after="120"/>
        <w:rPr>
          <w:lang w:val="en-US"/>
        </w:rPr>
      </w:pPr>
    </w:p>
    <w:p w:rsidR="005D2B94" w:rsidRDefault="005D2B94" w:rsidP="00E56625">
      <w:pPr>
        <w:pStyle w:val="Heading2"/>
        <w:ind w:left="360"/>
        <w:rPr>
          <w:lang w:val="en-US"/>
        </w:rPr>
      </w:pPr>
      <w:bookmarkStart w:id="82" w:name="_Toc419468552"/>
      <w:r>
        <w:rPr>
          <w:lang w:val="en-US"/>
        </w:rPr>
        <w:t xml:space="preserve">Caution </w:t>
      </w:r>
      <w:r w:rsidR="00E56625">
        <w:rPr>
          <w:lang w:val="en-US"/>
        </w:rPr>
        <w:t xml:space="preserve">When </w:t>
      </w:r>
      <w:r>
        <w:rPr>
          <w:lang w:val="en-US"/>
        </w:rPr>
        <w:t>Interpreting poverty</w:t>
      </w:r>
      <w:bookmarkEnd w:id="82"/>
    </w:p>
    <w:p w:rsidR="00AF3418" w:rsidRDefault="005D2B94" w:rsidP="00E56625">
      <w:pPr>
        <w:pStyle w:val="paranumb"/>
      </w:pPr>
      <w:r w:rsidRPr="00BE18D3">
        <w:rPr>
          <w:b/>
        </w:rPr>
        <w:t xml:space="preserve">A comparison of </w:t>
      </w:r>
      <w:r>
        <w:rPr>
          <w:b/>
        </w:rPr>
        <w:t xml:space="preserve">monetary and </w:t>
      </w:r>
      <w:r w:rsidRPr="00BE18D3">
        <w:rPr>
          <w:b/>
        </w:rPr>
        <w:t xml:space="preserve">non-monetary estimates of poverty </w:t>
      </w:r>
      <w:r>
        <w:rPr>
          <w:b/>
        </w:rPr>
        <w:t xml:space="preserve">suggests that </w:t>
      </w:r>
      <w:r w:rsidRPr="00BE18D3">
        <w:rPr>
          <w:b/>
        </w:rPr>
        <w:t>the measurement problem</w:t>
      </w:r>
      <w:r>
        <w:rPr>
          <w:b/>
        </w:rPr>
        <w:t xml:space="preserve"> may extend beyond the poverty line</w:t>
      </w:r>
      <w:r w:rsidRPr="00BE18D3">
        <w:rPr>
          <w:b/>
        </w:rPr>
        <w:t xml:space="preserve">. </w:t>
      </w:r>
      <w:r w:rsidRPr="00E56625">
        <w:t>In the</w:t>
      </w:r>
      <w:r>
        <w:t xml:space="preserve"> previous section it was noted that updating the poverty line </w:t>
      </w:r>
      <w:r w:rsidR="00595FAD">
        <w:t xml:space="preserve">to </w:t>
      </w:r>
      <w:r>
        <w:t xml:space="preserve">make it more robust, has relatively little impact on poverty estimates. </w:t>
      </w:r>
      <w:r w:rsidR="00AF3418">
        <w:t>Irrespective of whether an updated or official poverty line is used</w:t>
      </w:r>
      <w:r w:rsidR="00595FAD">
        <w:t>,</w:t>
      </w:r>
      <w:r w:rsidR="00AF3418">
        <w:t xml:space="preserve"> </w:t>
      </w:r>
      <w:r w:rsidRPr="00BE18D3">
        <w:t xml:space="preserve">Sikasso </w:t>
      </w:r>
      <w:r w:rsidR="00AF3418">
        <w:t xml:space="preserve">remains </w:t>
      </w:r>
      <w:r w:rsidRPr="00BE18D3">
        <w:t xml:space="preserve">the region with the highest incidence of poverty </w:t>
      </w:r>
      <w:r>
        <w:t xml:space="preserve">even though the </w:t>
      </w:r>
      <w:r w:rsidRPr="00BE18D3">
        <w:t xml:space="preserve">region </w:t>
      </w:r>
      <w:r>
        <w:t xml:space="preserve">is </w:t>
      </w:r>
      <w:r w:rsidRPr="00BE18D3">
        <w:t xml:space="preserve">generally believed to have </w:t>
      </w:r>
      <w:r>
        <w:t xml:space="preserve">relatively </w:t>
      </w:r>
      <w:r w:rsidRPr="00BE18D3">
        <w:t xml:space="preserve">low levels of poverty on account of its agro-ecological potential and its association with cotton as a consequence of which market accessibility and the availability of inputs </w:t>
      </w:r>
      <w:r>
        <w:t xml:space="preserve">is </w:t>
      </w:r>
      <w:r w:rsidRPr="00BE18D3">
        <w:t xml:space="preserve">relatively good. But using an asset based measure which </w:t>
      </w:r>
      <w:r>
        <w:t xml:space="preserve">yields </w:t>
      </w:r>
      <w:r w:rsidRPr="00BE18D3">
        <w:t xml:space="preserve">the same poverty headcount </w:t>
      </w:r>
      <w:r>
        <w:t xml:space="preserve">at the national level as the consumption based measure </w:t>
      </w:r>
      <w:r w:rsidRPr="00BE18D3">
        <w:t xml:space="preserve">(42.5 percent in 2010 – using the national poverty line), a rate of poverty incidence </w:t>
      </w:r>
      <w:r w:rsidR="00AF3418">
        <w:t xml:space="preserve">is found </w:t>
      </w:r>
      <w:r w:rsidRPr="00BE18D3">
        <w:t>in Sikasso that is below the national average: 34.7 percent)</w:t>
      </w:r>
      <w:r w:rsidRPr="00BE18D3">
        <w:rPr>
          <w:rStyle w:val="FootnoteReference"/>
          <w:rFonts w:cs="Times New Roman"/>
        </w:rPr>
        <w:footnoteReference w:id="41"/>
      </w:r>
      <w:r w:rsidRPr="00BE18D3">
        <w:t xml:space="preserve">. </w:t>
      </w:r>
    </w:p>
    <w:p w:rsidR="005D2B94" w:rsidRDefault="005D2B94" w:rsidP="00E56625">
      <w:pPr>
        <w:pStyle w:val="paranumb"/>
      </w:pPr>
      <w:r w:rsidRPr="00E56625">
        <w:rPr>
          <w:b/>
        </w:rPr>
        <w:t xml:space="preserve">The </w:t>
      </w:r>
      <w:r w:rsidR="00AF3418" w:rsidRPr="00E56625">
        <w:rPr>
          <w:b/>
        </w:rPr>
        <w:t xml:space="preserve">large difference between the asset and consumption based measure of poverty </w:t>
      </w:r>
      <w:r w:rsidRPr="00E56625">
        <w:rPr>
          <w:b/>
        </w:rPr>
        <w:t>seems closely associated with the fact that food prices vary across Mali.</w:t>
      </w:r>
      <w:r w:rsidRPr="00BE18D3">
        <w:t xml:space="preserve"> </w:t>
      </w:r>
      <w:r>
        <w:t>Data from the Observatoire des March</w:t>
      </w:r>
      <w:r w:rsidRPr="00BE18D3">
        <w:t>é</w:t>
      </w:r>
      <w:r>
        <w:t xml:space="preserve">s Agricoles show, for </w:t>
      </w:r>
      <w:r w:rsidRPr="00BE18D3">
        <w:t xml:space="preserve">October 2014, </w:t>
      </w:r>
      <w:r>
        <w:t xml:space="preserve">that </w:t>
      </w:r>
      <w:r w:rsidRPr="00BE18D3">
        <w:t xml:space="preserve">the a kg of millet </w:t>
      </w:r>
      <w:r>
        <w:t xml:space="preserve">cost </w:t>
      </w:r>
      <w:r w:rsidRPr="00BE18D3">
        <w:t xml:space="preserve">240 FCFA in Kayes but only 187 FCFA in Ségou; for maize the difference was more pronounced: 250 FCFA in Tombouctou versus 128 FCFA in Sikasso. These </w:t>
      </w:r>
      <w:r>
        <w:t xml:space="preserve">price </w:t>
      </w:r>
      <w:r w:rsidRPr="00BE18D3">
        <w:t xml:space="preserve">differences </w:t>
      </w:r>
      <w:r>
        <w:t xml:space="preserve">are </w:t>
      </w:r>
      <w:r w:rsidRPr="00BE18D3">
        <w:t xml:space="preserve">not adequately reflected in the food poverty lines, leading to an overestimation of poverty in food </w:t>
      </w:r>
      <w:r>
        <w:t xml:space="preserve">surplus </w:t>
      </w:r>
      <w:r w:rsidRPr="00BE18D3">
        <w:t xml:space="preserve">regions such as Sikasso, and an underestimation of poverty in the food deficit regions such as Tombouctou, Gao, Kidal and Mopti. </w:t>
      </w:r>
    </w:p>
    <w:p w:rsidR="005D2B94" w:rsidRDefault="005D2B94" w:rsidP="005D2B94">
      <w:pPr>
        <w:pStyle w:val="ListParagraph"/>
        <w:spacing w:after="0"/>
        <w:rPr>
          <w:b/>
        </w:rPr>
      </w:pPr>
    </w:p>
    <w:p w:rsidR="005D2B94" w:rsidRDefault="005D2B94" w:rsidP="005D2B94">
      <w:pPr>
        <w:pStyle w:val="Caption"/>
        <w:spacing w:after="0"/>
        <w:contextualSpacing/>
        <w:rPr>
          <w:rFonts w:ascii="Times New Roman" w:hAnsi="Times New Roman" w:cs="Times New Roman"/>
          <w:color w:val="auto"/>
          <w:szCs w:val="22"/>
          <w:lang w:val="en-CA"/>
        </w:rPr>
      </w:pPr>
      <w:bookmarkStart w:id="83" w:name="_Toc417293196"/>
      <w:r w:rsidRPr="00A90CEC">
        <w:rPr>
          <w:color w:val="auto"/>
          <w:szCs w:val="22"/>
        </w:rPr>
        <w:t xml:space="preserve">Figure </w:t>
      </w:r>
      <w:r w:rsidR="00AF3418">
        <w:rPr>
          <w:color w:val="auto"/>
          <w:szCs w:val="22"/>
        </w:rPr>
        <w:t>4</w:t>
      </w:r>
      <w:r w:rsidRPr="00A90CEC">
        <w:rPr>
          <w:color w:val="auto"/>
          <w:szCs w:val="22"/>
        </w:rPr>
        <w:t xml:space="preserve">. </w:t>
      </w:r>
      <w:r w:rsidR="00AF3418">
        <w:rPr>
          <w:color w:val="auto"/>
          <w:szCs w:val="22"/>
        </w:rPr>
        <w:t>16</w:t>
      </w:r>
      <w:r w:rsidRPr="00A90CEC">
        <w:rPr>
          <w:color w:val="auto"/>
          <w:szCs w:val="22"/>
        </w:rPr>
        <w:t xml:space="preserve">: </w:t>
      </w:r>
      <w:r w:rsidRPr="00A90CEC">
        <w:rPr>
          <w:rFonts w:ascii="Times New Roman" w:hAnsi="Times New Roman" w:cs="Times New Roman"/>
          <w:color w:val="auto"/>
          <w:szCs w:val="22"/>
          <w:lang w:val="en-CA"/>
        </w:rPr>
        <w:t>Monetary and non-monetary poverty incidences</w:t>
      </w:r>
      <w:bookmarkEnd w:id="83"/>
    </w:p>
    <w:p w:rsidR="00AF3418" w:rsidRPr="00782B0C" w:rsidRDefault="00AF3418" w:rsidP="00E56625">
      <w:pPr>
        <w:jc w:val="center"/>
        <w:rPr>
          <w:lang w:val="en-CA"/>
        </w:rPr>
      </w:pPr>
      <w:r w:rsidRPr="00BE18D3">
        <w:object w:dxaOrig="720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6pt;height:217.75pt" o:ole="">
            <v:imagedata r:id="rId89" o:title=""/>
          </v:shape>
          <o:OLEObject Type="Embed" ProgID="PBrush" ShapeID="_x0000_i1025" DrawAspect="Content" ObjectID="_1493211163" r:id="rId90"/>
        </w:object>
      </w:r>
    </w:p>
    <w:p w:rsidR="005D2B94" w:rsidRDefault="005D2B94" w:rsidP="005D2B94">
      <w:pPr>
        <w:rPr>
          <w:sz w:val="20"/>
          <w:szCs w:val="20"/>
        </w:rPr>
      </w:pPr>
      <w:r w:rsidRPr="00BE18D3">
        <w:rPr>
          <w:sz w:val="20"/>
          <w:szCs w:val="20"/>
        </w:rPr>
        <w:t xml:space="preserve">Source: ELIM 2010. Authors’ calculations. </w:t>
      </w:r>
    </w:p>
    <w:p w:rsidR="005D2B94" w:rsidRDefault="005D2B94" w:rsidP="005D2B94">
      <w:pPr>
        <w:rPr>
          <w:sz w:val="20"/>
          <w:szCs w:val="20"/>
        </w:rPr>
      </w:pPr>
    </w:p>
    <w:p w:rsidR="005D2B94" w:rsidRDefault="005D2B94" w:rsidP="00E56625">
      <w:pPr>
        <w:pStyle w:val="paranumb"/>
      </w:pPr>
      <w:r w:rsidRPr="00E56625">
        <w:rPr>
          <w:b/>
        </w:rPr>
        <w:t>In the absence of improvements in the way consumption and poverty are measured, the spatial pattern of poverty is subject to major uncertainties.</w:t>
      </w:r>
      <w:r w:rsidRPr="00BE18D3">
        <w:t xml:space="preserve"> A new LSMS-ISA survey which addresses the shortcomings of the aforementioned surveys is in the field and first results are expected </w:t>
      </w:r>
      <w:r>
        <w:t xml:space="preserve">late </w:t>
      </w:r>
      <w:r w:rsidRPr="00BE18D3">
        <w:t>2015. This survey will allow reassess</w:t>
      </w:r>
      <w:r>
        <w:t>ing</w:t>
      </w:r>
      <w:r w:rsidRPr="00BE18D3">
        <w:t xml:space="preserve"> the spatial patterns of poverty as well as the poverty profile. Meanwhile </w:t>
      </w:r>
      <w:r>
        <w:t>in</w:t>
      </w:r>
      <w:r w:rsidRPr="00BE18D3">
        <w:t xml:space="preserve"> this document we exert caution when interpreting poverty and poverty trends and combine different approaches (</w:t>
      </w:r>
      <w:r>
        <w:t xml:space="preserve">consumption </w:t>
      </w:r>
      <w:r w:rsidRPr="00BE18D3">
        <w:t>poverty, asset based poverty and livelihoods approaches) to construct a narrative.</w:t>
      </w:r>
    </w:p>
    <w:p w:rsidR="00AF3418" w:rsidRDefault="00AF3418" w:rsidP="00E56625">
      <w:pPr>
        <w:pStyle w:val="paranumb"/>
        <w:rPr>
          <w:noProof/>
        </w:rPr>
      </w:pPr>
      <w:r>
        <w:rPr>
          <w:b/>
        </w:rPr>
        <w:t>Also the poverty map needs to be interpreted with caution.</w:t>
      </w:r>
      <w:r>
        <w:t xml:space="preserve"> </w:t>
      </w:r>
      <w:r w:rsidRPr="00D827BF">
        <w:rPr>
          <w:noProof/>
        </w:rPr>
        <w:t xml:space="preserve">By combining data from the 2009 population census and the 2010 ELIM household survey a poverty map was prepared. A quick glance at the map reveals an odd pattern: poverty incidence closely follows regional boundaries. This pattern is an artefact of the way the map was created (using regional regression models). One also notes how certain patterns of poverty incidence in for instance Sikasso, where levels of poverty poverty vary from 74 percent in zone 10 to 52 percent in zone 11, are not reflected on the poverty map. We suspect that this is because few spatial variables were incorporated in the regression models used to generate the data presented on the map. Information about </w:t>
      </w:r>
      <w:r w:rsidRPr="00D827BF">
        <w:t xml:space="preserve">livelihood zones was not used –even though this is a strong correlate for poverty, nor was information from the community census carried out by ODHD. </w:t>
      </w:r>
      <w:r w:rsidRPr="00D827BF">
        <w:rPr>
          <w:noProof/>
        </w:rPr>
        <w:t>Consequently spatial differences are not well captured.</w:t>
      </w:r>
    </w:p>
    <w:p w:rsidR="000279FD" w:rsidRPr="00E56625" w:rsidRDefault="000279FD" w:rsidP="00E56625">
      <w:pPr>
        <w:pStyle w:val="paranumb"/>
        <w:numPr>
          <w:ilvl w:val="0"/>
          <w:numId w:val="0"/>
        </w:numPr>
        <w:jc w:val="center"/>
        <w:rPr>
          <w:b/>
          <w:noProof/>
        </w:rPr>
      </w:pPr>
      <w:r w:rsidRPr="00E56625">
        <w:rPr>
          <w:b/>
          <w:noProof/>
        </w:rPr>
        <w:t>Figure 4.17: Poverty map for Mali (2009)</w:t>
      </w:r>
    </w:p>
    <w:p w:rsidR="000279FD" w:rsidRDefault="000279FD" w:rsidP="00E56625">
      <w:pPr>
        <w:pStyle w:val="paranumb"/>
        <w:numPr>
          <w:ilvl w:val="0"/>
          <w:numId w:val="0"/>
        </w:numPr>
        <w:rPr>
          <w:noProof/>
        </w:rPr>
      </w:pPr>
      <w:r w:rsidRPr="00E56625">
        <w:rPr>
          <w:noProof/>
          <w:sz w:val="22"/>
        </w:rPr>
        <w:drawing>
          <wp:inline distT="0" distB="0" distL="0" distR="0" wp14:anchorId="2CE191F2" wp14:editId="64A8BB8A">
            <wp:extent cx="5937885" cy="409829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885" cy="4098290"/>
                    </a:xfrm>
                    <a:prstGeom prst="rect">
                      <a:avLst/>
                    </a:prstGeom>
                    <a:noFill/>
                    <a:ln>
                      <a:noFill/>
                    </a:ln>
                  </pic:spPr>
                </pic:pic>
              </a:graphicData>
            </a:graphic>
          </wp:inline>
        </w:drawing>
      </w:r>
    </w:p>
    <w:p w:rsidR="000279FD" w:rsidRPr="00E56625" w:rsidRDefault="000279FD" w:rsidP="000279FD">
      <w:pPr>
        <w:autoSpaceDE w:val="0"/>
        <w:autoSpaceDN w:val="0"/>
        <w:adjustRightInd w:val="0"/>
        <w:spacing w:after="0"/>
        <w:rPr>
          <w:bCs/>
          <w:iCs/>
          <w:lang w:val="fr-FR"/>
        </w:rPr>
      </w:pPr>
      <w:r w:rsidRPr="00E56625">
        <w:rPr>
          <w:noProof/>
          <w:lang w:val="fr-FR"/>
        </w:rPr>
        <w:t xml:space="preserve">Source: INSTAT 2012: </w:t>
      </w:r>
      <w:r w:rsidRPr="00E56625">
        <w:rPr>
          <w:bCs/>
          <w:iCs/>
          <w:lang w:val="fr-FR"/>
        </w:rPr>
        <w:t>Cartographie de la pauvreté et des Objectifs du Millénaire pour le</w:t>
      </w:r>
    </w:p>
    <w:p w:rsidR="000279FD" w:rsidRPr="00E56625" w:rsidRDefault="000279FD" w:rsidP="00E56625">
      <w:pPr>
        <w:pStyle w:val="paranumb"/>
        <w:numPr>
          <w:ilvl w:val="0"/>
          <w:numId w:val="0"/>
        </w:numPr>
        <w:rPr>
          <w:noProof/>
          <w:lang w:val="fr-FR"/>
        </w:rPr>
      </w:pPr>
      <w:r w:rsidRPr="00E56625">
        <w:rPr>
          <w:rFonts w:cs="Times New Roman"/>
          <w:bCs/>
          <w:iCs/>
          <w:szCs w:val="24"/>
          <w:lang w:val="fr-FR"/>
        </w:rPr>
        <w:t>Développement (OMD) au Mali en 2009</w:t>
      </w:r>
    </w:p>
    <w:p w:rsidR="007F07EF" w:rsidRPr="00D827BF" w:rsidRDefault="007F07EF" w:rsidP="00E56625">
      <w:pPr>
        <w:pStyle w:val="paranumb"/>
        <w:rPr>
          <w:noProof/>
        </w:rPr>
      </w:pPr>
      <w:r>
        <w:rPr>
          <w:b/>
        </w:rPr>
        <w:t xml:space="preserve">In addition, the poverty map reflects the fact that poverty in Sikasso may be overestimated. </w:t>
      </w:r>
      <w:r>
        <w:t>This is illustrated in Figure 4.18 which</w:t>
      </w:r>
      <w:r w:rsidR="009F2BC3">
        <w:t xml:space="preserve"> shows the distribution of poverty incidence at the commune level. Instead of a normal (or lognormal) distribution, the distribution shows two clear humps, with the second hump comprising exclusively communes in Sikasso. It is another illustration of the fact that pove</w:t>
      </w:r>
      <w:r w:rsidR="000279FD">
        <w:t>r</w:t>
      </w:r>
      <w:r w:rsidR="009F2BC3">
        <w:t>ty in Sikasso may be overestimated.</w:t>
      </w:r>
    </w:p>
    <w:p w:rsidR="00AF3418" w:rsidRPr="00BE18D3" w:rsidRDefault="00AF3418" w:rsidP="00E56625">
      <w:pPr>
        <w:pStyle w:val="paranumb"/>
      </w:pPr>
      <w:r w:rsidRPr="00E56625">
        <w:rPr>
          <w:b/>
        </w:rPr>
        <w:t>Given the importance of spatially accurate poverty data for decisions makers, it is proposed to re-estimate the poverty map in a way that controls better for spatial differences and which uses the new LSMS-ISA data for its estimates</w:t>
      </w:r>
      <w:r w:rsidRPr="00D827BF">
        <w:t>. A new poverty map would also permit to use the newly calculated poverty lines presented in this study and could correct for the omission of very large households from the calculation of the existing map.</w:t>
      </w:r>
    </w:p>
    <w:p w:rsidR="007F07EF" w:rsidRDefault="007F07EF" w:rsidP="00E56625">
      <w:pPr>
        <w:jc w:val="center"/>
        <w:rPr>
          <w:b/>
        </w:rPr>
      </w:pPr>
      <w:r w:rsidRPr="00E56625">
        <w:rPr>
          <w:b/>
        </w:rPr>
        <w:t>Figure 4.1</w:t>
      </w:r>
      <w:r>
        <w:rPr>
          <w:b/>
        </w:rPr>
        <w:t>8:</w:t>
      </w:r>
      <w:r w:rsidRPr="00E56625">
        <w:rPr>
          <w:b/>
        </w:rPr>
        <w:t xml:space="preserve">  Density estimate of poverty incidence at commune level</w:t>
      </w:r>
      <w:r w:rsidRPr="007F07EF">
        <w:rPr>
          <w:noProof/>
          <w:lang w:val="en-US"/>
        </w:rPr>
        <w:drawing>
          <wp:inline distT="0" distB="0" distL="0" distR="0" wp14:anchorId="382F9A0A" wp14:editId="1535439B">
            <wp:extent cx="5114925" cy="3743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3C49A2" w:rsidRDefault="007F07EF" w:rsidP="00E56625">
      <w:pPr>
        <w:jc w:val="center"/>
        <w:rPr>
          <w:lang w:val="en-US"/>
        </w:rPr>
      </w:pPr>
      <w:r w:rsidRPr="00E56625">
        <w:t>Source: Staff calculations</w:t>
      </w:r>
      <w:r>
        <w:t xml:space="preserve"> based on 2009 poverty map</w:t>
      </w:r>
    </w:p>
    <w:p w:rsidR="000279FD" w:rsidRPr="00E56625" w:rsidRDefault="000279FD" w:rsidP="00E56625">
      <w:pPr>
        <w:jc w:val="center"/>
        <w:rPr>
          <w:lang w:val="en-US"/>
        </w:rPr>
      </w:pP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84" w:name="_Toc419468553"/>
      <w:r w:rsidRPr="00E56625">
        <w:rPr>
          <w:rFonts w:ascii="Times New Roman Bold" w:hAnsi="Times New Roman Bold" w:cs="Times New Roman"/>
          <w:color w:val="000000" w:themeColor="text1"/>
          <w:sz w:val="22"/>
          <w:szCs w:val="22"/>
          <w:lang w:val="en-US"/>
        </w:rPr>
        <w:t>Consumption and poverty and since 2010</w:t>
      </w:r>
      <w:bookmarkEnd w:id="84"/>
    </w:p>
    <w:p w:rsidR="003C49A2" w:rsidRPr="008F3531" w:rsidRDefault="003C49A2" w:rsidP="00D17889">
      <w:pPr>
        <w:pStyle w:val="paranumb"/>
        <w:spacing w:after="200"/>
        <w:rPr>
          <w:rFonts w:cs="Times New Roman"/>
          <w:szCs w:val="24"/>
        </w:rPr>
      </w:pPr>
      <w:r w:rsidRPr="008F3531">
        <w:rPr>
          <w:rFonts w:cs="Times New Roman"/>
          <w:szCs w:val="24"/>
        </w:rPr>
        <w:t xml:space="preserve">The EMOP surveys can be used to explore what happened to consumption after 2010. The consumption aggregates derived from EMOP and ELIM are not comparable, so we only present a comparison between the two EMOP surveys. To ensure comparability we express the EMOP 2013 consumption in prices for 2011 (between the two surveys the rate of inflation was 6.0 percent, we only use waves 1 and 2 of both surveys (for EMOP 2013 preliminary data for the two waves are available) and we exclude the regions of the North (they were not covered by EMOP 2013 for reasons of security). </w:t>
      </w:r>
    </w:p>
    <w:p w:rsidR="003C49A2" w:rsidRPr="008F3531" w:rsidRDefault="003C49A2" w:rsidP="00D17889">
      <w:pPr>
        <w:pStyle w:val="paranumb"/>
        <w:spacing w:after="200"/>
        <w:rPr>
          <w:rFonts w:cs="Times New Roman"/>
          <w:szCs w:val="24"/>
        </w:rPr>
      </w:pPr>
      <w:r w:rsidRPr="008F3531">
        <w:rPr>
          <w:rFonts w:cs="Times New Roman"/>
          <w:szCs w:val="24"/>
        </w:rPr>
        <w:t>The data suggest that consumption declined significantly between 2011 and 2013: by 10 percent. This decline in consumption is unequally distributed. Consumption declined by as much as 22 and 20 percent per capita in respectively Koulikoro and Mopti, declined by between 7 and 11 perce</w:t>
      </w:r>
      <w:r w:rsidR="00E86A46" w:rsidRPr="008F3531">
        <w:rPr>
          <w:rFonts w:cs="Times New Roman"/>
          <w:szCs w:val="24"/>
        </w:rPr>
        <w:t xml:space="preserve">nt in Kayes, Ségou </w:t>
      </w:r>
      <w:r w:rsidRPr="008F3531">
        <w:rPr>
          <w:rFonts w:cs="Times New Roman"/>
          <w:szCs w:val="24"/>
        </w:rPr>
        <w:t>and Sikasso and increased in Bamako. These dramatic changes in consumption are the combined effect of declines in the production of cereals as a result of bad rains, an increase in the value of cotton production (see Figures 4.10 and 4.11) and spillovers from the security crisis in North Mali.</w:t>
      </w:r>
    </w:p>
    <w:p w:rsidR="000279FD" w:rsidRDefault="000279FD" w:rsidP="000F1042">
      <w:pPr>
        <w:pStyle w:val="Caption"/>
      </w:pPr>
      <w:bookmarkStart w:id="85" w:name="_Toc390956405"/>
    </w:p>
    <w:p w:rsidR="000279FD" w:rsidRDefault="000279FD">
      <w:pPr>
        <w:spacing w:line="276" w:lineRule="auto"/>
        <w:rPr>
          <w:rFonts w:ascii="Times New Roman Bold" w:hAnsi="Times New Roman Bold" w:cstheme="minorBidi"/>
          <w:b/>
          <w:bCs/>
          <w:color w:val="000000" w:themeColor="text1"/>
          <w:sz w:val="22"/>
          <w:szCs w:val="18"/>
          <w:lang w:val="en-US"/>
        </w:rPr>
      </w:pPr>
      <w:r>
        <w:br w:type="page"/>
      </w:r>
    </w:p>
    <w:p w:rsidR="003C49A2" w:rsidRPr="008F3531" w:rsidRDefault="000F1042" w:rsidP="000F1042">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16</w:t>
      </w:r>
      <w:r w:rsidR="00943E46" w:rsidRPr="00E56625">
        <w:rPr>
          <w:noProof/>
        </w:rPr>
        <w:fldChar w:fldCharType="end"/>
      </w:r>
      <w:r w:rsidR="003C49A2" w:rsidRPr="008F3531">
        <w:rPr>
          <w:b w:val="0"/>
        </w:rPr>
        <w:t>: Real consumption per capita between April-October in 2011 and 2013</w:t>
      </w:r>
      <w:bookmarkEnd w:id="85"/>
    </w:p>
    <w:p w:rsidR="003C49A2" w:rsidRPr="00E56625" w:rsidRDefault="003C49A2" w:rsidP="00E86A46">
      <w:pPr>
        <w:spacing w:after="0"/>
        <w:jc w:val="center"/>
        <w:rPr>
          <w:lang w:val="en-US"/>
        </w:rPr>
      </w:pPr>
      <w:r w:rsidRPr="00782B0C">
        <w:rPr>
          <w:noProof/>
          <w:lang w:val="en-US"/>
        </w:rPr>
        <w:drawing>
          <wp:inline distT="0" distB="0" distL="0" distR="0" wp14:anchorId="699C57AC" wp14:editId="2DDC45BD">
            <wp:extent cx="5905041" cy="2743200"/>
            <wp:effectExtent l="0" t="0" r="635"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C49A2" w:rsidRPr="00E56625" w:rsidRDefault="003C49A2" w:rsidP="000F1042">
      <w:pPr>
        <w:spacing w:after="0"/>
        <w:rPr>
          <w:sz w:val="20"/>
          <w:szCs w:val="20"/>
          <w:lang w:val="en-US"/>
        </w:rPr>
      </w:pPr>
      <w:r w:rsidRPr="00E56625">
        <w:rPr>
          <w:sz w:val="20"/>
          <w:szCs w:val="20"/>
          <w:lang w:val="en-US"/>
        </w:rPr>
        <w:t>Source: EMOP 2011 and 2013, passages 1 &amp; 2. Authors’</w:t>
      </w:r>
      <w:r w:rsidR="000F1042" w:rsidRPr="00E56625">
        <w:rPr>
          <w:sz w:val="20"/>
          <w:szCs w:val="20"/>
          <w:lang w:val="en-US"/>
        </w:rPr>
        <w:t xml:space="preserve"> </w:t>
      </w:r>
      <w:r w:rsidRPr="00E56625">
        <w:rPr>
          <w:sz w:val="20"/>
          <w:szCs w:val="20"/>
          <w:lang w:val="en-US"/>
        </w:rPr>
        <w:t>calculations.</w:t>
      </w:r>
    </w:p>
    <w:p w:rsidR="000F1042" w:rsidRPr="00E56625" w:rsidRDefault="000F1042" w:rsidP="000F1042">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 xml:space="preserve">Using these estimates of regional changes in consumption and assuming that between 2009/10 and 2011 per capita consumption increased with the rate of growth of per capita GDP (2.2 percent), and assuming that per capita consumption for households living in the conflict affected areas not covered by EMOP 2013 declined by 15 percent, the evolution of poverty since 2009/10 can be estimated. </w:t>
      </w:r>
    </w:p>
    <w:p w:rsidR="003C49A2" w:rsidRPr="008F3531" w:rsidRDefault="003C49A2" w:rsidP="00D17889">
      <w:pPr>
        <w:pStyle w:val="paranumb"/>
        <w:spacing w:after="200"/>
        <w:rPr>
          <w:rFonts w:cs="Times New Roman"/>
          <w:szCs w:val="24"/>
        </w:rPr>
      </w:pPr>
      <w:r w:rsidRPr="008F3531">
        <w:rPr>
          <w:rFonts w:cs="Times New Roman"/>
          <w:szCs w:val="24"/>
        </w:rPr>
        <w:t xml:space="preserve">Poverty is estimated to have increased by 10 percentage points since 2009/10 from 41 percent to 51 percent. Poverty has gone up most dramatically in Mopti, where it is estimated to have increased by 20 percentage points from 46 percent to 66 percent in 2013. Sikasso remains the poorest region with an estimated rate of poverty incidence of 74 percent. </w:t>
      </w:r>
    </w:p>
    <w:p w:rsidR="003C49A2" w:rsidRPr="008F3531" w:rsidRDefault="003C49A2" w:rsidP="00D17889">
      <w:pPr>
        <w:pStyle w:val="paranumb"/>
        <w:spacing w:after="200"/>
        <w:rPr>
          <w:rFonts w:cs="Times New Roman"/>
          <w:szCs w:val="24"/>
        </w:rPr>
      </w:pPr>
      <w:r w:rsidRPr="008F3531">
        <w:rPr>
          <w:rFonts w:cs="Times New Roman"/>
          <w:szCs w:val="24"/>
        </w:rPr>
        <w:t>It is important to point out that the change in consumption calculated from the EMOP surveys is not collaborated by the General Equilibrium model of the Malian economy run by the World Bank. According to this model, which presents a consistent framework for all major aggregates of the economy, per capita consumption declined between 2011 and 2013 by approximately 2</w:t>
      </w:r>
      <w:r w:rsidR="00313666">
        <w:rPr>
          <w:rFonts w:cs="Times New Roman"/>
          <w:szCs w:val="24"/>
        </w:rPr>
        <w:t xml:space="preserve"> percent</w:t>
      </w:r>
      <w:r w:rsidRPr="008F3531">
        <w:rPr>
          <w:rFonts w:cs="Times New Roman"/>
          <w:szCs w:val="24"/>
        </w:rPr>
        <w:t xml:space="preserve">. If this decline in consumption were modeled, estimated poverty incidence for 2013 is only marginally less than that in 2010: 40.9 percent. As the EMOP data for 2013 is still preliminary it is critical that a cleaned and final dataset is obtained soon, so that a better sense of the recent evolution of welfare can be gained. </w:t>
      </w:r>
    </w:p>
    <w:p w:rsidR="000279FD" w:rsidRDefault="000279FD">
      <w:pPr>
        <w:spacing w:line="276" w:lineRule="auto"/>
        <w:rPr>
          <w:rFonts w:ascii="Times New Roman Bold" w:hAnsi="Times New Roman Bold" w:cstheme="minorBidi"/>
          <w:b/>
          <w:bCs/>
          <w:color w:val="000000" w:themeColor="text1"/>
          <w:sz w:val="22"/>
          <w:szCs w:val="18"/>
          <w:lang w:val="en-US"/>
        </w:rPr>
      </w:pPr>
      <w:bookmarkStart w:id="86" w:name="_Toc390956406"/>
      <w:r>
        <w:br w:type="page"/>
      </w:r>
    </w:p>
    <w:p w:rsidR="003C49A2" w:rsidRPr="008F3531" w:rsidRDefault="00E86A46" w:rsidP="00E86A46">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17</w:t>
      </w:r>
      <w:r w:rsidR="00943E46" w:rsidRPr="00E56625">
        <w:rPr>
          <w:noProof/>
        </w:rPr>
        <w:fldChar w:fldCharType="end"/>
      </w:r>
      <w:r w:rsidR="003C49A2" w:rsidRPr="008F3531">
        <w:rPr>
          <w:b w:val="0"/>
        </w:rPr>
        <w:t>: Projected poverty for 2013 calculated using EMOP consumption data</w:t>
      </w:r>
      <w:bookmarkEnd w:id="86"/>
    </w:p>
    <w:p w:rsidR="003C49A2" w:rsidRPr="00E56625" w:rsidRDefault="003C49A2" w:rsidP="00E86A46">
      <w:pPr>
        <w:spacing w:after="0"/>
        <w:jc w:val="center"/>
        <w:rPr>
          <w:lang w:val="en-US"/>
        </w:rPr>
      </w:pPr>
      <w:r w:rsidRPr="00782B0C">
        <w:rPr>
          <w:noProof/>
          <w:lang w:val="en-US"/>
        </w:rPr>
        <w:drawing>
          <wp:inline distT="0" distB="0" distL="0" distR="0" wp14:anchorId="766C3ED8" wp14:editId="31B3E6D8">
            <wp:extent cx="5883007" cy="2743200"/>
            <wp:effectExtent l="0" t="0" r="381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C49A2" w:rsidRPr="00E56625" w:rsidRDefault="003C49A2" w:rsidP="00E86A46">
      <w:pPr>
        <w:spacing w:after="0"/>
        <w:rPr>
          <w:sz w:val="20"/>
          <w:szCs w:val="20"/>
          <w:lang w:val="en-US"/>
        </w:rPr>
      </w:pPr>
      <w:r w:rsidRPr="00E56625">
        <w:rPr>
          <w:sz w:val="20"/>
          <w:szCs w:val="20"/>
          <w:lang w:val="en-US"/>
        </w:rPr>
        <w:t>Source: Calculated using ELIM 2009/10 and EMOP 2011, 2013, passages 1 &amp; 2.</w:t>
      </w:r>
    </w:p>
    <w:p w:rsidR="003C49A2" w:rsidRPr="00E56625" w:rsidRDefault="003C49A2" w:rsidP="00E86A46">
      <w:pPr>
        <w:spacing w:after="0"/>
        <w:rPr>
          <w:b/>
          <w:lang w:val="en-US"/>
        </w:rPr>
      </w:pP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87" w:name="_Toc419468554"/>
      <w:r w:rsidRPr="00E56625">
        <w:rPr>
          <w:rFonts w:ascii="Times New Roman Bold" w:hAnsi="Times New Roman Bold" w:cs="Times New Roman"/>
          <w:color w:val="000000" w:themeColor="text1"/>
          <w:sz w:val="22"/>
          <w:szCs w:val="22"/>
          <w:lang w:val="en-US"/>
        </w:rPr>
        <w:t>Ownership of assets</w:t>
      </w:r>
      <w:bookmarkEnd w:id="87"/>
    </w:p>
    <w:p w:rsidR="003C49A2" w:rsidRPr="008F3531" w:rsidRDefault="003C49A2" w:rsidP="00D17889">
      <w:pPr>
        <w:pStyle w:val="paranumb"/>
        <w:spacing w:after="200"/>
        <w:rPr>
          <w:rFonts w:cs="Times New Roman"/>
          <w:szCs w:val="24"/>
        </w:rPr>
      </w:pPr>
      <w:r w:rsidRPr="008F3531">
        <w:rPr>
          <w:rFonts w:cs="Times New Roman"/>
          <w:szCs w:val="24"/>
        </w:rPr>
        <w:t xml:space="preserve">Even though per capita consumption did not increase much between 2001 and 2010 and as poverty increased in some regions, ownership of assets increased in all regions. Since 2010 and as the country became affected by the security crisis, asset ownership declined slightly. </w:t>
      </w:r>
    </w:p>
    <w:p w:rsidR="003C49A2" w:rsidRPr="008F3531" w:rsidRDefault="003C49A2" w:rsidP="00D17889">
      <w:pPr>
        <w:pStyle w:val="paranumb"/>
        <w:spacing w:after="200"/>
        <w:rPr>
          <w:rFonts w:cs="Times New Roman"/>
          <w:szCs w:val="24"/>
        </w:rPr>
      </w:pPr>
      <w:r w:rsidRPr="008F3531">
        <w:rPr>
          <w:rFonts w:cs="Times New Roman"/>
          <w:szCs w:val="24"/>
        </w:rPr>
        <w:t>The fraction of households owning fridges doubled between 2001 (EMEP) and 2011 (EMOP) from 5 percent to 11 percent, while the ownership of televisions almost tripled going from 14 percent to 37 percent. Most remarkable is the increase in the ownership of mobile phones, which were virtually absent in 2001 but which were owned by 67 percent of households in 2011. Equally remarkable is the increase in motor bikes. Over the course of one decade the ownership more than tripled from 17 percent of households to 48 percent. The increase in asset ownership occurred in all regions as is illustrated below for televisions and motor bikes.</w:t>
      </w:r>
    </w:p>
    <w:p w:rsidR="003C49A2" w:rsidRPr="008F3531" w:rsidRDefault="003C49A2" w:rsidP="00D17889">
      <w:pPr>
        <w:pStyle w:val="paranumb"/>
        <w:spacing w:after="200"/>
        <w:rPr>
          <w:rFonts w:cs="Times New Roman"/>
          <w:szCs w:val="24"/>
        </w:rPr>
      </w:pPr>
      <w:r w:rsidRPr="008F3531">
        <w:rPr>
          <w:rFonts w:cs="Times New Roman"/>
          <w:szCs w:val="24"/>
        </w:rPr>
        <w:t xml:space="preserve">More people enjoying consumer durables is positive and reflects an increase in welfare. The rapid increase in asset ownership in the face of very little change in average consumption deserves an explanation. Two trends occurring independent of each other, explain the rapid increase in asset ownership. First, consumption of poor households increased by much more than that of wealthy households: in fact between 2001 and 2010 consumption of households in the poorest wealth decile increased by 36 percent while consumption of households in the top wealth decile decined by 13 percent. This increase in income by the poorest made the purchase of consumer durables a possibility for those who did not have such opportunity before. This is borne out by the data: one observes a rapid increase in asset ownership amongst poorer households. For instance, in 2001 only 2 percent of households in the bottom wealth quintile owned a television; by 2011 this had increased to 11 percent. The ownership of mobile phones amongst households in the bottom wealth quintile increased even from 2 percent to 49 percent and the ownership of a motorbike from 10 percent to 40 percent. </w:t>
      </w:r>
    </w:p>
    <w:p w:rsidR="000279FD" w:rsidRDefault="000279FD">
      <w:pPr>
        <w:spacing w:line="276" w:lineRule="auto"/>
        <w:rPr>
          <w:rFonts w:ascii="Times New Roman Bold" w:hAnsi="Times New Roman Bold" w:cstheme="minorBidi"/>
          <w:b/>
          <w:bCs/>
          <w:color w:val="000000" w:themeColor="text1"/>
          <w:sz w:val="22"/>
          <w:szCs w:val="18"/>
          <w:lang w:val="en-US"/>
        </w:rPr>
      </w:pPr>
      <w:bookmarkStart w:id="88" w:name="_Toc390956407"/>
      <w:r>
        <w:br w:type="page"/>
      </w:r>
    </w:p>
    <w:p w:rsidR="003C49A2" w:rsidRPr="008F3531" w:rsidRDefault="008E19B4" w:rsidP="008E19B4">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18</w:t>
      </w:r>
      <w:r w:rsidR="00943E46" w:rsidRPr="00E56625">
        <w:rPr>
          <w:noProof/>
        </w:rPr>
        <w:fldChar w:fldCharType="end"/>
      </w:r>
      <w:r w:rsidR="003C49A2" w:rsidRPr="008F3531">
        <w:rPr>
          <w:b w:val="0"/>
        </w:rPr>
        <w:t xml:space="preserve">: Ownership </w:t>
      </w:r>
      <w:r w:rsidR="00313666">
        <w:rPr>
          <w:b w:val="0"/>
        </w:rPr>
        <w:t xml:space="preserve">and prices </w:t>
      </w:r>
      <w:r w:rsidR="003C49A2" w:rsidRPr="008F3531">
        <w:rPr>
          <w:b w:val="0"/>
        </w:rPr>
        <w:t>of televisions and motorbikes since 2001, by region</w:t>
      </w:r>
      <w:bookmarkEnd w:id="88"/>
    </w:p>
    <w:p w:rsidR="00ED436A" w:rsidRPr="008F3531" w:rsidRDefault="00ED436A" w:rsidP="00ED436A">
      <w:pPr>
        <w:spacing w:after="0"/>
        <w:rPr>
          <w:lang w:val="en-US"/>
        </w:rPr>
      </w:pPr>
    </w:p>
    <w:tbl>
      <w:tblPr>
        <w:tblW w:w="0" w:type="auto"/>
        <w:tblLook w:val="04A0" w:firstRow="1" w:lastRow="0" w:firstColumn="1" w:lastColumn="0" w:noHBand="0" w:noVBand="1"/>
      </w:tblPr>
      <w:tblGrid>
        <w:gridCol w:w="4722"/>
        <w:gridCol w:w="4638"/>
      </w:tblGrid>
      <w:tr w:rsidR="003C49A2" w:rsidRPr="008F3531" w:rsidTr="00313666">
        <w:tc>
          <w:tcPr>
            <w:tcW w:w="4722" w:type="dxa"/>
          </w:tcPr>
          <w:p w:rsidR="00313666" w:rsidRPr="00E56625" w:rsidRDefault="003C49A2" w:rsidP="00E56625">
            <w:pPr>
              <w:spacing w:after="120"/>
              <w:jc w:val="center"/>
              <w:rPr>
                <w:b/>
                <w:lang w:val="en-US"/>
              </w:rPr>
            </w:pPr>
            <w:r w:rsidRPr="00E56625">
              <w:rPr>
                <w:b/>
                <w:lang w:val="en-US"/>
              </w:rPr>
              <w:t>Televisions</w:t>
            </w:r>
          </w:p>
        </w:tc>
        <w:tc>
          <w:tcPr>
            <w:tcW w:w="4638" w:type="dxa"/>
          </w:tcPr>
          <w:p w:rsidR="003C49A2" w:rsidRPr="00E56625" w:rsidRDefault="003C49A2" w:rsidP="00E56625">
            <w:pPr>
              <w:spacing w:after="120"/>
              <w:jc w:val="center"/>
              <w:rPr>
                <w:b/>
                <w:lang w:val="en-US"/>
              </w:rPr>
            </w:pPr>
            <w:r w:rsidRPr="00E56625">
              <w:rPr>
                <w:b/>
                <w:lang w:val="en-US"/>
              </w:rPr>
              <w:t>Motor bikes</w:t>
            </w:r>
          </w:p>
        </w:tc>
      </w:tr>
      <w:tr w:rsidR="00313666" w:rsidRPr="008F3531" w:rsidTr="00E56625">
        <w:tc>
          <w:tcPr>
            <w:tcW w:w="9360" w:type="dxa"/>
            <w:gridSpan w:val="2"/>
          </w:tcPr>
          <w:p w:rsidR="00313666" w:rsidRPr="00E56625" w:rsidRDefault="00313666" w:rsidP="00E56625">
            <w:pPr>
              <w:spacing w:after="120"/>
              <w:jc w:val="center"/>
              <w:rPr>
                <w:i/>
                <w:lang w:val="en-US"/>
              </w:rPr>
            </w:pPr>
            <w:r w:rsidRPr="00E56625">
              <w:rPr>
                <w:i/>
                <w:lang w:val="en-US"/>
              </w:rPr>
              <w:t>Percent owning</w:t>
            </w:r>
          </w:p>
        </w:tc>
      </w:tr>
      <w:tr w:rsidR="003C49A2" w:rsidRPr="008F3531" w:rsidTr="00313666">
        <w:tc>
          <w:tcPr>
            <w:tcW w:w="4722" w:type="dxa"/>
          </w:tcPr>
          <w:p w:rsidR="003C49A2" w:rsidRPr="00E56625" w:rsidRDefault="003C49A2" w:rsidP="00B3325F">
            <w:pPr>
              <w:spacing w:after="120"/>
              <w:rPr>
                <w:lang w:val="en-US"/>
              </w:rPr>
            </w:pPr>
            <w:r w:rsidRPr="00782B0C">
              <w:rPr>
                <w:noProof/>
                <w:lang w:val="en-US"/>
              </w:rPr>
              <w:drawing>
                <wp:inline distT="0" distB="0" distL="0" distR="0" wp14:anchorId="5DABC867" wp14:editId="223412C1">
                  <wp:extent cx="2962275" cy="220980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4638" w:type="dxa"/>
          </w:tcPr>
          <w:p w:rsidR="003C49A2" w:rsidRPr="00E56625" w:rsidRDefault="003C49A2" w:rsidP="00B3325F">
            <w:pPr>
              <w:spacing w:after="120"/>
              <w:rPr>
                <w:lang w:val="en-US"/>
              </w:rPr>
            </w:pPr>
            <w:r w:rsidRPr="00782B0C">
              <w:rPr>
                <w:noProof/>
                <w:lang w:val="en-US"/>
              </w:rPr>
              <w:drawing>
                <wp:inline distT="0" distB="0" distL="0" distR="0" wp14:anchorId="42C028D7" wp14:editId="60EB98D2">
                  <wp:extent cx="2914650" cy="220980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313666" w:rsidRPr="008F3531" w:rsidTr="00104347">
        <w:tc>
          <w:tcPr>
            <w:tcW w:w="9360" w:type="dxa"/>
            <w:gridSpan w:val="2"/>
          </w:tcPr>
          <w:p w:rsidR="00313666" w:rsidRPr="00E56625" w:rsidRDefault="00313666" w:rsidP="00E56625">
            <w:pPr>
              <w:spacing w:after="120"/>
              <w:jc w:val="center"/>
              <w:rPr>
                <w:i/>
                <w:noProof/>
                <w:lang w:val="en-US"/>
              </w:rPr>
            </w:pPr>
            <w:r w:rsidRPr="00E56625">
              <w:rPr>
                <w:i/>
                <w:noProof/>
                <w:lang w:val="en-US"/>
              </w:rPr>
              <w:t>Unit cost</w:t>
            </w:r>
          </w:p>
        </w:tc>
      </w:tr>
      <w:tr w:rsidR="003C49A2" w:rsidRPr="008F3531" w:rsidTr="00E56625">
        <w:tc>
          <w:tcPr>
            <w:tcW w:w="4722" w:type="dxa"/>
          </w:tcPr>
          <w:p w:rsidR="003C49A2" w:rsidRPr="00E56625" w:rsidRDefault="003C49A2" w:rsidP="008E19B4">
            <w:pPr>
              <w:spacing w:after="0"/>
              <w:rPr>
                <w:noProof/>
                <w:lang w:val="en-US"/>
              </w:rPr>
            </w:pPr>
            <w:r w:rsidRPr="00782B0C">
              <w:rPr>
                <w:noProof/>
                <w:lang w:val="en-US"/>
              </w:rPr>
              <w:drawing>
                <wp:inline distT="0" distB="0" distL="0" distR="0" wp14:anchorId="49528C87" wp14:editId="7EE5E185">
                  <wp:extent cx="2965622" cy="1878227"/>
                  <wp:effectExtent l="0" t="0" r="6350" b="82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638" w:type="dxa"/>
          </w:tcPr>
          <w:p w:rsidR="003C49A2" w:rsidRPr="00E56625" w:rsidRDefault="003C49A2" w:rsidP="008E19B4">
            <w:pPr>
              <w:spacing w:after="0"/>
              <w:rPr>
                <w:noProof/>
                <w:sz w:val="18"/>
                <w:szCs w:val="18"/>
                <w:lang w:val="en-US"/>
              </w:rPr>
            </w:pPr>
            <w:r w:rsidRPr="00782B0C">
              <w:rPr>
                <w:noProof/>
                <w:sz w:val="18"/>
                <w:szCs w:val="18"/>
                <w:lang w:val="en-US"/>
              </w:rPr>
              <w:drawing>
                <wp:inline distT="0" distB="0" distL="0" distR="0" wp14:anchorId="54099A49" wp14:editId="0F70BCD0">
                  <wp:extent cx="2916194" cy="1894703"/>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rsidR="003C49A2" w:rsidRPr="00E56625" w:rsidRDefault="003C49A2" w:rsidP="008E19B4">
      <w:pPr>
        <w:spacing w:after="0"/>
        <w:rPr>
          <w:sz w:val="20"/>
          <w:szCs w:val="20"/>
          <w:lang w:val="en-US"/>
        </w:rPr>
      </w:pPr>
      <w:r w:rsidRPr="00E56625">
        <w:rPr>
          <w:sz w:val="20"/>
          <w:szCs w:val="20"/>
          <w:lang w:val="en-US"/>
        </w:rPr>
        <w:t>Source: Asset data (ELIM and EMOP), price data (Mercuriales 2005-2012)</w:t>
      </w:r>
      <w:r w:rsidR="008E19B4" w:rsidRPr="00E56625">
        <w:rPr>
          <w:sz w:val="20"/>
          <w:szCs w:val="20"/>
          <w:lang w:val="en-US"/>
        </w:rPr>
        <w:t>.</w:t>
      </w:r>
    </w:p>
    <w:p w:rsidR="008E19B4" w:rsidRPr="00E56625" w:rsidRDefault="008E19B4" w:rsidP="008E19B4">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 xml:space="preserve">The second trend is that consumer durables became more affordable because prices dropped. Since the early 2000s </w:t>
      </w:r>
      <w:r w:rsidR="00313666">
        <w:rPr>
          <w:rFonts w:cs="Times New Roman"/>
          <w:szCs w:val="24"/>
        </w:rPr>
        <w:t>E</w:t>
      </w:r>
      <w:r w:rsidR="00313666" w:rsidRPr="008F3531">
        <w:rPr>
          <w:rFonts w:cs="Times New Roman"/>
          <w:szCs w:val="24"/>
        </w:rPr>
        <w:t>ast</w:t>
      </w:r>
      <w:r w:rsidR="00313666">
        <w:rPr>
          <w:rFonts w:cs="Times New Roman"/>
          <w:szCs w:val="24"/>
        </w:rPr>
        <w:t>-A</w:t>
      </w:r>
      <w:r w:rsidRPr="008F3531">
        <w:rPr>
          <w:rFonts w:cs="Times New Roman"/>
          <w:szCs w:val="24"/>
        </w:rPr>
        <w:t>sian manufacturers have begun to flood the market with cheap consumer durables. Price data collected and published in the Mercuriale demonstrate how the nominal price of a 21 inch televisions dropped from FCFA 180,000 to 110,000 a 40 percent drop in nominal terms and an almost 50 percent drop if inflation is taken into account. The pattern for motor bikes is slightly different. Here the price of the premium brand from Japan did not drop much (in nominal terms at least), but the arrival of alternatives –they are first recorded in the Mercuriale in 2005, the power KTM and a Yamaha from China, meant that households now could purchase a motor bike which cost less than a third of the price of the Japanese bikes which previously dominated the market.</w:t>
      </w: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89" w:name="_Toc419468555"/>
      <w:r w:rsidRPr="00E56625">
        <w:rPr>
          <w:rFonts w:ascii="Times New Roman Bold" w:hAnsi="Times New Roman Bold" w:cs="Times New Roman"/>
          <w:color w:val="000000" w:themeColor="text1"/>
          <w:sz w:val="22"/>
          <w:szCs w:val="22"/>
          <w:lang w:val="en-US"/>
        </w:rPr>
        <w:t>Other correlates of welfare</w:t>
      </w:r>
      <w:bookmarkEnd w:id="89"/>
    </w:p>
    <w:p w:rsidR="003C49A2" w:rsidRPr="008F3531" w:rsidRDefault="003C49A2" w:rsidP="00D17889">
      <w:pPr>
        <w:pStyle w:val="paranumb"/>
        <w:spacing w:after="200"/>
        <w:rPr>
          <w:rFonts w:cs="Times New Roman"/>
          <w:szCs w:val="24"/>
        </w:rPr>
      </w:pPr>
      <w:r w:rsidRPr="008F3531">
        <w:rPr>
          <w:rFonts w:cs="Times New Roman"/>
          <w:szCs w:val="24"/>
        </w:rPr>
        <w:t xml:space="preserve">In 2009 life expectancy was 55.6 years, down slightly relative to 1987 when it was estimated at 56.9 years (RGPH 2009). Given Mali’s level of income, life expectancy is in line with that in comparator countries in Africa. Mali does better than Guinea Bissau or Sierra Leone and worse than for instance Togo which attains the same life expectancy for a lower level of per capita income. Countries like Eritrea, Ethiopia or Rwanda, which can be found in the bottom right quadrant of Figure 3.15 attain higher levels of life expectancy for lower levels of income, suggesting that though things could be worse (bottom left quadrant), they could be considerably better as well. </w:t>
      </w:r>
    </w:p>
    <w:p w:rsidR="003C49A2" w:rsidRPr="008F3531" w:rsidRDefault="008E19B4" w:rsidP="008E19B4">
      <w:pPr>
        <w:pStyle w:val="Caption"/>
        <w:rPr>
          <w:b w:val="0"/>
        </w:rPr>
      </w:pPr>
      <w:bookmarkStart w:id="90" w:name="_Toc390956408"/>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19</w:t>
      </w:r>
      <w:r w:rsidR="00943E46" w:rsidRPr="00E56625">
        <w:rPr>
          <w:noProof/>
        </w:rPr>
        <w:fldChar w:fldCharType="end"/>
      </w:r>
      <w:r w:rsidR="003C49A2" w:rsidRPr="008F3531">
        <w:rPr>
          <w:b w:val="0"/>
        </w:rPr>
        <w:t>: Life expectancy and GDP per capita across Africa</w:t>
      </w:r>
      <w:bookmarkEnd w:id="90"/>
    </w:p>
    <w:p w:rsidR="003C49A2" w:rsidRPr="00E56625" w:rsidRDefault="003C49A2" w:rsidP="00FA113C">
      <w:pPr>
        <w:spacing w:after="0"/>
        <w:jc w:val="center"/>
        <w:rPr>
          <w:lang w:val="en-US"/>
        </w:rPr>
      </w:pPr>
      <w:r w:rsidRPr="00782B0C">
        <w:rPr>
          <w:noProof/>
          <w:lang w:val="en-US"/>
        </w:rPr>
        <w:drawing>
          <wp:inline distT="0" distB="0" distL="0" distR="0" wp14:anchorId="73082651" wp14:editId="1AB2D874">
            <wp:extent cx="3950575" cy="2890809"/>
            <wp:effectExtent l="0" t="0" r="0" b="508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59001" cy="2896975"/>
                    </a:xfrm>
                    <a:prstGeom prst="rect">
                      <a:avLst/>
                    </a:prstGeom>
                    <a:noFill/>
                    <a:ln>
                      <a:noFill/>
                    </a:ln>
                  </pic:spPr>
                </pic:pic>
              </a:graphicData>
            </a:graphic>
          </wp:inline>
        </w:drawing>
      </w:r>
    </w:p>
    <w:p w:rsidR="003C49A2" w:rsidRPr="00E56625" w:rsidRDefault="003C49A2" w:rsidP="00E56625">
      <w:pPr>
        <w:spacing w:after="0"/>
        <w:jc w:val="center"/>
        <w:rPr>
          <w:sz w:val="20"/>
          <w:szCs w:val="20"/>
          <w:lang w:val="en-US"/>
        </w:rPr>
      </w:pPr>
      <w:r w:rsidRPr="00E56625">
        <w:rPr>
          <w:sz w:val="20"/>
          <w:szCs w:val="20"/>
          <w:lang w:val="en-US"/>
        </w:rPr>
        <w:t>Source: WDI 2013</w:t>
      </w:r>
      <w:r w:rsidR="00FA113C" w:rsidRPr="00E56625">
        <w:rPr>
          <w:sz w:val="20"/>
          <w:szCs w:val="20"/>
          <w:lang w:val="en-US"/>
        </w:rPr>
        <w:t>.</w:t>
      </w:r>
    </w:p>
    <w:p w:rsidR="00FA113C" w:rsidRPr="00E56625" w:rsidRDefault="00FA113C" w:rsidP="00FA113C">
      <w:pPr>
        <w:spacing w:after="0"/>
        <w:rPr>
          <w:lang w:val="en-US"/>
        </w:rPr>
      </w:pPr>
    </w:p>
    <w:p w:rsidR="003C49A2" w:rsidRPr="008F3531" w:rsidRDefault="003C49A2" w:rsidP="00D17889">
      <w:pPr>
        <w:pStyle w:val="paranumb"/>
        <w:spacing w:after="200"/>
        <w:rPr>
          <w:rFonts w:cs="Times New Roman"/>
          <w:szCs w:val="24"/>
        </w:rPr>
      </w:pPr>
      <w:r w:rsidRPr="008F3531">
        <w:rPr>
          <w:rFonts w:cs="Times New Roman"/>
          <w:szCs w:val="24"/>
        </w:rPr>
        <w:t xml:space="preserve">Life expectancy varies from as low as 53 years in Sikasso to almost 60 in Bamako and Kidal. Mortality –here measured as comparative life expectancy, a measure that controls for differences in the composition of a population, follows a pattern which is the mirror image of that of life expectancy. Mortality is highest in Sikasso and Tombouctou and lowest in Kidal and Bamako. </w:t>
      </w:r>
    </w:p>
    <w:p w:rsidR="004F4D13" w:rsidRDefault="004F4D13">
      <w:pPr>
        <w:spacing w:line="276" w:lineRule="auto"/>
        <w:rPr>
          <w:rFonts w:ascii="Times New Roman Bold" w:hAnsi="Times New Roman Bold" w:cstheme="minorBidi"/>
          <w:b/>
          <w:bCs/>
          <w:color w:val="000000" w:themeColor="text1"/>
          <w:sz w:val="22"/>
          <w:szCs w:val="18"/>
          <w:lang w:val="en-US"/>
        </w:rPr>
      </w:pPr>
      <w:r>
        <w:br w:type="page"/>
      </w:r>
    </w:p>
    <w:p w:rsidR="003C49A2" w:rsidRPr="008F3531" w:rsidRDefault="00953D33" w:rsidP="00953D33">
      <w:pPr>
        <w:pStyle w:val="Caption"/>
        <w:rPr>
          <w:b w:val="0"/>
        </w:rPr>
      </w:pPr>
      <w:bookmarkStart w:id="91" w:name="_Toc390956409"/>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20</w:t>
      </w:r>
      <w:r w:rsidR="00943E46" w:rsidRPr="00E56625">
        <w:rPr>
          <w:noProof/>
        </w:rPr>
        <w:fldChar w:fldCharType="end"/>
      </w:r>
      <w:r w:rsidR="003C49A2" w:rsidRPr="008F3531">
        <w:rPr>
          <w:b w:val="0"/>
        </w:rPr>
        <w:t>: Mortality rate and life expectancy by region</w:t>
      </w:r>
      <w:bookmarkEnd w:id="91"/>
    </w:p>
    <w:p w:rsidR="003C49A2" w:rsidRPr="00E56625" w:rsidRDefault="003C49A2" w:rsidP="00953D33">
      <w:pPr>
        <w:spacing w:after="0"/>
        <w:jc w:val="center"/>
        <w:rPr>
          <w:lang w:val="en-US"/>
        </w:rPr>
      </w:pPr>
      <w:r w:rsidRPr="00782B0C">
        <w:rPr>
          <w:noProof/>
          <w:lang w:val="en-US"/>
        </w:rPr>
        <w:drawing>
          <wp:inline distT="0" distB="0" distL="0" distR="0" wp14:anchorId="5A26AAB0" wp14:editId="186F05E5">
            <wp:extent cx="5750805" cy="2743200"/>
            <wp:effectExtent l="0" t="0" r="254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C49A2" w:rsidRPr="00E56625" w:rsidRDefault="00953D33" w:rsidP="00953D33">
      <w:pPr>
        <w:spacing w:after="0"/>
        <w:rPr>
          <w:sz w:val="20"/>
          <w:szCs w:val="20"/>
          <w:lang w:val="en-US"/>
        </w:rPr>
      </w:pPr>
      <w:r w:rsidRPr="00E56625">
        <w:rPr>
          <w:sz w:val="20"/>
          <w:szCs w:val="20"/>
          <w:lang w:val="en-US"/>
        </w:rPr>
        <w:t xml:space="preserve">  </w:t>
      </w:r>
      <w:r w:rsidR="003C49A2" w:rsidRPr="00E56625">
        <w:rPr>
          <w:sz w:val="20"/>
          <w:szCs w:val="20"/>
          <w:lang w:val="en-US"/>
        </w:rPr>
        <w:t>Source: RGPH 2009.</w:t>
      </w:r>
    </w:p>
    <w:p w:rsidR="00953D33" w:rsidRPr="00E56625" w:rsidRDefault="00953D33" w:rsidP="00953D33">
      <w:pPr>
        <w:spacing w:after="0"/>
        <w:rPr>
          <w:lang w:val="en-US"/>
        </w:rPr>
      </w:pPr>
    </w:p>
    <w:p w:rsidR="003C49A2" w:rsidRPr="008F3531" w:rsidRDefault="003C49A2" w:rsidP="00E11E0D">
      <w:pPr>
        <w:pStyle w:val="paranumb"/>
        <w:rPr>
          <w:rFonts w:cs="Times New Roman"/>
          <w:szCs w:val="24"/>
        </w:rPr>
      </w:pPr>
      <w:r w:rsidRPr="008F3531">
        <w:rPr>
          <w:rFonts w:cs="Times New Roman"/>
          <w:szCs w:val="24"/>
        </w:rPr>
        <w:t>There exists a strong association between life expectancy and income per capita. Those living in regions with higher levels of per capita consumption can expect to live longer. Sikasso is the region doing worst, Bamako is doing best.</w:t>
      </w:r>
    </w:p>
    <w:p w:rsidR="003C49A2" w:rsidRPr="008F3531" w:rsidRDefault="00E11E0D" w:rsidP="00E11E0D">
      <w:pPr>
        <w:pStyle w:val="Caption"/>
        <w:rPr>
          <w:b w:val="0"/>
        </w:rPr>
      </w:pPr>
      <w:bookmarkStart w:id="92" w:name="_Toc390956410"/>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21</w:t>
      </w:r>
      <w:r w:rsidR="00943E46" w:rsidRPr="00E56625">
        <w:rPr>
          <w:noProof/>
        </w:rPr>
        <w:fldChar w:fldCharType="end"/>
      </w:r>
      <w:r w:rsidR="003C49A2" w:rsidRPr="008F3531">
        <w:rPr>
          <w:b w:val="0"/>
        </w:rPr>
        <w:t>: Life expectancy (2009) and consumption per capita (‘000 FCFA)</w:t>
      </w:r>
      <w:bookmarkEnd w:id="92"/>
    </w:p>
    <w:p w:rsidR="003C49A2" w:rsidRPr="00E56625" w:rsidRDefault="003C49A2" w:rsidP="00E11E0D">
      <w:pPr>
        <w:spacing w:after="0"/>
        <w:jc w:val="center"/>
        <w:rPr>
          <w:lang w:val="en-US"/>
        </w:rPr>
      </w:pPr>
      <w:r w:rsidRPr="00782B0C">
        <w:rPr>
          <w:noProof/>
          <w:lang w:val="en-US"/>
        </w:rPr>
        <w:drawing>
          <wp:inline distT="0" distB="0" distL="0" distR="0" wp14:anchorId="7641E181" wp14:editId="5874FE5C">
            <wp:extent cx="5993176" cy="2743200"/>
            <wp:effectExtent l="0" t="0" r="762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C49A2" w:rsidRPr="00E56625" w:rsidRDefault="003C49A2" w:rsidP="00E11E0D">
      <w:pPr>
        <w:spacing w:after="0"/>
        <w:rPr>
          <w:sz w:val="20"/>
          <w:szCs w:val="20"/>
          <w:lang w:val="en-US"/>
        </w:rPr>
      </w:pPr>
      <w:r w:rsidRPr="00E56625">
        <w:rPr>
          <w:sz w:val="20"/>
          <w:szCs w:val="20"/>
          <w:lang w:val="en-US"/>
        </w:rPr>
        <w:t>Source: RGPH 2009 and ELIM 2010. Authors ’calculations</w:t>
      </w:r>
      <w:r w:rsidR="005E3C94" w:rsidRPr="00E56625">
        <w:rPr>
          <w:sz w:val="20"/>
          <w:szCs w:val="20"/>
          <w:lang w:val="en-US"/>
        </w:rPr>
        <w:t>.</w:t>
      </w:r>
    </w:p>
    <w:p w:rsidR="00E11E0D" w:rsidRPr="00E56625" w:rsidRDefault="00E11E0D" w:rsidP="00E11E0D">
      <w:pPr>
        <w:spacing w:after="0"/>
        <w:rPr>
          <w:lang w:val="en-US"/>
        </w:rPr>
      </w:pPr>
    </w:p>
    <w:p w:rsidR="003C49A2" w:rsidRPr="008F3531" w:rsidRDefault="003C49A2" w:rsidP="00ED436A">
      <w:pPr>
        <w:pStyle w:val="paranumb"/>
        <w:rPr>
          <w:rFonts w:cs="Times New Roman"/>
          <w:szCs w:val="24"/>
        </w:rPr>
      </w:pPr>
      <w:r w:rsidRPr="008F3531">
        <w:rPr>
          <w:rFonts w:cs="Times New Roman"/>
          <w:szCs w:val="24"/>
        </w:rPr>
        <w:t xml:space="preserve">Nutrition indicators for Mali are troubling. Almost three out of every 10 children </w:t>
      </w:r>
      <w:r w:rsidRPr="008F3531">
        <w:t xml:space="preserve">aged 0 to 59 months are chronically undernourished and thus too short for their age; and one in 10 children are acutely malnourished. The </w:t>
      </w:r>
      <w:r w:rsidRPr="008F3531">
        <w:rPr>
          <w:rFonts w:cs="Times New Roman"/>
          <w:szCs w:val="24"/>
        </w:rPr>
        <w:t>incidence</w:t>
      </w:r>
      <w:r w:rsidRPr="008F3531">
        <w:t xml:space="preserve"> of malnutrition reduced significantly since 2006, but ever since 2010 the incidence of malnutrition has remained more or less unchanged.</w:t>
      </w:r>
    </w:p>
    <w:p w:rsidR="004F4D13" w:rsidRDefault="00E11E0D" w:rsidP="00E11E0D">
      <w:pPr>
        <w:pStyle w:val="Caption"/>
      </w:pPr>
      <w:bookmarkStart w:id="93" w:name="_Toc390956411"/>
      <w:r w:rsidRPr="00E56625">
        <w:t>F</w:t>
      </w:r>
    </w:p>
    <w:p w:rsidR="003C49A2" w:rsidRPr="00E56625" w:rsidRDefault="004F4D13" w:rsidP="00E56625">
      <w:pPr>
        <w:spacing w:line="276" w:lineRule="auto"/>
        <w:rPr>
          <w:rFonts w:ascii="Times New Roman Bold" w:hAnsi="Times New Roman Bold" w:cstheme="minorBidi"/>
          <w:b/>
          <w:bCs/>
          <w:color w:val="000000" w:themeColor="text1"/>
          <w:sz w:val="22"/>
          <w:szCs w:val="18"/>
          <w:lang w:val="en-US"/>
        </w:rPr>
      </w:pPr>
      <w:r>
        <w:br w:type="page"/>
      </w:r>
      <w:r w:rsidRPr="00E56625">
        <w:rPr>
          <w:b/>
        </w:rPr>
        <w:t>F</w:t>
      </w:r>
      <w:r w:rsidR="00E11E0D" w:rsidRPr="00E56625">
        <w:rPr>
          <w:b/>
          <w:lang w:val="en-US"/>
        </w:rPr>
        <w:t xml:space="preserve">igure </w:t>
      </w:r>
      <w:r w:rsidR="00EE6599" w:rsidRPr="00E56625">
        <w:rPr>
          <w:b/>
          <w:lang w:val="en-US"/>
        </w:rPr>
        <w:fldChar w:fldCharType="begin"/>
      </w:r>
      <w:r w:rsidR="00EE6599" w:rsidRPr="00E56625">
        <w:rPr>
          <w:b/>
          <w:lang w:val="en-US"/>
        </w:rPr>
        <w:instrText xml:space="preserve"> STYLEREF 1 \s </w:instrText>
      </w:r>
      <w:r w:rsidR="00EE6599" w:rsidRPr="00E56625">
        <w:rPr>
          <w:b/>
          <w:lang w:val="en-US"/>
        </w:rPr>
        <w:fldChar w:fldCharType="separate"/>
      </w:r>
      <w:r w:rsidR="002779FA">
        <w:rPr>
          <w:b/>
          <w:noProof/>
          <w:lang w:val="en-US"/>
        </w:rPr>
        <w:t>4</w:t>
      </w:r>
      <w:r w:rsidR="00EE6599" w:rsidRPr="00E56625">
        <w:rPr>
          <w:b/>
          <w:lang w:val="en-US"/>
        </w:rPr>
        <w:fldChar w:fldCharType="end"/>
      </w:r>
      <w:r w:rsidR="00EE6599" w:rsidRPr="00E56625">
        <w:rPr>
          <w:b/>
          <w:lang w:val="en-US"/>
        </w:rPr>
        <w:t>.</w:t>
      </w:r>
      <w:r w:rsidR="00EE6599" w:rsidRPr="00E56625">
        <w:rPr>
          <w:b/>
          <w:lang w:val="en-US"/>
        </w:rPr>
        <w:fldChar w:fldCharType="begin"/>
      </w:r>
      <w:r w:rsidR="00EE6599" w:rsidRPr="00E56625">
        <w:rPr>
          <w:b/>
          <w:lang w:val="en-US"/>
        </w:rPr>
        <w:instrText xml:space="preserve"> SEQ Figure \* ARABIC \s 1 </w:instrText>
      </w:r>
      <w:r w:rsidR="00EE6599" w:rsidRPr="00E56625">
        <w:rPr>
          <w:b/>
          <w:lang w:val="en-US"/>
        </w:rPr>
        <w:fldChar w:fldCharType="separate"/>
      </w:r>
      <w:r w:rsidR="002779FA">
        <w:rPr>
          <w:b/>
          <w:noProof/>
          <w:lang w:val="en-US"/>
        </w:rPr>
        <w:t>22</w:t>
      </w:r>
      <w:r w:rsidR="00EE6599" w:rsidRPr="00E56625">
        <w:rPr>
          <w:b/>
          <w:lang w:val="en-US"/>
        </w:rPr>
        <w:fldChar w:fldCharType="end"/>
      </w:r>
      <w:r w:rsidR="003C49A2" w:rsidRPr="00E56625">
        <w:rPr>
          <w:b/>
          <w:lang w:val="en-US"/>
        </w:rPr>
        <w:t xml:space="preserve">: Malnutrition </w:t>
      </w:r>
      <w:r w:rsidR="00A760F9" w:rsidRPr="00E56625">
        <w:rPr>
          <w:b/>
          <w:lang w:val="en-US"/>
        </w:rPr>
        <w:t xml:space="preserve">amongst children aged </w:t>
      </w:r>
      <w:r w:rsidR="003C49A2" w:rsidRPr="00E56625">
        <w:rPr>
          <w:b/>
          <w:lang w:val="en-US"/>
        </w:rPr>
        <w:t xml:space="preserve">0-59 </w:t>
      </w:r>
      <w:r w:rsidR="00A760F9">
        <w:rPr>
          <w:b/>
        </w:rPr>
        <w:t>months</w:t>
      </w:r>
      <w:r w:rsidR="003C49A2" w:rsidRPr="00E56625">
        <w:rPr>
          <w:b/>
          <w:lang w:val="en-US"/>
        </w:rPr>
        <w:t>: 2006-2013</w:t>
      </w:r>
      <w:bookmarkEnd w:id="93"/>
    </w:p>
    <w:p w:rsidR="003C49A2" w:rsidRPr="00E56625" w:rsidRDefault="003C49A2" w:rsidP="00E11E0D">
      <w:pPr>
        <w:spacing w:after="0"/>
        <w:rPr>
          <w:sz w:val="20"/>
          <w:szCs w:val="20"/>
          <w:lang w:val="en-US"/>
        </w:rPr>
      </w:pPr>
      <w:r w:rsidRPr="00782B0C">
        <w:rPr>
          <w:noProof/>
          <w:lang w:val="en-US"/>
        </w:rPr>
        <w:drawing>
          <wp:inline distT="0" distB="0" distL="0" distR="0" wp14:anchorId="1B4EE9DD" wp14:editId="3D6E7FFA">
            <wp:extent cx="5943600" cy="2379345"/>
            <wp:effectExtent l="0" t="0" r="0" b="190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C49A2" w:rsidRPr="00E56625" w:rsidRDefault="003C49A2" w:rsidP="00E11E0D">
      <w:pPr>
        <w:spacing w:after="0"/>
        <w:rPr>
          <w:sz w:val="20"/>
          <w:szCs w:val="20"/>
          <w:lang w:val="en-US"/>
        </w:rPr>
      </w:pPr>
      <w:r w:rsidRPr="00E56625">
        <w:rPr>
          <w:sz w:val="20"/>
          <w:szCs w:val="20"/>
          <w:lang w:val="en-US"/>
        </w:rPr>
        <w:t>Sources: EDS 2006, MICS 2010 and SMART 2011, 2012 and 2013.</w:t>
      </w:r>
    </w:p>
    <w:p w:rsidR="00E11E0D" w:rsidRPr="00E56625" w:rsidRDefault="00E11E0D" w:rsidP="00E11E0D">
      <w:pPr>
        <w:spacing w:after="0"/>
        <w:rPr>
          <w:lang w:val="en-US"/>
        </w:rPr>
      </w:pPr>
    </w:p>
    <w:p w:rsidR="003C49A2" w:rsidRPr="008F3531" w:rsidRDefault="003C49A2" w:rsidP="006037A4">
      <w:pPr>
        <w:pStyle w:val="paranumb"/>
        <w:rPr>
          <w:szCs w:val="24"/>
        </w:rPr>
      </w:pPr>
      <w:r w:rsidRPr="008F3531">
        <w:rPr>
          <w:szCs w:val="24"/>
        </w:rPr>
        <w:t xml:space="preserve">Malnutrition is associated with other correlates of well-being such as high maternal and infant and child mortality and life expectancy. Malnutrition is a major contributor to infant and childhood mortality. The negative </w:t>
      </w:r>
      <w:r w:rsidRPr="008F3531">
        <w:rPr>
          <w:rFonts w:cs="Times New Roman"/>
          <w:szCs w:val="24"/>
        </w:rPr>
        <w:t>correlation</w:t>
      </w:r>
      <w:r w:rsidRPr="008F3531">
        <w:rPr>
          <w:szCs w:val="24"/>
        </w:rPr>
        <w:t xml:space="preserve"> between chronic malnutrition and life expectancy is illustrated below: regions with the highest rates of chronic malnutrition (Sikasso, Mopti) have the lowest life expectancy. </w:t>
      </w:r>
    </w:p>
    <w:p w:rsidR="003C49A2" w:rsidRPr="008F3531" w:rsidRDefault="006037A4" w:rsidP="006037A4">
      <w:pPr>
        <w:pStyle w:val="Caption"/>
      </w:pPr>
      <w:bookmarkStart w:id="94" w:name="_Toc390956412"/>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23</w:t>
      </w:r>
      <w:r w:rsidR="00943E46" w:rsidRPr="00E56625">
        <w:rPr>
          <w:noProof/>
        </w:rPr>
        <w:fldChar w:fldCharType="end"/>
      </w:r>
      <w:r w:rsidR="003C49A2" w:rsidRPr="008F3531">
        <w:t>: Life expectancy and the degree of stunting (by region)</w:t>
      </w:r>
      <w:bookmarkEnd w:id="94"/>
    </w:p>
    <w:p w:rsidR="003C49A2" w:rsidRPr="00E56625" w:rsidRDefault="003C49A2" w:rsidP="006037A4">
      <w:pPr>
        <w:spacing w:after="0"/>
        <w:rPr>
          <w:lang w:val="en-US"/>
        </w:rPr>
      </w:pPr>
      <w:r w:rsidRPr="00782B0C">
        <w:rPr>
          <w:noProof/>
          <w:lang w:val="en-US"/>
        </w:rPr>
        <w:drawing>
          <wp:inline distT="0" distB="0" distL="0" distR="0" wp14:anchorId="5330789B" wp14:editId="058FA389">
            <wp:extent cx="5943600" cy="2698750"/>
            <wp:effectExtent l="0" t="0" r="0" b="63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C49A2" w:rsidRPr="008F3531" w:rsidRDefault="003C49A2" w:rsidP="006037A4">
      <w:pPr>
        <w:pStyle w:val="ESWstyle"/>
        <w:spacing w:before="0" w:after="0"/>
        <w:rPr>
          <w:rFonts w:ascii="Times New Roman" w:hAnsi="Times New Roman"/>
          <w:sz w:val="20"/>
        </w:rPr>
      </w:pPr>
      <w:r w:rsidRPr="008F3531">
        <w:rPr>
          <w:rFonts w:ascii="Times New Roman" w:hAnsi="Times New Roman"/>
          <w:sz w:val="20"/>
        </w:rPr>
        <w:t xml:space="preserve">Source: RGPH 2009 </w:t>
      </w:r>
      <w:r w:rsidR="00A760F9">
        <w:rPr>
          <w:rFonts w:ascii="Times New Roman" w:hAnsi="Times New Roman"/>
          <w:sz w:val="20"/>
        </w:rPr>
        <w:t>and</w:t>
      </w:r>
      <w:r w:rsidR="00A760F9" w:rsidRPr="008F3531">
        <w:rPr>
          <w:rFonts w:ascii="Times New Roman" w:hAnsi="Times New Roman"/>
          <w:sz w:val="20"/>
        </w:rPr>
        <w:t xml:space="preserve"> </w:t>
      </w:r>
      <w:r w:rsidRPr="008F3531">
        <w:rPr>
          <w:rFonts w:ascii="Times New Roman" w:hAnsi="Times New Roman"/>
          <w:sz w:val="20"/>
        </w:rPr>
        <w:t>MICS 2011.</w:t>
      </w:r>
    </w:p>
    <w:p w:rsidR="006037A4" w:rsidRPr="008F3531" w:rsidRDefault="006037A4" w:rsidP="006037A4">
      <w:pPr>
        <w:pStyle w:val="ESWstyle"/>
        <w:spacing w:before="0" w:after="0"/>
        <w:rPr>
          <w:rFonts w:ascii="Times New Roman" w:hAnsi="Times New Roman"/>
          <w:sz w:val="24"/>
          <w:szCs w:val="24"/>
        </w:rPr>
      </w:pPr>
    </w:p>
    <w:p w:rsidR="003C49A2" w:rsidRPr="008F3531" w:rsidRDefault="003C49A2" w:rsidP="00D17889">
      <w:pPr>
        <w:pStyle w:val="paranumb"/>
        <w:spacing w:after="200"/>
        <w:rPr>
          <w:rFonts w:cs="Times New Roman"/>
          <w:szCs w:val="24"/>
        </w:rPr>
      </w:pPr>
      <w:r w:rsidRPr="008F3531">
        <w:rPr>
          <w:rFonts w:cs="Times New Roman"/>
          <w:szCs w:val="24"/>
        </w:rPr>
        <w:t>Regional patterns of malnutrition are different for different measures of malnutrition. With respect to chronic malnutrition –measured as height for age, Sikasso do</w:t>
      </w:r>
      <w:r w:rsidR="00D61FD5" w:rsidRPr="008F3531">
        <w:rPr>
          <w:rFonts w:cs="Times New Roman"/>
          <w:szCs w:val="24"/>
        </w:rPr>
        <w:t>es worst and Bamako best. Ségou</w:t>
      </w:r>
      <w:r w:rsidRPr="008F3531">
        <w:rPr>
          <w:rFonts w:cs="Times New Roman"/>
          <w:szCs w:val="24"/>
        </w:rPr>
        <w:t xml:space="preserve">, Tombouctou, Koulikoro and Mopti take an intermediate position and the regions of the North do best. This pattern does not apply to acute malnutrition –measured as weight for height. Now Sikasso is amongst the best performers, while the Northern regions Gao and Tombouctou (but not Kidal) do worst. </w:t>
      </w:r>
    </w:p>
    <w:p w:rsidR="003C49A2" w:rsidRPr="008F3531" w:rsidRDefault="003C49A2" w:rsidP="00D17889">
      <w:pPr>
        <w:pStyle w:val="paranumb"/>
        <w:spacing w:after="200"/>
        <w:rPr>
          <w:szCs w:val="24"/>
        </w:rPr>
      </w:pPr>
      <w:r w:rsidRPr="008F3531">
        <w:rPr>
          <w:szCs w:val="24"/>
        </w:rPr>
        <w:t xml:space="preserve">Poor diets (quantity as well as quality), inadequate caring practices and unhealthy living environments are generally the major factors contributing to chronic malnutrition, while an urgent lack of food is the main driver of acute malnutrition. Hence it may be less surprising that a region like Sikasso (zones 10, 11 </w:t>
      </w:r>
      <w:r w:rsidRPr="008F3531">
        <w:rPr>
          <w:rFonts w:cs="Times New Roman"/>
          <w:szCs w:val="24"/>
        </w:rPr>
        <w:t>and</w:t>
      </w:r>
      <w:r w:rsidRPr="008F3531">
        <w:rPr>
          <w:szCs w:val="24"/>
        </w:rPr>
        <w:t xml:space="preserve"> 12) with high agricultural potential faces the highest level of chronic malnutrition in the country. Demands on labor are high (less time for child care), per capita of incomes are low and the diet is short on milk and livestock products: even the wealthiest households consume very little of this (see chapter 3). </w:t>
      </w:r>
    </w:p>
    <w:p w:rsidR="003C49A2" w:rsidRPr="008F3531" w:rsidRDefault="003C49A2" w:rsidP="00D17889">
      <w:pPr>
        <w:pStyle w:val="paranumb"/>
        <w:spacing w:after="200"/>
        <w:rPr>
          <w:rFonts w:cs="Times New Roman"/>
          <w:szCs w:val="24"/>
        </w:rPr>
      </w:pPr>
      <w:r w:rsidRPr="00E56625">
        <w:rPr>
          <w:rStyle w:val="hps"/>
          <w:rFonts w:cs="Times New Roman"/>
          <w:szCs w:val="24"/>
        </w:rPr>
        <w:t xml:space="preserve">Acute malnutrition is more closely correlated with an urgent inability to access food: either from one’s own production or through purchases. In a normal agricultural year like 2011, overall levels of acute malnutrition should be relatively low. The fact that they are still high in Gao and Tombouctou underscores how during the lean season when food prices are high and prices for livestock low, when opportunities for gainful employment are limited, poor households in this zone, are vulnerable and susceptible to acute malnutrition. </w:t>
      </w:r>
    </w:p>
    <w:p w:rsidR="003C49A2" w:rsidRPr="008F3531" w:rsidRDefault="003C49A2" w:rsidP="00D17889">
      <w:pPr>
        <w:pStyle w:val="paranumb"/>
        <w:spacing w:after="200"/>
        <w:rPr>
          <w:rFonts w:cs="Times New Roman"/>
          <w:szCs w:val="24"/>
        </w:rPr>
      </w:pPr>
      <w:r w:rsidRPr="008F3531">
        <w:rPr>
          <w:rFonts w:cs="Times New Roman"/>
          <w:szCs w:val="24"/>
        </w:rPr>
        <w:t xml:space="preserve">Differing spatial patterns for different types of malnutrition implies different correlations with income poverty. Hence one finds a high and positive correlation between income poverty and chronic malnutrition, a correlation that does not exist for acute malnutrition, for which the most vulnerable populations live in Northern Mali (but not Kidal). </w:t>
      </w:r>
    </w:p>
    <w:p w:rsidR="003C49A2" w:rsidRPr="008F3531" w:rsidRDefault="00D61FD5" w:rsidP="00D61FD5">
      <w:pPr>
        <w:pStyle w:val="Caption"/>
        <w:rPr>
          <w:b w:val="0"/>
        </w:rPr>
      </w:pPr>
      <w:bookmarkStart w:id="95" w:name="_Toc390956413"/>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4</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24</w:t>
      </w:r>
      <w:r w:rsidR="00943E46" w:rsidRPr="00E56625">
        <w:rPr>
          <w:noProof/>
        </w:rPr>
        <w:fldChar w:fldCharType="end"/>
      </w:r>
      <w:r w:rsidR="003C49A2" w:rsidRPr="008F3531">
        <w:rPr>
          <w:b w:val="0"/>
        </w:rPr>
        <w:t>: Malnutrition and poverty incidence ((by region) for children less than 5 years</w:t>
      </w:r>
      <w:bookmarkEnd w:id="95"/>
      <w:r w:rsidR="003C49A2" w:rsidRPr="008F3531">
        <w:rPr>
          <w:b w:val="0"/>
        </w:rPr>
        <w:t xml:space="preserve"> </w:t>
      </w:r>
    </w:p>
    <w:p w:rsidR="003C49A2" w:rsidRPr="00E56625" w:rsidRDefault="003C49A2" w:rsidP="00D61FD5">
      <w:pPr>
        <w:spacing w:after="0"/>
        <w:rPr>
          <w:lang w:val="en-US"/>
        </w:rPr>
      </w:pPr>
      <w:r w:rsidRPr="00782B0C">
        <w:rPr>
          <w:noProof/>
          <w:lang w:val="en-US"/>
        </w:rPr>
        <w:drawing>
          <wp:inline distT="0" distB="0" distL="0" distR="0" wp14:anchorId="72816E59" wp14:editId="6A733348">
            <wp:extent cx="5838940" cy="2743200"/>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C49A2" w:rsidRPr="00E56625" w:rsidRDefault="003C49A2" w:rsidP="00D61FD5">
      <w:pPr>
        <w:spacing w:after="0"/>
        <w:rPr>
          <w:sz w:val="20"/>
          <w:szCs w:val="20"/>
          <w:lang w:val="en-US"/>
        </w:rPr>
      </w:pPr>
      <w:r w:rsidRPr="00E56625">
        <w:rPr>
          <w:sz w:val="20"/>
          <w:szCs w:val="20"/>
          <w:lang w:val="en-US"/>
        </w:rPr>
        <w:t>Source: EMOP 2011 and MICS 2011.</w:t>
      </w:r>
    </w:p>
    <w:p w:rsidR="003C49A2" w:rsidRPr="00E56625" w:rsidRDefault="003C49A2" w:rsidP="00D61FD5">
      <w:pPr>
        <w:spacing w:after="0"/>
        <w:rPr>
          <w:b/>
          <w:lang w:val="en-US"/>
        </w:rPr>
      </w:pP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96" w:name="_Toc419468556"/>
      <w:r w:rsidRPr="00E56625">
        <w:rPr>
          <w:rFonts w:ascii="Times New Roman Bold" w:hAnsi="Times New Roman Bold" w:cs="Times New Roman"/>
          <w:color w:val="000000" w:themeColor="text1"/>
          <w:sz w:val="22"/>
          <w:szCs w:val="22"/>
          <w:lang w:val="en-US"/>
        </w:rPr>
        <w:t>Consumption regression</w:t>
      </w:r>
      <w:bookmarkEnd w:id="96"/>
    </w:p>
    <w:p w:rsidR="003C49A2" w:rsidRPr="008F3531" w:rsidRDefault="003C49A2" w:rsidP="00D17889">
      <w:pPr>
        <w:pStyle w:val="paranumb"/>
        <w:spacing w:after="200"/>
        <w:rPr>
          <w:rFonts w:cs="Times New Roman"/>
          <w:szCs w:val="24"/>
        </w:rPr>
      </w:pPr>
      <w:r w:rsidRPr="008F3531">
        <w:rPr>
          <w:rFonts w:cs="Times New Roman"/>
          <w:szCs w:val="24"/>
        </w:rPr>
        <w:t>To more formally explore the effect of livelihood zone on consumption per capita we present a regression in which consumption depends on (1) household demographic characteristics, which affect household consumption choices, (2) the occupation of household members, which determines household income, and (3) local characteristics, which influences choice sets. The model can be written as follows:</w:t>
      </w:r>
    </w:p>
    <w:p w:rsidR="003C49A2" w:rsidRPr="00E56625" w:rsidRDefault="003C49A2" w:rsidP="003C49A2">
      <w:pPr>
        <w:rPr>
          <w:lang w:val="en-US"/>
        </w:rPr>
      </w:pPr>
      <m:oMathPara>
        <m:oMath>
          <m:r>
            <w:rPr>
              <w:rFonts w:ascii="Cambria Math" w:hAnsi="Cambria Math"/>
              <w:lang w:val="en-US"/>
            </w:rPr>
            <m:t>log</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h</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h</m:t>
              </m:r>
            </m:sub>
            <m:sup>
              <m:r>
                <w:rPr>
                  <w:rFonts w:ascii="Cambria Math" w:hAnsi="Cambria Math"/>
                  <w:lang w:val="en-US"/>
                </w:rPr>
                <m:t>'</m:t>
              </m:r>
            </m:sup>
          </m:sSubSup>
          <m:r>
            <m:rPr>
              <m:sty m:val="bi"/>
            </m:rPr>
            <w:rPr>
              <w:rFonts w:ascii="Cambria Math" w:hAnsi="Cambria Math"/>
              <w:lang w:val="en-US"/>
            </w:rPr>
            <m:t>δ</m:t>
          </m:r>
          <m:r>
            <w:rPr>
              <w:rFonts w:ascii="Cambria Math" w:hAnsi="Cambria Math"/>
              <w:lang w:val="en-US"/>
            </w:rPr>
            <m:t>+</m:t>
          </m:r>
          <m:nary>
            <m:naryPr>
              <m:chr m:val="∑"/>
              <m:limLoc m:val="subSup"/>
              <m:supHide m:val="1"/>
              <m:ctrlPr>
                <w:rPr>
                  <w:rFonts w:ascii="Cambria Math" w:hAnsi="Cambria Math"/>
                  <w:i/>
                  <w:lang w:val="en-US"/>
                </w:rPr>
              </m:ctrlPr>
            </m:naryPr>
            <m:sub>
              <m:r>
                <w:rPr>
                  <w:rFonts w:ascii="Cambria Math" w:hAnsi="Cambria Math"/>
                  <w:lang w:val="en-US"/>
                </w:rPr>
                <m:t>j</m:t>
              </m:r>
            </m:sub>
            <m:sup/>
            <m:e>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j</m:t>
                  </m:r>
                </m:sub>
              </m:sSub>
            </m:e>
          </m:nary>
          <m:sSub>
            <m:sSubPr>
              <m:ctrlPr>
                <w:rPr>
                  <w:rFonts w:ascii="Cambria Math" w:hAnsi="Cambria Math"/>
                  <w:i/>
                  <w:lang w:val="en-US"/>
                </w:rPr>
              </m:ctrlPr>
            </m:sSubPr>
            <m:e>
              <m:r>
                <m:rPr>
                  <m:scr m:val="double-struck"/>
                </m:rPr>
                <w:rPr>
                  <w:rFonts w:ascii="Cambria Math" w:hAnsi="Cambria Math"/>
                  <w:lang w:val="en-US"/>
                </w:rPr>
                <m:t>1</m:t>
              </m:r>
            </m:e>
            <m:sub>
              <m:r>
                <w:rPr>
                  <w:rFonts w:ascii="Cambria Math" w:hAnsi="Cambria Math"/>
                  <w:lang w:val="en-US"/>
                </w:rPr>
                <m:t>w</m:t>
              </m:r>
              <m:d>
                <m:dPr>
                  <m:ctrlPr>
                    <w:rPr>
                      <w:rFonts w:ascii="Cambria Math" w:hAnsi="Cambria Math"/>
                      <w:i/>
                      <w:lang w:val="en-US"/>
                    </w:rPr>
                  </m:ctrlPr>
                </m:dPr>
                <m:e>
                  <m:r>
                    <w:rPr>
                      <w:rFonts w:ascii="Cambria Math" w:hAnsi="Cambria Math"/>
                      <w:lang w:val="en-US"/>
                    </w:rPr>
                    <m:t>h</m:t>
                  </m:r>
                </m:e>
              </m:d>
              <m:r>
                <w:rPr>
                  <w:rFonts w:ascii="Cambria Math" w:hAnsi="Cambria Math"/>
                  <w:lang w:val="en-US"/>
                </w:rPr>
                <m:t>=j</m:t>
              </m:r>
            </m:sub>
          </m:sSub>
          <m:r>
            <w:rPr>
              <w:rFonts w:ascii="Cambria Math" w:hAnsi="Cambria Math"/>
              <w:lang w:val="en-US"/>
            </w:rPr>
            <m:t>+</m:t>
          </m:r>
          <m:nary>
            <m:naryPr>
              <m:chr m:val="∑"/>
              <m:limLoc m:val="subSup"/>
              <m:supHide m:val="1"/>
              <m:ctrlPr>
                <w:rPr>
                  <w:rFonts w:ascii="Cambria Math" w:hAnsi="Cambria Math"/>
                  <w:i/>
                  <w:lang w:val="en-US"/>
                </w:rPr>
              </m:ctrlPr>
            </m:naryPr>
            <m:sub>
              <m:r>
                <w:rPr>
                  <w:rFonts w:ascii="Cambria Math" w:hAnsi="Cambria Math"/>
                  <w:lang w:val="en-US"/>
                </w:rPr>
                <m:t>l</m:t>
              </m:r>
            </m:sub>
            <m:sup/>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l</m:t>
                  </m:r>
                </m:sub>
              </m:sSub>
            </m:e>
          </m:nary>
          <m:sSub>
            <m:sSubPr>
              <m:ctrlPr>
                <w:rPr>
                  <w:rFonts w:ascii="Cambria Math" w:hAnsi="Cambria Math"/>
                  <w:i/>
                  <w:lang w:val="en-US"/>
                </w:rPr>
              </m:ctrlPr>
            </m:sSubPr>
            <m:e>
              <m:r>
                <m:rPr>
                  <m:scr m:val="double-struck"/>
                </m:rPr>
                <w:rPr>
                  <w:rFonts w:ascii="Cambria Math" w:hAnsi="Cambria Math"/>
                  <w:lang w:val="en-US"/>
                </w:rPr>
                <m:t>1</m:t>
              </m:r>
            </m:e>
            <m:sub>
              <m:r>
                <w:rPr>
                  <w:rFonts w:ascii="Cambria Math" w:hAnsi="Cambria Math"/>
                  <w:lang w:val="en-US"/>
                </w:rPr>
                <m:t>z</m:t>
              </m:r>
              <m:d>
                <m:dPr>
                  <m:ctrlPr>
                    <w:rPr>
                      <w:rFonts w:ascii="Cambria Math" w:hAnsi="Cambria Math"/>
                      <w:i/>
                      <w:lang w:val="en-US"/>
                    </w:rPr>
                  </m:ctrlPr>
                </m:dPr>
                <m:e>
                  <m:r>
                    <w:rPr>
                      <w:rFonts w:ascii="Cambria Math" w:hAnsi="Cambria Math"/>
                      <w:lang w:val="en-US"/>
                    </w:rPr>
                    <m:t>h</m:t>
                  </m:r>
                </m:e>
              </m:d>
              <m:r>
                <w:rPr>
                  <w:rFonts w:ascii="Cambria Math" w:hAnsi="Cambria Math"/>
                  <w:lang w:val="en-US"/>
                </w:rPr>
                <m:t>=l</m:t>
              </m:r>
            </m:sub>
          </m:sSub>
          <m:r>
            <w:rPr>
              <w:rFonts w:ascii="Cambria Math" w:hAnsi="Cambria Math"/>
              <w:lang w:val="en-US"/>
            </w:rPr>
            <m:t>+</m:t>
          </m:r>
          <m:nary>
            <m:naryPr>
              <m:chr m:val="∑"/>
              <m:limLoc m:val="subSup"/>
              <m:supHide m:val="1"/>
              <m:ctrlPr>
                <w:rPr>
                  <w:rFonts w:ascii="Cambria Math" w:hAnsi="Cambria Math"/>
                  <w:i/>
                  <w:lang w:val="en-US"/>
                </w:rPr>
              </m:ctrlPr>
            </m:naryPr>
            <m:sub>
              <m:r>
                <w:rPr>
                  <w:rFonts w:ascii="Cambria Math" w:hAnsi="Cambria Math"/>
                  <w:lang w:val="en-US"/>
                </w:rPr>
                <m:t>l</m:t>
              </m:r>
            </m:sub>
            <m:sup/>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e>
          </m:nary>
          <m:sSub>
            <m:sSubPr>
              <m:ctrlPr>
                <w:rPr>
                  <w:rFonts w:ascii="Cambria Math" w:hAnsi="Cambria Math"/>
                  <w:i/>
                  <w:lang w:val="en-US"/>
                </w:rPr>
              </m:ctrlPr>
            </m:sSubPr>
            <m:e>
              <m:r>
                <m:rPr>
                  <m:scr m:val="double-struck"/>
                </m:rPr>
                <w:rPr>
                  <w:rFonts w:ascii="Cambria Math" w:hAnsi="Cambria Math"/>
                  <w:lang w:val="en-US"/>
                </w:rPr>
                <m:t>1</m:t>
              </m:r>
            </m:e>
            <m:sub>
              <m:r>
                <w:rPr>
                  <w:rFonts w:ascii="Cambria Math" w:hAnsi="Cambria Math"/>
                  <w:lang w:val="en-US"/>
                </w:rPr>
                <m:t>z</m:t>
              </m:r>
              <m:d>
                <m:dPr>
                  <m:ctrlPr>
                    <w:rPr>
                      <w:rFonts w:ascii="Cambria Math" w:hAnsi="Cambria Math"/>
                      <w:i/>
                      <w:lang w:val="en-US"/>
                    </w:rPr>
                  </m:ctrlPr>
                </m:dPr>
                <m:e>
                  <m:r>
                    <w:rPr>
                      <w:rFonts w:ascii="Cambria Math" w:hAnsi="Cambria Math"/>
                      <w:lang w:val="en-US"/>
                    </w:rPr>
                    <m:t>h</m:t>
                  </m:r>
                </m:e>
              </m:d>
              <m:r>
                <w:rPr>
                  <w:rFonts w:ascii="Cambria Math" w:hAnsi="Cambria Math"/>
                  <w:lang w:val="en-US"/>
                </w:rPr>
                <m:t>=l</m:t>
              </m:r>
            </m:sub>
          </m:sSub>
          <m:sSub>
            <m:sSubPr>
              <m:ctrlPr>
                <w:rPr>
                  <w:rFonts w:ascii="Cambria Math" w:hAnsi="Cambria Math"/>
                  <w:i/>
                  <w:lang w:val="en-US"/>
                </w:rPr>
              </m:ctrlPr>
            </m:sSubPr>
            <m:e>
              <m:r>
                <m:rPr>
                  <m:scr m:val="double-struck"/>
                </m:rPr>
                <w:rPr>
                  <w:rFonts w:ascii="Cambria Math" w:hAnsi="Cambria Math"/>
                  <w:lang w:val="en-US"/>
                </w:rPr>
                <m:t>1</m:t>
              </m:r>
            </m:e>
            <m:sub>
              <m:r>
                <w:rPr>
                  <w:rFonts w:ascii="Cambria Math" w:hAnsi="Cambria Math"/>
                  <w:lang w:val="en-US"/>
                </w:rPr>
                <m:t>w</m:t>
              </m:r>
              <m:d>
                <m:dPr>
                  <m:ctrlPr>
                    <w:rPr>
                      <w:rFonts w:ascii="Cambria Math" w:hAnsi="Cambria Math"/>
                      <w:i/>
                      <w:lang w:val="en-US"/>
                    </w:rPr>
                  </m:ctrlPr>
                </m:dPr>
                <m:e>
                  <m:r>
                    <w:rPr>
                      <w:rFonts w:ascii="Cambria Math" w:hAnsi="Cambria Math"/>
                      <w:lang w:val="en-US"/>
                    </w:rPr>
                    <m:t>h</m:t>
                  </m:r>
                </m:e>
              </m:d>
              <m:r>
                <w:rPr>
                  <w:rFonts w:ascii="Cambria Math" w:hAnsi="Cambria Math"/>
                  <w:lang w:val="en-US"/>
                </w:rPr>
                <m:t>=AGR</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L</m:t>
              </m:r>
            </m:e>
            <m:sub>
              <m:r>
                <w:rPr>
                  <w:rFonts w:ascii="Cambria Math" w:hAnsi="Cambria Math"/>
                  <w:lang w:val="en-US"/>
                </w:rPr>
                <m:t>c(h)</m:t>
              </m:r>
            </m:sub>
            <m:sup>
              <m:r>
                <w:rPr>
                  <w:rFonts w:ascii="Cambria Math" w:hAnsi="Cambria Math"/>
                  <w:lang w:val="en-US"/>
                </w:rPr>
                <m:t>'</m:t>
              </m:r>
            </m:sup>
          </m:sSubSup>
          <m:r>
            <m:rPr>
              <m:sty m:val="bi"/>
            </m:rPr>
            <w:rPr>
              <w:rFonts w:ascii="Cambria Math" w:hAnsi="Cambria Math"/>
              <w:lang w:val="en-US"/>
            </w:rPr>
            <m:t>α+</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h</m:t>
              </m:r>
            </m:sub>
          </m:sSub>
        </m:oMath>
      </m:oMathPara>
    </w:p>
    <w:p w:rsidR="003C49A2" w:rsidRPr="008F3531" w:rsidRDefault="003C49A2" w:rsidP="005A4A68">
      <w:pPr>
        <w:pStyle w:val="paranumb"/>
        <w:numPr>
          <w:ilvl w:val="0"/>
          <w:numId w:val="0"/>
        </w:numPr>
        <w:spacing w:after="200"/>
        <w:rPr>
          <w:rFonts w:cs="Times New Roman"/>
          <w:szCs w:val="24"/>
        </w:rPr>
      </w:pPr>
      <w:r w:rsidRPr="008F3531">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h</m:t>
            </m:r>
          </m:sub>
        </m:sSub>
      </m:oMath>
      <w:r w:rsidRPr="008F3531">
        <w:rPr>
          <w:rFonts w:cs="Times New Roman"/>
          <w:szCs w:val="24"/>
        </w:rPr>
        <w:t xml:space="preserve"> is of per capita consumption expenditure for household </w:t>
      </w:r>
      <w:r w:rsidRPr="008F3531">
        <w:rPr>
          <w:rFonts w:cs="Times New Roman"/>
          <w:i/>
          <w:szCs w:val="24"/>
        </w:rPr>
        <w:t>h</w:t>
      </w:r>
      <w:r w:rsidRPr="008F3531">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h</m:t>
            </m:r>
          </m:sub>
        </m:sSub>
      </m:oMath>
      <w:r w:rsidRPr="008F3531">
        <w:rPr>
          <w:rFonts w:cs="Times New Roman"/>
          <w:szCs w:val="24"/>
        </w:rPr>
        <w:t xml:space="preserve"> is a vector of demographic characteristics of the household, including demographic and educational characteristics of the household head (with </w:t>
      </w:r>
      <m:oMath>
        <m:r>
          <m:rPr>
            <m:sty m:val="bi"/>
          </m:rPr>
          <w:rPr>
            <w:rFonts w:ascii="Cambria Math" w:hAnsi="Cambria Math" w:cs="Times New Roman"/>
            <w:szCs w:val="24"/>
          </w:rPr>
          <m:t>δ</m:t>
        </m:r>
      </m:oMath>
      <w:r w:rsidRPr="008F3531">
        <w:rPr>
          <w:rFonts w:cs="Times New Roman"/>
          <w:szCs w:val="24"/>
        </w:rPr>
        <w:t xml:space="preserve"> the corresponding vector of coefficients).  The occupation of the household head is given by a set of indicator variables </w:t>
      </w:r>
      <m:oMath>
        <m:sSub>
          <m:sSubPr>
            <m:ctrlPr>
              <w:rPr>
                <w:rFonts w:ascii="Cambria Math" w:hAnsi="Cambria Math" w:cs="Times New Roman"/>
                <w:i/>
                <w:szCs w:val="24"/>
              </w:rPr>
            </m:ctrlPr>
          </m:sSubPr>
          <m:e>
            <m:r>
              <m:rPr>
                <m:scr m:val="double-struck"/>
              </m:rPr>
              <w:rPr>
                <w:rFonts w:ascii="Cambria Math" w:hAnsi="Cambria Math" w:cs="Times New Roman"/>
                <w:szCs w:val="24"/>
              </w:rPr>
              <m:t>1</m:t>
            </m:r>
          </m:e>
          <m:sub>
            <m:r>
              <w:rPr>
                <w:rFonts w:ascii="Cambria Math" w:hAnsi="Cambria Math" w:cs="Times New Roman"/>
                <w:szCs w:val="24"/>
              </w:rPr>
              <m:t>w</m:t>
            </m:r>
            <m:d>
              <m:dPr>
                <m:ctrlPr>
                  <w:rPr>
                    <w:rFonts w:ascii="Cambria Math" w:hAnsi="Cambria Math" w:cs="Times New Roman"/>
                    <w:i/>
                    <w:szCs w:val="24"/>
                  </w:rPr>
                </m:ctrlPr>
              </m:dPr>
              <m:e>
                <m:r>
                  <w:rPr>
                    <w:rFonts w:ascii="Cambria Math" w:hAnsi="Cambria Math" w:cs="Times New Roman"/>
                    <w:szCs w:val="24"/>
                  </w:rPr>
                  <m:t>h</m:t>
                </m:r>
              </m:e>
            </m:d>
            <m:r>
              <w:rPr>
                <w:rFonts w:ascii="Cambria Math" w:hAnsi="Cambria Math" w:cs="Times New Roman"/>
                <w:szCs w:val="24"/>
              </w:rPr>
              <m:t>=j</m:t>
            </m:r>
          </m:sub>
        </m:sSub>
      </m:oMath>
      <w:r w:rsidRPr="008F3531">
        <w:rPr>
          <w:rFonts w:cs="Times New Roman"/>
          <w:szCs w:val="24"/>
        </w:rPr>
        <w:t xml:space="preserve"> (equal to 1 if the household head in household </w:t>
      </w:r>
      <w:r w:rsidRPr="008F3531">
        <w:rPr>
          <w:rFonts w:cs="Times New Roman"/>
          <w:i/>
          <w:szCs w:val="24"/>
        </w:rPr>
        <w:t>h</w:t>
      </w:r>
      <w:r w:rsidRPr="008F3531">
        <w:rPr>
          <w:rFonts w:cs="Times New Roman"/>
          <w:szCs w:val="24"/>
        </w:rPr>
        <w:t xml:space="preserve"> works in occupation </w:t>
      </w:r>
      <m:oMath>
        <m:r>
          <w:rPr>
            <w:rFonts w:ascii="Cambria Math" w:hAnsi="Cambria Math" w:cs="Times New Roman"/>
            <w:szCs w:val="24"/>
          </w:rPr>
          <m:t>w</m:t>
        </m:r>
        <m:d>
          <m:dPr>
            <m:ctrlPr>
              <w:rPr>
                <w:rFonts w:ascii="Cambria Math" w:hAnsi="Cambria Math" w:cs="Times New Roman"/>
                <w:i/>
                <w:szCs w:val="24"/>
              </w:rPr>
            </m:ctrlPr>
          </m:dPr>
          <m:e>
            <m:r>
              <w:rPr>
                <w:rFonts w:ascii="Cambria Math" w:hAnsi="Cambria Math" w:cs="Times New Roman"/>
                <w:szCs w:val="24"/>
              </w:rPr>
              <m:t>h</m:t>
            </m:r>
          </m:e>
        </m:d>
        <m:r>
          <w:rPr>
            <w:rFonts w:ascii="Cambria Math" w:hAnsi="Cambria Math" w:cs="Times New Roman"/>
            <w:szCs w:val="24"/>
          </w:rPr>
          <m:t>=j</m:t>
        </m:r>
      </m:oMath>
      <w:r w:rsidRPr="008F3531">
        <w:rPr>
          <w:rFonts w:cs="Times New Roman"/>
          <w:szCs w:val="24"/>
        </w:rPr>
        <w:t xml:space="preserve"> and 0 otherwise).  The coefficient </w:t>
      </w:r>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j</m:t>
            </m:r>
          </m:sub>
        </m:sSub>
      </m:oMath>
      <w:r w:rsidRPr="008F3531">
        <w:rPr>
          <w:rFonts w:cs="Times New Roman"/>
          <w:szCs w:val="24"/>
        </w:rPr>
        <w:t xml:space="preserve"> thus measures how consumption per head varies for different professions.  </w:t>
      </w:r>
      <m:oMath>
        <m:sSub>
          <m:sSubPr>
            <m:ctrlPr>
              <w:rPr>
                <w:rFonts w:ascii="Cambria Math" w:hAnsi="Cambria Math" w:cs="Times New Roman"/>
                <w:i/>
                <w:szCs w:val="24"/>
              </w:rPr>
            </m:ctrlPr>
          </m:sSubPr>
          <m:e>
            <m:r>
              <m:rPr>
                <m:scr m:val="double-struck"/>
              </m:rPr>
              <w:rPr>
                <w:rFonts w:ascii="Cambria Math" w:hAnsi="Cambria Math" w:cs="Times New Roman"/>
                <w:szCs w:val="24"/>
              </w:rPr>
              <m:t>1</m:t>
            </m:r>
          </m:e>
          <m:sub>
            <m:r>
              <w:rPr>
                <w:rFonts w:ascii="Cambria Math" w:hAnsi="Cambria Math" w:cs="Times New Roman"/>
                <w:szCs w:val="24"/>
              </w:rPr>
              <m:t>z</m:t>
            </m:r>
            <m:d>
              <m:dPr>
                <m:ctrlPr>
                  <w:rPr>
                    <w:rFonts w:ascii="Cambria Math" w:hAnsi="Cambria Math" w:cs="Times New Roman"/>
                    <w:i/>
                    <w:szCs w:val="24"/>
                  </w:rPr>
                </m:ctrlPr>
              </m:dPr>
              <m:e>
                <m:r>
                  <w:rPr>
                    <w:rFonts w:ascii="Cambria Math" w:hAnsi="Cambria Math" w:cs="Times New Roman"/>
                    <w:szCs w:val="24"/>
                  </w:rPr>
                  <m:t>h</m:t>
                </m:r>
              </m:e>
            </m:d>
            <m:r>
              <w:rPr>
                <w:rFonts w:ascii="Cambria Math" w:hAnsi="Cambria Math" w:cs="Times New Roman"/>
                <w:szCs w:val="24"/>
              </w:rPr>
              <m:t>=l</m:t>
            </m:r>
          </m:sub>
        </m:sSub>
      </m:oMath>
      <w:r w:rsidRPr="008F3531">
        <w:rPr>
          <w:rFonts w:cs="Times New Roman"/>
          <w:szCs w:val="24"/>
        </w:rPr>
        <w:t xml:space="preserve"> is a dummy variable indicating livelihood zone </w:t>
      </w:r>
      <m:oMath>
        <m:r>
          <w:rPr>
            <w:rFonts w:ascii="Cambria Math" w:hAnsi="Cambria Math" w:cs="Times New Roman"/>
            <w:szCs w:val="24"/>
          </w:rPr>
          <m:t>l</m:t>
        </m:r>
      </m:oMath>
      <w:r w:rsidRPr="008F3531">
        <w:rPr>
          <w:rFonts w:cs="Times New Roman"/>
          <w:szCs w:val="24"/>
        </w:rPr>
        <w:t xml:space="preserve"> (it is equal to one is </w:t>
      </w:r>
      <m:oMath>
        <m:r>
          <w:rPr>
            <w:rFonts w:ascii="Cambria Math" w:hAnsi="Cambria Math" w:cs="Times New Roman"/>
            <w:szCs w:val="24"/>
          </w:rPr>
          <m:t>z</m:t>
        </m:r>
        <m:d>
          <m:dPr>
            <m:ctrlPr>
              <w:rPr>
                <w:rFonts w:ascii="Cambria Math" w:hAnsi="Cambria Math" w:cs="Times New Roman"/>
                <w:i/>
                <w:szCs w:val="24"/>
              </w:rPr>
            </m:ctrlPr>
          </m:dPr>
          <m:e>
            <m:r>
              <w:rPr>
                <w:rFonts w:ascii="Cambria Math" w:hAnsi="Cambria Math" w:cs="Times New Roman"/>
                <w:szCs w:val="24"/>
              </w:rPr>
              <m:t>h</m:t>
            </m:r>
          </m:e>
        </m:d>
        <m:r>
          <w:rPr>
            <w:rFonts w:ascii="Cambria Math" w:hAnsi="Cambria Math" w:cs="Times New Roman"/>
            <w:szCs w:val="24"/>
          </w:rPr>
          <m:t>=l</m:t>
        </m:r>
      </m:oMath>
      <w:r w:rsidRPr="008F3531">
        <w:rPr>
          <w:rFonts w:cs="Times New Roman"/>
          <w:szCs w:val="24"/>
        </w:rPr>
        <w:t xml:space="preserve"> and 0 otherwise) and it is interacted with another dummy variable </w:t>
      </w:r>
      <m:oMath>
        <m:sSub>
          <m:sSubPr>
            <m:ctrlPr>
              <w:rPr>
                <w:rFonts w:ascii="Cambria Math" w:hAnsi="Cambria Math" w:cs="Times New Roman"/>
                <w:i/>
                <w:szCs w:val="24"/>
              </w:rPr>
            </m:ctrlPr>
          </m:sSubPr>
          <m:e>
            <m:r>
              <m:rPr>
                <m:scr m:val="double-struck"/>
              </m:rPr>
              <w:rPr>
                <w:rFonts w:ascii="Cambria Math" w:hAnsi="Cambria Math" w:cs="Times New Roman"/>
                <w:szCs w:val="24"/>
              </w:rPr>
              <m:t>1</m:t>
            </m:r>
          </m:e>
          <m:sub>
            <m:r>
              <w:rPr>
                <w:rFonts w:ascii="Cambria Math" w:hAnsi="Cambria Math" w:cs="Times New Roman"/>
                <w:szCs w:val="24"/>
              </w:rPr>
              <m:t>w</m:t>
            </m:r>
            <m:d>
              <m:dPr>
                <m:ctrlPr>
                  <w:rPr>
                    <w:rFonts w:ascii="Cambria Math" w:hAnsi="Cambria Math" w:cs="Times New Roman"/>
                    <w:i/>
                    <w:szCs w:val="24"/>
                  </w:rPr>
                </m:ctrlPr>
              </m:dPr>
              <m:e>
                <m:r>
                  <w:rPr>
                    <w:rFonts w:ascii="Cambria Math" w:hAnsi="Cambria Math" w:cs="Times New Roman"/>
                    <w:szCs w:val="24"/>
                  </w:rPr>
                  <m:t>h</m:t>
                </m:r>
              </m:e>
            </m:d>
            <m:r>
              <w:rPr>
                <w:rFonts w:ascii="Cambria Math" w:hAnsi="Cambria Math" w:cs="Times New Roman"/>
                <w:szCs w:val="24"/>
              </w:rPr>
              <m:t>=AGR</m:t>
            </m:r>
          </m:sub>
        </m:sSub>
      </m:oMath>
      <w:r w:rsidRPr="008F3531">
        <w:rPr>
          <w:rFonts w:cs="Times New Roman"/>
          <w:szCs w:val="24"/>
        </w:rPr>
        <w:t xml:space="preserve"> which takes the value 1 if the household head is working in agriculture and 0 otherwise.  Therefore, the estimates of our coefficients of interest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l</m:t>
            </m:r>
          </m:sub>
        </m:sSub>
      </m:oMath>
      <w:r w:rsidRPr="008F3531">
        <w:rPr>
          <w:rFonts w:cs="Times New Roman"/>
          <w:szCs w:val="24"/>
        </w:rPr>
        <w:t xml:space="preserve">and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l</m:t>
            </m:r>
          </m:sub>
        </m:sSub>
      </m:oMath>
      <w:r w:rsidRPr="008F3531">
        <w:rPr>
          <w:rFonts w:cs="Times New Roman"/>
          <w:szCs w:val="24"/>
        </w:rPr>
        <w:t xml:space="preserve"> shed light on the possible effect of livelihood zones on consumption for people with non-agricultural occupations and for people working in agriculture respectively.  The vector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c(h)</m:t>
            </m:r>
          </m:sub>
        </m:sSub>
      </m:oMath>
      <w:r w:rsidRPr="008F3531">
        <w:rPr>
          <w:rFonts w:cs="Times New Roman"/>
          <w:szCs w:val="24"/>
        </w:rPr>
        <w:t xml:space="preserve"> further introduces local controls at the commune level which may affect consumption in ways not related to the livelihood zone, such as variations in the presence of public services.  Although the model has as many controls as possible, we cannot completely rule out endogeneity, in particular that which is related to sorting of household across zones on unobservables that would impact consumption.  The results should thus be interpreted more in terms of correlation than causation.  </w:t>
      </w:r>
    </w:p>
    <w:p w:rsidR="003C49A2" w:rsidRPr="008F3531" w:rsidRDefault="003C49A2" w:rsidP="00D17889">
      <w:pPr>
        <w:pStyle w:val="paranumb"/>
        <w:spacing w:after="200"/>
        <w:rPr>
          <w:rFonts w:cs="Times New Roman"/>
          <w:szCs w:val="24"/>
        </w:rPr>
      </w:pPr>
      <w:r w:rsidRPr="008F3531">
        <w:rPr>
          <w:rFonts w:cs="Times New Roman"/>
          <w:szCs w:val="24"/>
        </w:rPr>
        <w:t>The results are presented in Table 3.2. We first present the model without commune controls (columns 1 and 2) and then add commune controls (columns 3 and 4). In columns 1 and 3, the interaction terms between livelihood zones and agricultural occupation is dropped.  Most of the estimated coefficients remain stable across model specifications, including the effects of livelihood zones.  Our preferred specification is the complete model which is presented in column (4).</w:t>
      </w:r>
      <w:r w:rsidRPr="008F3531">
        <w:rPr>
          <w:rStyle w:val="FootnoteReference"/>
          <w:rFonts w:cs="Times New Roman"/>
          <w:szCs w:val="24"/>
        </w:rPr>
        <w:footnoteReference w:id="42"/>
      </w:r>
    </w:p>
    <w:p w:rsidR="003C49A2" w:rsidRPr="008F3531" w:rsidRDefault="003C49A2" w:rsidP="00D17889">
      <w:pPr>
        <w:pStyle w:val="paranumb"/>
        <w:spacing w:after="200"/>
        <w:rPr>
          <w:rFonts w:cs="Times New Roman"/>
          <w:szCs w:val="24"/>
        </w:rPr>
      </w:pPr>
      <w:r w:rsidRPr="008F3531">
        <w:rPr>
          <w:rFonts w:cs="Times New Roman"/>
          <w:szCs w:val="24"/>
        </w:rPr>
        <w:t>We find that consumption is higher if the household head is male. The estimated coefficient on gender reflects a 7 percent increase in the per-capita consumption of male headed households compared to those headed by females.  Household consumption decreases with age of the household head.</w:t>
      </w:r>
      <w:r w:rsidRPr="008F3531">
        <w:rPr>
          <w:rStyle w:val="FootnoteReference"/>
          <w:rFonts w:cs="Times New Roman"/>
          <w:szCs w:val="24"/>
        </w:rPr>
        <w:footnoteReference w:id="43"/>
      </w:r>
      <w:r w:rsidRPr="008F3531">
        <w:rPr>
          <w:rFonts w:cs="Times New Roman"/>
          <w:szCs w:val="24"/>
        </w:rPr>
        <w:t xml:space="preserve">  Education of the household head has an important impact on per-capita consumption.  Compared to the benchmark group (those with primary education), per-capita consumption for households headed by college graduates is about 41 percent higher. We interacted the education variables with livelihood zone dummies to explore whether returns differed by zone. The results –not presented here, demonstrate no differences in returns to education by zone, with the exception of zone 1 where the return to education was higher than elsewhere. </w:t>
      </w:r>
    </w:p>
    <w:p w:rsidR="003C49A2" w:rsidRPr="008F3531" w:rsidRDefault="003C49A2" w:rsidP="00D17889">
      <w:pPr>
        <w:pStyle w:val="paranumb"/>
        <w:spacing w:after="200"/>
        <w:rPr>
          <w:rFonts w:cs="Times New Roman"/>
          <w:szCs w:val="24"/>
        </w:rPr>
      </w:pPr>
      <w:r w:rsidRPr="008F3531">
        <w:rPr>
          <w:rFonts w:cs="Times New Roman"/>
          <w:szCs w:val="24"/>
        </w:rPr>
        <w:t xml:space="preserve">Not surprisingly –and in confirmation with the finding by the livelihoods approach that large households are wealthier, the number of labor-force participants in the household increases per-capita consumption, whereas having more children or additional old household members in the household decreases consumption.  Urban residents consume significantly more compared to their rural counterparts. </w:t>
      </w:r>
    </w:p>
    <w:p w:rsidR="003C49A2" w:rsidRPr="008F3531" w:rsidRDefault="003C49A2" w:rsidP="00D17889">
      <w:pPr>
        <w:pStyle w:val="paranumb"/>
        <w:spacing w:after="200"/>
        <w:rPr>
          <w:rFonts w:cs="Times New Roman"/>
          <w:szCs w:val="24"/>
        </w:rPr>
      </w:pPr>
      <w:r w:rsidRPr="008F3531">
        <w:rPr>
          <w:rFonts w:cs="Times New Roman"/>
          <w:szCs w:val="24"/>
        </w:rPr>
        <w:t>The estimated coefficients on the occupational controls reflect the ranking of expected incomes for occupations in Mali.  Compared to the benchmark group (people who work in agriculture), those working in mining, commerce, finance, public administration, health and extraterritorial organization enjoy noticeably higher per-capita consumption. This reflects better skilled jobs, opportunities for profit, and shortages in some sectors such as health occupations.</w:t>
      </w:r>
      <w:r w:rsidRPr="008F3531">
        <w:rPr>
          <w:rStyle w:val="FootnoteReference"/>
          <w:rFonts w:cs="Times New Roman"/>
          <w:szCs w:val="24"/>
        </w:rPr>
        <w:footnoteReference w:id="44"/>
      </w:r>
      <w:r w:rsidRPr="008F3531">
        <w:rPr>
          <w:rFonts w:cs="Times New Roman"/>
          <w:szCs w:val="24"/>
        </w:rPr>
        <w:t xml:space="preserve">  On the contrary, the advantage from working in education is not as high.  </w:t>
      </w:r>
    </w:p>
    <w:p w:rsidR="003C49A2" w:rsidRPr="008F3531" w:rsidRDefault="003C49A2" w:rsidP="00D17889">
      <w:pPr>
        <w:pStyle w:val="paranumb"/>
        <w:spacing w:after="200"/>
        <w:rPr>
          <w:rFonts w:cs="Times New Roman"/>
          <w:szCs w:val="24"/>
        </w:rPr>
      </w:pPr>
      <w:r w:rsidRPr="008F3531">
        <w:rPr>
          <w:rFonts w:cs="Times New Roman"/>
          <w:szCs w:val="24"/>
        </w:rPr>
        <w:t xml:space="preserve">Addition of commune controls in the regression (columns 3 and 4) reduces the magnitude and significance of the estimated coefficients on livelihood zones—which are the focus of our regression.  Therefore, in what follows, we only comment on columns 3 and 4.  Noticing that zone 10 (Sorghum, millet, and cotton) had the lowest household per-capita consumption on average, we selected it to be the comparator. Column 3 reports the results for the model with commune controls only.  We find that there are 10 out of 12 zones with significantly higher household per-capita consumption levels.  Residing in zone 12 (South-west maize, sorghum, and fruits) provides the smallest significant increase compared to the benchmark zone, with a per-capita consumption that is higher by 18.2 percent.  The largest increases are for zone 8 (North-west remittances, sorghum, and transhumant livestock rearing) and 13 (Bamako), which has household per-capita consumptions that are higher by 62 percent and 58 percent respectively.  </w:t>
      </w:r>
    </w:p>
    <w:p w:rsidR="003C49A2" w:rsidRPr="008F3531" w:rsidRDefault="003C49A2" w:rsidP="00D17889">
      <w:pPr>
        <w:pStyle w:val="paranumb"/>
        <w:spacing w:after="200"/>
        <w:rPr>
          <w:rFonts w:cs="Times New Roman"/>
          <w:szCs w:val="24"/>
        </w:rPr>
      </w:pPr>
      <w:r w:rsidRPr="008F3531">
        <w:rPr>
          <w:rFonts w:cs="Times New Roman"/>
          <w:szCs w:val="24"/>
        </w:rPr>
        <w:t xml:space="preserve">Introducing interaction terms between zones and the agricultural occupation dummy for the household head provides a decomposition of the increase in per-capita consumption by zone accruing to agricultural and non-agricultural households.  We find that many zone coefficients that were previously significant become insignificant, suggesting that residing in these zones does not affect non-agricultural households.  In zone 8 and zone 13 however, the level effects (for non-agricultural households) remains significant at the 1 percent although their magnitude is reduced to 41 percent and 45 percent.  Interestingly, interaction terms in 7 and 2 regions out of 13 are significant at the 5 percent and 10 percent level respectively.  In zone 5 in particular, per-capita consumption for households whose household head works in the agricultural sector is 40 percent greater than that of the benchmark zone while the per-capita consumption of non-agricultural households is no different than that of the benchmark zone.  The significance of these interaction terms combined to the lack of significance in the levels suggests that in many zones in Mali, differences in consumption levels between zone are driven by different returns to those working in agriculture. </w:t>
      </w:r>
    </w:p>
    <w:p w:rsidR="003C49A2" w:rsidRPr="008F3531" w:rsidRDefault="003C49A2" w:rsidP="00D17889">
      <w:pPr>
        <w:pStyle w:val="paranumb"/>
        <w:spacing w:after="200"/>
        <w:rPr>
          <w:rFonts w:cs="Times New Roman"/>
          <w:szCs w:val="24"/>
        </w:rPr>
      </w:pPr>
      <w:r w:rsidRPr="008F3531">
        <w:rPr>
          <w:rFonts w:cs="Times New Roman"/>
          <w:szCs w:val="24"/>
        </w:rPr>
        <w:t xml:space="preserve">In summary, the regression analysis shows important geographic differences in household consumption, especially across livelihood zones.  The capital area, Bamako, and zone 8 (North-west remittances, sorghum, and transhumant livestock rearing) have the highest household consumption level, an effect which is driven both by agricultural and non-agricultural activities.  </w:t>
      </w:r>
    </w:p>
    <w:p w:rsidR="004F4D13" w:rsidRDefault="004F4D13">
      <w:pPr>
        <w:spacing w:line="276" w:lineRule="auto"/>
        <w:rPr>
          <w:lang w:val="en-US"/>
        </w:rPr>
      </w:pPr>
      <w:r>
        <w:br w:type="page"/>
      </w:r>
    </w:p>
    <w:p w:rsidR="008F3D10" w:rsidRPr="008F3531" w:rsidRDefault="008F3D10" w:rsidP="008F3D10">
      <w:pPr>
        <w:pStyle w:val="paranumb"/>
        <w:numPr>
          <w:ilvl w:val="0"/>
          <w:numId w:val="0"/>
        </w:numPr>
        <w:spacing w:after="200"/>
        <w:rPr>
          <w:rFonts w:cs="Times New Roman"/>
          <w:szCs w:val="24"/>
        </w:rPr>
      </w:pPr>
    </w:p>
    <w:p w:rsidR="003C49A2" w:rsidRPr="008F3531" w:rsidRDefault="004F4D13" w:rsidP="00E56625">
      <w:pPr>
        <w:pStyle w:val="Caption"/>
        <w:rPr>
          <w:rFonts w:ascii="Times New Roman" w:hAnsi="Times New Roman"/>
          <w:b w:val="0"/>
          <w:color w:val="000000"/>
        </w:rPr>
      </w:pPr>
      <w:bookmarkStart w:id="97" w:name="_Toc390956288"/>
      <w:r w:rsidRPr="00E56625">
        <w:rPr>
          <w:szCs w:val="22"/>
        </w:rPr>
        <w:t>T</w:t>
      </w:r>
      <w:r w:rsidR="008F3D10" w:rsidRPr="00E56625">
        <w:rPr>
          <w:szCs w:val="22"/>
        </w:rPr>
        <w:t xml:space="preserve">able </w:t>
      </w:r>
      <w:r w:rsidR="00BA393B" w:rsidRPr="00E56625">
        <w:rPr>
          <w:szCs w:val="22"/>
        </w:rPr>
        <w:fldChar w:fldCharType="begin"/>
      </w:r>
      <w:r w:rsidR="00BA393B" w:rsidRPr="00E56625">
        <w:rPr>
          <w:szCs w:val="22"/>
        </w:rPr>
        <w:instrText xml:space="preserve"> STYLEREF 1 \s </w:instrText>
      </w:r>
      <w:r w:rsidR="00BA393B" w:rsidRPr="00E56625">
        <w:rPr>
          <w:szCs w:val="22"/>
        </w:rPr>
        <w:fldChar w:fldCharType="separate"/>
      </w:r>
      <w:r w:rsidR="002779FA">
        <w:rPr>
          <w:noProof/>
          <w:szCs w:val="22"/>
        </w:rPr>
        <w:t>4</w:t>
      </w:r>
      <w:r w:rsidR="00BA393B" w:rsidRPr="00E56625">
        <w:rPr>
          <w:szCs w:val="22"/>
        </w:rPr>
        <w:fldChar w:fldCharType="end"/>
      </w:r>
      <w:r w:rsidR="00BA393B" w:rsidRPr="00E56625">
        <w:rPr>
          <w:szCs w:val="22"/>
        </w:rPr>
        <w:t>.</w:t>
      </w:r>
      <w:r w:rsidR="00BA393B" w:rsidRPr="00E56625">
        <w:rPr>
          <w:szCs w:val="22"/>
        </w:rPr>
        <w:fldChar w:fldCharType="begin"/>
      </w:r>
      <w:r w:rsidR="00BA393B" w:rsidRPr="00E56625">
        <w:rPr>
          <w:szCs w:val="22"/>
        </w:rPr>
        <w:instrText xml:space="preserve"> SEQ Table \* ARABIC \s 1 </w:instrText>
      </w:r>
      <w:r w:rsidR="00BA393B" w:rsidRPr="00E56625">
        <w:rPr>
          <w:szCs w:val="22"/>
        </w:rPr>
        <w:fldChar w:fldCharType="separate"/>
      </w:r>
      <w:r w:rsidR="002779FA">
        <w:rPr>
          <w:noProof/>
          <w:szCs w:val="22"/>
        </w:rPr>
        <w:t>2</w:t>
      </w:r>
      <w:r w:rsidR="00BA393B" w:rsidRPr="00E56625">
        <w:rPr>
          <w:szCs w:val="22"/>
        </w:rPr>
        <w:fldChar w:fldCharType="end"/>
      </w:r>
      <w:r w:rsidR="003C49A2" w:rsidRPr="00E56625">
        <w:rPr>
          <w:bCs w:val="0"/>
          <w:color w:val="000000"/>
          <w:szCs w:val="22"/>
        </w:rPr>
        <w:t>: D</w:t>
      </w:r>
      <w:r w:rsidR="003C49A2" w:rsidRPr="008F3531">
        <w:rPr>
          <w:b w:val="0"/>
          <w:bCs w:val="0"/>
          <w:color w:val="000000"/>
          <w:szCs w:val="22"/>
        </w:rPr>
        <w:t>eterminants of per capita consumption</w:t>
      </w:r>
      <w:r w:rsidR="008F3D10" w:rsidRPr="008F3531">
        <w:rPr>
          <w:b w:val="0"/>
          <w:bCs w:val="0"/>
          <w:color w:val="000000"/>
          <w:sz w:val="18"/>
        </w:rPr>
        <w:br/>
      </w:r>
      <w:r w:rsidR="003C49A2" w:rsidRPr="008F3531">
        <w:rPr>
          <w:rFonts w:ascii="Times New Roman" w:hAnsi="Times New Roman"/>
          <w:b w:val="0"/>
          <w:bCs w:val="0"/>
          <w:color w:val="000000"/>
        </w:rPr>
        <w:t>(</w:t>
      </w:r>
      <w:r w:rsidR="003C49A2" w:rsidRPr="008F3531">
        <w:rPr>
          <w:rFonts w:ascii="Times New Roman" w:hAnsi="Times New Roman"/>
          <w:b w:val="0"/>
          <w:color w:val="000000"/>
        </w:rPr>
        <w:t>Dependent variable: log per capita consumption in 2001 monetary value)</w:t>
      </w:r>
      <w:bookmarkEnd w:id="97"/>
    </w:p>
    <w:p w:rsidR="002A5187" w:rsidRPr="008F3531" w:rsidRDefault="002A5187" w:rsidP="002A5187">
      <w:pPr>
        <w:spacing w:after="0"/>
        <w:rPr>
          <w:sz w:val="20"/>
          <w:szCs w:val="20"/>
          <w:lang w:val="en-US"/>
        </w:rPr>
      </w:pPr>
    </w:p>
    <w:tbl>
      <w:tblPr>
        <w:tblW w:w="5000" w:type="pct"/>
        <w:tblInd w:w="-72" w:type="dxa"/>
        <w:tblLook w:val="04A0" w:firstRow="1" w:lastRow="0" w:firstColumn="1" w:lastColumn="0" w:noHBand="0" w:noVBand="1"/>
      </w:tblPr>
      <w:tblGrid>
        <w:gridCol w:w="2000"/>
        <w:gridCol w:w="393"/>
        <w:gridCol w:w="1451"/>
        <w:gridCol w:w="1840"/>
        <w:gridCol w:w="1840"/>
        <w:gridCol w:w="1836"/>
      </w:tblGrid>
      <w:tr w:rsidR="003C49A2" w:rsidRPr="008F3531" w:rsidTr="00D13FAF">
        <w:trPr>
          <w:trHeight w:val="315"/>
          <w:tblHeader/>
        </w:trPr>
        <w:tc>
          <w:tcPr>
            <w:tcW w:w="1068" w:type="pct"/>
            <w:tcBorders>
              <w:top w:val="single" w:sz="4" w:space="0" w:color="auto"/>
              <w:left w:val="nil"/>
              <w:bottom w:val="single" w:sz="8" w:space="0" w:color="auto"/>
              <w:right w:val="nil"/>
            </w:tcBorders>
            <w:shd w:val="clear" w:color="auto" w:fill="auto"/>
            <w:vAlign w:val="center"/>
            <w:hideMark/>
          </w:tcPr>
          <w:p w:rsidR="003C49A2" w:rsidRPr="00E56625" w:rsidRDefault="003C49A2" w:rsidP="002A5187">
            <w:pPr>
              <w:spacing w:before="40" w:after="40"/>
              <w:rPr>
                <w:rFonts w:eastAsia="Times New Roman"/>
                <w:b/>
                <w:color w:val="000000"/>
                <w:sz w:val="20"/>
                <w:szCs w:val="20"/>
                <w:lang w:val="en-US"/>
              </w:rPr>
            </w:pPr>
            <w:r w:rsidRPr="00E56625">
              <w:rPr>
                <w:rFonts w:eastAsia="Times New Roman"/>
                <w:b/>
                <w:color w:val="000000"/>
                <w:sz w:val="20"/>
                <w:szCs w:val="20"/>
                <w:lang w:val="en-US"/>
              </w:rPr>
              <w:t> </w:t>
            </w:r>
          </w:p>
        </w:tc>
        <w:tc>
          <w:tcPr>
            <w:tcW w:w="985" w:type="pct"/>
            <w:gridSpan w:val="2"/>
            <w:tcBorders>
              <w:top w:val="single" w:sz="4" w:space="0" w:color="auto"/>
              <w:left w:val="nil"/>
              <w:bottom w:val="single" w:sz="8" w:space="0" w:color="auto"/>
              <w:right w:val="nil"/>
            </w:tcBorders>
            <w:shd w:val="clear" w:color="auto" w:fill="auto"/>
            <w:vAlign w:val="center"/>
            <w:hideMark/>
          </w:tcPr>
          <w:p w:rsidR="003C49A2" w:rsidRPr="00E56625" w:rsidRDefault="003C49A2" w:rsidP="002A5187">
            <w:pPr>
              <w:spacing w:before="40" w:after="40"/>
              <w:jc w:val="center"/>
              <w:rPr>
                <w:rFonts w:eastAsia="Times New Roman"/>
                <w:b/>
                <w:color w:val="000000"/>
                <w:sz w:val="20"/>
                <w:szCs w:val="20"/>
                <w:lang w:val="en-US"/>
              </w:rPr>
            </w:pPr>
            <w:r w:rsidRPr="00E56625">
              <w:rPr>
                <w:rFonts w:eastAsia="Times New Roman"/>
                <w:b/>
                <w:color w:val="000000"/>
                <w:sz w:val="20"/>
                <w:szCs w:val="20"/>
                <w:lang w:val="en-US"/>
              </w:rPr>
              <w:t>(1)</w:t>
            </w:r>
          </w:p>
        </w:tc>
        <w:tc>
          <w:tcPr>
            <w:tcW w:w="983" w:type="pct"/>
            <w:tcBorders>
              <w:top w:val="single" w:sz="4" w:space="0" w:color="auto"/>
              <w:left w:val="nil"/>
              <w:bottom w:val="single" w:sz="8" w:space="0" w:color="auto"/>
              <w:right w:val="nil"/>
            </w:tcBorders>
            <w:shd w:val="clear" w:color="auto" w:fill="auto"/>
            <w:vAlign w:val="center"/>
            <w:hideMark/>
          </w:tcPr>
          <w:p w:rsidR="003C49A2" w:rsidRPr="00E56625" w:rsidRDefault="003C49A2" w:rsidP="002A5187">
            <w:pPr>
              <w:spacing w:before="40" w:after="40"/>
              <w:jc w:val="center"/>
              <w:rPr>
                <w:rFonts w:eastAsia="Times New Roman"/>
                <w:b/>
                <w:color w:val="000000"/>
                <w:sz w:val="20"/>
                <w:szCs w:val="20"/>
                <w:lang w:val="en-US"/>
              </w:rPr>
            </w:pPr>
            <w:r w:rsidRPr="00E56625">
              <w:rPr>
                <w:rFonts w:eastAsia="Times New Roman"/>
                <w:b/>
                <w:color w:val="000000"/>
                <w:sz w:val="20"/>
                <w:szCs w:val="20"/>
                <w:lang w:val="en-US"/>
              </w:rPr>
              <w:t>(2)</w:t>
            </w:r>
          </w:p>
        </w:tc>
        <w:tc>
          <w:tcPr>
            <w:tcW w:w="983" w:type="pct"/>
            <w:tcBorders>
              <w:top w:val="single" w:sz="4" w:space="0" w:color="auto"/>
              <w:left w:val="nil"/>
              <w:bottom w:val="single" w:sz="8" w:space="0" w:color="auto"/>
              <w:right w:val="nil"/>
            </w:tcBorders>
            <w:shd w:val="clear" w:color="auto" w:fill="auto"/>
            <w:vAlign w:val="center"/>
            <w:hideMark/>
          </w:tcPr>
          <w:p w:rsidR="003C49A2" w:rsidRPr="00E56625" w:rsidRDefault="003C49A2" w:rsidP="002A5187">
            <w:pPr>
              <w:spacing w:before="40" w:after="40"/>
              <w:jc w:val="center"/>
              <w:rPr>
                <w:rFonts w:eastAsia="Times New Roman"/>
                <w:b/>
                <w:color w:val="000000"/>
                <w:sz w:val="20"/>
                <w:szCs w:val="20"/>
                <w:lang w:val="en-US"/>
              </w:rPr>
            </w:pPr>
            <w:r w:rsidRPr="00E56625">
              <w:rPr>
                <w:rFonts w:eastAsia="Times New Roman"/>
                <w:b/>
                <w:color w:val="000000"/>
                <w:sz w:val="20"/>
                <w:szCs w:val="20"/>
                <w:lang w:val="en-US"/>
              </w:rPr>
              <w:t>(3)</w:t>
            </w:r>
          </w:p>
        </w:tc>
        <w:tc>
          <w:tcPr>
            <w:tcW w:w="981" w:type="pct"/>
            <w:tcBorders>
              <w:top w:val="single" w:sz="4" w:space="0" w:color="auto"/>
              <w:left w:val="nil"/>
              <w:bottom w:val="single" w:sz="8" w:space="0" w:color="auto"/>
              <w:right w:val="nil"/>
            </w:tcBorders>
            <w:shd w:val="clear" w:color="auto" w:fill="auto"/>
            <w:vAlign w:val="center"/>
            <w:hideMark/>
          </w:tcPr>
          <w:p w:rsidR="003C49A2" w:rsidRPr="00E56625" w:rsidRDefault="003C49A2" w:rsidP="002A5187">
            <w:pPr>
              <w:spacing w:before="40" w:after="40"/>
              <w:jc w:val="center"/>
              <w:rPr>
                <w:rFonts w:eastAsia="Times New Roman"/>
                <w:b/>
                <w:color w:val="000000"/>
                <w:sz w:val="20"/>
                <w:szCs w:val="20"/>
                <w:lang w:val="en-US"/>
              </w:rPr>
            </w:pPr>
            <w:r w:rsidRPr="00E56625">
              <w:rPr>
                <w:rFonts w:eastAsia="Times New Roman"/>
                <w:b/>
                <w:color w:val="000000"/>
                <w:sz w:val="20"/>
                <w:szCs w:val="20"/>
                <w:lang w:val="en-US"/>
              </w:rPr>
              <w:t>(4)</w:t>
            </w:r>
          </w:p>
        </w:tc>
      </w:tr>
      <w:tr w:rsidR="003C49A2" w:rsidRPr="008F3531" w:rsidTr="002A5187">
        <w:trPr>
          <w:trHeight w:val="173"/>
        </w:trPr>
        <w:tc>
          <w:tcPr>
            <w:tcW w:w="2053" w:type="pct"/>
            <w:gridSpan w:val="3"/>
            <w:tcBorders>
              <w:top w:val="nil"/>
              <w:left w:val="nil"/>
              <w:bottom w:val="nil"/>
              <w:right w:val="nil"/>
            </w:tcBorders>
            <w:shd w:val="clear" w:color="auto" w:fill="auto"/>
            <w:vAlign w:val="center"/>
            <w:hideMark/>
          </w:tcPr>
          <w:p w:rsidR="002A5187" w:rsidRPr="00E56625" w:rsidRDefault="002A5187" w:rsidP="00B3325F">
            <w:pPr>
              <w:spacing w:after="0"/>
              <w:rPr>
                <w:rFonts w:eastAsia="Times New Roman"/>
                <w:b/>
                <w:bCs/>
                <w:color w:val="000000"/>
                <w:sz w:val="10"/>
                <w:szCs w:val="10"/>
                <w:lang w:val="en-US"/>
              </w:rPr>
            </w:pPr>
          </w:p>
          <w:p w:rsidR="003C49A2" w:rsidRPr="00E56625" w:rsidRDefault="003C49A2" w:rsidP="00B3325F">
            <w:pPr>
              <w:spacing w:after="0"/>
              <w:rPr>
                <w:rFonts w:eastAsia="Times New Roman"/>
                <w:b/>
                <w:bCs/>
                <w:color w:val="000000"/>
                <w:sz w:val="20"/>
                <w:szCs w:val="20"/>
                <w:lang w:val="en-US"/>
              </w:rPr>
            </w:pPr>
            <w:r w:rsidRPr="00E56625">
              <w:rPr>
                <w:rFonts w:eastAsia="Times New Roman"/>
                <w:b/>
                <w:bCs/>
                <w:color w:val="000000"/>
                <w:sz w:val="20"/>
                <w:szCs w:val="20"/>
                <w:lang w:val="en-US"/>
              </w:rPr>
              <w:t>Household characteristics:</w:t>
            </w:r>
          </w:p>
          <w:p w:rsidR="002A5187" w:rsidRPr="00E56625" w:rsidRDefault="002A5187"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Gender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0.0799***</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0.0750***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0.0745***</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0.0721***</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Age of household head</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-0.00978***</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-0.00990***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-0.0102***</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-0.0103***</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Age squared</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0.0000761***</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0.0000780***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0.0000796***</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0.0000815***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Education: Middle school</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0.0733**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0.0744**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0.0750***</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0.0756***</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Education : High school</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0.215***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0.220***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0.210***</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0.215***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 xml:space="preserve">Education: Advanced </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0.415***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0.420***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0.405***</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0.413***</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Education unreported</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-0.0785***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-0.0724***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-0.0705***</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-0.0648***</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 of people under 14</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-0.0407***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-0.0402***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-0.0396***</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-0.0393***</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 of people in labor force</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0.00849***</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0.00824***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0.00725***</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0.00715***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 of elderly</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-0.0254**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-0.0252**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-0.0227*</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-0.0230**</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 xml:space="preserve">Urban residence </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0.216***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0.0877</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0.0709</w:t>
            </w:r>
          </w:p>
        </w:tc>
      </w:tr>
      <w:tr w:rsidR="003C49A2" w:rsidRPr="008F3531" w:rsidTr="002A5187">
        <w:trPr>
          <w:trHeight w:val="173"/>
        </w:trPr>
        <w:tc>
          <w:tcPr>
            <w:tcW w:w="1278" w:type="pct"/>
            <w:gridSpan w:val="2"/>
            <w:tcBorders>
              <w:top w:val="nil"/>
              <w:left w:val="nil"/>
              <w:bottom w:val="single" w:sz="8" w:space="0" w:color="auto"/>
              <w:right w:val="nil"/>
            </w:tcBorders>
            <w:shd w:val="clear" w:color="auto" w:fill="auto"/>
            <w:vAlign w:val="center"/>
          </w:tcPr>
          <w:p w:rsidR="002A5187"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other than Bamako</w:t>
            </w:r>
          </w:p>
        </w:tc>
        <w:tc>
          <w:tcPr>
            <w:tcW w:w="775" w:type="pct"/>
            <w:tcBorders>
              <w:top w:val="nil"/>
              <w:left w:val="nil"/>
              <w:bottom w:val="single" w:sz="8" w:space="0" w:color="auto"/>
              <w:right w:val="nil"/>
            </w:tcBorders>
            <w:shd w:val="clear" w:color="auto" w:fill="auto"/>
            <w:vAlign w:val="center"/>
          </w:tcPr>
          <w:p w:rsidR="003C49A2" w:rsidRPr="00E56625" w:rsidRDefault="003C49A2" w:rsidP="002A5187">
            <w:pPr>
              <w:spacing w:after="120"/>
              <w:rPr>
                <w:rFonts w:eastAsia="Times New Roman"/>
                <w:color w:val="000000"/>
                <w:sz w:val="20"/>
                <w:szCs w:val="20"/>
                <w:lang w:val="en-US"/>
              </w:rPr>
            </w:pPr>
          </w:p>
        </w:tc>
        <w:tc>
          <w:tcPr>
            <w:tcW w:w="983" w:type="pct"/>
            <w:tcBorders>
              <w:top w:val="nil"/>
              <w:left w:val="nil"/>
              <w:bottom w:val="single" w:sz="8" w:space="0" w:color="auto"/>
              <w:right w:val="nil"/>
            </w:tcBorders>
            <w:shd w:val="clear" w:color="auto" w:fill="auto"/>
            <w:vAlign w:val="center"/>
          </w:tcPr>
          <w:p w:rsidR="003C49A2" w:rsidRPr="00E56625" w:rsidRDefault="003C49A2" w:rsidP="002A5187">
            <w:pPr>
              <w:spacing w:after="120"/>
              <w:rPr>
                <w:rFonts w:eastAsia="Times New Roman"/>
                <w:color w:val="000000"/>
                <w:sz w:val="20"/>
                <w:szCs w:val="20"/>
                <w:lang w:val="en-US"/>
              </w:rPr>
            </w:pPr>
          </w:p>
        </w:tc>
        <w:tc>
          <w:tcPr>
            <w:tcW w:w="983" w:type="pct"/>
            <w:tcBorders>
              <w:top w:val="nil"/>
              <w:left w:val="nil"/>
              <w:bottom w:val="single" w:sz="8" w:space="0" w:color="auto"/>
              <w:right w:val="nil"/>
            </w:tcBorders>
            <w:shd w:val="clear" w:color="auto" w:fill="auto"/>
            <w:vAlign w:val="center"/>
          </w:tcPr>
          <w:p w:rsidR="003C49A2" w:rsidRPr="00E56625" w:rsidRDefault="003C49A2" w:rsidP="002A5187">
            <w:pPr>
              <w:spacing w:after="120"/>
              <w:rPr>
                <w:rFonts w:eastAsia="Times New Roman"/>
                <w:color w:val="000000"/>
                <w:sz w:val="20"/>
                <w:szCs w:val="20"/>
                <w:lang w:val="en-US"/>
              </w:rPr>
            </w:pPr>
          </w:p>
        </w:tc>
        <w:tc>
          <w:tcPr>
            <w:tcW w:w="981" w:type="pct"/>
            <w:tcBorders>
              <w:top w:val="nil"/>
              <w:left w:val="nil"/>
              <w:bottom w:val="single" w:sz="8" w:space="0" w:color="auto"/>
              <w:right w:val="nil"/>
            </w:tcBorders>
            <w:shd w:val="clear" w:color="auto" w:fill="auto"/>
            <w:vAlign w:val="center"/>
          </w:tcPr>
          <w:p w:rsidR="003C49A2" w:rsidRPr="00E56625" w:rsidRDefault="003C49A2" w:rsidP="002A5187">
            <w:pPr>
              <w:spacing w:after="120"/>
              <w:rPr>
                <w:rFonts w:eastAsia="Times New Roman"/>
                <w:color w:val="000000"/>
                <w:sz w:val="20"/>
                <w:szCs w:val="20"/>
                <w:lang w:val="en-US"/>
              </w:rPr>
            </w:pP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2A5187" w:rsidRPr="00E56625" w:rsidRDefault="002A5187" w:rsidP="00B3325F">
            <w:pPr>
              <w:spacing w:after="0"/>
              <w:rPr>
                <w:rFonts w:eastAsia="Times New Roman"/>
                <w:b/>
                <w:bCs/>
                <w:color w:val="000000"/>
                <w:sz w:val="10"/>
                <w:szCs w:val="10"/>
                <w:lang w:val="en-US"/>
              </w:rPr>
            </w:pPr>
          </w:p>
          <w:p w:rsidR="003C49A2" w:rsidRPr="00E56625" w:rsidRDefault="003C49A2" w:rsidP="00B3325F">
            <w:pPr>
              <w:spacing w:after="0"/>
              <w:rPr>
                <w:rFonts w:eastAsia="Times New Roman"/>
                <w:b/>
                <w:bCs/>
                <w:color w:val="000000"/>
                <w:sz w:val="20"/>
                <w:szCs w:val="20"/>
                <w:lang w:val="en-US"/>
              </w:rPr>
            </w:pPr>
            <w:r w:rsidRPr="00E56625">
              <w:rPr>
                <w:rFonts w:eastAsia="Times New Roman"/>
                <w:b/>
                <w:bCs/>
                <w:color w:val="000000"/>
                <w:sz w:val="20"/>
                <w:szCs w:val="20"/>
                <w:lang w:val="en-US"/>
              </w:rPr>
              <w:t>Occupational controls:</w:t>
            </w:r>
          </w:p>
          <w:p w:rsidR="002A5187" w:rsidRPr="00E56625" w:rsidRDefault="002A5187" w:rsidP="00B3325F">
            <w:pPr>
              <w:spacing w:after="0"/>
              <w:rPr>
                <w:rFonts w:eastAsia="Times New Roman"/>
                <w:b/>
                <w:bCs/>
                <w:color w:val="000000"/>
                <w:sz w:val="20"/>
                <w:szCs w:val="20"/>
                <w:lang w:val="en-US"/>
              </w:rPr>
            </w:pP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Fishing</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0.0348</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0.0111</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0.204**</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Mining</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0.373***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0.515***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0.341***</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0.527***</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Manufacturing</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0.151***</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0.300***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0.131***</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0.316***</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Utilities</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0.0374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0.180*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0.0113</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0.194*</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Construction</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0.129***</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0.272***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0.0987***</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0.280***</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Commerce</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0.246***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0.389***</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0.209***</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0.391***</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Hotel</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0.212***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0.360***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0.179**</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0.365***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Transportation</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0.208***</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0.347***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0.160***</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0.341***</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Finance</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0.326***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0.453***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0.287***</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0.454***</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Real estate</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0.340***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0.163**</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0.341***</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Public administration</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0.278***</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0.415***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0.243***</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0.418***</w:t>
            </w:r>
          </w:p>
        </w:tc>
      </w:tr>
      <w:tr w:rsidR="003C49A2" w:rsidRPr="008F3531" w:rsidTr="002A5187">
        <w:trPr>
          <w:trHeight w:val="173"/>
        </w:trPr>
        <w:tc>
          <w:tcPr>
            <w:tcW w:w="1278" w:type="pct"/>
            <w:gridSpan w:val="2"/>
            <w:tcBorders>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Education</w:t>
            </w:r>
          </w:p>
        </w:tc>
        <w:tc>
          <w:tcPr>
            <w:tcW w:w="775" w:type="pct"/>
            <w:tcBorders>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0.0407</w:t>
            </w:r>
          </w:p>
        </w:tc>
        <w:tc>
          <w:tcPr>
            <w:tcW w:w="983" w:type="pct"/>
            <w:tcBorders>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0.180**</w:t>
            </w:r>
          </w:p>
        </w:tc>
        <w:tc>
          <w:tcPr>
            <w:tcW w:w="983" w:type="pct"/>
            <w:tcBorders>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0.0224</w:t>
            </w:r>
          </w:p>
        </w:tc>
        <w:tc>
          <w:tcPr>
            <w:tcW w:w="981" w:type="pct"/>
            <w:tcBorders>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0.200**</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Health</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0.265***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0.408***</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0.242***</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0.421***</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Collective self employment</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0.166***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0.314***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0.129***</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0.315***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Employs domestic workers</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0.175***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0.332***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0.148***</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0.341***</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International organization</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0.261*</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0.396**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0.249*</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0.420***</w:t>
            </w:r>
          </w:p>
        </w:tc>
      </w:tr>
      <w:tr w:rsidR="003C49A2" w:rsidRPr="008F3531" w:rsidTr="002A5187">
        <w:trPr>
          <w:trHeight w:val="173"/>
        </w:trPr>
        <w:tc>
          <w:tcPr>
            <w:tcW w:w="1278" w:type="pct"/>
            <w:gridSpan w:val="2"/>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Employment unreported</w:t>
            </w:r>
          </w:p>
        </w:tc>
        <w:tc>
          <w:tcPr>
            <w:tcW w:w="775"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0.206***</w:t>
            </w:r>
          </w:p>
        </w:tc>
        <w:tc>
          <w:tcPr>
            <w:tcW w:w="983"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0.329***</w:t>
            </w:r>
          </w:p>
        </w:tc>
        <w:tc>
          <w:tcPr>
            <w:tcW w:w="983"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0.171**</w:t>
            </w:r>
          </w:p>
        </w:tc>
        <w:tc>
          <w:tcPr>
            <w:tcW w:w="981"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0.332***</w:t>
            </w:r>
          </w:p>
        </w:tc>
      </w:tr>
      <w:tr w:rsidR="003C49A2" w:rsidRPr="008F3531" w:rsidTr="002A5187">
        <w:trPr>
          <w:trHeight w:val="173"/>
        </w:trPr>
        <w:tc>
          <w:tcPr>
            <w:tcW w:w="1278" w:type="pct"/>
            <w:gridSpan w:val="2"/>
            <w:tcBorders>
              <w:top w:val="single" w:sz="4" w:space="0" w:color="auto"/>
              <w:left w:val="nil"/>
              <w:bottom w:val="nil"/>
              <w:right w:val="nil"/>
            </w:tcBorders>
            <w:shd w:val="clear" w:color="auto" w:fill="auto"/>
            <w:vAlign w:val="center"/>
            <w:hideMark/>
          </w:tcPr>
          <w:p w:rsidR="002A5187" w:rsidRPr="00E56625" w:rsidRDefault="002A5187" w:rsidP="00B3325F">
            <w:pPr>
              <w:spacing w:after="0"/>
              <w:rPr>
                <w:rFonts w:eastAsia="Times New Roman"/>
                <w:b/>
                <w:bCs/>
                <w:color w:val="000000"/>
                <w:sz w:val="10"/>
                <w:szCs w:val="10"/>
                <w:lang w:val="en-US"/>
              </w:rPr>
            </w:pPr>
          </w:p>
          <w:p w:rsidR="003C49A2" w:rsidRPr="00E56625" w:rsidRDefault="003C49A2" w:rsidP="00B3325F">
            <w:pPr>
              <w:spacing w:after="0"/>
              <w:rPr>
                <w:rFonts w:eastAsia="Times New Roman"/>
                <w:b/>
                <w:bCs/>
                <w:color w:val="000000"/>
                <w:sz w:val="20"/>
                <w:szCs w:val="20"/>
                <w:lang w:val="en-US"/>
              </w:rPr>
            </w:pPr>
            <w:r w:rsidRPr="00E56625">
              <w:rPr>
                <w:rFonts w:eastAsia="Times New Roman"/>
                <w:b/>
                <w:bCs/>
                <w:color w:val="000000"/>
                <w:sz w:val="20"/>
                <w:szCs w:val="20"/>
                <w:lang w:val="en-US"/>
              </w:rPr>
              <w:t>Livelihood zones:</w:t>
            </w:r>
          </w:p>
          <w:p w:rsidR="002A5187" w:rsidRPr="00E56625" w:rsidRDefault="002A5187" w:rsidP="00B3325F">
            <w:pPr>
              <w:spacing w:after="0"/>
              <w:rPr>
                <w:rFonts w:eastAsia="Times New Roman"/>
                <w:b/>
                <w:bCs/>
                <w:color w:val="000000"/>
                <w:sz w:val="20"/>
                <w:szCs w:val="20"/>
                <w:lang w:val="en-US"/>
              </w:rPr>
            </w:pPr>
          </w:p>
        </w:tc>
        <w:tc>
          <w:tcPr>
            <w:tcW w:w="775"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1</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0.0477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-0.0321</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0.0955</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-0.018</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2</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0.272***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0.164*</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0.261***</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0.119</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3</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-0.00559</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0.190**</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-0.0179</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4</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0.0295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-0.147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0.02</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-0.180*</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5</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0.412***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0.132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0.397***</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0.108</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6</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0.226***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0.117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0.212***</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0.0895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7</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0.317***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0.163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0.262***</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0.104</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8</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0.625***</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0.451***</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0.617***</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0.416***</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9</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0.108</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0.194***</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0.0548</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11</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0.228***</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0.173**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0.195***</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0.106</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12</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0.199***</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0.0832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0.182**</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0.0362</w:t>
            </w:r>
          </w:p>
        </w:tc>
      </w:tr>
      <w:tr w:rsidR="003C49A2" w:rsidRPr="008F3531" w:rsidTr="002A5187">
        <w:trPr>
          <w:trHeight w:val="173"/>
        </w:trPr>
        <w:tc>
          <w:tcPr>
            <w:tcW w:w="1278" w:type="pct"/>
            <w:gridSpan w:val="2"/>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Zone 13</w:t>
            </w:r>
          </w:p>
        </w:tc>
        <w:tc>
          <w:tcPr>
            <w:tcW w:w="775"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0.732***</w:t>
            </w:r>
          </w:p>
        </w:tc>
        <w:tc>
          <w:tcPr>
            <w:tcW w:w="983"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0.628***</w:t>
            </w:r>
          </w:p>
        </w:tc>
        <w:tc>
          <w:tcPr>
            <w:tcW w:w="983"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0.582***</w:t>
            </w:r>
          </w:p>
        </w:tc>
        <w:tc>
          <w:tcPr>
            <w:tcW w:w="981"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0.453***</w:t>
            </w:r>
          </w:p>
        </w:tc>
      </w:tr>
      <w:tr w:rsidR="003C49A2" w:rsidRPr="008F3531" w:rsidTr="002A5187">
        <w:trPr>
          <w:trHeight w:val="173"/>
        </w:trPr>
        <w:tc>
          <w:tcPr>
            <w:tcW w:w="2053" w:type="pct"/>
            <w:gridSpan w:val="3"/>
            <w:tcBorders>
              <w:top w:val="single" w:sz="4" w:space="0" w:color="auto"/>
              <w:left w:val="nil"/>
              <w:bottom w:val="nil"/>
              <w:right w:val="nil"/>
            </w:tcBorders>
            <w:shd w:val="clear" w:color="auto" w:fill="auto"/>
            <w:vAlign w:val="center"/>
            <w:hideMark/>
          </w:tcPr>
          <w:p w:rsidR="002A5187" w:rsidRPr="00E56625" w:rsidRDefault="002A5187" w:rsidP="00B3325F">
            <w:pPr>
              <w:spacing w:after="0"/>
              <w:rPr>
                <w:rFonts w:eastAsia="Times New Roman"/>
                <w:b/>
                <w:bCs/>
                <w:color w:val="000000"/>
                <w:sz w:val="10"/>
                <w:szCs w:val="10"/>
                <w:lang w:val="en-US"/>
              </w:rPr>
            </w:pPr>
          </w:p>
          <w:p w:rsidR="003C49A2" w:rsidRPr="00E56625" w:rsidRDefault="003C49A2" w:rsidP="00B3325F">
            <w:pPr>
              <w:spacing w:after="0"/>
              <w:rPr>
                <w:rFonts w:eastAsia="Times New Roman"/>
                <w:b/>
                <w:bCs/>
                <w:color w:val="000000"/>
                <w:sz w:val="20"/>
                <w:szCs w:val="20"/>
                <w:lang w:val="en-US"/>
              </w:rPr>
            </w:pPr>
            <w:r w:rsidRPr="00E56625">
              <w:rPr>
                <w:rFonts w:eastAsia="Times New Roman"/>
                <w:b/>
                <w:bCs/>
                <w:color w:val="000000"/>
                <w:sz w:val="20"/>
                <w:szCs w:val="20"/>
                <w:lang w:val="en-US"/>
              </w:rPr>
              <w:t>Livelihood zone interacted with AGR:</w:t>
            </w:r>
          </w:p>
          <w:p w:rsidR="002A5187" w:rsidRPr="00E56625" w:rsidRDefault="002A5187" w:rsidP="00B3325F">
            <w:pPr>
              <w:spacing w:after="0"/>
              <w:rPr>
                <w:rFonts w:eastAsia="Times New Roman"/>
                <w:b/>
                <w:bCs/>
                <w:color w:val="000000"/>
                <w:sz w:val="20"/>
                <w:szCs w:val="20"/>
                <w:lang w:val="en-US"/>
              </w:rPr>
            </w:pPr>
          </w:p>
        </w:tc>
        <w:tc>
          <w:tcPr>
            <w:tcW w:w="983"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b/>
                <w:bCs/>
                <w:color w:val="000000"/>
                <w:sz w:val="20"/>
                <w:szCs w:val="20"/>
                <w:lang w:val="en-US"/>
              </w:rPr>
            </w:pPr>
          </w:p>
        </w:tc>
        <w:tc>
          <w:tcPr>
            <w:tcW w:w="983"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b/>
                <w:bCs/>
                <w:color w:val="000000"/>
                <w:sz w:val="20"/>
                <w:szCs w:val="20"/>
                <w:lang w:val="en-US"/>
              </w:rPr>
            </w:pPr>
          </w:p>
        </w:tc>
        <w:tc>
          <w:tcPr>
            <w:tcW w:w="981"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b/>
                <w:bCs/>
                <w:color w:val="000000"/>
                <w:sz w:val="20"/>
                <w:szCs w:val="20"/>
                <w:lang w:val="en-US"/>
              </w:rPr>
            </w:pP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1*AGR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0.0891</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0.127</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2*AGR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0.156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3*AGR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0.281***</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0.288***</w:t>
            </w:r>
          </w:p>
        </w:tc>
      </w:tr>
      <w:tr w:rsidR="003C49A2" w:rsidRPr="008F3531" w:rsidTr="002A5187">
        <w:trPr>
          <w:trHeight w:val="173"/>
        </w:trPr>
        <w:tc>
          <w:tcPr>
            <w:tcW w:w="1278" w:type="pct"/>
            <w:gridSpan w:val="2"/>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4*AGR</w:t>
            </w:r>
          </w:p>
        </w:tc>
        <w:tc>
          <w:tcPr>
            <w:tcW w:w="775"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0.241**</w:t>
            </w:r>
          </w:p>
        </w:tc>
        <w:tc>
          <w:tcPr>
            <w:tcW w:w="983"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0.267***</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5*AGR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0.387***</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0.396***</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6*AGR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0.156**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0.162*</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7*AGR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0.223**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0.237**</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8*AGR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0.240***</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0.270***</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9*AGR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0.142*</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0.195**</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11*AGR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0.0609</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0.113</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12*AGR</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0.163</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0.202*</w:t>
            </w:r>
          </w:p>
        </w:tc>
      </w:tr>
      <w:tr w:rsidR="003C49A2" w:rsidRPr="008F3531" w:rsidTr="002A5187">
        <w:trPr>
          <w:trHeight w:val="173"/>
        </w:trPr>
        <w:tc>
          <w:tcPr>
            <w:tcW w:w="1278" w:type="pct"/>
            <w:gridSpan w:val="2"/>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Zone 13*AGR</w:t>
            </w:r>
          </w:p>
        </w:tc>
        <w:tc>
          <w:tcPr>
            <w:tcW w:w="775"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3"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0.261***</w:t>
            </w:r>
          </w:p>
        </w:tc>
        <w:tc>
          <w:tcPr>
            <w:tcW w:w="983"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p>
        </w:tc>
        <w:tc>
          <w:tcPr>
            <w:tcW w:w="981" w:type="pct"/>
            <w:tcBorders>
              <w:top w:val="nil"/>
              <w:left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0.268***</w:t>
            </w:r>
          </w:p>
        </w:tc>
      </w:tr>
      <w:tr w:rsidR="003C49A2" w:rsidRPr="008F3531" w:rsidTr="002A5187">
        <w:trPr>
          <w:trHeight w:val="173"/>
        </w:trPr>
        <w:tc>
          <w:tcPr>
            <w:tcW w:w="1278" w:type="pct"/>
            <w:gridSpan w:val="2"/>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Constant</w:t>
            </w:r>
          </w:p>
        </w:tc>
        <w:tc>
          <w:tcPr>
            <w:tcW w:w="775"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11.82***</w:t>
            </w:r>
          </w:p>
        </w:tc>
        <w:tc>
          <w:tcPr>
            <w:tcW w:w="983"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11.79***</w:t>
            </w:r>
          </w:p>
        </w:tc>
        <w:tc>
          <w:tcPr>
            <w:tcW w:w="983"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11.74***</w:t>
            </w:r>
          </w:p>
        </w:tc>
        <w:tc>
          <w:tcPr>
            <w:tcW w:w="981" w:type="pct"/>
            <w:tcBorders>
              <w:top w:val="nil"/>
              <w:left w:val="nil"/>
              <w:bottom w:val="single" w:sz="4" w:space="0" w:color="auto"/>
              <w:right w:val="nil"/>
            </w:tcBorders>
            <w:shd w:val="clear" w:color="auto" w:fill="auto"/>
            <w:vAlign w:val="center"/>
            <w:hideMark/>
          </w:tcPr>
          <w:p w:rsidR="003C49A2" w:rsidRPr="00E56625" w:rsidRDefault="003C49A2" w:rsidP="002A5187">
            <w:pPr>
              <w:spacing w:after="120"/>
              <w:rPr>
                <w:rFonts w:eastAsia="Times New Roman"/>
                <w:color w:val="000000"/>
                <w:sz w:val="20"/>
                <w:szCs w:val="20"/>
                <w:lang w:val="en-US"/>
              </w:rPr>
            </w:pPr>
            <w:r w:rsidRPr="00E56625">
              <w:rPr>
                <w:rFonts w:eastAsia="Times New Roman"/>
                <w:color w:val="000000"/>
                <w:sz w:val="20"/>
                <w:szCs w:val="20"/>
                <w:lang w:val="en-US"/>
              </w:rPr>
              <w:t>11.70***</w:t>
            </w:r>
          </w:p>
        </w:tc>
      </w:tr>
      <w:tr w:rsidR="003C49A2" w:rsidRPr="008F3531" w:rsidTr="002A5187">
        <w:trPr>
          <w:trHeight w:val="173"/>
        </w:trPr>
        <w:tc>
          <w:tcPr>
            <w:tcW w:w="1278" w:type="pct"/>
            <w:gridSpan w:val="2"/>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Ethnic group controls</w:t>
            </w:r>
          </w:p>
        </w:tc>
        <w:tc>
          <w:tcPr>
            <w:tcW w:w="775"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Y</w:t>
            </w:r>
          </w:p>
        </w:tc>
        <w:tc>
          <w:tcPr>
            <w:tcW w:w="983"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Y</w:t>
            </w:r>
          </w:p>
        </w:tc>
        <w:tc>
          <w:tcPr>
            <w:tcW w:w="983"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Y</w:t>
            </w:r>
          </w:p>
        </w:tc>
        <w:tc>
          <w:tcPr>
            <w:tcW w:w="981" w:type="pct"/>
            <w:tcBorders>
              <w:top w:val="single" w:sz="4" w:space="0" w:color="auto"/>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Y</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Local characteristics controls</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N</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N</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Y</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Y</w:t>
            </w:r>
          </w:p>
        </w:tc>
      </w:tr>
      <w:tr w:rsidR="003C49A2" w:rsidRPr="008F3531" w:rsidTr="002A5187">
        <w:trPr>
          <w:trHeight w:val="173"/>
        </w:trPr>
        <w:tc>
          <w:tcPr>
            <w:tcW w:w="1278" w:type="pct"/>
            <w:gridSpan w:val="2"/>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Observation</w:t>
            </w:r>
          </w:p>
        </w:tc>
        <w:tc>
          <w:tcPr>
            <w:tcW w:w="775"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9036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9036</w:t>
            </w:r>
          </w:p>
        </w:tc>
        <w:tc>
          <w:tcPr>
            <w:tcW w:w="983"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9036</w:t>
            </w:r>
          </w:p>
        </w:tc>
        <w:tc>
          <w:tcPr>
            <w:tcW w:w="981" w:type="pct"/>
            <w:tcBorders>
              <w:top w:val="nil"/>
              <w:left w:val="nil"/>
              <w:bottom w:val="nil"/>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9036</w:t>
            </w:r>
          </w:p>
        </w:tc>
      </w:tr>
      <w:tr w:rsidR="003C49A2" w:rsidRPr="008F3531" w:rsidTr="002A5187">
        <w:trPr>
          <w:trHeight w:val="173"/>
        </w:trPr>
        <w:tc>
          <w:tcPr>
            <w:tcW w:w="1278" w:type="pct"/>
            <w:gridSpan w:val="2"/>
            <w:tcBorders>
              <w:top w:val="nil"/>
              <w:left w:val="nil"/>
              <w:bottom w:val="single" w:sz="8" w:space="0" w:color="auto"/>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R-squared</w:t>
            </w:r>
          </w:p>
        </w:tc>
        <w:tc>
          <w:tcPr>
            <w:tcW w:w="775" w:type="pct"/>
            <w:tcBorders>
              <w:top w:val="nil"/>
              <w:left w:val="nil"/>
              <w:bottom w:val="single" w:sz="8" w:space="0" w:color="auto"/>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0.53</w:t>
            </w:r>
          </w:p>
        </w:tc>
        <w:tc>
          <w:tcPr>
            <w:tcW w:w="983" w:type="pct"/>
            <w:tcBorders>
              <w:top w:val="nil"/>
              <w:left w:val="nil"/>
              <w:bottom w:val="single" w:sz="8" w:space="0" w:color="auto"/>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0.533</w:t>
            </w:r>
          </w:p>
        </w:tc>
        <w:tc>
          <w:tcPr>
            <w:tcW w:w="983" w:type="pct"/>
            <w:tcBorders>
              <w:top w:val="nil"/>
              <w:left w:val="nil"/>
              <w:bottom w:val="single" w:sz="8" w:space="0" w:color="auto"/>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0.538</w:t>
            </w:r>
          </w:p>
        </w:tc>
        <w:tc>
          <w:tcPr>
            <w:tcW w:w="981" w:type="pct"/>
            <w:tcBorders>
              <w:top w:val="nil"/>
              <w:left w:val="nil"/>
              <w:bottom w:val="single" w:sz="8" w:space="0" w:color="auto"/>
              <w:right w:val="nil"/>
            </w:tcBorders>
            <w:shd w:val="clear" w:color="auto" w:fill="auto"/>
            <w:vAlign w:val="center"/>
            <w:hideMark/>
          </w:tcPr>
          <w:p w:rsidR="003C49A2" w:rsidRPr="00E56625" w:rsidRDefault="003C49A2" w:rsidP="00B3325F">
            <w:pPr>
              <w:spacing w:after="0"/>
              <w:rPr>
                <w:rFonts w:eastAsia="Times New Roman"/>
                <w:color w:val="000000"/>
                <w:sz w:val="20"/>
                <w:szCs w:val="20"/>
                <w:lang w:val="en-US"/>
              </w:rPr>
            </w:pPr>
            <w:r w:rsidRPr="00E56625">
              <w:rPr>
                <w:rFonts w:eastAsia="Times New Roman"/>
                <w:color w:val="000000"/>
                <w:sz w:val="20"/>
                <w:szCs w:val="20"/>
                <w:lang w:val="en-US"/>
              </w:rPr>
              <w:t>0.541</w:t>
            </w:r>
          </w:p>
        </w:tc>
      </w:tr>
    </w:tbl>
    <w:p w:rsidR="003C49A2" w:rsidRPr="00E56625" w:rsidRDefault="003C49A2" w:rsidP="003C49A2">
      <w:pPr>
        <w:spacing w:after="0"/>
        <w:rPr>
          <w:sz w:val="20"/>
          <w:szCs w:val="20"/>
          <w:lang w:val="en-US"/>
        </w:rPr>
      </w:pPr>
      <w:r w:rsidRPr="00E56625">
        <w:rPr>
          <w:sz w:val="20"/>
          <w:szCs w:val="20"/>
          <w:lang w:val="en-US"/>
        </w:rPr>
        <w:t>*** significant at 1% level, ** significant at 5% level, * significant at 10% level</w:t>
      </w:r>
    </w:p>
    <w:p w:rsidR="003C49A2" w:rsidRPr="00E56625" w:rsidRDefault="003C49A2" w:rsidP="003C49A2">
      <w:pPr>
        <w:rPr>
          <w:sz w:val="20"/>
          <w:szCs w:val="20"/>
          <w:lang w:val="en-US"/>
        </w:rPr>
      </w:pPr>
      <w:r w:rsidRPr="00E56625">
        <w:rPr>
          <w:sz w:val="20"/>
          <w:szCs w:val="20"/>
          <w:lang w:val="en-US"/>
        </w:rPr>
        <w:t>Source: ELIM 2010. Authors’ calculations</w:t>
      </w:r>
    </w:p>
    <w:p w:rsidR="003C49A2" w:rsidRPr="00E56625" w:rsidRDefault="003C49A2" w:rsidP="003D20DD">
      <w:pPr>
        <w:pStyle w:val="Heading2"/>
        <w:numPr>
          <w:ilvl w:val="0"/>
          <w:numId w:val="9"/>
        </w:numPr>
        <w:spacing w:before="0"/>
        <w:ind w:left="540" w:hanging="540"/>
        <w:rPr>
          <w:rFonts w:ascii="Times New Roman Bold" w:hAnsi="Times New Roman Bold" w:cs="Times New Roman"/>
          <w:color w:val="000000" w:themeColor="text1"/>
          <w:sz w:val="22"/>
          <w:szCs w:val="22"/>
          <w:lang w:val="en-US"/>
        </w:rPr>
      </w:pPr>
      <w:bookmarkStart w:id="98" w:name="_Toc419468557"/>
      <w:r w:rsidRPr="00E56625">
        <w:rPr>
          <w:rFonts w:ascii="Times New Roman Bold" w:hAnsi="Times New Roman Bold" w:cs="Times New Roman"/>
          <w:color w:val="000000" w:themeColor="text1"/>
          <w:sz w:val="22"/>
          <w:szCs w:val="22"/>
          <w:lang w:val="en-US"/>
        </w:rPr>
        <w:t>Discussion</w:t>
      </w:r>
      <w:bookmarkEnd w:id="98"/>
    </w:p>
    <w:p w:rsidR="003C49A2" w:rsidRPr="008F3531" w:rsidRDefault="003C49A2" w:rsidP="00D17889">
      <w:pPr>
        <w:pStyle w:val="paranumb"/>
        <w:spacing w:after="200"/>
        <w:rPr>
          <w:rFonts w:cs="Times New Roman"/>
          <w:szCs w:val="24"/>
        </w:rPr>
      </w:pPr>
      <w:r w:rsidRPr="008F3531">
        <w:rPr>
          <w:rFonts w:cs="Times New Roman"/>
          <w:szCs w:val="24"/>
        </w:rPr>
        <w:t xml:space="preserve">This chapter discussed the importance of spatial characteristics, and particular livelihood zones, for welfare. Urban households do much better than rural households, explaining in part the attractiveness of urban areas for migrants. Amongst rural households the pattern that emerges is that households in livelihood zone 10 –those growing sorghum, millet and cotton in the Sikasso region are amongst the most destitute in the country. Relative to the rest of the nation, their consumption is amongst the lowest, as is life-expectancy while levels of chronic malnutrition and poverty are amongst the highest. In terms of other indicators Sikasso appears to be doing better: acute malnutrition is relatively low in Sikasso, and the ownership of assets and consumer durables is relatively elevated. </w:t>
      </w:r>
    </w:p>
    <w:p w:rsidR="003C49A2" w:rsidRPr="008F3531" w:rsidRDefault="003C49A2" w:rsidP="00D17889">
      <w:pPr>
        <w:pStyle w:val="paranumb"/>
        <w:spacing w:after="200"/>
        <w:rPr>
          <w:rFonts w:cs="Times New Roman"/>
          <w:szCs w:val="24"/>
        </w:rPr>
      </w:pPr>
      <w:r w:rsidRPr="008F3531">
        <w:rPr>
          <w:rFonts w:cs="Times New Roman"/>
          <w:szCs w:val="24"/>
        </w:rPr>
        <w:t xml:space="preserve">Increasing remittances and increases in the production of cereals, of maize and rice in particular, have driven the rapid poverty reduction that occurred between 2001 and 2010. The poorest households have benefited most from this. Improvements in welfare are strongly associated with livelihood zones relying on remittances (zone 8 in north-west Kayes), zones 11 and 12 in South Sikasso, zones 3 and 6 (producing rice on the borders of the Niger or as part of the office du Niger) and to a lesser degree zone 9 (west and central), producing millet and sorghum under rain-fed conditions. Households depending on livestock rearing in zone 2 in the regions of Gao and Tombouctou and those in the Niger delta (zone 6) have not been doing well. </w:t>
      </w:r>
    </w:p>
    <w:p w:rsidR="003C49A2" w:rsidRPr="008F3531" w:rsidRDefault="003C49A2" w:rsidP="00D17889">
      <w:pPr>
        <w:pStyle w:val="paranumb"/>
        <w:spacing w:after="200"/>
        <w:rPr>
          <w:rFonts w:cs="Times New Roman"/>
          <w:szCs w:val="24"/>
        </w:rPr>
      </w:pPr>
      <w:r w:rsidRPr="008F3531">
        <w:rPr>
          <w:rFonts w:cs="Times New Roman"/>
          <w:szCs w:val="24"/>
        </w:rPr>
        <w:t xml:space="preserve">Bamako and Kidal are the regions where households are best off in terms of consumption, though the situation in Kidal can be expected to have changed dramatically as a result of the security crisis. </w:t>
      </w:r>
    </w:p>
    <w:p w:rsidR="003C49A2" w:rsidRPr="008F3531" w:rsidRDefault="003C49A2" w:rsidP="00D17889">
      <w:pPr>
        <w:pStyle w:val="paranumb"/>
        <w:spacing w:after="200"/>
        <w:rPr>
          <w:rFonts w:cs="Times New Roman"/>
          <w:szCs w:val="24"/>
        </w:rPr>
      </w:pPr>
      <w:r w:rsidRPr="008F3531">
        <w:rPr>
          <w:rFonts w:cs="Times New Roman"/>
          <w:szCs w:val="24"/>
        </w:rPr>
        <w:t xml:space="preserve">There are a number of implications to be derived from the chapter. Mali has a comparative advantage to serve the region with food (see also chapter </w:t>
      </w:r>
      <w:r w:rsidR="00BE4FD4">
        <w:rPr>
          <w:rFonts w:cs="Times New Roman"/>
          <w:szCs w:val="24"/>
        </w:rPr>
        <w:t>6</w:t>
      </w:r>
      <w:r w:rsidR="00BE4FD4" w:rsidRPr="008F3531">
        <w:rPr>
          <w:rFonts w:cs="Times New Roman"/>
          <w:szCs w:val="24"/>
        </w:rPr>
        <w:t xml:space="preserve"> </w:t>
      </w:r>
      <w:r w:rsidRPr="008F3531">
        <w:rPr>
          <w:rFonts w:cs="Times New Roman"/>
          <w:szCs w:val="24"/>
        </w:rPr>
        <w:t xml:space="preserve">on growth) and there seems to be potential for maize and rice to production to increase. To make this happen it is important to ensure that these products can effectively be exported otherwise increases in production might lead to declines in prices and incomes. With the continuing crisis in the North, this may not be self-evident as it is unclear whether the highway to Gao is secure. </w:t>
      </w:r>
    </w:p>
    <w:p w:rsidR="003C49A2" w:rsidRPr="008F3531" w:rsidRDefault="003C49A2" w:rsidP="00D17889">
      <w:pPr>
        <w:pStyle w:val="paranumb"/>
        <w:spacing w:after="200"/>
        <w:rPr>
          <w:rFonts w:cs="Times New Roman"/>
          <w:szCs w:val="24"/>
        </w:rPr>
      </w:pPr>
      <w:r w:rsidRPr="008F3531">
        <w:rPr>
          <w:rFonts w:cs="Times New Roman"/>
          <w:szCs w:val="24"/>
        </w:rPr>
        <w:t>The elevated levels of poverty in livelihood zone 10 remain somewhat of a puzzle. The agricultural potential of this zone is high. In part because of its association with cotton, market accessibility and the availability of inputs are also relatively good in this zone. It may be that the high levels of poverty are an artefact of the data because data collection for ELIM 2010 coincided with a period of adverse weather in this zone. Never the less, given the success of maize production elsewhere and the high fluctuations in the value of cotton production, one wonders–but additional research would have to clarify this, whether it is possible to expand maize production in this zone, or alternatively what is the potential to increase sorghum and millet production.</w:t>
      </w:r>
    </w:p>
    <w:p w:rsidR="003C49A2" w:rsidRPr="008F3531" w:rsidRDefault="003C49A2" w:rsidP="00D17889">
      <w:pPr>
        <w:pStyle w:val="paranumb"/>
        <w:spacing w:after="200"/>
        <w:rPr>
          <w:rFonts w:cs="Times New Roman"/>
          <w:szCs w:val="24"/>
        </w:rPr>
      </w:pPr>
      <w:r w:rsidRPr="008F3531">
        <w:rPr>
          <w:rFonts w:cs="Times New Roman"/>
          <w:szCs w:val="24"/>
        </w:rPr>
        <w:t>Zones 3 (on the borders of the Niger between Gao and Tombouctou and 7 -Office du Niger) already benefited from increases in rice production and, the security situation allowing, there seems to be potential to increase the production of rice in the Niger delta (zone 3). Doing so requires improving market accessibility as this zone is affected by poor market access.</w:t>
      </w:r>
    </w:p>
    <w:p w:rsidR="003C49A2" w:rsidRPr="008F3531" w:rsidRDefault="003C49A2" w:rsidP="00D17889">
      <w:pPr>
        <w:pStyle w:val="paranumb"/>
        <w:spacing w:after="200"/>
        <w:rPr>
          <w:rFonts w:cs="Times New Roman"/>
          <w:szCs w:val="24"/>
        </w:rPr>
      </w:pPr>
      <w:r w:rsidRPr="008F3531">
        <w:rPr>
          <w:rFonts w:cs="Times New Roman"/>
          <w:szCs w:val="24"/>
        </w:rPr>
        <w:t>The long run policy implication that follows from this chapter is a huge need to invest in education. Returns to education are high. Even though this is partly reflects the scarcity of educated people, it is unimaginable for sustainable growth to occur without addressing the huge education deficit. Doing so will require actions now that can only be expected to yield a return in 10 to 15 years’ time.</w:t>
      </w:r>
    </w:p>
    <w:p w:rsidR="003C49A2" w:rsidRPr="008F3531" w:rsidRDefault="003C49A2" w:rsidP="00D17889">
      <w:pPr>
        <w:pStyle w:val="paranumb"/>
        <w:spacing w:after="200"/>
        <w:rPr>
          <w:rFonts w:cs="Times New Roman"/>
          <w:szCs w:val="24"/>
        </w:rPr>
      </w:pPr>
      <w:r w:rsidRPr="008F3531">
        <w:rPr>
          <w:rFonts w:cs="Times New Roman"/>
          <w:szCs w:val="24"/>
        </w:rPr>
        <w:t>Important lessons can be learned from the success of households in zone 8 in north-west Kayes who through migration and reliance on remittances have managed to build secure and improving livelihoods. There is a clear link with education, as better educated migrants are more likely to succeed–as discussed in chapter 2.</w:t>
      </w:r>
    </w:p>
    <w:p w:rsidR="003C49A2" w:rsidRPr="008F3531" w:rsidRDefault="00BE4FD4" w:rsidP="00D17889">
      <w:pPr>
        <w:pStyle w:val="paranumb"/>
        <w:spacing w:after="200"/>
        <w:rPr>
          <w:rFonts w:cs="Times New Roman"/>
          <w:szCs w:val="24"/>
        </w:rPr>
      </w:pPr>
      <w:r>
        <w:rPr>
          <w:rFonts w:cs="Times New Roman"/>
          <w:szCs w:val="24"/>
        </w:rPr>
        <w:t xml:space="preserve">According to the ‘traditional’ poverty measure </w:t>
      </w:r>
      <w:r w:rsidR="003C49A2" w:rsidRPr="008F3531">
        <w:rPr>
          <w:rFonts w:cs="Times New Roman"/>
          <w:szCs w:val="24"/>
        </w:rPr>
        <w:t xml:space="preserve">70 percent of all poor are located in three livelihood zones: 9 (west and central rain-fed millet/sorghum), 10 (sorghum, millet and cotton) and 11 (south, maize, cotton and fruits). The case to focus policy interventions on households in zone 10 is particularly strong because many households live in this zone, because the incidence of poverty is high and because, unlike zones 9 and 11 poverty levels have been increasing. Zone 4, where 10 percent of poor households live, also deserves additional attention even though the much lower population density of this zone might hinder the design of cost-effective interventions. </w:t>
      </w:r>
      <w:r>
        <w:rPr>
          <w:rFonts w:cs="Times New Roman"/>
          <w:szCs w:val="24"/>
        </w:rPr>
        <w:t>These results need to be interpreted with caution, however, as the asset based poverty measure (presented in Figure 4.16) suggests that poverty is much more equally spread across southern Mali.</w:t>
      </w:r>
    </w:p>
    <w:p w:rsidR="003700C8" w:rsidRPr="008F3531" w:rsidRDefault="003C49A2" w:rsidP="00E56625">
      <w:pPr>
        <w:pStyle w:val="paranumb"/>
        <w:rPr>
          <w:lang w:eastAsia="fr-FR"/>
        </w:rPr>
      </w:pPr>
      <w:r w:rsidRPr="008F3531">
        <w:t xml:space="preserve">Finally the </w:t>
      </w:r>
      <w:r w:rsidRPr="00E56625">
        <w:t>north</w:t>
      </w:r>
      <w:r w:rsidRPr="008F3531">
        <w:t xml:space="preserve"> has been badly affected by the security crisis. A trade-off seems to have to be made between efficiency (the north has low population density) and need. However, there are many more aspects to interventions in the north than this simple trade-off</w:t>
      </w:r>
      <w:r w:rsidR="00BE4FD4">
        <w:t>.</w:t>
      </w:r>
      <w:r w:rsidRPr="008F3531">
        <w:t xml:space="preserve"> It is clear</w:t>
      </w:r>
      <w:r w:rsidR="00BE4FD4">
        <w:t xml:space="preserve"> </w:t>
      </w:r>
      <w:r w:rsidRPr="008F3531">
        <w:t>that important spillover effects have occurred from the crisis in the north as consumption levels have fallen throughout the country since 2011 (with the exception of Bamako) and not just in the north</w:t>
      </w:r>
      <w:r w:rsidR="00BE4FD4">
        <w:t>: f</w:t>
      </w:r>
      <w:r w:rsidRPr="008F3531">
        <w:t>inding a solution to the crisis in the north is in the interest of all</w:t>
      </w:r>
      <w:r w:rsidR="002A5187" w:rsidRPr="008F3531">
        <w:t>.</w:t>
      </w:r>
      <w:r w:rsidR="003700C8" w:rsidRPr="008F3531">
        <w:rPr>
          <w:lang w:eastAsia="fr-FR"/>
        </w:rPr>
        <w:br w:type="page"/>
      </w:r>
    </w:p>
    <w:p w:rsidR="00CF0E26" w:rsidRPr="008F3531" w:rsidRDefault="00E21437" w:rsidP="006C69A5">
      <w:pPr>
        <w:pStyle w:val="Heading1"/>
        <w:ind w:left="0"/>
      </w:pPr>
      <w:bookmarkStart w:id="99" w:name="_Toc383519767"/>
      <w:bookmarkStart w:id="100" w:name="_Toc419468558"/>
      <w:bookmarkEnd w:id="99"/>
      <w:r w:rsidRPr="008F3531">
        <w:t>Spatial Challeng</w:t>
      </w:r>
      <w:r w:rsidR="00E33BF9" w:rsidRPr="008F3531">
        <w:t>es to Service Delivery: Trading</w:t>
      </w:r>
      <w:r w:rsidR="00E33BF9" w:rsidRPr="008F3531">
        <w:br/>
        <w:t xml:space="preserve">                       </w:t>
      </w:r>
      <w:r w:rsidRPr="008F3531">
        <w:t>off Equity, Efficiency and Quality</w:t>
      </w:r>
      <w:bookmarkEnd w:id="100"/>
      <w:r w:rsidR="00CF0E26" w:rsidRPr="008F3531">
        <w:t xml:space="preserve"> </w:t>
      </w:r>
    </w:p>
    <w:p w:rsidR="00CF0E26" w:rsidRPr="00E56625" w:rsidRDefault="00CF0E26" w:rsidP="003D20DD">
      <w:pPr>
        <w:pStyle w:val="Heading2"/>
        <w:numPr>
          <w:ilvl w:val="0"/>
          <w:numId w:val="10"/>
        </w:numPr>
        <w:spacing w:before="0"/>
        <w:ind w:left="540" w:hanging="540"/>
        <w:rPr>
          <w:rFonts w:ascii="Times New Roman Bold" w:hAnsi="Times New Roman Bold" w:cs="Times New Roman"/>
          <w:color w:val="000000" w:themeColor="text1"/>
          <w:sz w:val="22"/>
          <w:szCs w:val="22"/>
          <w:lang w:val="en-US"/>
        </w:rPr>
      </w:pPr>
      <w:bookmarkStart w:id="101" w:name="_Toc419468559"/>
      <w:r w:rsidRPr="00E56625">
        <w:rPr>
          <w:rFonts w:ascii="Times New Roman Bold" w:hAnsi="Times New Roman Bold" w:cs="Times New Roman"/>
          <w:color w:val="000000" w:themeColor="text1"/>
          <w:sz w:val="22"/>
          <w:szCs w:val="22"/>
          <w:lang w:val="en-US"/>
        </w:rPr>
        <w:t>Introduction</w:t>
      </w:r>
      <w:bookmarkEnd w:id="101"/>
    </w:p>
    <w:p w:rsidR="00E21437" w:rsidRPr="00E56625" w:rsidRDefault="00B805DA" w:rsidP="00C15E46">
      <w:pPr>
        <w:pStyle w:val="paranumb"/>
        <w:spacing w:after="200"/>
        <w:rPr>
          <w:rFonts w:eastAsia="Times New Roman"/>
          <w:color w:val="4C4845"/>
          <w:spacing w:val="-4"/>
        </w:rPr>
      </w:pPr>
      <w:r w:rsidRPr="008F3531">
        <w:rPr>
          <w:rFonts w:cs="Times New Roman"/>
          <w:szCs w:val="24"/>
        </w:rPr>
        <w:t>In t</w:t>
      </w:r>
      <w:r w:rsidR="00E21437" w:rsidRPr="008F3531">
        <w:rPr>
          <w:rFonts w:cs="Times New Roman"/>
          <w:szCs w:val="24"/>
        </w:rPr>
        <w:t>his chapter we focus on service delivery. Services come in many forms and include social services such as health, water and education, economic services such as roads, markets, banks and electricity, information services (radio, television, telephone) as well as security services (police, military) or cultural services (sports facilities, theater). Not all services are provided by the public sector but many are. For services that are provided by the private sector –as is for instance the case with mobile telephony, or rural electricity, the public sector often plays an important regulatory role.</w:t>
      </w:r>
    </w:p>
    <w:p w:rsidR="00E21437" w:rsidRPr="008F3531" w:rsidRDefault="00E21437" w:rsidP="00B805DA">
      <w:pPr>
        <w:pStyle w:val="paranumb"/>
        <w:spacing w:after="200"/>
        <w:rPr>
          <w:rFonts w:cs="Times New Roman"/>
          <w:szCs w:val="24"/>
        </w:rPr>
      </w:pPr>
      <w:r w:rsidRPr="008F3531">
        <w:rPr>
          <w:rFonts w:cs="Times New Roman"/>
          <w:szCs w:val="24"/>
        </w:rPr>
        <w:t>In previous chapters we noted how geographic differences have important consequences for livelihood choices, which in turn are closely associated to different levels of</w:t>
      </w:r>
      <w:r w:rsidR="004B16FD" w:rsidRPr="008F3531">
        <w:rPr>
          <w:rFonts w:cs="Times New Roman"/>
          <w:szCs w:val="24"/>
        </w:rPr>
        <w:t xml:space="preserve"> welfare. In this chapter we</w:t>
      </w:r>
      <w:r w:rsidRPr="008F3531">
        <w:rPr>
          <w:rFonts w:cs="Times New Roman"/>
          <w:szCs w:val="24"/>
        </w:rPr>
        <w:t xml:space="preserve"> focus on the consequences of spatial aspects for the provision of services. In this instance we focus less on the livelihood zone, but more on the differences in population density and how it forces decision makers to choose between access for all (equity) and efficiency (providing access to as many people as possible for a given budget). </w:t>
      </w:r>
    </w:p>
    <w:p w:rsidR="00E21437" w:rsidRPr="008F3531" w:rsidRDefault="00E21437" w:rsidP="0004705A">
      <w:pPr>
        <w:pStyle w:val="paranumb"/>
        <w:spacing w:after="200"/>
        <w:rPr>
          <w:rFonts w:cs="Times New Roman"/>
          <w:szCs w:val="24"/>
        </w:rPr>
      </w:pPr>
      <w:r w:rsidRPr="008F3531">
        <w:rPr>
          <w:rFonts w:cs="Times New Roman"/>
          <w:szCs w:val="24"/>
        </w:rPr>
        <w:t>We illustrate this point with three examples: primary education, electricity and access to markets. Each of these services faces its own trade-offs. For primary education in 2009 there were almost 11,000 villages (Table Annex 2.3) and approximately 4,500 schools so in addition to the challenge that every village cannot be served by a school, a trade-off exists between improving access and improving quality. In electricity the trade-off is about whom to give access: the urban rich or the rural poor. With respect to access to markets, finally, in addition to access and efficiency issues, we again note that quality issues (road blocks, maintenance planning) are critical. For all three services we show how innovations –from the introduction to double shifting in schools, to solar lights and cheap motor bikes, help make certain trade-offs more palatable.</w:t>
      </w:r>
    </w:p>
    <w:p w:rsidR="00E21437" w:rsidRPr="00E56625" w:rsidRDefault="00E21437" w:rsidP="003D20DD">
      <w:pPr>
        <w:pStyle w:val="Heading2"/>
        <w:numPr>
          <w:ilvl w:val="0"/>
          <w:numId w:val="10"/>
        </w:numPr>
        <w:spacing w:before="0"/>
        <w:ind w:left="540" w:hanging="540"/>
        <w:rPr>
          <w:rFonts w:ascii="Times New Roman Bold" w:hAnsi="Times New Roman Bold" w:cs="Times New Roman"/>
          <w:color w:val="000000" w:themeColor="text1"/>
          <w:sz w:val="22"/>
          <w:szCs w:val="22"/>
          <w:lang w:val="en-US"/>
        </w:rPr>
      </w:pPr>
      <w:bookmarkStart w:id="102" w:name="_Toc419468560"/>
      <w:r w:rsidRPr="00E56625">
        <w:rPr>
          <w:rFonts w:ascii="Times New Roman Bold" w:hAnsi="Times New Roman Bold" w:cs="Times New Roman"/>
          <w:color w:val="000000" w:themeColor="text1"/>
          <w:sz w:val="22"/>
          <w:szCs w:val="22"/>
          <w:lang w:val="en-US"/>
        </w:rPr>
        <w:t>Unit costs and the delivery of services</w:t>
      </w:r>
      <w:bookmarkEnd w:id="102"/>
    </w:p>
    <w:p w:rsidR="00E21437" w:rsidRPr="008F3531" w:rsidRDefault="00E21437" w:rsidP="0004705A">
      <w:pPr>
        <w:pStyle w:val="paranumb"/>
        <w:spacing w:after="200"/>
        <w:rPr>
          <w:rFonts w:cs="Times New Roman"/>
          <w:szCs w:val="24"/>
        </w:rPr>
      </w:pPr>
      <w:r w:rsidRPr="008F3531">
        <w:rPr>
          <w:rFonts w:cs="Times New Roman"/>
          <w:szCs w:val="24"/>
        </w:rPr>
        <w:t xml:space="preserve">Unit costs, which are the costs that need to be made before a service can be offered, matter a great deal for whether a service can be offered, or in how many places a service can be offered efficiently. Unit costs, in turn, are largely determined by the size of fixed costs: services requiring large upfront investments such as piped water or </w:t>
      </w:r>
      <w:r w:rsidR="000739F9" w:rsidRPr="008F3531">
        <w:rPr>
          <w:rFonts w:cs="Times New Roman"/>
          <w:szCs w:val="24"/>
        </w:rPr>
        <w:t>electricity</w:t>
      </w:r>
      <w:r w:rsidRPr="008F3531">
        <w:rPr>
          <w:rFonts w:cs="Times New Roman"/>
          <w:szCs w:val="24"/>
        </w:rPr>
        <w:t xml:space="preserve"> can only be offered in a cost-effective manner in areas where population density is high: cities. How pressing this problem is can be illustrated with an example for secondary schools. Imagine that the maximum distance a secondary student can be expected to travel is 7 km (one way), and that a secondary school requires at least 250 students to be cost-efficient. Moreover, assume that 30 out of every 100 children complete primary school (see section 5.2). Children of secondary school age (those aged 13-18) make up 14 percent of the population</w:t>
      </w:r>
      <w:r w:rsidR="006E4D0E" w:rsidRPr="008F3531">
        <w:rPr>
          <w:rFonts w:cs="Times New Roman"/>
          <w:szCs w:val="24"/>
        </w:rPr>
        <w:t>.</w:t>
      </w:r>
      <w:r w:rsidRPr="008F3531">
        <w:rPr>
          <w:rStyle w:val="FootnoteReference"/>
          <w:rFonts w:cs="Times New Roman"/>
          <w:szCs w:val="24"/>
        </w:rPr>
        <w:footnoteReference w:id="45"/>
      </w:r>
      <w:r w:rsidR="006E4D0E" w:rsidRPr="008F3531">
        <w:rPr>
          <w:rFonts w:cs="Times New Roman"/>
          <w:szCs w:val="24"/>
        </w:rPr>
        <w:t xml:space="preserve"> </w:t>
      </w:r>
      <w:r w:rsidRPr="008F3531">
        <w:rPr>
          <w:rFonts w:cs="Times New Roman"/>
          <w:szCs w:val="24"/>
        </w:rPr>
        <w:t xml:space="preserve">The catchment area of a school is 154 </w:t>
      </w:r>
      <w:r w:rsidR="00C8297A" w:rsidRPr="00C8297A">
        <w:rPr>
          <w:rFonts w:cs="Times New Roman"/>
          <w:szCs w:val="24"/>
        </w:rPr>
        <w:t>km2</w:t>
      </w:r>
      <w:r w:rsidRPr="008F3531">
        <w:rPr>
          <w:rFonts w:cs="Times New Roman"/>
          <w:szCs w:val="24"/>
        </w:rPr>
        <w:t xml:space="preserve"> (πr</w:t>
      </w:r>
      <w:r w:rsidRPr="008F3531">
        <w:rPr>
          <w:rFonts w:cs="Times New Roman"/>
          <w:szCs w:val="24"/>
          <w:vertAlign w:val="superscript"/>
        </w:rPr>
        <w:t>2</w:t>
      </w:r>
      <w:r w:rsidRPr="008F3531">
        <w:rPr>
          <w:rFonts w:cs="Times New Roman"/>
          <w:szCs w:val="24"/>
        </w:rPr>
        <w:t>). To attract 250 students, population density needs to be about 39 people per square kilometer.</w:t>
      </w:r>
      <w:r w:rsidRPr="008F3531">
        <w:rPr>
          <w:rStyle w:val="FootnoteReference"/>
          <w:rFonts w:cs="Times New Roman"/>
          <w:szCs w:val="24"/>
        </w:rPr>
        <w:footnoteReference w:id="46"/>
      </w:r>
      <w:r w:rsidRPr="008F3531">
        <w:rPr>
          <w:rFonts w:cs="Times New Roman"/>
          <w:szCs w:val="24"/>
        </w:rPr>
        <w:t xml:space="preserve">  How many localities in Mali meet this criterion? </w:t>
      </w:r>
    </w:p>
    <w:p w:rsidR="00E21437" w:rsidRPr="008F3531" w:rsidRDefault="00E21437" w:rsidP="0004705A">
      <w:pPr>
        <w:pStyle w:val="paranumb"/>
        <w:spacing w:after="200"/>
        <w:rPr>
          <w:rFonts w:cs="Times New Roman"/>
          <w:szCs w:val="24"/>
        </w:rPr>
      </w:pPr>
      <w:r w:rsidRPr="008F3531">
        <w:rPr>
          <w:rFonts w:cs="Times New Roman"/>
          <w:szCs w:val="24"/>
        </w:rPr>
        <w:t xml:space="preserve">Figure 5.1 ranks the population of Mali by density. The graph is constructed using population and area at the commune level, assuming an even distribution of people across space. In reality people tend to cluster. As a consequence the graph places too many people in low density areas than is the case in reality. But for illustration purposes the graph suffices. One of the things that the graph illustrates is most people (85 percent) live in an area with a population density that exceeds the national average of 13.3 people per square kilometer. This simply follows from the fact that few people live in areas with low density. The graph also suggests that approximately 50 percent of the population lives in areas where, at least from an efficiency point of view, placing a secondary school would not be justified. </w:t>
      </w:r>
    </w:p>
    <w:p w:rsidR="00E21437" w:rsidRPr="00E56625" w:rsidRDefault="0056282E" w:rsidP="0056282E">
      <w:pPr>
        <w:pStyle w:val="Caption"/>
        <w:rPr>
          <w:b w:val="0"/>
        </w:rPr>
      </w:pPr>
      <w:bookmarkStart w:id="103" w:name="_Toc390956414"/>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w:t>
      </w:r>
      <w:r w:rsidR="00943E46" w:rsidRPr="00E56625">
        <w:rPr>
          <w:noProof/>
        </w:rPr>
        <w:fldChar w:fldCharType="end"/>
      </w:r>
      <w:r w:rsidRPr="008F3531">
        <w:t>:</w:t>
      </w:r>
      <w:r w:rsidR="00E21437" w:rsidRPr="00E56625">
        <w:rPr>
          <w:b w:val="0"/>
        </w:rPr>
        <w:t xml:space="preserve"> </w:t>
      </w:r>
      <w:r w:rsidR="00BE4FD4">
        <w:rPr>
          <w:b w:val="0"/>
        </w:rPr>
        <w:t xml:space="preserve">Cumulative distribution of population living in area with a certain population density </w:t>
      </w:r>
      <w:bookmarkEnd w:id="103"/>
      <w:r w:rsidR="00BE4FD4">
        <w:rPr>
          <w:b w:val="0"/>
        </w:rPr>
        <w:t xml:space="preserve"> </w:t>
      </w:r>
    </w:p>
    <w:p w:rsidR="00E21437" w:rsidRPr="00E56625" w:rsidRDefault="00E21437" w:rsidP="0056282E">
      <w:pPr>
        <w:spacing w:after="0"/>
        <w:rPr>
          <w:lang w:val="en-US"/>
        </w:rPr>
      </w:pPr>
      <w:r w:rsidRPr="00E56625">
        <w:rPr>
          <w:lang w:val="en-US"/>
        </w:rPr>
        <w:t xml:space="preserve"> </w:t>
      </w:r>
      <w:r w:rsidRPr="00E56625">
        <w:rPr>
          <w:noProof/>
          <w:lang w:val="en-US"/>
        </w:rPr>
        <w:drawing>
          <wp:inline distT="0" distB="0" distL="0" distR="0" wp14:anchorId="6083412C" wp14:editId="26682408">
            <wp:extent cx="5889812"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21437" w:rsidRPr="00E56625" w:rsidRDefault="00E21437" w:rsidP="0056282E">
      <w:pPr>
        <w:spacing w:after="0"/>
        <w:rPr>
          <w:sz w:val="20"/>
          <w:szCs w:val="20"/>
          <w:lang w:val="en-US"/>
        </w:rPr>
      </w:pPr>
      <w:r w:rsidRPr="00E56625">
        <w:rPr>
          <w:sz w:val="20"/>
          <w:szCs w:val="20"/>
          <w:lang w:val="en-US"/>
        </w:rPr>
        <w:t>Source: calculated from RGPH 2009.</w:t>
      </w:r>
    </w:p>
    <w:p w:rsidR="0056282E" w:rsidRPr="00E56625" w:rsidRDefault="0056282E" w:rsidP="0056282E">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 xml:space="preserve">The same calculation can be done for primary schools. Let’s assume that the minimum primary school size is 150 children. Primary schools do not require teachers who are specialized in a certain subject nor expensive chemistry </w:t>
      </w:r>
      <w:r w:rsidR="000739F9" w:rsidRPr="008F3531">
        <w:rPr>
          <w:rFonts w:cs="Times New Roman"/>
          <w:szCs w:val="24"/>
        </w:rPr>
        <w:t>laboratories;</w:t>
      </w:r>
      <w:r w:rsidRPr="008F3531">
        <w:rPr>
          <w:rFonts w:cs="Times New Roman"/>
          <w:szCs w:val="24"/>
        </w:rPr>
        <w:t xml:space="preserve"> hence the minimum efficient school size is less than that for secondary schools. Children at primary school are not able to walk as far as those attending secondary. Let’s assume that instead of 7 km, primary school children can walk at most 5 km to go to school. With 17.1 percent of the population of primary school age and an enrollment rate of 55 percent, population density has to be around 20 people per square kilometer. As can be seen in Figure 5.1 such a density is achieved for approximately 85 percent of the population.  If, however, one were to reduce the maximum acceptable distance to travel to a primary school is reduced to 3 km (the current government policy) then the minimum population density for the cost-efficient placement of a primary school increases to around 50 people per square kilometer. Now almost half the population would live outside the catchment area.  If, on the other hand, the minimum efficient size of a primary school is reduced from 150 students to 75 students (for instance because teachers in small schools teach two grades in the same class), then the minimum population density drops to 25 and approximately 70 percent of people live within the catchment area.</w:t>
      </w:r>
    </w:p>
    <w:p w:rsidR="00E21437" w:rsidRPr="008F3531" w:rsidRDefault="00E21437" w:rsidP="0004705A">
      <w:pPr>
        <w:pStyle w:val="paranumb"/>
        <w:spacing w:after="200"/>
        <w:rPr>
          <w:rFonts w:cs="Times New Roman"/>
          <w:szCs w:val="24"/>
        </w:rPr>
      </w:pPr>
      <w:r w:rsidRPr="008F3531">
        <w:rPr>
          <w:rFonts w:cs="Times New Roman"/>
          <w:szCs w:val="24"/>
        </w:rPr>
        <w:t xml:space="preserve">This example helps to illustrate a number of points that are important for service delivery in low density areas. First, one might be inclined to argue that not offering people access to primary or secondary education is unacceptable, that one has to accept some inefficiency, and build more schools. After all, it is the ambition of the Government under the education for all program to ensure that every child has the possibility to go to school. But under a budget constraint building more schools invariably means doing less of something else. Placing a school in an area with low density where few students benefit means not placing a school in an area with higher population density where more students benefit. Issues of cost-efficiency are intricately linked with those of equity, but also of quality (for instance when the construction of additional schools goes at the expense of hiring more teachers). A second aspect the example helps illustrate is that the higher the per capita investment cost, the higher population density needed to the investment. Or to say the same thing differently: to offer the same service in a low density area, a service would have to require less in fixed costs. This explains why tarmacked roads, piped water and hospitals are found in high density areas like cities, and dirt tracks, wells and clinics in low density areas like rural villages. It also suggests that if one wants to increase access to services in low density areas, one might have to be innovative and seek to reduce fixed costs. </w:t>
      </w:r>
    </w:p>
    <w:p w:rsidR="00E21437" w:rsidRPr="00E56625" w:rsidRDefault="00E21437" w:rsidP="003D20DD">
      <w:pPr>
        <w:pStyle w:val="Heading2"/>
        <w:numPr>
          <w:ilvl w:val="0"/>
          <w:numId w:val="10"/>
        </w:numPr>
        <w:spacing w:before="0"/>
        <w:ind w:left="540" w:hanging="540"/>
        <w:rPr>
          <w:rFonts w:ascii="Times New Roman Bold" w:hAnsi="Times New Roman Bold" w:cs="Times New Roman"/>
          <w:color w:val="000000" w:themeColor="text1"/>
          <w:sz w:val="22"/>
          <w:szCs w:val="22"/>
          <w:lang w:val="en-US"/>
        </w:rPr>
      </w:pPr>
      <w:bookmarkStart w:id="104" w:name="_Toc419468561"/>
      <w:r w:rsidRPr="00E56625">
        <w:rPr>
          <w:rFonts w:ascii="Times New Roman Bold" w:hAnsi="Times New Roman Bold" w:cs="Times New Roman"/>
          <w:color w:val="000000" w:themeColor="text1"/>
          <w:sz w:val="22"/>
          <w:szCs w:val="22"/>
          <w:lang w:val="en-US"/>
        </w:rPr>
        <w:t>Education: access versus quality</w:t>
      </w:r>
      <w:bookmarkEnd w:id="104"/>
      <w:r w:rsidRPr="00E56625">
        <w:rPr>
          <w:rFonts w:ascii="Times New Roman Bold" w:hAnsi="Times New Roman Bold" w:cs="Times New Roman"/>
          <w:color w:val="000000" w:themeColor="text1"/>
          <w:sz w:val="22"/>
          <w:szCs w:val="22"/>
          <w:lang w:val="en-US"/>
        </w:rPr>
        <w:t xml:space="preserve"> </w:t>
      </w:r>
    </w:p>
    <w:p w:rsidR="00E21437" w:rsidRPr="008F3531" w:rsidRDefault="00E21437" w:rsidP="0004705A">
      <w:pPr>
        <w:pStyle w:val="paranumb"/>
        <w:spacing w:after="200"/>
        <w:rPr>
          <w:rFonts w:cs="Times New Roman"/>
          <w:szCs w:val="24"/>
        </w:rPr>
      </w:pPr>
      <w:r w:rsidRPr="008F3531">
        <w:rPr>
          <w:rFonts w:cs="Times New Roman"/>
          <w:szCs w:val="24"/>
        </w:rPr>
        <w:t xml:space="preserve">School enrollment, whether it was in primary or secondary, increased considerably in recent years. According to the household surveys net primary school enrollment increased from 31 percent in 2001 to 54 percent by 2010. Enrollment in secondary schools went up from 10 percent in 2001 to 28 percent by 2010.  Households in every wealth quintile benefited and one observes an increase in enrollment rate by approximately 23 percentage points within every consumption quintile. The poorest households who had the lowest enrollment rate in 2001 benefited most (in relative terms), but failed to close the gap in enrollment with the richest households. In 2010, the net enrollment rate for children from the poorest households was 46 percent; for children from the wealthiest households it was 71 percent. </w:t>
      </w:r>
    </w:p>
    <w:p w:rsidR="00E21437" w:rsidRPr="008F3531" w:rsidRDefault="008B4522" w:rsidP="008B4522">
      <w:pPr>
        <w:pStyle w:val="Caption"/>
        <w:rPr>
          <w:b w:val="0"/>
        </w:rPr>
      </w:pPr>
      <w:bookmarkStart w:id="105" w:name="_Toc390956289"/>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1</w:t>
      </w:r>
      <w:r w:rsidR="00943E46" w:rsidRPr="00E56625">
        <w:rPr>
          <w:noProof/>
        </w:rPr>
        <w:fldChar w:fldCharType="end"/>
      </w:r>
      <w:r w:rsidRPr="008F3531">
        <w:rPr>
          <w:b w:val="0"/>
        </w:rPr>
        <w:t>: N</w:t>
      </w:r>
      <w:r w:rsidR="00E21437" w:rsidRPr="008F3531">
        <w:rPr>
          <w:b w:val="0"/>
        </w:rPr>
        <w:t>et enrollment in primary and secondary schools</w:t>
      </w:r>
      <w:bookmarkEnd w:id="105"/>
    </w:p>
    <w:tbl>
      <w:tblPr>
        <w:tblW w:w="5000" w:type="pct"/>
        <w:jc w:val="center"/>
        <w:tblLook w:val="04A0" w:firstRow="1" w:lastRow="0" w:firstColumn="1" w:lastColumn="0" w:noHBand="0" w:noVBand="1"/>
      </w:tblPr>
      <w:tblGrid>
        <w:gridCol w:w="1744"/>
        <w:gridCol w:w="1088"/>
        <w:gridCol w:w="1088"/>
        <w:gridCol w:w="1088"/>
        <w:gridCol w:w="1088"/>
        <w:gridCol w:w="1088"/>
        <w:gridCol w:w="1088"/>
        <w:gridCol w:w="1088"/>
      </w:tblGrid>
      <w:tr w:rsidR="00E21437" w:rsidRPr="008F3531" w:rsidTr="008B4522">
        <w:trPr>
          <w:trHeight w:val="300"/>
          <w:jc w:val="center"/>
        </w:trPr>
        <w:tc>
          <w:tcPr>
            <w:tcW w:w="932" w:type="pct"/>
            <w:tcBorders>
              <w:top w:val="single" w:sz="4" w:space="0" w:color="auto"/>
              <w:left w:val="nil"/>
              <w:bottom w:val="single" w:sz="4" w:space="0" w:color="auto"/>
              <w:right w:val="nil"/>
            </w:tcBorders>
            <w:shd w:val="clear" w:color="auto" w:fill="auto"/>
            <w:noWrap/>
            <w:vAlign w:val="center"/>
          </w:tcPr>
          <w:p w:rsidR="00E21437" w:rsidRPr="00E56625" w:rsidRDefault="00E21437" w:rsidP="00B3325F">
            <w:pPr>
              <w:spacing w:after="0"/>
              <w:rPr>
                <w:rFonts w:eastAsia="Times New Roman"/>
                <w:b/>
                <w:bCs/>
                <w:color w:val="000000"/>
                <w:sz w:val="20"/>
                <w:szCs w:val="20"/>
                <w:lang w:val="en-US" w:eastAsia="fr-CA"/>
              </w:rPr>
            </w:pPr>
          </w:p>
        </w:tc>
        <w:tc>
          <w:tcPr>
            <w:tcW w:w="1743" w:type="pct"/>
            <w:gridSpan w:val="3"/>
            <w:tcBorders>
              <w:top w:val="single" w:sz="4" w:space="0" w:color="auto"/>
              <w:left w:val="nil"/>
              <w:bottom w:val="single" w:sz="4" w:space="0" w:color="auto"/>
              <w:right w:val="nil"/>
            </w:tcBorders>
            <w:shd w:val="clear" w:color="auto" w:fill="auto"/>
            <w:noWrap/>
            <w:vAlign w:val="bottom"/>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 xml:space="preserve">Primary </w:t>
            </w:r>
          </w:p>
        </w:tc>
        <w:tc>
          <w:tcPr>
            <w:tcW w:w="581" w:type="pct"/>
            <w:tcBorders>
              <w:top w:val="single" w:sz="4" w:space="0" w:color="auto"/>
              <w:left w:val="nil"/>
              <w:bottom w:val="single" w:sz="4" w:space="0" w:color="auto"/>
              <w:right w:val="nil"/>
            </w:tcBorders>
            <w:shd w:val="clear" w:color="auto" w:fill="auto"/>
            <w:noWrap/>
            <w:vAlign w:val="bottom"/>
          </w:tcPr>
          <w:p w:rsidR="00E21437" w:rsidRPr="00E56625" w:rsidRDefault="00E21437" w:rsidP="00B3325F">
            <w:pPr>
              <w:spacing w:after="0"/>
              <w:jc w:val="center"/>
              <w:rPr>
                <w:rFonts w:eastAsia="Times New Roman"/>
                <w:b/>
                <w:color w:val="000000"/>
                <w:sz w:val="20"/>
                <w:szCs w:val="20"/>
                <w:lang w:val="en-US"/>
              </w:rPr>
            </w:pPr>
          </w:p>
        </w:tc>
        <w:tc>
          <w:tcPr>
            <w:tcW w:w="1743" w:type="pct"/>
            <w:gridSpan w:val="3"/>
            <w:tcBorders>
              <w:top w:val="single" w:sz="4" w:space="0" w:color="auto"/>
              <w:left w:val="nil"/>
              <w:bottom w:val="single" w:sz="4" w:space="0" w:color="auto"/>
              <w:right w:val="nil"/>
            </w:tcBorders>
            <w:shd w:val="clear" w:color="auto" w:fill="auto"/>
            <w:noWrap/>
            <w:vAlign w:val="bottom"/>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Secondary</w:t>
            </w:r>
          </w:p>
        </w:tc>
      </w:tr>
      <w:tr w:rsidR="00E21437" w:rsidRPr="008F3531" w:rsidTr="008B4522">
        <w:trPr>
          <w:trHeight w:val="300"/>
          <w:jc w:val="center"/>
        </w:trPr>
        <w:tc>
          <w:tcPr>
            <w:tcW w:w="932" w:type="pct"/>
            <w:tcBorders>
              <w:top w:val="single" w:sz="4" w:space="0" w:color="auto"/>
              <w:left w:val="nil"/>
              <w:bottom w:val="single" w:sz="4" w:space="0" w:color="auto"/>
              <w:right w:val="nil"/>
            </w:tcBorders>
            <w:shd w:val="clear" w:color="auto" w:fill="auto"/>
            <w:noWrap/>
            <w:vAlign w:val="center"/>
            <w:hideMark/>
          </w:tcPr>
          <w:p w:rsidR="00E21437" w:rsidRPr="00E56625" w:rsidRDefault="00E21437" w:rsidP="00B3325F">
            <w:pPr>
              <w:spacing w:after="0"/>
              <w:rPr>
                <w:rFonts w:eastAsia="Times New Roman"/>
                <w:b/>
                <w:bCs/>
                <w:color w:val="000000"/>
                <w:sz w:val="20"/>
                <w:szCs w:val="20"/>
                <w:lang w:val="en-US"/>
              </w:rPr>
            </w:pPr>
            <w:r w:rsidRPr="00E56625">
              <w:rPr>
                <w:rFonts w:eastAsia="Times New Roman"/>
                <w:b/>
                <w:bCs/>
                <w:color w:val="000000"/>
                <w:sz w:val="20"/>
                <w:szCs w:val="20"/>
                <w:lang w:val="en-US" w:eastAsia="fr-CA"/>
              </w:rPr>
              <w:t>Quintile</w:t>
            </w:r>
          </w:p>
        </w:tc>
        <w:tc>
          <w:tcPr>
            <w:tcW w:w="581"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2001</w:t>
            </w:r>
          </w:p>
        </w:tc>
        <w:tc>
          <w:tcPr>
            <w:tcW w:w="581"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2006</w:t>
            </w:r>
          </w:p>
        </w:tc>
        <w:tc>
          <w:tcPr>
            <w:tcW w:w="581"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2010</w:t>
            </w:r>
          </w:p>
        </w:tc>
        <w:tc>
          <w:tcPr>
            <w:tcW w:w="581"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581"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2001</w:t>
            </w:r>
          </w:p>
        </w:tc>
        <w:tc>
          <w:tcPr>
            <w:tcW w:w="581"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2006</w:t>
            </w:r>
          </w:p>
        </w:tc>
        <w:tc>
          <w:tcPr>
            <w:tcW w:w="581"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2010</w:t>
            </w:r>
          </w:p>
        </w:tc>
      </w:tr>
      <w:tr w:rsidR="00E21437" w:rsidRPr="008F3531" w:rsidTr="008B4522">
        <w:trPr>
          <w:trHeight w:val="300"/>
          <w:jc w:val="center"/>
        </w:trPr>
        <w:tc>
          <w:tcPr>
            <w:tcW w:w="932"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rPr>
                <w:rFonts w:eastAsia="Times New Roman"/>
                <w:color w:val="000000"/>
                <w:sz w:val="20"/>
                <w:szCs w:val="20"/>
                <w:lang w:val="en-US"/>
              </w:rPr>
            </w:pPr>
            <w:r w:rsidRPr="00E56625">
              <w:rPr>
                <w:rFonts w:eastAsia="Times New Roman"/>
                <w:color w:val="000000"/>
                <w:sz w:val="20"/>
                <w:szCs w:val="20"/>
                <w:lang w:val="en-US" w:eastAsia="fr-CA"/>
              </w:rPr>
              <w:t xml:space="preserve">     Poorest</w:t>
            </w:r>
          </w:p>
        </w:tc>
        <w:tc>
          <w:tcPr>
            <w:tcW w:w="581"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22.6</w:t>
            </w:r>
          </w:p>
        </w:tc>
        <w:tc>
          <w:tcPr>
            <w:tcW w:w="581"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39.8</w:t>
            </w:r>
          </w:p>
        </w:tc>
        <w:tc>
          <w:tcPr>
            <w:tcW w:w="581"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45.8</w:t>
            </w:r>
          </w:p>
        </w:tc>
        <w:tc>
          <w:tcPr>
            <w:tcW w:w="581"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p>
        </w:tc>
        <w:tc>
          <w:tcPr>
            <w:tcW w:w="581"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3.7</w:t>
            </w:r>
          </w:p>
        </w:tc>
        <w:tc>
          <w:tcPr>
            <w:tcW w:w="581"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8.9</w:t>
            </w:r>
          </w:p>
        </w:tc>
        <w:tc>
          <w:tcPr>
            <w:tcW w:w="581" w:type="pct"/>
            <w:tcBorders>
              <w:top w:val="single" w:sz="4" w:space="0" w:color="auto"/>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16.6</w:t>
            </w:r>
          </w:p>
        </w:tc>
      </w:tr>
      <w:tr w:rsidR="00E21437" w:rsidRPr="008F3531" w:rsidTr="008B4522">
        <w:trPr>
          <w:trHeight w:val="300"/>
          <w:jc w:val="center"/>
        </w:trPr>
        <w:tc>
          <w:tcPr>
            <w:tcW w:w="932" w:type="pct"/>
            <w:tcBorders>
              <w:top w:val="nil"/>
              <w:left w:val="nil"/>
              <w:bottom w:val="nil"/>
              <w:right w:val="nil"/>
            </w:tcBorders>
            <w:shd w:val="clear" w:color="auto" w:fill="auto"/>
            <w:noWrap/>
            <w:vAlign w:val="center"/>
            <w:hideMark/>
          </w:tcPr>
          <w:p w:rsidR="00E21437" w:rsidRPr="00E56625" w:rsidRDefault="00E21437" w:rsidP="008B4522">
            <w:pPr>
              <w:spacing w:after="0"/>
              <w:rPr>
                <w:rFonts w:eastAsia="Times New Roman"/>
                <w:color w:val="000000"/>
                <w:sz w:val="20"/>
                <w:szCs w:val="20"/>
                <w:lang w:val="en-US"/>
              </w:rPr>
            </w:pPr>
            <w:r w:rsidRPr="00E56625">
              <w:rPr>
                <w:rFonts w:eastAsia="Times New Roman"/>
                <w:color w:val="000000"/>
                <w:sz w:val="20"/>
                <w:szCs w:val="20"/>
                <w:lang w:val="en-US" w:eastAsia="fr-CA"/>
              </w:rPr>
              <w:t xml:space="preserve">     Second</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24.9</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49.2</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50.8</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6.4</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12.3</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22.0</w:t>
            </w:r>
          </w:p>
        </w:tc>
      </w:tr>
      <w:tr w:rsidR="00E21437" w:rsidRPr="008F3531" w:rsidTr="008B4522">
        <w:trPr>
          <w:trHeight w:val="300"/>
          <w:jc w:val="center"/>
        </w:trPr>
        <w:tc>
          <w:tcPr>
            <w:tcW w:w="932" w:type="pct"/>
            <w:tcBorders>
              <w:top w:val="nil"/>
              <w:left w:val="nil"/>
              <w:bottom w:val="nil"/>
              <w:right w:val="nil"/>
            </w:tcBorders>
            <w:shd w:val="clear" w:color="auto" w:fill="auto"/>
            <w:noWrap/>
            <w:vAlign w:val="center"/>
            <w:hideMark/>
          </w:tcPr>
          <w:p w:rsidR="00E21437" w:rsidRPr="00E56625" w:rsidRDefault="00E21437" w:rsidP="008B4522">
            <w:pPr>
              <w:spacing w:after="0"/>
              <w:rPr>
                <w:rFonts w:eastAsia="Times New Roman"/>
                <w:color w:val="000000"/>
                <w:sz w:val="20"/>
                <w:szCs w:val="20"/>
                <w:lang w:val="en-US"/>
              </w:rPr>
            </w:pPr>
            <w:r w:rsidRPr="00E56625">
              <w:rPr>
                <w:rFonts w:eastAsia="Times New Roman"/>
                <w:color w:val="000000"/>
                <w:sz w:val="20"/>
                <w:szCs w:val="20"/>
                <w:lang w:val="en-US" w:eastAsia="fr-CA"/>
              </w:rPr>
              <w:t xml:space="preserve">     Third</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29.4</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52.9</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52.1</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7.5</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19.5</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23.4</w:t>
            </w:r>
          </w:p>
        </w:tc>
      </w:tr>
      <w:tr w:rsidR="00E21437" w:rsidRPr="008F3531" w:rsidTr="008B4522">
        <w:trPr>
          <w:trHeight w:val="300"/>
          <w:jc w:val="center"/>
        </w:trPr>
        <w:tc>
          <w:tcPr>
            <w:tcW w:w="932" w:type="pct"/>
            <w:tcBorders>
              <w:top w:val="nil"/>
              <w:left w:val="nil"/>
              <w:bottom w:val="nil"/>
              <w:right w:val="nil"/>
            </w:tcBorders>
            <w:shd w:val="clear" w:color="auto" w:fill="auto"/>
            <w:noWrap/>
            <w:vAlign w:val="center"/>
            <w:hideMark/>
          </w:tcPr>
          <w:p w:rsidR="00E21437" w:rsidRPr="00E56625" w:rsidRDefault="00E21437" w:rsidP="008B4522">
            <w:pPr>
              <w:spacing w:after="0"/>
              <w:rPr>
                <w:rFonts w:eastAsia="Times New Roman"/>
                <w:color w:val="000000"/>
                <w:sz w:val="20"/>
                <w:szCs w:val="20"/>
                <w:lang w:val="en-US"/>
              </w:rPr>
            </w:pPr>
            <w:r w:rsidRPr="00E56625">
              <w:rPr>
                <w:rFonts w:eastAsia="Times New Roman"/>
                <w:color w:val="000000"/>
                <w:sz w:val="20"/>
                <w:szCs w:val="20"/>
                <w:lang w:val="en-US" w:eastAsia="fr-CA"/>
              </w:rPr>
              <w:t xml:space="preserve">     Fourth</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38.2</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60.5</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57.4</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12.3</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24.4</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32.8</w:t>
            </w:r>
          </w:p>
        </w:tc>
      </w:tr>
      <w:tr w:rsidR="00E21437" w:rsidRPr="008F3531" w:rsidTr="008B4522">
        <w:trPr>
          <w:trHeight w:val="300"/>
          <w:jc w:val="center"/>
        </w:trPr>
        <w:tc>
          <w:tcPr>
            <w:tcW w:w="932" w:type="pct"/>
            <w:tcBorders>
              <w:top w:val="nil"/>
              <w:left w:val="nil"/>
              <w:bottom w:val="nil"/>
              <w:right w:val="nil"/>
            </w:tcBorders>
            <w:shd w:val="clear" w:color="auto" w:fill="auto"/>
            <w:noWrap/>
            <w:vAlign w:val="center"/>
            <w:hideMark/>
          </w:tcPr>
          <w:p w:rsidR="00E21437" w:rsidRPr="00E56625" w:rsidRDefault="00E21437" w:rsidP="008B4522">
            <w:pPr>
              <w:spacing w:after="0"/>
              <w:rPr>
                <w:rFonts w:eastAsia="Times New Roman"/>
                <w:color w:val="000000"/>
                <w:sz w:val="20"/>
                <w:szCs w:val="20"/>
                <w:lang w:val="en-US"/>
              </w:rPr>
            </w:pPr>
            <w:r w:rsidRPr="00E56625">
              <w:rPr>
                <w:rFonts w:eastAsia="Times New Roman"/>
                <w:color w:val="000000"/>
                <w:sz w:val="20"/>
                <w:szCs w:val="20"/>
                <w:lang w:val="en-US" w:eastAsia="fr-CA"/>
              </w:rPr>
              <w:t xml:space="preserve">     Richest</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45.3</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80.1</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70.9</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20.9</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34.7</w:t>
            </w:r>
          </w:p>
        </w:tc>
        <w:tc>
          <w:tcPr>
            <w:tcW w:w="581" w:type="pct"/>
            <w:tcBorders>
              <w:top w:val="nil"/>
              <w:left w:val="nil"/>
              <w:bottom w:val="nil"/>
              <w:right w:val="nil"/>
            </w:tcBorders>
            <w:shd w:val="clear" w:color="auto" w:fill="auto"/>
            <w:noWrap/>
            <w:vAlign w:val="center"/>
            <w:hideMark/>
          </w:tcPr>
          <w:p w:rsidR="00E21437" w:rsidRPr="00E56625" w:rsidRDefault="00E21437" w:rsidP="008B4522">
            <w:pPr>
              <w:spacing w:after="0"/>
              <w:jc w:val="center"/>
              <w:rPr>
                <w:rFonts w:eastAsia="Times New Roman"/>
                <w:color w:val="000000"/>
                <w:sz w:val="20"/>
                <w:szCs w:val="20"/>
                <w:lang w:val="en-US"/>
              </w:rPr>
            </w:pPr>
            <w:r w:rsidRPr="00E56625">
              <w:rPr>
                <w:rFonts w:eastAsia="Times New Roman"/>
                <w:color w:val="000000"/>
                <w:sz w:val="20"/>
                <w:szCs w:val="20"/>
                <w:lang w:val="en-US" w:eastAsia="fr-CA"/>
              </w:rPr>
              <w:t>40.2</w:t>
            </w:r>
          </w:p>
        </w:tc>
      </w:tr>
      <w:tr w:rsidR="00E21437" w:rsidRPr="008F3531" w:rsidTr="008B4522">
        <w:trPr>
          <w:trHeight w:hRule="exact" w:val="315"/>
          <w:jc w:val="center"/>
        </w:trPr>
        <w:tc>
          <w:tcPr>
            <w:tcW w:w="932"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rPr>
                <w:rFonts w:eastAsia="Times New Roman"/>
                <w:b/>
                <w:bCs/>
                <w:color w:val="000000"/>
                <w:sz w:val="20"/>
                <w:szCs w:val="20"/>
                <w:lang w:val="en-US"/>
              </w:rPr>
            </w:pPr>
            <w:r w:rsidRPr="00E56625">
              <w:rPr>
                <w:rFonts w:eastAsia="Times New Roman"/>
                <w:b/>
                <w:bCs/>
                <w:color w:val="000000"/>
                <w:sz w:val="20"/>
                <w:szCs w:val="20"/>
                <w:lang w:val="en-US" w:eastAsia="fr-CA"/>
              </w:rPr>
              <w:t>National</w:t>
            </w:r>
          </w:p>
        </w:tc>
        <w:tc>
          <w:tcPr>
            <w:tcW w:w="581"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jc w:val="center"/>
              <w:rPr>
                <w:rFonts w:eastAsia="Times New Roman"/>
                <w:b/>
                <w:bCs/>
                <w:color w:val="000000"/>
                <w:sz w:val="20"/>
                <w:szCs w:val="20"/>
                <w:lang w:val="en-US"/>
              </w:rPr>
            </w:pPr>
            <w:r w:rsidRPr="00E56625">
              <w:rPr>
                <w:rFonts w:eastAsia="Times New Roman"/>
                <w:b/>
                <w:bCs/>
                <w:color w:val="000000"/>
                <w:sz w:val="20"/>
                <w:szCs w:val="20"/>
                <w:lang w:val="en-US" w:eastAsia="fr-CA"/>
              </w:rPr>
              <w:t>31.3</w:t>
            </w:r>
          </w:p>
        </w:tc>
        <w:tc>
          <w:tcPr>
            <w:tcW w:w="581"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jc w:val="center"/>
              <w:rPr>
                <w:rFonts w:eastAsia="Times New Roman"/>
                <w:b/>
                <w:bCs/>
                <w:color w:val="000000"/>
                <w:sz w:val="20"/>
                <w:szCs w:val="20"/>
                <w:lang w:val="en-US"/>
              </w:rPr>
            </w:pPr>
            <w:r w:rsidRPr="00E56625">
              <w:rPr>
                <w:rFonts w:eastAsia="Times New Roman"/>
                <w:b/>
                <w:bCs/>
                <w:color w:val="000000"/>
                <w:sz w:val="20"/>
                <w:szCs w:val="20"/>
                <w:lang w:val="en-US" w:eastAsia="fr-CA"/>
              </w:rPr>
              <w:t>55.2</w:t>
            </w:r>
          </w:p>
        </w:tc>
        <w:tc>
          <w:tcPr>
            <w:tcW w:w="581"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jc w:val="center"/>
              <w:rPr>
                <w:rFonts w:eastAsia="Times New Roman"/>
                <w:b/>
                <w:bCs/>
                <w:color w:val="000000"/>
                <w:sz w:val="20"/>
                <w:szCs w:val="20"/>
                <w:lang w:val="en-US"/>
              </w:rPr>
            </w:pPr>
            <w:r w:rsidRPr="00E56625">
              <w:rPr>
                <w:rFonts w:eastAsia="Times New Roman"/>
                <w:b/>
                <w:bCs/>
                <w:color w:val="000000"/>
                <w:sz w:val="20"/>
                <w:szCs w:val="20"/>
                <w:lang w:val="en-US" w:eastAsia="fr-CA"/>
              </w:rPr>
              <w:t>54.3</w:t>
            </w:r>
          </w:p>
        </w:tc>
        <w:tc>
          <w:tcPr>
            <w:tcW w:w="581"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jc w:val="center"/>
              <w:rPr>
                <w:rFonts w:eastAsia="Times New Roman"/>
                <w:b/>
                <w:bCs/>
                <w:color w:val="000000"/>
                <w:sz w:val="20"/>
                <w:szCs w:val="20"/>
                <w:lang w:val="en-US"/>
              </w:rPr>
            </w:pPr>
          </w:p>
        </w:tc>
        <w:tc>
          <w:tcPr>
            <w:tcW w:w="581"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jc w:val="center"/>
              <w:rPr>
                <w:rFonts w:eastAsia="Times New Roman"/>
                <w:b/>
                <w:bCs/>
                <w:color w:val="000000"/>
                <w:sz w:val="20"/>
                <w:szCs w:val="20"/>
                <w:lang w:val="en-US"/>
              </w:rPr>
            </w:pPr>
            <w:r w:rsidRPr="00E56625">
              <w:rPr>
                <w:rFonts w:eastAsia="Times New Roman"/>
                <w:b/>
                <w:bCs/>
                <w:color w:val="000000"/>
                <w:sz w:val="20"/>
                <w:szCs w:val="20"/>
                <w:lang w:val="en-US" w:eastAsia="fr-CA"/>
              </w:rPr>
              <w:t>10.4</w:t>
            </w:r>
          </w:p>
        </w:tc>
        <w:tc>
          <w:tcPr>
            <w:tcW w:w="581"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jc w:val="center"/>
              <w:rPr>
                <w:rFonts w:eastAsia="Times New Roman"/>
                <w:b/>
                <w:bCs/>
                <w:color w:val="000000"/>
                <w:sz w:val="20"/>
                <w:szCs w:val="20"/>
                <w:lang w:val="en-US"/>
              </w:rPr>
            </w:pPr>
            <w:r w:rsidRPr="00E56625">
              <w:rPr>
                <w:rFonts w:eastAsia="Times New Roman"/>
                <w:b/>
                <w:bCs/>
                <w:color w:val="000000"/>
                <w:sz w:val="20"/>
                <w:szCs w:val="20"/>
                <w:lang w:val="en-US" w:eastAsia="fr-CA"/>
              </w:rPr>
              <w:t>20.2</w:t>
            </w:r>
          </w:p>
        </w:tc>
        <w:tc>
          <w:tcPr>
            <w:tcW w:w="581" w:type="pct"/>
            <w:tcBorders>
              <w:top w:val="nil"/>
              <w:left w:val="nil"/>
              <w:bottom w:val="single" w:sz="8" w:space="0" w:color="auto"/>
              <w:right w:val="nil"/>
            </w:tcBorders>
            <w:shd w:val="clear" w:color="auto" w:fill="auto"/>
            <w:noWrap/>
            <w:vAlign w:val="center"/>
            <w:hideMark/>
          </w:tcPr>
          <w:p w:rsidR="00E21437" w:rsidRPr="00E56625" w:rsidRDefault="00E21437" w:rsidP="008B4522">
            <w:pPr>
              <w:spacing w:after="0"/>
              <w:jc w:val="center"/>
              <w:rPr>
                <w:rFonts w:eastAsia="Times New Roman"/>
                <w:b/>
                <w:bCs/>
                <w:color w:val="000000"/>
                <w:sz w:val="20"/>
                <w:szCs w:val="20"/>
                <w:lang w:val="en-US"/>
              </w:rPr>
            </w:pPr>
            <w:r w:rsidRPr="00E56625">
              <w:rPr>
                <w:rFonts w:eastAsia="Times New Roman"/>
                <w:b/>
                <w:bCs/>
                <w:color w:val="000000"/>
                <w:sz w:val="20"/>
                <w:szCs w:val="20"/>
                <w:lang w:val="en-US" w:eastAsia="fr-CA"/>
              </w:rPr>
              <w:t>27.7</w:t>
            </w:r>
          </w:p>
        </w:tc>
      </w:tr>
    </w:tbl>
    <w:p w:rsidR="00E21437" w:rsidRPr="00E56625" w:rsidRDefault="00E21437" w:rsidP="00E21437">
      <w:pPr>
        <w:spacing w:after="120"/>
        <w:rPr>
          <w:sz w:val="20"/>
          <w:szCs w:val="20"/>
          <w:lang w:val="en-US"/>
        </w:rPr>
      </w:pPr>
      <w:r w:rsidRPr="00E56625">
        <w:rPr>
          <w:sz w:val="20"/>
          <w:szCs w:val="20"/>
          <w:lang w:val="en-US"/>
        </w:rPr>
        <w:t>Source: EMEP 2001 and ELIM 2006 and 2009/10. Authors’ calculations.</w:t>
      </w:r>
    </w:p>
    <w:p w:rsidR="008B4522" w:rsidRPr="008F3531" w:rsidRDefault="008B4522" w:rsidP="008B4522">
      <w:pPr>
        <w:pStyle w:val="paranumb"/>
        <w:spacing w:after="200"/>
        <w:rPr>
          <w:rFonts w:cs="Times New Roman"/>
          <w:szCs w:val="24"/>
        </w:rPr>
      </w:pPr>
      <w:r w:rsidRPr="008F3531">
        <w:rPr>
          <w:rFonts w:cs="Times New Roman"/>
          <w:szCs w:val="24"/>
        </w:rPr>
        <w:t xml:space="preserve">A similar pattern is observed for secondary school enrollment. Households in all wealth categories benefited, in a relative sense the poorest households benefited most but the gap in enrollment between poor and rich households remains large and, in fact, widened. </w:t>
      </w:r>
    </w:p>
    <w:p w:rsidR="00E21437" w:rsidRPr="008F3531" w:rsidRDefault="00E21437" w:rsidP="0004705A">
      <w:pPr>
        <w:pStyle w:val="paranumb"/>
        <w:spacing w:after="200"/>
        <w:rPr>
          <w:rFonts w:cs="Times New Roman"/>
          <w:szCs w:val="24"/>
        </w:rPr>
      </w:pPr>
      <w:r w:rsidRPr="008F3531">
        <w:rPr>
          <w:rFonts w:cs="Times New Roman"/>
          <w:szCs w:val="24"/>
        </w:rPr>
        <w:t>The regional pattern of enrollment is informative of between region differences; we do consider it in Figure 5.2. The data show the presence of large variations. Using the 2011 EMOP, which is the last household survey that was fielded in all regions, one observes how enrollment varies from as low as 35 percent in Tombouctou and Mopti to as high as 83 percent in Bamako. The Figure also shows the diversity of the North of the country: enrollment is extremely low in Tombouctou and Mopti while in Gao and Kidal enrollment rates are comparable to elsewhere in the country.</w:t>
      </w:r>
    </w:p>
    <w:p w:rsidR="00E21437" w:rsidRPr="008F3531" w:rsidRDefault="00AE6866" w:rsidP="00AE6866">
      <w:pPr>
        <w:pStyle w:val="Caption"/>
        <w:rPr>
          <w:b w:val="0"/>
        </w:rPr>
      </w:pPr>
      <w:bookmarkStart w:id="106" w:name="_Toc390956415"/>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w:t>
      </w:r>
      <w:r w:rsidR="00943E46" w:rsidRPr="00E56625">
        <w:rPr>
          <w:noProof/>
        </w:rPr>
        <w:fldChar w:fldCharType="end"/>
      </w:r>
      <w:r w:rsidR="00E21437" w:rsidRPr="008F3531">
        <w:rPr>
          <w:b w:val="0"/>
        </w:rPr>
        <w:t>: Net enrollment in primary school 2011 and 2013</w:t>
      </w:r>
      <w:bookmarkEnd w:id="106"/>
    </w:p>
    <w:p w:rsidR="00E21437" w:rsidRPr="00E56625" w:rsidRDefault="00E21437" w:rsidP="00AE6866">
      <w:pPr>
        <w:spacing w:after="0"/>
        <w:rPr>
          <w:lang w:val="en-US"/>
        </w:rPr>
      </w:pPr>
      <w:r w:rsidRPr="00E56625">
        <w:rPr>
          <w:noProof/>
          <w:lang w:val="en-US"/>
        </w:rPr>
        <w:drawing>
          <wp:inline distT="0" distB="0" distL="0" distR="0" wp14:anchorId="043B01BB" wp14:editId="66BE0699">
            <wp:extent cx="6185647" cy="2402542"/>
            <wp:effectExtent l="0" t="0" r="5715"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21437" w:rsidRPr="00E56625" w:rsidRDefault="00E21437" w:rsidP="00AE6866">
      <w:pPr>
        <w:spacing w:after="0"/>
        <w:rPr>
          <w:sz w:val="20"/>
          <w:szCs w:val="20"/>
          <w:lang w:val="en-US"/>
        </w:rPr>
      </w:pPr>
      <w:r w:rsidRPr="00E56625">
        <w:rPr>
          <w:sz w:val="20"/>
          <w:szCs w:val="20"/>
          <w:lang w:val="en-US"/>
        </w:rPr>
        <w:t>Source: EMOP 2011 &amp; 2013</w:t>
      </w:r>
      <w:r w:rsidR="00AE6866" w:rsidRPr="00E56625">
        <w:rPr>
          <w:sz w:val="20"/>
          <w:szCs w:val="20"/>
          <w:lang w:val="en-US"/>
        </w:rPr>
        <w:t>.</w:t>
      </w:r>
    </w:p>
    <w:p w:rsidR="00AE6866" w:rsidRPr="00E56625" w:rsidRDefault="00AE6866" w:rsidP="00AE6866">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Noteworthy is that the increase in enrollment has come to a halt. The 2013 EMOP did not collect information in the north–where as a result of the crisis school enrollment has fallen dramatically, however it did in south Mali. Its results show how with the exception of Bamako and relative to 2011 net enrollment rates went down in all regions.</w:t>
      </w:r>
    </w:p>
    <w:p w:rsidR="00E21437" w:rsidRPr="008F3531" w:rsidRDefault="00E21437" w:rsidP="0004705A">
      <w:pPr>
        <w:pStyle w:val="paranumb"/>
        <w:spacing w:after="200"/>
        <w:rPr>
          <w:rFonts w:cs="Times New Roman"/>
          <w:szCs w:val="24"/>
        </w:rPr>
      </w:pPr>
      <w:r w:rsidRPr="008F3531">
        <w:rPr>
          <w:rFonts w:cs="Times New Roman"/>
          <w:szCs w:val="24"/>
        </w:rPr>
        <w:t>Figure 5.3 presents the fraction of people living within a certain distance of a school. Distance is important for school attendance and children who live further from school have a smaller chance of attending it. A study carried out by DNSI (2007</w:t>
      </w:r>
      <w:r w:rsidR="00DD55F5" w:rsidRPr="008F3531">
        <w:rPr>
          <w:rFonts w:cs="Times New Roman"/>
          <w:szCs w:val="24"/>
        </w:rPr>
        <w:t>)</w:t>
      </w:r>
      <w:r w:rsidRPr="008F3531">
        <w:rPr>
          <w:rStyle w:val="FootnoteReference"/>
          <w:rFonts w:cs="Times New Roman"/>
          <w:szCs w:val="24"/>
        </w:rPr>
        <w:footnoteReference w:id="47"/>
      </w:r>
      <w:r w:rsidRPr="008F3531">
        <w:rPr>
          <w:rFonts w:cs="Times New Roman"/>
          <w:szCs w:val="24"/>
        </w:rPr>
        <w:t xml:space="preserve"> shows how children living more than 45 minutes from the nearest school are more than twice as likely not to attend school, than those who live less than 30 minutes away from school. The Figure shows that depending on where one lives between 92 and 100 percent of people live within 5km of a primary school, with the exception of households in Mopti and Tombouctou where between 82 and 86 percent live within 5 km of a school. 5 km is quite a distance to cover –particularly for young children, which is why we also present the fraction of the population living within 2 km. Again, the vast majority of the population (more than 80 percent) lives within 2km of a school, but in Kidal, Tombouctou and Mopti the percentage is significantly lower: around two-third live within 2 km of a school.</w:t>
      </w:r>
    </w:p>
    <w:p w:rsidR="002779FA" w:rsidRDefault="002779FA">
      <w:pPr>
        <w:spacing w:line="276" w:lineRule="auto"/>
        <w:rPr>
          <w:rFonts w:ascii="Times New Roman Bold" w:hAnsi="Times New Roman Bold" w:cstheme="minorBidi"/>
          <w:b/>
          <w:bCs/>
          <w:color w:val="000000" w:themeColor="text1"/>
          <w:sz w:val="22"/>
          <w:szCs w:val="18"/>
          <w:lang w:val="en-US"/>
        </w:rPr>
      </w:pPr>
      <w:bookmarkStart w:id="107" w:name="_Toc390956416"/>
      <w:r>
        <w:br w:type="page"/>
      </w:r>
    </w:p>
    <w:p w:rsidR="00E21437" w:rsidRPr="008F3531" w:rsidRDefault="00DD55F5" w:rsidP="00DD55F5">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3</w:t>
      </w:r>
      <w:r w:rsidR="00943E46" w:rsidRPr="00E56625">
        <w:rPr>
          <w:noProof/>
        </w:rPr>
        <w:fldChar w:fldCharType="end"/>
      </w:r>
      <w:r w:rsidR="00E21437" w:rsidRPr="008F3531">
        <w:rPr>
          <w:b w:val="0"/>
        </w:rPr>
        <w:t>: Net primary school enrollment an</w:t>
      </w:r>
      <w:r w:rsidRPr="008F3531">
        <w:rPr>
          <w:b w:val="0"/>
        </w:rPr>
        <w:t>d fraction of population living</w:t>
      </w:r>
      <w:r w:rsidRPr="008F3531">
        <w:rPr>
          <w:b w:val="0"/>
        </w:rPr>
        <w:br/>
      </w:r>
      <w:r w:rsidR="00E21437" w:rsidRPr="008F3531">
        <w:rPr>
          <w:b w:val="0"/>
        </w:rPr>
        <w:t>within 2km and 5km from primary school</w:t>
      </w:r>
      <w:bookmarkEnd w:id="107"/>
    </w:p>
    <w:p w:rsidR="00E21437" w:rsidRPr="00E56625" w:rsidRDefault="00E21437" w:rsidP="00DD55F5">
      <w:pPr>
        <w:spacing w:after="0"/>
        <w:rPr>
          <w:lang w:val="en-US"/>
        </w:rPr>
      </w:pPr>
      <w:r w:rsidRPr="00E56625">
        <w:rPr>
          <w:noProof/>
          <w:lang w:val="en-US"/>
        </w:rPr>
        <w:drawing>
          <wp:inline distT="0" distB="0" distL="0" distR="0" wp14:anchorId="2310071B" wp14:editId="38ED6363">
            <wp:extent cx="6000750" cy="34290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21437" w:rsidRPr="00E56625" w:rsidRDefault="00E21437" w:rsidP="00DD55F5">
      <w:pPr>
        <w:spacing w:after="0"/>
        <w:rPr>
          <w:sz w:val="20"/>
          <w:szCs w:val="20"/>
          <w:lang w:val="en-US"/>
        </w:rPr>
      </w:pPr>
      <w:r w:rsidRPr="00E56625">
        <w:rPr>
          <w:sz w:val="20"/>
          <w:szCs w:val="20"/>
          <w:lang w:val="en-US"/>
        </w:rPr>
        <w:t>Source: EMOP 2011 (enrollment) and RGPH 2009 (distance). Authors’ calculations.</w:t>
      </w:r>
    </w:p>
    <w:p w:rsidR="00DD55F5" w:rsidRPr="00E56625" w:rsidRDefault="00DD55F5" w:rsidP="00DD55F5">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Distance is obviously not the only factor explaining low attendance in Mopti and Tombouctou. In fact, with more than 60 percent of the population living within two kilometers of a school, attendance rates could be substantially higher than the 35 percent reported in Figure 5.2. Also in other regions, Kayes, Koulikoro, Sikasso and Ségou shows the difference between the fraction of the population that lives close to a school and the net enrollment rate significant. In other words, even without constructing any new schools attendance rates could be much higher. This is not to state that no new school construction should take place. Mapping the information available and creating a 5km radius around every school (Figure 5.4) demonstrates that certain localities do not benefit from a primary school, even though population density in the area is relatively high. Such areas deserve to be targeted for new school construction.</w:t>
      </w:r>
    </w:p>
    <w:p w:rsidR="006939D3" w:rsidRPr="008F3531" w:rsidRDefault="006939D3" w:rsidP="006939D3">
      <w:pPr>
        <w:pStyle w:val="paranumb"/>
        <w:spacing w:after="200"/>
        <w:rPr>
          <w:rFonts w:cs="Times New Roman"/>
          <w:szCs w:val="24"/>
        </w:rPr>
      </w:pPr>
      <w:r w:rsidRPr="008F3531">
        <w:rPr>
          <w:rFonts w:cs="Times New Roman"/>
          <w:szCs w:val="24"/>
        </w:rPr>
        <w:t>To further explore the overall spatial allocation of schools, classroom and teachers we use the data presented in Table 5.2, to calculate how many additional (fewer) schools a region should have if every region was at the national average. Doing this suggests that Bamako, Ségou  and Mopti should receive additional schools, classrooms and teachers while Kidal, Koulikoro, and particularly Sikasso, Kidal and Gao should receive less.  This, however, just presents a first approximation as many other variables determine whether a region should get additional or less resources. Population density in Bamako is so high (and the cost of land so elevated) that it makes sense to have fewer but larger schools. Enrollment rates in Mopti are so low, that it may make sense to expect teachers to teach multiple grades at the same time. So few people live within 2km of a school in Gao, Tombouctou and Kidal that it makes sense to put relatively more schools in these regions. It also makes sense for these schools to be relatively small. Indeed the average primary school in Bamako has 5.7 classrooms, in Tombouctou it has only 3.1 and in Gao and Mopti 3.4.</w:t>
      </w:r>
    </w:p>
    <w:p w:rsidR="00E21437" w:rsidRPr="008F3531" w:rsidRDefault="006939D3" w:rsidP="006939D3">
      <w:pPr>
        <w:pStyle w:val="Caption"/>
        <w:rPr>
          <w:b w:val="0"/>
        </w:rPr>
      </w:pPr>
      <w:bookmarkStart w:id="108" w:name="_Toc390956417"/>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4</w:t>
      </w:r>
      <w:r w:rsidR="00943E46" w:rsidRPr="00E56625">
        <w:rPr>
          <w:noProof/>
        </w:rPr>
        <w:fldChar w:fldCharType="end"/>
      </w:r>
      <w:r w:rsidR="00E21437" w:rsidRPr="008F3531">
        <w:rPr>
          <w:b w:val="0"/>
        </w:rPr>
        <w:t>: Map showing a 5km rad</w:t>
      </w:r>
      <w:r w:rsidRPr="008F3531">
        <w:rPr>
          <w:b w:val="0"/>
        </w:rPr>
        <w:t>ius around every public schools</w:t>
      </w:r>
      <w:r w:rsidRPr="008F3531">
        <w:rPr>
          <w:b w:val="0"/>
        </w:rPr>
        <w:br/>
      </w:r>
      <w:r w:rsidR="00E21437" w:rsidRPr="008F3531">
        <w:rPr>
          <w:b w:val="0"/>
        </w:rPr>
        <w:t>(population density is background color)</w:t>
      </w:r>
      <w:bookmarkEnd w:id="108"/>
    </w:p>
    <w:tbl>
      <w:tblPr>
        <w:tblW w:w="0" w:type="auto"/>
        <w:tblLook w:val="04A0" w:firstRow="1" w:lastRow="0" w:firstColumn="1" w:lastColumn="0" w:noHBand="0" w:noVBand="1"/>
      </w:tblPr>
      <w:tblGrid>
        <w:gridCol w:w="9140"/>
        <w:gridCol w:w="220"/>
      </w:tblGrid>
      <w:tr w:rsidR="00E21437" w:rsidRPr="008F3531" w:rsidTr="00B3325F">
        <w:tc>
          <w:tcPr>
            <w:tcW w:w="4788" w:type="dxa"/>
          </w:tcPr>
          <w:p w:rsidR="00E21437" w:rsidRPr="00E56625" w:rsidRDefault="00E21437" w:rsidP="006939D3">
            <w:pPr>
              <w:spacing w:after="120"/>
              <w:jc w:val="center"/>
              <w:rPr>
                <w:lang w:val="en-US"/>
              </w:rPr>
            </w:pPr>
            <w:r w:rsidRPr="00E56625">
              <w:rPr>
                <w:b/>
                <w:noProof/>
                <w:lang w:val="en-US"/>
              </w:rPr>
              <mc:AlternateContent>
                <mc:Choice Requires="wps">
                  <w:drawing>
                    <wp:anchor distT="0" distB="0" distL="114300" distR="114300" simplePos="0" relativeHeight="251686912" behindDoc="0" locked="0" layoutInCell="1" allowOverlap="1" wp14:anchorId="060A98DF" wp14:editId="5F975690">
                      <wp:simplePos x="0" y="0"/>
                      <wp:positionH relativeFrom="column">
                        <wp:posOffset>186331</wp:posOffset>
                      </wp:positionH>
                      <wp:positionV relativeFrom="paragraph">
                        <wp:posOffset>1349722</wp:posOffset>
                      </wp:positionV>
                      <wp:extent cx="527936" cy="410365"/>
                      <wp:effectExtent l="0" t="0" r="5715" b="8890"/>
                      <wp:wrapNone/>
                      <wp:docPr id="24" name="Rectangle 24"/>
                      <wp:cNvGraphicFramePr/>
                      <a:graphic xmlns:a="http://schemas.openxmlformats.org/drawingml/2006/main">
                        <a:graphicData uri="http://schemas.microsoft.com/office/word/2010/wordprocessingShape">
                          <wps:wsp>
                            <wps:cNvSpPr/>
                            <wps:spPr>
                              <a:xfrm>
                                <a:off x="0" y="0"/>
                                <a:ext cx="527936" cy="410365"/>
                              </a:xfrm>
                              <a:prstGeom prst="rect">
                                <a:avLst/>
                              </a:prstGeom>
                              <a:solidFill>
                                <a:schemeClr val="accent1">
                                  <a:lumMod val="20000"/>
                                  <a:lumOff val="80000"/>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6B87BB" id="Rectangle 24" o:spid="_x0000_s1026" style="position:absolute;margin-left:14.65pt;margin-top:106.3pt;width:41.55pt;height:32.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NyrQIAANoFAAAOAAAAZHJzL2Uyb0RvYy54bWysVFFP2zAQfp+0/2D5fSQtbYGKFFUgpkls&#10;IGDi2Th2E8n2ebbbtPv1O9tpyoDtYdqLY5/vvvv85e7OL7ZakY1wvgVT0dFRSYkwHOrWrCr6/fH6&#10;0yklPjBTMwVGVHQnPL1YfPxw3tm5GEMDqhaOIIjx885WtAnBzovC80Zo5o/ACoOXEpxmAY9uVdSO&#10;dYiuVTEuy1nRgautAy68R+tVvqSLhC+l4OFWSi8CURVFbiGtLq3PcS0W52y+csw2Le9psH9goVlr&#10;MOkAdcUCI2vXvoHSLXfgQYYjDroAKVsu0hvwNaPy1WseGmZFeguK4+0gk/9/sPzb5s6Rtq7oeEKJ&#10;YRr/0T2qxsxKCYI2FKizfo5+D/bO9SeP2/jarXQ6fvEdZJtE3Q2iim0gHI3T8cnZ8YwSjleTUXk8&#10;m0bM4hBsnQ+fBWgSNxV1mD1JyTY3PmTXvUvM5UG19XWrVDrEOhGXypENwz/MOBcmjFK4WuuvUGc7&#10;VkrZ/2s0Y0Vk8+nBzJRtWLZOZ70zckx1GPET499SKxMJGIhUMstoKaJYWZ60Czslop8y90KizijI&#10;ONEbkN8y9w2rRc9lz/ANlwQYkSXmH7Dz0/+AnVn2/jFUpAYZgsu/EcvBQ0TKDCYMwbo14N4DUPg/&#10;+szZfy9Sliaq9Az1DqvQQW5Pb/l1i7Vww3y4Yw77ETsXZ0y4xUUq6CoK/Y6SBtzP9+zRH9sEbynp&#10;sL8r6n+smROUqC8GG+hsNJnEgZAOk+nJGA/u5c3zyxuz1peABTbCaWZ52kb/oPZb6UA/4Shaxqx4&#10;xQzH3BXlwe0PlyHPHRxmXCyXyQ2HgGXhxjxYHsGjqrHWH7dPzNm+IQJ20jfYzwI2f9UX2TdGGliu&#10;A8g2Nc1B115vHCCpiPthFyfUy3PyOozkxS8AAAD//wMAUEsDBBQABgAIAAAAIQAJ/nhj3AAAAAoB&#10;AAAPAAAAZHJzL2Rvd25yZXYueG1sTI/BTsMwDIbvSLxD5EncWNoMraw0nWACcWZDnL0ma6s1TtVk&#10;a/v2eCc4WbY//f5cbCfXiasdQutJQ7pMQFiqvGmp1vB9+Hh8BhEiksHOk9Uw2wDb8v6uwNz4kb7s&#10;dR9rwSEUctTQxNjnUoaqsQ7D0veWeHfyg8PI7VBLM+DI4a6TKknW0mFLfKHB3u4aW533F6chmcxp&#10;ltn8uXt7X2W4cT/z2CutHxbT6wuIaKf4B8NNn9WhZKejv5AJotOgNismuaZqDeIGpOoJxJEnWaZA&#10;loX8/0L5CwAA//8DAFBLAQItABQABgAIAAAAIQC2gziS/gAAAOEBAAATAAAAAAAAAAAAAAAAAAAA&#10;AABbQ29udGVudF9UeXBlc10ueG1sUEsBAi0AFAAGAAgAAAAhADj9If/WAAAAlAEAAAsAAAAAAAAA&#10;AAAAAAAALwEAAF9yZWxzLy5yZWxzUEsBAi0AFAAGAAgAAAAhADNQI3KtAgAA2gUAAA4AAAAAAAAA&#10;AAAAAAAALgIAAGRycy9lMm9Eb2MueG1sUEsBAi0AFAAGAAgAAAAhAAn+eGPcAAAACgEAAA8AAAAA&#10;AAAAAAAAAAAABwUAAGRycy9kb3ducmV2LnhtbFBLBQYAAAAABAAEAPMAAAAQBgAAAAA=&#10;" fillcolor="#dbe5f1 [660]" stroked="f" strokeweight="2pt">
                      <v:fill opacity="36751f"/>
                    </v:rect>
                  </w:pict>
                </mc:Fallback>
              </mc:AlternateContent>
            </w:r>
            <w:r w:rsidRPr="00E56625">
              <w:rPr>
                <w:b/>
                <w:noProof/>
                <w:lang w:val="en-US"/>
              </w:rPr>
              <w:drawing>
                <wp:inline distT="0" distB="0" distL="0" distR="0" wp14:anchorId="4BE0AAF4" wp14:editId="050B27EA">
                  <wp:extent cx="8751575" cy="4924540"/>
                  <wp:effectExtent l="0" t="0" r="0" b="9525"/>
                  <wp:docPr id="20" name="Picture 20" descr="C:\Users\wb198498\Documents\Mali\Analysis\Education\schools_nord_5kmBuf_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98498\Documents\Mali\Analysis\Education\schools_nord_5kmBuf_public.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763564" cy="4931286"/>
                          </a:xfrm>
                          <a:prstGeom prst="rect">
                            <a:avLst/>
                          </a:prstGeom>
                          <a:noFill/>
                          <a:ln>
                            <a:noFill/>
                          </a:ln>
                        </pic:spPr>
                      </pic:pic>
                    </a:graphicData>
                  </a:graphic>
                </wp:inline>
              </w:drawing>
            </w:r>
          </w:p>
        </w:tc>
        <w:tc>
          <w:tcPr>
            <w:tcW w:w="4788" w:type="dxa"/>
          </w:tcPr>
          <w:p w:rsidR="00E21437" w:rsidRPr="00E56625" w:rsidRDefault="00E21437" w:rsidP="00B3325F">
            <w:pPr>
              <w:spacing w:after="120"/>
              <w:rPr>
                <w:lang w:val="en-US"/>
              </w:rPr>
            </w:pPr>
            <w:r w:rsidRPr="00E56625">
              <w:rPr>
                <w:b/>
                <w:noProof/>
                <w:lang w:val="en-US"/>
              </w:rPr>
              <mc:AlternateContent>
                <mc:Choice Requires="wps">
                  <w:drawing>
                    <wp:anchor distT="0" distB="0" distL="114300" distR="114300" simplePos="0" relativeHeight="251685888" behindDoc="0" locked="0" layoutInCell="1" allowOverlap="1" wp14:anchorId="1806E43F" wp14:editId="5B6F0D1E">
                      <wp:simplePos x="0" y="0"/>
                      <wp:positionH relativeFrom="column">
                        <wp:posOffset>85090</wp:posOffset>
                      </wp:positionH>
                      <wp:positionV relativeFrom="paragraph">
                        <wp:posOffset>3810</wp:posOffset>
                      </wp:positionV>
                      <wp:extent cx="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57788"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3pt" to="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wysAEAAL8DAAAOAAAAZHJzL2Uyb0RvYy54bWysU8GO0zAQvSPxD5bvNGkPCEVN99AVe1lB&#10;xcIHeJ1xY8n2WGPTpH/P2G2zCJBWIC6Ox573Zt7zZHs3eydOQMli6OV61UoBQeNgw7GX375+fPdB&#10;ipRVGJTDAL08Q5J3u7dvtlPsYIMjugFIMElI3RR7OeYcu6ZJegSv0gojBL40SF5lDunYDKQmZveu&#10;2bTt+2ZCGiKhhpT49P5yKXeV3xjQ+bMxCbJwveTecl2prs9lbXZb1R1JxdHqaxvqH7rwygYuulDd&#10;q6zEd7K/UXmrCROavNLoGzTGaqgaWM26/UXN06giVC1sToqLTen/0epPpwMJO/Rys5YiKM9v9JRJ&#10;2eOYxR5DYAeRBF+yU1NMHQP24UDXKMUDFdmzIV++LEjM1d3z4i7MWejLob6dNi+QSCk/AHpRNr10&#10;NhTJqlOnx5S5DKfeUjgoLVyK1l0+OyjJLnwBwzK4zLqi6wDB3pE4KX56pTWEXEUwX80uMGOdW4Dt&#10;68BrfoFCHa6/AS+IWhlDXsDeBqQ/Vc/zrWVzyb85cNFdLHjG4Vyfo1rDU1Idu050GcOf4wp/+e92&#10;PwAAAP//AwBQSwMEFAAGAAgAAAAhAESFMobYAAAAAwEAAA8AAABkcnMvZG93bnJldi54bWxMjsFq&#10;wkAURfcF/2F4QjelTtqqSMxE2oK4aEVq/IAx85qEZt6EzCTGfn1fVnV5uJd7T7IZbC16bH3lSMHT&#10;LAKBlDtTUaHglG0fVyB80GR07QgVXNHDJp3cJTo27kJf2B9DIXiEfKwVlCE0sZQ+L9FqP3MNEmff&#10;rrU6MLaFNK2+8Lit5XMULaXVFfFDqRt8LzH/OXZWwW77hh+La1fMzWKXPfTZ5/73sFLqfjq8rkEE&#10;HMJ/GUZ9VoeUnc6uI+NFzfwy56aCJYgxHek8kkwTeeue/gEAAP//AwBQSwECLQAUAAYACAAAACEA&#10;toM4kv4AAADhAQAAEwAAAAAAAAAAAAAAAAAAAAAAW0NvbnRlbnRfVHlwZXNdLnhtbFBLAQItABQA&#10;BgAIAAAAIQA4/SH/1gAAAJQBAAALAAAAAAAAAAAAAAAAAC8BAABfcmVscy8ucmVsc1BLAQItABQA&#10;BgAIAAAAIQAkWNwysAEAAL8DAAAOAAAAAAAAAAAAAAAAAC4CAABkcnMvZTJvRG9jLnhtbFBLAQIt&#10;ABQABgAIAAAAIQBEhTKG2AAAAAMBAAAPAAAAAAAAAAAAAAAAAAoEAABkcnMvZG93bnJldi54bWxQ&#10;SwUGAAAAAAQABADzAAAADwUAAAAA&#10;" strokecolor="#4579b8 [3044]"/>
                  </w:pict>
                </mc:Fallback>
              </mc:AlternateContent>
            </w:r>
          </w:p>
        </w:tc>
      </w:tr>
    </w:tbl>
    <w:p w:rsidR="00E21437" w:rsidRPr="00E56625" w:rsidRDefault="00E21437" w:rsidP="005078D7">
      <w:pPr>
        <w:spacing w:after="0"/>
        <w:rPr>
          <w:sz w:val="20"/>
          <w:szCs w:val="20"/>
          <w:lang w:val="en-US"/>
        </w:rPr>
      </w:pPr>
      <w:r w:rsidRPr="00E56625">
        <w:rPr>
          <w:sz w:val="20"/>
          <w:szCs w:val="20"/>
          <w:lang w:val="en-US"/>
        </w:rPr>
        <w:t>Source: UNICEF. Authors’ calculations.</w:t>
      </w:r>
    </w:p>
    <w:p w:rsidR="006939D3" w:rsidRPr="00E56625" w:rsidRDefault="006939D3" w:rsidP="005078D7">
      <w:pPr>
        <w:spacing w:after="0"/>
        <w:rPr>
          <w:lang w:val="en-US"/>
        </w:rPr>
      </w:pPr>
    </w:p>
    <w:p w:rsidR="006939D3" w:rsidRPr="008F3531" w:rsidRDefault="006939D3" w:rsidP="006939D3">
      <w:pPr>
        <w:pStyle w:val="paranumb"/>
        <w:spacing w:after="200"/>
        <w:rPr>
          <w:rFonts w:cs="Times New Roman"/>
          <w:szCs w:val="24"/>
        </w:rPr>
      </w:pPr>
      <w:r w:rsidRPr="008F3531">
        <w:rPr>
          <w:rFonts w:cs="Times New Roman"/>
          <w:szCs w:val="24"/>
        </w:rPr>
        <w:t xml:space="preserve">An interesting question to explore is where, given the observed inequalities, investments in new school are located. In the year following the 2009 census 508 new primary schools were constructed: 168 were in Sikasso, 90 in Ségou  and Koulikoro, 46 in Mopti, 43 in Kayes, 30 in Tombouctou, 21 in Gao, 13 in Bamako and 7 in Kidal. When comparing the newly constructed schools with the stock of schools, one observes the absence of a clear correlation and one might be inclined to argue that school placement is unbalanced (top panel of Figure 5.6). Bamako got very few new schools relative to its population; Kidal constructed many new schools in relation to its population. Yet if one compares school placement to the fraction of people that live relatively far from a school, a different picture emerges. For instance: the number of schools constructed in Sikasso seems to be very large measured in absolute numbers, but once expressed in per capita terms, the fraction of new school constructed is less than the national average. A lower construction rate than the national average seems appropriate given the fact that Sikasso already has more schools per citizen than the average for the country. Also the fraction of people living within 2km of a school is higher in Sikasso than the average for the nation. Based on these latter grounds, one could have argued for even less schools per capita to be constructed in Sikasso. Kidal, on the other hand, got the same number of additional schools as the national average, but based on the fraction of the population living close to a school, it could have received some more. This contrary to Ségou, which received –in per capita terms, many schools in an environment where the number of schools per capita was already much higher than the national average and where the fraction of people living close to a school also exceeds the national average. </w:t>
      </w:r>
    </w:p>
    <w:p w:rsidR="00E21437" w:rsidRPr="008F3531" w:rsidRDefault="006939D3" w:rsidP="006939D3">
      <w:pPr>
        <w:pStyle w:val="Caption"/>
        <w:rPr>
          <w:b w:val="0"/>
        </w:rPr>
      </w:pPr>
      <w:bookmarkStart w:id="109" w:name="_Toc390956418"/>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5</w:t>
      </w:r>
      <w:r w:rsidR="00943E46" w:rsidRPr="00E56625">
        <w:rPr>
          <w:noProof/>
        </w:rPr>
        <w:fldChar w:fldCharType="end"/>
      </w:r>
      <w:r w:rsidR="00E21437" w:rsidRPr="008F3531">
        <w:rPr>
          <w:b w:val="0"/>
        </w:rPr>
        <w:t xml:space="preserve">: How school inputs would be reallocated for every region </w:t>
      </w:r>
      <w:r w:rsidRPr="008F3531">
        <w:rPr>
          <w:b w:val="0"/>
        </w:rPr>
        <w:t>to be at</w:t>
      </w:r>
      <w:r w:rsidRPr="008F3531">
        <w:rPr>
          <w:b w:val="0"/>
        </w:rPr>
        <w:br/>
        <w:t xml:space="preserve">the </w:t>
      </w:r>
      <w:r w:rsidR="00E21437" w:rsidRPr="008F3531">
        <w:rPr>
          <w:b w:val="0"/>
        </w:rPr>
        <w:t>national average (2010/11)</w:t>
      </w:r>
      <w:bookmarkEnd w:id="109"/>
    </w:p>
    <w:p w:rsidR="00E21437" w:rsidRPr="00E56625" w:rsidRDefault="00E21437" w:rsidP="001F02ED">
      <w:pPr>
        <w:spacing w:after="0"/>
        <w:jc w:val="center"/>
        <w:rPr>
          <w:sz w:val="20"/>
          <w:szCs w:val="20"/>
          <w:lang w:val="en-US"/>
        </w:rPr>
      </w:pPr>
      <w:r w:rsidRPr="00E56625">
        <w:rPr>
          <w:noProof/>
          <w:lang w:val="en-US"/>
        </w:rPr>
        <w:drawing>
          <wp:inline distT="0" distB="0" distL="0" distR="0" wp14:anchorId="4E5715A2" wp14:editId="7DE5CA9B">
            <wp:extent cx="5754414" cy="318463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21437" w:rsidRPr="00E56625" w:rsidRDefault="001F02ED" w:rsidP="005078D7">
      <w:pPr>
        <w:spacing w:after="0"/>
        <w:rPr>
          <w:sz w:val="20"/>
          <w:szCs w:val="20"/>
          <w:lang w:val="en-US"/>
        </w:rPr>
      </w:pPr>
      <w:r w:rsidRPr="00E56625">
        <w:rPr>
          <w:sz w:val="20"/>
          <w:szCs w:val="20"/>
          <w:lang w:val="en-US"/>
        </w:rPr>
        <w:t xml:space="preserve">  </w:t>
      </w:r>
      <w:r w:rsidR="00E21437" w:rsidRPr="00E56625">
        <w:rPr>
          <w:sz w:val="20"/>
          <w:szCs w:val="20"/>
          <w:lang w:val="en-US"/>
        </w:rPr>
        <w:t>Source: Ministry of Education Statistical Abstract. Authors’ calculations</w:t>
      </w:r>
      <w:r w:rsidR="006939D3" w:rsidRPr="00E56625">
        <w:rPr>
          <w:sz w:val="20"/>
          <w:szCs w:val="20"/>
          <w:lang w:val="en-US"/>
        </w:rPr>
        <w:t>.</w:t>
      </w:r>
    </w:p>
    <w:p w:rsidR="006939D3" w:rsidRPr="00E56625" w:rsidRDefault="006939D3" w:rsidP="005078D7">
      <w:pPr>
        <w:spacing w:after="0"/>
        <w:rPr>
          <w:sz w:val="20"/>
          <w:szCs w:val="20"/>
          <w:lang w:val="en-US"/>
        </w:rPr>
      </w:pPr>
    </w:p>
    <w:p w:rsidR="00E21437" w:rsidRPr="008F3531" w:rsidRDefault="00E21437" w:rsidP="0004705A">
      <w:pPr>
        <w:pStyle w:val="paranumb"/>
        <w:spacing w:after="200"/>
        <w:rPr>
          <w:rFonts w:cs="Times New Roman"/>
          <w:szCs w:val="24"/>
        </w:rPr>
      </w:pPr>
      <w:r w:rsidRPr="008F3531">
        <w:rPr>
          <w:rFonts w:cs="Times New Roman"/>
          <w:szCs w:val="24"/>
        </w:rPr>
        <w:t xml:space="preserve">We also related new school construction to the number of additional students; we considered classroom construction and the placement of teachers and repeated the exercise for secondary schools. In all instances we do find sizeable regional differences, but no evidence of gross misallocations or of one region being favored over another. </w:t>
      </w:r>
    </w:p>
    <w:p w:rsidR="006939D3" w:rsidRPr="00E56625" w:rsidRDefault="006939D3">
      <w:pPr>
        <w:rPr>
          <w:b/>
          <w:lang w:val="en-US"/>
        </w:rPr>
      </w:pPr>
      <w:r w:rsidRPr="00E56625">
        <w:rPr>
          <w:b/>
          <w:lang w:val="en-US"/>
        </w:rPr>
        <w:br w:type="page"/>
      </w:r>
    </w:p>
    <w:p w:rsidR="00E21437" w:rsidRPr="008F3531" w:rsidRDefault="001F02ED" w:rsidP="001F02ED">
      <w:pPr>
        <w:pStyle w:val="Caption"/>
        <w:rPr>
          <w:b w:val="0"/>
        </w:rPr>
      </w:pPr>
      <w:bookmarkStart w:id="110" w:name="_Toc390956419"/>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6</w:t>
      </w:r>
      <w:r w:rsidR="00943E46" w:rsidRPr="00E56625">
        <w:rPr>
          <w:noProof/>
        </w:rPr>
        <w:fldChar w:fldCharType="end"/>
      </w:r>
      <w:r w:rsidR="00E21437" w:rsidRPr="008F3531">
        <w:rPr>
          <w:b w:val="0"/>
        </w:rPr>
        <w:t xml:space="preserve"> a &amp; b: Distribution of newly constructed schools across regions (2009/10) and existing schools (top panel) and people living within 2 km of a school (bottom panel)</w:t>
      </w:r>
      <w:bookmarkEnd w:id="110"/>
    </w:p>
    <w:p w:rsidR="00E21437" w:rsidRPr="00E56625" w:rsidRDefault="00E21437" w:rsidP="001657CA">
      <w:pPr>
        <w:spacing w:after="0"/>
        <w:jc w:val="center"/>
        <w:rPr>
          <w:lang w:val="en-US"/>
        </w:rPr>
      </w:pPr>
      <w:r w:rsidRPr="00E56625">
        <w:rPr>
          <w:noProof/>
          <w:lang w:val="en-US"/>
        </w:rPr>
        <w:drawing>
          <wp:inline distT="0" distB="0" distL="0" distR="0" wp14:anchorId="739A8594" wp14:editId="0A0386EA">
            <wp:extent cx="5943600" cy="3047365"/>
            <wp:effectExtent l="0" t="0" r="0" b="63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939D3" w:rsidRPr="00E56625" w:rsidRDefault="006939D3" w:rsidP="00E21437">
      <w:pPr>
        <w:spacing w:after="120"/>
        <w:rPr>
          <w:lang w:val="en-US"/>
        </w:rPr>
      </w:pPr>
    </w:p>
    <w:p w:rsidR="00E21437" w:rsidRPr="00E56625" w:rsidRDefault="00E21437" w:rsidP="001F02ED">
      <w:pPr>
        <w:spacing w:after="0"/>
        <w:jc w:val="center"/>
        <w:rPr>
          <w:sz w:val="20"/>
          <w:szCs w:val="20"/>
          <w:lang w:val="en-US"/>
        </w:rPr>
      </w:pPr>
      <w:r w:rsidRPr="00E56625">
        <w:rPr>
          <w:noProof/>
          <w:lang w:val="en-US"/>
        </w:rPr>
        <w:drawing>
          <wp:inline distT="0" distB="0" distL="0" distR="0" wp14:anchorId="445B7422" wp14:editId="03830DE1">
            <wp:extent cx="5938092" cy="3172858"/>
            <wp:effectExtent l="0" t="0" r="5715" b="889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21437" w:rsidRPr="00E56625" w:rsidRDefault="00E21437" w:rsidP="005078D7">
      <w:pPr>
        <w:spacing w:after="0"/>
        <w:rPr>
          <w:sz w:val="20"/>
          <w:szCs w:val="20"/>
          <w:lang w:val="en-US"/>
        </w:rPr>
      </w:pPr>
      <w:r w:rsidRPr="00E56625">
        <w:rPr>
          <w:sz w:val="20"/>
          <w:szCs w:val="20"/>
          <w:lang w:val="en-US"/>
        </w:rPr>
        <w:t>Source: Ministry of education, statistical yearbooks. Authors’ calculations</w:t>
      </w:r>
      <w:r w:rsidR="006939D3" w:rsidRPr="00E56625">
        <w:rPr>
          <w:sz w:val="20"/>
          <w:szCs w:val="20"/>
          <w:lang w:val="en-US"/>
        </w:rPr>
        <w:t>.</w:t>
      </w:r>
    </w:p>
    <w:p w:rsidR="006939D3" w:rsidRPr="00E56625" w:rsidRDefault="006939D3" w:rsidP="005078D7">
      <w:pPr>
        <w:spacing w:after="0"/>
        <w:rPr>
          <w:sz w:val="20"/>
          <w:szCs w:val="20"/>
          <w:lang w:val="en-US"/>
        </w:rPr>
      </w:pPr>
    </w:p>
    <w:p w:rsidR="00E21437" w:rsidRPr="008F3531" w:rsidRDefault="00E21437" w:rsidP="0004705A">
      <w:pPr>
        <w:pStyle w:val="paranumb"/>
        <w:spacing w:after="200"/>
        <w:rPr>
          <w:rFonts w:cs="Times New Roman"/>
          <w:szCs w:val="24"/>
        </w:rPr>
      </w:pPr>
      <w:r w:rsidRPr="008F3531">
        <w:rPr>
          <w:rFonts w:cs="Times New Roman"/>
          <w:szCs w:val="24"/>
        </w:rPr>
        <w:t>Education is not about facilities but about learning; teachers are indispensable for this outcome. Unlike the number and allocation of schools across the country, the school system faces serious challenges with the total number of teachers and their distribution across the country. The total number of teachers is low as evidenced by the student – teacher ratio for the country in 2010/11 (Table 5.2): 60 to 1 (45 to 1 is generally considered an upper bound of what is acceptable). The average hides significant variation, which becomes already clear when considering the regional level. The student – teacher ratio varies from as low as 35 to 1 in Kidal to as much as 73 to 1 in Bamako. These extremes are partly explained by population density as in Kidal there are rel</w:t>
      </w:r>
      <w:r w:rsidR="00BE7EE5" w:rsidRPr="008F3531">
        <w:rPr>
          <w:rFonts w:cs="Times New Roman"/>
          <w:szCs w:val="24"/>
        </w:rPr>
        <w:t xml:space="preserve">atively few students per grade </w:t>
      </w:r>
      <w:r w:rsidRPr="008F3531">
        <w:rPr>
          <w:rFonts w:cs="Times New Roman"/>
          <w:szCs w:val="24"/>
        </w:rPr>
        <w:t xml:space="preserve">- consequently student teacher ratios are low. In Bamako the reverse is the case. </w:t>
      </w:r>
    </w:p>
    <w:p w:rsidR="00E21437" w:rsidRPr="008F3531" w:rsidRDefault="00E21437" w:rsidP="0004705A">
      <w:pPr>
        <w:pStyle w:val="paranumb"/>
        <w:spacing w:after="200"/>
        <w:rPr>
          <w:rFonts w:cs="Times New Roman"/>
          <w:szCs w:val="24"/>
        </w:rPr>
      </w:pPr>
      <w:r w:rsidRPr="008F3531">
        <w:rPr>
          <w:rFonts w:cs="Times New Roman"/>
          <w:szCs w:val="24"/>
        </w:rPr>
        <w:t>Increasing the number of teachers –or for that matter increasing the number of classrooms as also the number of students per classroom is very high, seems to be a matter of policy priority even though it may be difficult to achieve in the short run, for both budgetary reasons and because sufficient trained teachers are simply not available. This raises an issue whether there might be other solutions –innovations if one likes, to this problem. Such innovations do exist: for instance, constrained by the number of classrooms and the number of available teachers, the authorities could consider the introduction of double shift system in which teachers teach two classes on the same day: one in the mornings and one in the afternoon. Needless to say, teachers would probably need to be paid extra in order to motivate them. Alternatively, if a double shift system is too demanding for the current teachers, the system could be introduced while hiring additional teachers (from neighboring countries?). Other innovations need to be considered as well. In a context of hard budgetary constraints and major challenges, the choice is between innovation and the non-delivery of the service.</w:t>
      </w:r>
    </w:p>
    <w:p w:rsidR="00E21437" w:rsidRPr="008F3531" w:rsidRDefault="00E21437" w:rsidP="0004705A">
      <w:pPr>
        <w:pStyle w:val="paranumb"/>
        <w:spacing w:after="200"/>
        <w:rPr>
          <w:rFonts w:cs="Times New Roman"/>
          <w:szCs w:val="24"/>
        </w:rPr>
      </w:pPr>
      <w:r w:rsidRPr="008F3531">
        <w:rPr>
          <w:rFonts w:cs="Times New Roman"/>
          <w:szCs w:val="24"/>
        </w:rPr>
        <w:t>Associated to the presence of sufficient teachers is the need to ensure quality. A huge challenge lies here. Education experts consider any child who does not complete at least grade 5 a loss, which means that the child is considered not to have learned enough to contribute significant economic value to society during the rest of the child’s life. Hence, it is important that those children that enter the education system complete at least five years of education. This is often not the case. Figure 3.6 shows that 63 percent of all children complete at least grade 1 (suggesting that 37 percent do not go to school at all) and that of these only 59 percent complete grade 2. By the time one arrives at grade 5 only 41 out of every 100 children have managed to complete this level. In other words, compared to a situation in which the 63 percent who attend the first year of primary school were retained, 44 percent</w:t>
      </w:r>
      <w:r w:rsidRPr="008F3531">
        <w:rPr>
          <w:rStyle w:val="FootnoteReference"/>
          <w:rFonts w:cs="Times New Roman"/>
          <w:szCs w:val="24"/>
        </w:rPr>
        <w:footnoteReference w:id="48"/>
      </w:r>
      <w:r w:rsidRPr="008F3531">
        <w:rPr>
          <w:rFonts w:cs="Times New Roman"/>
          <w:szCs w:val="24"/>
        </w:rPr>
        <w:t xml:space="preserve"> of all spending on children in grades one to five can be considered a use of resources with little (economic) return on investment. </w:t>
      </w:r>
    </w:p>
    <w:p w:rsidR="001F02ED" w:rsidRPr="008F3531" w:rsidRDefault="001F02ED" w:rsidP="001F02ED">
      <w:pPr>
        <w:pStyle w:val="paranumb"/>
        <w:spacing w:after="200"/>
        <w:rPr>
          <w:rFonts w:cs="Times New Roman"/>
          <w:szCs w:val="24"/>
        </w:rPr>
      </w:pPr>
      <w:r w:rsidRPr="008F3531">
        <w:rPr>
          <w:rFonts w:cs="Times New Roman"/>
          <w:szCs w:val="24"/>
        </w:rPr>
        <w:t>We conclude that</w:t>
      </w:r>
      <w:r w:rsidRPr="008F3531">
        <w:rPr>
          <w:rFonts w:cs="Times New Roman"/>
          <w:b/>
          <w:szCs w:val="24"/>
        </w:rPr>
        <w:t xml:space="preserve"> </w:t>
      </w:r>
      <w:r w:rsidRPr="008F3531">
        <w:rPr>
          <w:rFonts w:cs="Times New Roman"/>
          <w:szCs w:val="24"/>
        </w:rPr>
        <w:t xml:space="preserve">progress has been made in enhancing access in the education sector. With over 10,000 villages and approximately 5,000 schools, it is clear that choices have to be made and that not every village can be served by a primary school and when they do get a primary school it may be a one classroom school, or a school with multigrade teaching. </w:t>
      </w:r>
    </w:p>
    <w:p w:rsidR="001F02ED" w:rsidRPr="008F3531" w:rsidRDefault="001F02ED" w:rsidP="001F02ED">
      <w:pPr>
        <w:pStyle w:val="paranumb"/>
        <w:spacing w:after="200"/>
        <w:rPr>
          <w:rFonts w:cs="Times New Roman"/>
          <w:szCs w:val="24"/>
        </w:rPr>
      </w:pPr>
      <w:r w:rsidRPr="008F3531">
        <w:rPr>
          <w:rFonts w:cs="Times New Roman"/>
          <w:szCs w:val="24"/>
        </w:rPr>
        <w:t xml:space="preserve">We also find that the education system is relatively balanced with respect to the distribution of schools across regions. There are areas in which new schools need to be placed to ensure access, but overall the evidence does not give reason to believe that one region is structurally favored over another or that the placement of schools is seriously skewed. </w:t>
      </w:r>
    </w:p>
    <w:p w:rsidR="001F02ED" w:rsidRPr="008F3531" w:rsidRDefault="001F02ED" w:rsidP="001F02ED">
      <w:pPr>
        <w:pStyle w:val="paranumb"/>
        <w:numPr>
          <w:ilvl w:val="0"/>
          <w:numId w:val="0"/>
        </w:numPr>
        <w:spacing w:after="200"/>
        <w:rPr>
          <w:rFonts w:cs="Times New Roman"/>
          <w:szCs w:val="24"/>
        </w:rPr>
      </w:pPr>
    </w:p>
    <w:p w:rsidR="001F02ED" w:rsidRPr="008F3531" w:rsidRDefault="001F02ED" w:rsidP="001F02ED">
      <w:pPr>
        <w:pStyle w:val="paranumb"/>
        <w:numPr>
          <w:ilvl w:val="0"/>
          <w:numId w:val="0"/>
        </w:numPr>
        <w:spacing w:after="200"/>
        <w:rPr>
          <w:rFonts w:cs="Times New Roman"/>
          <w:szCs w:val="24"/>
        </w:rPr>
      </w:pPr>
    </w:p>
    <w:p w:rsidR="001F02ED" w:rsidRPr="008F3531" w:rsidRDefault="001F02ED" w:rsidP="001F02ED">
      <w:pPr>
        <w:pStyle w:val="paranumb"/>
        <w:numPr>
          <w:ilvl w:val="0"/>
          <w:numId w:val="0"/>
        </w:numPr>
        <w:spacing w:after="200"/>
        <w:rPr>
          <w:rFonts w:cs="Times New Roman"/>
          <w:szCs w:val="24"/>
        </w:rPr>
      </w:pPr>
    </w:p>
    <w:p w:rsidR="00E21437" w:rsidRPr="008F3531" w:rsidRDefault="00CB61C3" w:rsidP="00CB61C3">
      <w:pPr>
        <w:pStyle w:val="Caption"/>
        <w:rPr>
          <w:rFonts w:eastAsia="Times New Roman"/>
          <w:b w:val="0"/>
          <w:color w:val="000000"/>
        </w:rPr>
      </w:pPr>
      <w:bookmarkStart w:id="111" w:name="_Toc390956420"/>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7</w:t>
      </w:r>
      <w:r w:rsidR="00943E46" w:rsidRPr="00E56625">
        <w:rPr>
          <w:noProof/>
        </w:rPr>
        <w:fldChar w:fldCharType="end"/>
      </w:r>
      <w:r w:rsidR="00E21437" w:rsidRPr="008F3531">
        <w:rPr>
          <w:rFonts w:eastAsia="Times New Roman"/>
          <w:b w:val="0"/>
          <w:color w:val="000000"/>
        </w:rPr>
        <w:t>: Percent of children passing from one grade to the next in 2013</w:t>
      </w:r>
      <w:bookmarkEnd w:id="111"/>
    </w:p>
    <w:p w:rsidR="00E21437" w:rsidRPr="00E56625" w:rsidRDefault="00E21437" w:rsidP="005078D7">
      <w:pPr>
        <w:spacing w:after="0"/>
        <w:rPr>
          <w:sz w:val="20"/>
          <w:szCs w:val="20"/>
          <w:lang w:val="en-US"/>
        </w:rPr>
      </w:pPr>
      <w:r w:rsidRPr="00E56625">
        <w:rPr>
          <w:noProof/>
          <w:lang w:val="en-US"/>
        </w:rPr>
        <w:drawing>
          <wp:inline distT="0" distB="0" distL="0" distR="0" wp14:anchorId="55B815D4" wp14:editId="122A3C7C">
            <wp:extent cx="5819775" cy="27432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21437" w:rsidRPr="00E56625" w:rsidRDefault="00E21437" w:rsidP="005078D7">
      <w:pPr>
        <w:spacing w:after="0"/>
        <w:rPr>
          <w:sz w:val="20"/>
          <w:szCs w:val="20"/>
          <w:lang w:val="en-US"/>
        </w:rPr>
      </w:pPr>
      <w:r w:rsidRPr="00E56625">
        <w:rPr>
          <w:sz w:val="20"/>
          <w:szCs w:val="20"/>
          <w:lang w:val="en-US"/>
        </w:rPr>
        <w:t>Source: EMOP, 2013 passage 1. Authors’ calculations.</w:t>
      </w:r>
    </w:p>
    <w:p w:rsidR="00CB61C3" w:rsidRPr="00E56625" w:rsidRDefault="00CB61C3" w:rsidP="005078D7">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 xml:space="preserve">Education is much more than schools alone. Enrollment rates in primary and secondary schools remain low and they vary considerably by region. If the difference between actual enrollment rate and the fraction of people living within 2km or 5km of a school is taken as indicator of the scope to increase enrollment, then there is significant scope for improvement, particularly Mopti and Tombouctou. </w:t>
      </w:r>
    </w:p>
    <w:p w:rsidR="00E21437" w:rsidRPr="008F3531" w:rsidRDefault="00E21437" w:rsidP="0004705A">
      <w:pPr>
        <w:pStyle w:val="paranumb"/>
        <w:spacing w:after="200"/>
        <w:rPr>
          <w:rFonts w:cs="Times New Roman"/>
          <w:szCs w:val="24"/>
        </w:rPr>
      </w:pPr>
      <w:r w:rsidRPr="008F3531">
        <w:rPr>
          <w:rFonts w:cs="Times New Roman"/>
          <w:szCs w:val="24"/>
        </w:rPr>
        <w:t xml:space="preserve">The real challenge is how to improve the quality of education: there are too many students per teacher and too many students drop out of school before they have the opportunity to even gain the most basic skills. This is not only a human tragedy, it is a very poor investment on the side of the Government. Innovations are urgently needed: to make better use of the existing teachers and facilities, but also to convince some hard to reach populations and poor households to send their children to school. </w:t>
      </w:r>
    </w:p>
    <w:p w:rsidR="00E21437" w:rsidRPr="00E56625" w:rsidRDefault="00E21437" w:rsidP="00E21437">
      <w:pPr>
        <w:spacing w:after="120"/>
        <w:rPr>
          <w:lang w:val="en-US"/>
        </w:rPr>
      </w:pPr>
    </w:p>
    <w:p w:rsidR="00E21437" w:rsidRPr="00E56625" w:rsidRDefault="00E21437" w:rsidP="00E21437">
      <w:pPr>
        <w:rPr>
          <w:lang w:val="en-US"/>
        </w:rPr>
        <w:sectPr w:rsidR="00E21437" w:rsidRPr="00E56625">
          <w:pgSz w:w="12240" w:h="15840"/>
          <w:pgMar w:top="1440" w:right="1440" w:bottom="1440" w:left="1440" w:header="720" w:footer="720" w:gutter="0"/>
          <w:cols w:space="720"/>
          <w:docGrid w:linePitch="360"/>
        </w:sectPr>
      </w:pPr>
    </w:p>
    <w:p w:rsidR="00E21437" w:rsidRPr="008F3531" w:rsidRDefault="00CB61C3" w:rsidP="00CB61C3">
      <w:pPr>
        <w:pStyle w:val="Caption"/>
        <w:rPr>
          <w:b w:val="0"/>
        </w:rPr>
      </w:pPr>
      <w:bookmarkStart w:id="112" w:name="_Toc390956290"/>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2</w:t>
      </w:r>
      <w:r w:rsidR="00943E46" w:rsidRPr="00E56625">
        <w:rPr>
          <w:noProof/>
        </w:rPr>
        <w:fldChar w:fldCharType="end"/>
      </w:r>
      <w:r w:rsidR="00E21437" w:rsidRPr="008F3531">
        <w:rPr>
          <w:b w:val="0"/>
        </w:rPr>
        <w:t>: Summary Data for Primary and Secondary Schools</w:t>
      </w:r>
      <w:bookmarkEnd w:id="112"/>
    </w:p>
    <w:tbl>
      <w:tblPr>
        <w:tblW w:w="5454" w:type="pct"/>
        <w:jc w:val="center"/>
        <w:tblLayout w:type="fixed"/>
        <w:tblLook w:val="04A0" w:firstRow="1" w:lastRow="0" w:firstColumn="1" w:lastColumn="0" w:noHBand="0" w:noVBand="1"/>
      </w:tblPr>
      <w:tblGrid>
        <w:gridCol w:w="1361"/>
        <w:gridCol w:w="866"/>
        <w:gridCol w:w="1189"/>
        <w:gridCol w:w="1120"/>
        <w:gridCol w:w="130"/>
        <w:gridCol w:w="925"/>
        <w:gridCol w:w="8"/>
        <w:gridCol w:w="990"/>
        <w:gridCol w:w="8"/>
        <w:gridCol w:w="899"/>
        <w:gridCol w:w="319"/>
        <w:gridCol w:w="888"/>
        <w:gridCol w:w="8"/>
        <w:gridCol w:w="1176"/>
        <w:gridCol w:w="8"/>
        <w:gridCol w:w="1046"/>
        <w:gridCol w:w="79"/>
        <w:gridCol w:w="845"/>
        <w:gridCol w:w="209"/>
        <w:gridCol w:w="693"/>
        <w:gridCol w:w="319"/>
        <w:gridCol w:w="746"/>
        <w:gridCol w:w="305"/>
      </w:tblGrid>
      <w:tr w:rsidR="00E21437" w:rsidRPr="008F3531" w:rsidTr="00CB61C3">
        <w:trPr>
          <w:gridAfter w:val="1"/>
          <w:wAfter w:w="109" w:type="pct"/>
          <w:trHeight w:val="300"/>
          <w:jc w:val="center"/>
        </w:trPr>
        <w:tc>
          <w:tcPr>
            <w:tcW w:w="481"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rPr>
                <w:rFonts w:eastAsia="Times New Roman"/>
                <w:b/>
                <w:color w:val="000000"/>
                <w:sz w:val="20"/>
                <w:szCs w:val="20"/>
                <w:lang w:val="en-US"/>
              </w:rPr>
            </w:pPr>
            <w:r w:rsidRPr="00E56625">
              <w:rPr>
                <w:rFonts w:eastAsia="Times New Roman"/>
                <w:b/>
                <w:color w:val="000000"/>
                <w:sz w:val="20"/>
                <w:szCs w:val="20"/>
                <w:lang w:val="en-US"/>
              </w:rPr>
              <w:t>Primary</w:t>
            </w:r>
          </w:p>
        </w:tc>
        <w:tc>
          <w:tcPr>
            <w:tcW w:w="306"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2007/8</w:t>
            </w:r>
          </w:p>
        </w:tc>
        <w:tc>
          <w:tcPr>
            <w:tcW w:w="41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442"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2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53"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21"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113" w:type="pct"/>
            <w:tcBorders>
              <w:top w:val="single" w:sz="4" w:space="0" w:color="auto"/>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14" w:type="pct"/>
            <w:tcBorders>
              <w:top w:val="single" w:sz="4" w:space="0" w:color="auto"/>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2008/9</w:t>
            </w:r>
          </w:p>
        </w:tc>
        <w:tc>
          <w:tcPr>
            <w:tcW w:w="419"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73"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27"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19"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77"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r>
      <w:tr w:rsidR="00E21437" w:rsidRPr="008F3531" w:rsidTr="00415574">
        <w:trPr>
          <w:trHeight w:val="603"/>
          <w:jc w:val="center"/>
        </w:trPr>
        <w:tc>
          <w:tcPr>
            <w:tcW w:w="481" w:type="pct"/>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p>
        </w:tc>
        <w:tc>
          <w:tcPr>
            <w:tcW w:w="306" w:type="pct"/>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Schools</w:t>
            </w:r>
          </w:p>
        </w:tc>
        <w:tc>
          <w:tcPr>
            <w:tcW w:w="419" w:type="pct"/>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 rooms</w:t>
            </w:r>
          </w:p>
        </w:tc>
        <w:tc>
          <w:tcPr>
            <w:tcW w:w="396" w:type="pct"/>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Classes taught</w:t>
            </w:r>
          </w:p>
        </w:tc>
        <w:tc>
          <w:tcPr>
            <w:tcW w:w="376" w:type="pct"/>
            <w:gridSpan w:val="3"/>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Teachers</w:t>
            </w:r>
          </w:p>
        </w:tc>
        <w:tc>
          <w:tcPr>
            <w:tcW w:w="353" w:type="pct"/>
            <w:gridSpan w:val="2"/>
            <w:tcBorders>
              <w:top w:val="nil"/>
              <w:lef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w:t>
            </w:r>
          </w:p>
        </w:tc>
        <w:tc>
          <w:tcPr>
            <w:tcW w:w="431" w:type="pct"/>
            <w:gridSpan w:val="2"/>
            <w:tcBorders>
              <w:top w:val="nil"/>
              <w:right w:val="single" w:sz="4" w:space="0" w:color="auto"/>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w:t>
            </w:r>
          </w:p>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per teacher</w:t>
            </w:r>
          </w:p>
        </w:tc>
        <w:tc>
          <w:tcPr>
            <w:tcW w:w="317" w:type="pct"/>
            <w:gridSpan w:val="2"/>
            <w:tcBorders>
              <w:top w:val="nil"/>
              <w:left w:val="single" w:sz="4" w:space="0" w:color="auto"/>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Schools</w:t>
            </w:r>
          </w:p>
        </w:tc>
        <w:tc>
          <w:tcPr>
            <w:tcW w:w="419" w:type="pct"/>
            <w:gridSpan w:val="2"/>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 rooms</w:t>
            </w:r>
          </w:p>
        </w:tc>
        <w:tc>
          <w:tcPr>
            <w:tcW w:w="398" w:type="pct"/>
            <w:gridSpan w:val="2"/>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Classes taught</w:t>
            </w:r>
          </w:p>
        </w:tc>
        <w:tc>
          <w:tcPr>
            <w:tcW w:w="373" w:type="pct"/>
            <w:gridSpan w:val="2"/>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Teachers</w:t>
            </w:r>
          </w:p>
        </w:tc>
        <w:tc>
          <w:tcPr>
            <w:tcW w:w="358" w:type="pct"/>
            <w:gridSpan w:val="2"/>
            <w:tcBorders>
              <w:top w:val="nil"/>
              <w:left w:val="nil"/>
              <w:bottom w:val="single" w:sz="4" w:space="0" w:color="auto"/>
              <w:right w:val="nil"/>
            </w:tcBorders>
            <w:shd w:val="clear" w:color="auto" w:fill="auto"/>
            <w:noWrap/>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w:t>
            </w:r>
          </w:p>
        </w:tc>
        <w:tc>
          <w:tcPr>
            <w:tcW w:w="373"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 per teacher</w:t>
            </w:r>
          </w:p>
        </w:tc>
      </w:tr>
      <w:tr w:rsidR="00E21437" w:rsidRPr="008F3531" w:rsidTr="00CB61C3">
        <w:trPr>
          <w:gridAfter w:val="1"/>
          <w:wAfter w:w="109" w:type="pct"/>
          <w:trHeight w:val="300"/>
          <w:jc w:val="center"/>
        </w:trPr>
        <w:tc>
          <w:tcPr>
            <w:tcW w:w="481"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306"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277</w:t>
            </w:r>
          </w:p>
        </w:tc>
        <w:tc>
          <w:tcPr>
            <w:tcW w:w="41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1589</w:t>
            </w:r>
          </w:p>
        </w:tc>
        <w:tc>
          <w:tcPr>
            <w:tcW w:w="442"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1790</w:t>
            </w:r>
          </w:p>
        </w:tc>
        <w:tc>
          <w:tcPr>
            <w:tcW w:w="32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1697</w:t>
            </w:r>
          </w:p>
        </w:tc>
        <w:tc>
          <w:tcPr>
            <w:tcW w:w="353"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129657</w:t>
            </w:r>
          </w:p>
        </w:tc>
        <w:tc>
          <w:tcPr>
            <w:tcW w:w="321"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76</w:t>
            </w:r>
          </w:p>
        </w:tc>
        <w:tc>
          <w:tcPr>
            <w:tcW w:w="113" w:type="pct"/>
            <w:tcBorders>
              <w:top w:val="single" w:sz="4" w:space="0" w:color="auto"/>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single" w:sz="4" w:space="0" w:color="auto"/>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286</w:t>
            </w:r>
          </w:p>
        </w:tc>
        <w:tc>
          <w:tcPr>
            <w:tcW w:w="419"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1691</w:t>
            </w:r>
          </w:p>
        </w:tc>
        <w:tc>
          <w:tcPr>
            <w:tcW w:w="373"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1864</w:t>
            </w:r>
          </w:p>
        </w:tc>
        <w:tc>
          <w:tcPr>
            <w:tcW w:w="327"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1775</w:t>
            </w:r>
          </w:p>
        </w:tc>
        <w:tc>
          <w:tcPr>
            <w:tcW w:w="319"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133755</w:t>
            </w:r>
          </w:p>
        </w:tc>
        <w:tc>
          <w:tcPr>
            <w:tcW w:w="377" w:type="pct"/>
            <w:gridSpan w:val="2"/>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75</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Gao</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287</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888</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1481</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1049</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61745</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59</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325</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1129</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1636</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1164</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63792</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55</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681</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2781</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3505</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2774</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164309</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59</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702</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2900</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3633</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2934</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168920</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58</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Kidal</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36</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131</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178</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140</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4994</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36</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37</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152</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192</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152</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5134</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34</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Koulikoro</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675</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2996</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3952</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2981</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196705</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66</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708</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3160</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4101</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3194</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206157</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Mopti</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626</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1815</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2940</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2294</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135874</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59</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679</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2319</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3219</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2518</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141887</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56</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 xml:space="preserve">Ségou </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432</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2082</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2494</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2230</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146593</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66</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464</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2293</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2671</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2428</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156499</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64</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656</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2805</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3868</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3134</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212646</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68</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728</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3284</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4224</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3585</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233068</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Tombouctou</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251</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896</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1260</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891</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48818</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55</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259</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900</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1340</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950</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51497</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Mali</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3921</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15983</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21468</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17190</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1101341</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64</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4188</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17828</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22880</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18700</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1160709</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62</w:t>
            </w:r>
          </w:p>
        </w:tc>
      </w:tr>
      <w:tr w:rsidR="00E21437" w:rsidRPr="008F3531" w:rsidTr="00CB61C3">
        <w:trPr>
          <w:gridAfter w:val="1"/>
          <w:wAfter w:w="109" w:type="pct"/>
          <w:trHeight w:val="300"/>
          <w:jc w:val="center"/>
        </w:trPr>
        <w:tc>
          <w:tcPr>
            <w:tcW w:w="481"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p>
        </w:tc>
        <w:tc>
          <w:tcPr>
            <w:tcW w:w="306"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19"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42"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7"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53"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1"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113" w:type="pct"/>
            <w:tcBorders>
              <w:top w:val="nil"/>
              <w:left w:val="nil"/>
              <w:bottom w:val="single" w:sz="4" w:space="0" w:color="auto"/>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19"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3"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7"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9"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7"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r>
      <w:tr w:rsidR="00415574" w:rsidRPr="008F3531" w:rsidTr="00415574">
        <w:trPr>
          <w:gridAfter w:val="1"/>
          <w:wAfter w:w="109" w:type="pct"/>
          <w:trHeight w:val="300"/>
          <w:jc w:val="center"/>
        </w:trPr>
        <w:tc>
          <w:tcPr>
            <w:tcW w:w="481"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rPr>
                <w:rFonts w:eastAsia="Times New Roman"/>
                <w:b/>
                <w:color w:val="000000"/>
                <w:sz w:val="20"/>
                <w:szCs w:val="20"/>
                <w:lang w:val="en-US"/>
              </w:rPr>
            </w:pPr>
          </w:p>
        </w:tc>
        <w:tc>
          <w:tcPr>
            <w:tcW w:w="726" w:type="pct"/>
            <w:gridSpan w:val="2"/>
            <w:tcBorders>
              <w:top w:val="single" w:sz="4" w:space="0" w:color="auto"/>
              <w:left w:val="nil"/>
              <w:bottom w:val="nil"/>
              <w:right w:val="nil"/>
            </w:tcBorders>
            <w:shd w:val="clear" w:color="auto" w:fill="auto"/>
            <w:noWrap/>
            <w:vAlign w:val="bottom"/>
            <w:hideMark/>
          </w:tcPr>
          <w:p w:rsidR="00415574" w:rsidRPr="00E56625" w:rsidRDefault="00415574" w:rsidP="00E56625">
            <w:pPr>
              <w:spacing w:after="0"/>
              <w:rPr>
                <w:rFonts w:eastAsia="Times New Roman"/>
                <w:b/>
                <w:color w:val="000000"/>
                <w:sz w:val="20"/>
                <w:szCs w:val="20"/>
                <w:lang w:val="en-US"/>
              </w:rPr>
            </w:pPr>
            <w:r w:rsidRPr="00E56625">
              <w:rPr>
                <w:rFonts w:eastAsia="Times New Roman"/>
                <w:b/>
                <w:color w:val="000000"/>
                <w:sz w:val="20"/>
                <w:szCs w:val="20"/>
                <w:lang w:val="en-US"/>
              </w:rPr>
              <w:t>2009/10</w:t>
            </w:r>
          </w:p>
        </w:tc>
        <w:tc>
          <w:tcPr>
            <w:tcW w:w="442" w:type="pct"/>
            <w:gridSpan w:val="2"/>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327"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353" w:type="pct"/>
            <w:gridSpan w:val="2"/>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321" w:type="pct"/>
            <w:gridSpan w:val="2"/>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113" w:type="pct"/>
            <w:tcBorders>
              <w:top w:val="single" w:sz="4" w:space="0" w:color="auto"/>
              <w:left w:val="nil"/>
              <w:bottom w:val="nil"/>
              <w:right w:val="single" w:sz="4" w:space="0" w:color="auto"/>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733" w:type="pct"/>
            <w:gridSpan w:val="3"/>
            <w:tcBorders>
              <w:top w:val="single" w:sz="4" w:space="0" w:color="auto"/>
              <w:left w:val="single" w:sz="4" w:space="0" w:color="auto"/>
              <w:bottom w:val="nil"/>
              <w:right w:val="nil"/>
            </w:tcBorders>
            <w:shd w:val="clear" w:color="auto" w:fill="auto"/>
            <w:noWrap/>
            <w:vAlign w:val="bottom"/>
            <w:hideMark/>
          </w:tcPr>
          <w:p w:rsidR="00415574" w:rsidRPr="00E56625" w:rsidRDefault="00415574" w:rsidP="00E56625">
            <w:pPr>
              <w:spacing w:after="0"/>
              <w:rPr>
                <w:rFonts w:eastAsia="Times New Roman"/>
                <w:b/>
                <w:color w:val="000000"/>
                <w:sz w:val="20"/>
                <w:szCs w:val="20"/>
                <w:lang w:val="en-US"/>
              </w:rPr>
            </w:pPr>
            <w:r w:rsidRPr="00E56625">
              <w:rPr>
                <w:rFonts w:eastAsia="Times New Roman"/>
                <w:b/>
                <w:color w:val="000000"/>
                <w:sz w:val="20"/>
                <w:szCs w:val="20"/>
                <w:lang w:val="en-US"/>
              </w:rPr>
              <w:t>2010/11</w:t>
            </w:r>
          </w:p>
        </w:tc>
        <w:tc>
          <w:tcPr>
            <w:tcW w:w="373" w:type="pct"/>
            <w:gridSpan w:val="2"/>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327" w:type="pct"/>
            <w:gridSpan w:val="2"/>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319" w:type="pct"/>
            <w:gridSpan w:val="2"/>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c>
          <w:tcPr>
            <w:tcW w:w="377" w:type="pct"/>
            <w:gridSpan w:val="2"/>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b/>
                <w:color w:val="000000"/>
                <w:sz w:val="20"/>
                <w:szCs w:val="20"/>
                <w:lang w:val="en-US"/>
              </w:rPr>
            </w:pP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293</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1641</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1875</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1762</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134080</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76</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306</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1746</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1916</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1819</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133628</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73</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Gao</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352</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1184</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1767</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1282</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65686</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51</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373</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1264</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1941</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1314</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70391</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730</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3081</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3850</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3100</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176188</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57</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773</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3222</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4190</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3266</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183183</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56</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Kidal</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36</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142</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192</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150</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5466</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36</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43</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179</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231</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182</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6332</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35</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Koulikoro</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737</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3342</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4261</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3295</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213179</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827</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3661</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4800</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3708</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232562</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63</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Mopti</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748</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2642</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3483</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2732</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149410</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55</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794</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2713</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3703</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2753</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157399</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57</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 xml:space="preserve">Ségou </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497</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2435</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2889</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2593</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166481</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64</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587</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2863</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3410</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2970</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181167</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61</w:t>
            </w:r>
          </w:p>
        </w:tc>
      </w:tr>
      <w:tr w:rsidR="00E21437" w:rsidRPr="008F3531" w:rsidTr="00CB61C3">
        <w:trPr>
          <w:gridAfter w:val="1"/>
          <w:wAfter w:w="109" w:type="pct"/>
          <w:trHeight w:val="300"/>
          <w:jc w:val="center"/>
        </w:trPr>
        <w:tc>
          <w:tcPr>
            <w:tcW w:w="481"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306"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797</w:t>
            </w:r>
          </w:p>
        </w:tc>
        <w:tc>
          <w:tcPr>
            <w:tcW w:w="41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3575</w:t>
            </w:r>
          </w:p>
        </w:tc>
        <w:tc>
          <w:tcPr>
            <w:tcW w:w="442"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4632</w:t>
            </w:r>
          </w:p>
        </w:tc>
        <w:tc>
          <w:tcPr>
            <w:tcW w:w="32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3904</w:t>
            </w:r>
          </w:p>
        </w:tc>
        <w:tc>
          <w:tcPr>
            <w:tcW w:w="35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249559</w:t>
            </w:r>
          </w:p>
        </w:tc>
        <w:tc>
          <w:tcPr>
            <w:tcW w:w="321"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64</w:t>
            </w:r>
          </w:p>
        </w:tc>
        <w:tc>
          <w:tcPr>
            <w:tcW w:w="113"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965</w:t>
            </w:r>
          </w:p>
        </w:tc>
        <w:tc>
          <w:tcPr>
            <w:tcW w:w="4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4146</w:t>
            </w:r>
          </w:p>
        </w:tc>
        <w:tc>
          <w:tcPr>
            <w:tcW w:w="373"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5447</w:t>
            </w:r>
          </w:p>
        </w:tc>
        <w:tc>
          <w:tcPr>
            <w:tcW w:w="32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4501</w:t>
            </w:r>
          </w:p>
        </w:tc>
        <w:tc>
          <w:tcPr>
            <w:tcW w:w="319"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269968</w:t>
            </w:r>
          </w:p>
        </w:tc>
        <w:tc>
          <w:tcPr>
            <w:tcW w:w="377" w:type="pct"/>
            <w:gridSpan w:val="2"/>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60</w:t>
            </w:r>
          </w:p>
        </w:tc>
      </w:tr>
      <w:tr w:rsidR="00E21437" w:rsidRPr="008F3531" w:rsidTr="00CB61C3">
        <w:trPr>
          <w:gridAfter w:val="1"/>
          <w:wAfter w:w="109" w:type="pct"/>
          <w:trHeight w:val="300"/>
          <w:jc w:val="center"/>
        </w:trPr>
        <w:tc>
          <w:tcPr>
            <w:tcW w:w="481" w:type="pct"/>
            <w:tcBorders>
              <w:top w:val="nil"/>
              <w:left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Tombouctou</w:t>
            </w:r>
          </w:p>
        </w:tc>
        <w:tc>
          <w:tcPr>
            <w:tcW w:w="306"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292</w:t>
            </w:r>
          </w:p>
        </w:tc>
        <w:tc>
          <w:tcPr>
            <w:tcW w:w="419"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967</w:t>
            </w:r>
          </w:p>
        </w:tc>
        <w:tc>
          <w:tcPr>
            <w:tcW w:w="442"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1485</w:t>
            </w:r>
          </w:p>
        </w:tc>
        <w:tc>
          <w:tcPr>
            <w:tcW w:w="327"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1054</w:t>
            </w:r>
          </w:p>
        </w:tc>
        <w:tc>
          <w:tcPr>
            <w:tcW w:w="353"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54669</w:t>
            </w:r>
          </w:p>
        </w:tc>
        <w:tc>
          <w:tcPr>
            <w:tcW w:w="321"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52</w:t>
            </w:r>
          </w:p>
        </w:tc>
        <w:tc>
          <w:tcPr>
            <w:tcW w:w="113" w:type="pct"/>
            <w:tcBorders>
              <w:top w:val="nil"/>
              <w:left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322</w:t>
            </w:r>
          </w:p>
        </w:tc>
        <w:tc>
          <w:tcPr>
            <w:tcW w:w="419"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989</w:t>
            </w:r>
          </w:p>
        </w:tc>
        <w:tc>
          <w:tcPr>
            <w:tcW w:w="373"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1653</w:t>
            </w:r>
          </w:p>
        </w:tc>
        <w:tc>
          <w:tcPr>
            <w:tcW w:w="327"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1107</w:t>
            </w:r>
          </w:p>
        </w:tc>
        <w:tc>
          <w:tcPr>
            <w:tcW w:w="319"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60219</w:t>
            </w:r>
          </w:p>
        </w:tc>
        <w:tc>
          <w:tcPr>
            <w:tcW w:w="377" w:type="pct"/>
            <w:gridSpan w:val="2"/>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w:t>
            </w:r>
          </w:p>
        </w:tc>
      </w:tr>
      <w:tr w:rsidR="00E21437" w:rsidRPr="008F3531" w:rsidTr="00CB61C3">
        <w:trPr>
          <w:gridAfter w:val="1"/>
          <w:wAfter w:w="109" w:type="pct"/>
          <w:trHeight w:val="300"/>
          <w:jc w:val="center"/>
        </w:trPr>
        <w:tc>
          <w:tcPr>
            <w:tcW w:w="481"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Mali</w:t>
            </w:r>
          </w:p>
        </w:tc>
        <w:tc>
          <w:tcPr>
            <w:tcW w:w="306"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4482</w:t>
            </w:r>
          </w:p>
        </w:tc>
        <w:tc>
          <w:tcPr>
            <w:tcW w:w="419"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19009</w:t>
            </w:r>
          </w:p>
        </w:tc>
        <w:tc>
          <w:tcPr>
            <w:tcW w:w="442"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24434</w:t>
            </w:r>
          </w:p>
        </w:tc>
        <w:tc>
          <w:tcPr>
            <w:tcW w:w="327"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19872</w:t>
            </w:r>
          </w:p>
        </w:tc>
        <w:tc>
          <w:tcPr>
            <w:tcW w:w="353"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1214718</w:t>
            </w:r>
          </w:p>
        </w:tc>
        <w:tc>
          <w:tcPr>
            <w:tcW w:w="321"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61</w:t>
            </w:r>
          </w:p>
        </w:tc>
        <w:tc>
          <w:tcPr>
            <w:tcW w:w="113" w:type="pct"/>
            <w:tcBorders>
              <w:top w:val="nil"/>
              <w:left w:val="nil"/>
              <w:bottom w:val="single" w:sz="4" w:space="0" w:color="auto"/>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14" w:type="pct"/>
            <w:tcBorders>
              <w:top w:val="nil"/>
              <w:left w:val="single" w:sz="4" w:space="0" w:color="auto"/>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4990</w:t>
            </w:r>
          </w:p>
        </w:tc>
        <w:tc>
          <w:tcPr>
            <w:tcW w:w="419"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20783</w:t>
            </w:r>
          </w:p>
        </w:tc>
        <w:tc>
          <w:tcPr>
            <w:tcW w:w="373"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27291</w:t>
            </w:r>
          </w:p>
        </w:tc>
        <w:tc>
          <w:tcPr>
            <w:tcW w:w="327"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21620</w:t>
            </w:r>
          </w:p>
        </w:tc>
        <w:tc>
          <w:tcPr>
            <w:tcW w:w="319"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1294849</w:t>
            </w:r>
          </w:p>
        </w:tc>
        <w:tc>
          <w:tcPr>
            <w:tcW w:w="377" w:type="pct"/>
            <w:gridSpan w:val="2"/>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60</w:t>
            </w:r>
          </w:p>
        </w:tc>
      </w:tr>
    </w:tbl>
    <w:p w:rsidR="00E21437" w:rsidRPr="00E56625" w:rsidRDefault="00E21437" w:rsidP="00E21437">
      <w:pPr>
        <w:spacing w:after="0"/>
        <w:jc w:val="center"/>
        <w:rPr>
          <w:rFonts w:eastAsia="Times New Roman"/>
          <w:color w:val="000000"/>
          <w:sz w:val="20"/>
          <w:szCs w:val="20"/>
          <w:lang w:val="en-US"/>
        </w:rPr>
        <w:sectPr w:rsidR="00E21437" w:rsidRPr="00E56625" w:rsidSect="00B3325F">
          <w:pgSz w:w="15840" w:h="12240" w:orient="landscape"/>
          <w:pgMar w:top="1440" w:right="1440" w:bottom="1440" w:left="1440" w:header="720" w:footer="720" w:gutter="0"/>
          <w:cols w:space="720"/>
          <w:docGrid w:linePitch="360"/>
        </w:sectPr>
      </w:pPr>
    </w:p>
    <w:tbl>
      <w:tblPr>
        <w:tblW w:w="5439" w:type="pct"/>
        <w:jc w:val="center"/>
        <w:tblLayout w:type="fixed"/>
        <w:tblLook w:val="04A0" w:firstRow="1" w:lastRow="0" w:firstColumn="1" w:lastColumn="0" w:noHBand="0" w:noVBand="1"/>
      </w:tblPr>
      <w:tblGrid>
        <w:gridCol w:w="1362"/>
        <w:gridCol w:w="866"/>
        <w:gridCol w:w="1071"/>
        <w:gridCol w:w="1150"/>
        <w:gridCol w:w="1148"/>
        <w:gridCol w:w="998"/>
        <w:gridCol w:w="911"/>
        <w:gridCol w:w="617"/>
        <w:gridCol w:w="854"/>
        <w:gridCol w:w="1187"/>
        <w:gridCol w:w="1055"/>
        <w:gridCol w:w="928"/>
        <w:gridCol w:w="902"/>
        <w:gridCol w:w="1049"/>
      </w:tblGrid>
      <w:tr w:rsidR="00E21437" w:rsidRPr="008F3531" w:rsidTr="00AB54CD">
        <w:trPr>
          <w:trHeight w:val="300"/>
          <w:jc w:val="center"/>
        </w:trPr>
        <w:tc>
          <w:tcPr>
            <w:tcW w:w="48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rPr>
                <w:rFonts w:eastAsia="Times New Roman"/>
                <w:b/>
                <w:color w:val="000000"/>
                <w:sz w:val="20"/>
                <w:szCs w:val="20"/>
                <w:lang w:val="en-US"/>
              </w:rPr>
            </w:pPr>
            <w:r w:rsidRPr="00E56625">
              <w:rPr>
                <w:rFonts w:eastAsia="Times New Roman"/>
                <w:b/>
                <w:color w:val="000000"/>
                <w:sz w:val="20"/>
                <w:szCs w:val="20"/>
                <w:lang w:val="en-US"/>
              </w:rPr>
              <w:t>Secondary</w:t>
            </w:r>
          </w:p>
        </w:tc>
        <w:tc>
          <w:tcPr>
            <w:tcW w:w="30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2007/8</w:t>
            </w:r>
          </w:p>
        </w:tc>
        <w:tc>
          <w:tcPr>
            <w:tcW w:w="37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408"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40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54"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2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219" w:type="pct"/>
            <w:tcBorders>
              <w:top w:val="single" w:sz="4" w:space="0" w:color="auto"/>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03" w:type="pct"/>
            <w:tcBorders>
              <w:top w:val="single" w:sz="4" w:space="0" w:color="auto"/>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2008/9</w:t>
            </w:r>
          </w:p>
        </w:tc>
        <w:tc>
          <w:tcPr>
            <w:tcW w:w="421"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74"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2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20"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c>
          <w:tcPr>
            <w:tcW w:w="372"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p>
        </w:tc>
      </w:tr>
      <w:tr w:rsidR="00E21437" w:rsidRPr="008F3531" w:rsidTr="00AB54CD">
        <w:trPr>
          <w:trHeight w:val="585"/>
          <w:jc w:val="center"/>
        </w:trPr>
        <w:tc>
          <w:tcPr>
            <w:tcW w:w="48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rPr>
                <w:rFonts w:eastAsia="Times New Roman"/>
                <w:b/>
                <w:color w:val="000000"/>
                <w:sz w:val="20"/>
                <w:szCs w:val="20"/>
                <w:lang w:val="en-US"/>
              </w:rPr>
            </w:pPr>
          </w:p>
        </w:tc>
        <w:tc>
          <w:tcPr>
            <w:tcW w:w="307"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Schools</w:t>
            </w:r>
          </w:p>
        </w:tc>
        <w:tc>
          <w:tcPr>
            <w:tcW w:w="379"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 rooms</w:t>
            </w:r>
          </w:p>
        </w:tc>
        <w:tc>
          <w:tcPr>
            <w:tcW w:w="408"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Classes taught</w:t>
            </w:r>
          </w:p>
        </w:tc>
        <w:tc>
          <w:tcPr>
            <w:tcW w:w="407"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Teachers</w:t>
            </w:r>
          </w:p>
        </w:tc>
        <w:tc>
          <w:tcPr>
            <w:tcW w:w="354"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w:t>
            </w:r>
          </w:p>
        </w:tc>
        <w:tc>
          <w:tcPr>
            <w:tcW w:w="542" w:type="pct"/>
            <w:gridSpan w:val="2"/>
            <w:tcBorders>
              <w:top w:val="nil"/>
              <w:left w:val="nil"/>
              <w:bottom w:val="single" w:sz="4" w:space="0" w:color="auto"/>
              <w:right w:val="single" w:sz="4" w:space="0" w:color="auto"/>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 per teacher</w:t>
            </w:r>
          </w:p>
        </w:tc>
        <w:tc>
          <w:tcPr>
            <w:tcW w:w="303" w:type="pct"/>
            <w:tcBorders>
              <w:top w:val="nil"/>
              <w:left w:val="single" w:sz="4" w:space="0" w:color="auto"/>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Schools</w:t>
            </w:r>
          </w:p>
        </w:tc>
        <w:tc>
          <w:tcPr>
            <w:tcW w:w="421"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 rooms</w:t>
            </w:r>
          </w:p>
        </w:tc>
        <w:tc>
          <w:tcPr>
            <w:tcW w:w="374"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Classes taught</w:t>
            </w:r>
          </w:p>
        </w:tc>
        <w:tc>
          <w:tcPr>
            <w:tcW w:w="329"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Teachers</w:t>
            </w:r>
          </w:p>
        </w:tc>
        <w:tc>
          <w:tcPr>
            <w:tcW w:w="320"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w:t>
            </w:r>
          </w:p>
        </w:tc>
        <w:tc>
          <w:tcPr>
            <w:tcW w:w="372" w:type="pct"/>
            <w:tcBorders>
              <w:top w:val="nil"/>
              <w:left w:val="nil"/>
              <w:bottom w:val="single" w:sz="4" w:space="0" w:color="auto"/>
              <w:right w:val="nil"/>
            </w:tcBorders>
            <w:shd w:val="clear" w:color="auto" w:fill="auto"/>
            <w:noWrap/>
            <w:vAlign w:val="center"/>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Students per teacher</w:t>
            </w:r>
          </w:p>
        </w:tc>
      </w:tr>
      <w:tr w:rsidR="00E21437" w:rsidRPr="008F3531" w:rsidTr="00AB54CD">
        <w:trPr>
          <w:trHeight w:val="300"/>
          <w:jc w:val="center"/>
        </w:trPr>
        <w:tc>
          <w:tcPr>
            <w:tcW w:w="48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30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161</w:t>
            </w:r>
          </w:p>
        </w:tc>
        <w:tc>
          <w:tcPr>
            <w:tcW w:w="37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763</w:t>
            </w:r>
          </w:p>
        </w:tc>
        <w:tc>
          <w:tcPr>
            <w:tcW w:w="408"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903</w:t>
            </w:r>
          </w:p>
        </w:tc>
        <w:tc>
          <w:tcPr>
            <w:tcW w:w="40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1577</w:t>
            </w:r>
          </w:p>
        </w:tc>
        <w:tc>
          <w:tcPr>
            <w:tcW w:w="354"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68499</w:t>
            </w:r>
          </w:p>
        </w:tc>
        <w:tc>
          <w:tcPr>
            <w:tcW w:w="32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43</w:t>
            </w:r>
          </w:p>
        </w:tc>
        <w:tc>
          <w:tcPr>
            <w:tcW w:w="219" w:type="pct"/>
            <w:tcBorders>
              <w:top w:val="single" w:sz="4" w:space="0" w:color="auto"/>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single" w:sz="4" w:space="0" w:color="auto"/>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168</w:t>
            </w:r>
          </w:p>
        </w:tc>
        <w:tc>
          <w:tcPr>
            <w:tcW w:w="421"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887</w:t>
            </w:r>
          </w:p>
        </w:tc>
        <w:tc>
          <w:tcPr>
            <w:tcW w:w="374"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927</w:t>
            </w:r>
          </w:p>
        </w:tc>
        <w:tc>
          <w:tcPr>
            <w:tcW w:w="32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1562</w:t>
            </w:r>
          </w:p>
        </w:tc>
        <w:tc>
          <w:tcPr>
            <w:tcW w:w="320"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69467</w:t>
            </w:r>
          </w:p>
        </w:tc>
        <w:tc>
          <w:tcPr>
            <w:tcW w:w="372"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44</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Gao</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55</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123</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185</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296</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8432</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28</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58</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188</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195</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297</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9733</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33</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192</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544</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605</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894</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37876</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220</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695</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712</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1008</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45468</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45</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Kidal</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641</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43</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716</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Koulikoro</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241</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772</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891</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1455</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70220</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48</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263</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906</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952</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1588</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76887</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48</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Mopti</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130</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252</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454</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744</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32807</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44</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147</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479</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502</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689</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34294</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50</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 xml:space="preserve">Ségou </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148</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580</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622</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1035</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54783</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53</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171</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678</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710</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1109</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62350</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56</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241</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719</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877</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1462</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70500</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48</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265</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934</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979</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1654</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76540</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46</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Tombouctou</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40</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141</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155</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268</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7979</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30</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156</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159</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257</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8684</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34</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Mali</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1212</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3907</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4708</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7773</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351737</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45</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1339</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4942</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5155</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8207</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384139</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47</w:t>
            </w:r>
          </w:p>
        </w:tc>
      </w:tr>
      <w:tr w:rsidR="00E21437" w:rsidRPr="008F3531" w:rsidTr="00AB54CD">
        <w:trPr>
          <w:trHeight w:val="300"/>
          <w:jc w:val="center"/>
        </w:trPr>
        <w:tc>
          <w:tcPr>
            <w:tcW w:w="48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p>
        </w:tc>
        <w:tc>
          <w:tcPr>
            <w:tcW w:w="307"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9"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08"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07"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54"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219" w:type="pct"/>
            <w:tcBorders>
              <w:top w:val="nil"/>
              <w:left w:val="nil"/>
              <w:bottom w:val="single" w:sz="4" w:space="0" w:color="auto"/>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21"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4"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9"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0"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2"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r>
      <w:tr w:rsidR="00415574" w:rsidRPr="008F3531" w:rsidTr="00415574">
        <w:trPr>
          <w:trHeight w:val="300"/>
          <w:jc w:val="center"/>
        </w:trPr>
        <w:tc>
          <w:tcPr>
            <w:tcW w:w="483"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rPr>
                <w:rFonts w:eastAsia="Times New Roman"/>
                <w:color w:val="000000"/>
                <w:sz w:val="20"/>
                <w:szCs w:val="20"/>
                <w:lang w:val="en-US"/>
              </w:rPr>
            </w:pPr>
          </w:p>
        </w:tc>
        <w:tc>
          <w:tcPr>
            <w:tcW w:w="687" w:type="pct"/>
            <w:gridSpan w:val="2"/>
            <w:tcBorders>
              <w:top w:val="single" w:sz="4" w:space="0" w:color="auto"/>
              <w:left w:val="nil"/>
              <w:bottom w:val="nil"/>
              <w:right w:val="nil"/>
            </w:tcBorders>
            <w:shd w:val="clear" w:color="auto" w:fill="auto"/>
            <w:noWrap/>
            <w:vAlign w:val="bottom"/>
            <w:hideMark/>
          </w:tcPr>
          <w:p w:rsidR="00415574" w:rsidRPr="00E56625" w:rsidRDefault="00415574" w:rsidP="00E56625">
            <w:pPr>
              <w:spacing w:after="0"/>
              <w:rPr>
                <w:rFonts w:eastAsia="Times New Roman"/>
                <w:b/>
                <w:color w:val="000000"/>
                <w:sz w:val="20"/>
                <w:szCs w:val="20"/>
                <w:lang w:val="en-US"/>
              </w:rPr>
            </w:pPr>
            <w:r w:rsidRPr="00E56625">
              <w:rPr>
                <w:rFonts w:eastAsia="Times New Roman"/>
                <w:b/>
                <w:color w:val="000000"/>
                <w:sz w:val="20"/>
                <w:szCs w:val="20"/>
                <w:lang w:val="en-US"/>
              </w:rPr>
              <w:t>2009/10</w:t>
            </w:r>
          </w:p>
        </w:tc>
        <w:tc>
          <w:tcPr>
            <w:tcW w:w="408"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407"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354"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323"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219" w:type="pct"/>
            <w:tcBorders>
              <w:top w:val="single" w:sz="4" w:space="0" w:color="auto"/>
              <w:left w:val="nil"/>
              <w:bottom w:val="nil"/>
              <w:right w:val="single" w:sz="4" w:space="0" w:color="auto"/>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724" w:type="pct"/>
            <w:gridSpan w:val="2"/>
            <w:tcBorders>
              <w:top w:val="single" w:sz="4" w:space="0" w:color="auto"/>
              <w:left w:val="single" w:sz="4" w:space="0" w:color="auto"/>
              <w:bottom w:val="nil"/>
              <w:right w:val="nil"/>
            </w:tcBorders>
            <w:shd w:val="clear" w:color="auto" w:fill="auto"/>
            <w:noWrap/>
            <w:vAlign w:val="bottom"/>
            <w:hideMark/>
          </w:tcPr>
          <w:p w:rsidR="00415574" w:rsidRPr="00E56625" w:rsidRDefault="00415574" w:rsidP="00E56625">
            <w:pPr>
              <w:spacing w:after="0"/>
              <w:rPr>
                <w:rFonts w:eastAsia="Times New Roman"/>
                <w:b/>
                <w:color w:val="000000"/>
                <w:sz w:val="20"/>
                <w:szCs w:val="20"/>
                <w:lang w:val="en-US"/>
              </w:rPr>
            </w:pPr>
            <w:r w:rsidRPr="00E56625">
              <w:rPr>
                <w:rFonts w:eastAsia="Times New Roman"/>
                <w:b/>
                <w:color w:val="000000"/>
                <w:sz w:val="20"/>
                <w:szCs w:val="20"/>
                <w:lang w:val="en-US"/>
              </w:rPr>
              <w:t>2010/11</w:t>
            </w:r>
          </w:p>
        </w:tc>
        <w:tc>
          <w:tcPr>
            <w:tcW w:w="374"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329"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320"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c>
          <w:tcPr>
            <w:tcW w:w="372" w:type="pct"/>
            <w:tcBorders>
              <w:top w:val="single" w:sz="4" w:space="0" w:color="auto"/>
              <w:left w:val="nil"/>
              <w:bottom w:val="nil"/>
              <w:right w:val="nil"/>
            </w:tcBorders>
            <w:shd w:val="clear" w:color="auto" w:fill="auto"/>
            <w:noWrap/>
            <w:vAlign w:val="bottom"/>
            <w:hideMark/>
          </w:tcPr>
          <w:p w:rsidR="00415574" w:rsidRPr="00E56625" w:rsidRDefault="00415574" w:rsidP="00B3325F">
            <w:pPr>
              <w:spacing w:after="0"/>
              <w:jc w:val="center"/>
              <w:rPr>
                <w:rFonts w:eastAsia="Times New Roman"/>
                <w:color w:val="000000"/>
                <w:sz w:val="20"/>
                <w:szCs w:val="20"/>
                <w:lang w:val="en-US"/>
              </w:rPr>
            </w:pP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174</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933</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960</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1626</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73364</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45</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189</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925</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989</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1536</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80395</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52</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Gao</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197</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205</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375</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11094</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30</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217</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226</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382</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12218</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32</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247</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788</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802</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1213</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50990</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262</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852</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862</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1286</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54512</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Kidal</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49</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847</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86</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981</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Koulikoro</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295</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982</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1042</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1716</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81304</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47</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336</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1119</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1178</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2165</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87617</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40</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Mopti</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169</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576</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586</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865</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40832</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47</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200</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653</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666</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1030</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43538</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 xml:space="preserve">Ségou </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184</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727</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742</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1316</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70079</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53</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201</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813</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838</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1339</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80140</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60</w:t>
            </w:r>
          </w:p>
        </w:tc>
      </w:tr>
      <w:tr w:rsidR="00E21437" w:rsidRPr="008F3531" w:rsidTr="00AB54CD">
        <w:trPr>
          <w:trHeight w:val="300"/>
          <w:jc w:val="center"/>
        </w:trPr>
        <w:tc>
          <w:tcPr>
            <w:tcW w:w="483"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3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290</w:t>
            </w:r>
          </w:p>
        </w:tc>
        <w:tc>
          <w:tcPr>
            <w:tcW w:w="37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1000</w:t>
            </w:r>
          </w:p>
        </w:tc>
        <w:tc>
          <w:tcPr>
            <w:tcW w:w="408"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1052</w:t>
            </w:r>
          </w:p>
        </w:tc>
        <w:tc>
          <w:tcPr>
            <w:tcW w:w="407"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1860</w:t>
            </w:r>
          </w:p>
        </w:tc>
        <w:tc>
          <w:tcPr>
            <w:tcW w:w="35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84862</w:t>
            </w:r>
          </w:p>
        </w:tc>
        <w:tc>
          <w:tcPr>
            <w:tcW w:w="32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46</w:t>
            </w:r>
          </w:p>
        </w:tc>
        <w:tc>
          <w:tcPr>
            <w:tcW w:w="219" w:type="pct"/>
            <w:tcBorders>
              <w:top w:val="nil"/>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334</w:t>
            </w:r>
          </w:p>
        </w:tc>
        <w:tc>
          <w:tcPr>
            <w:tcW w:w="421"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1147</w:t>
            </w:r>
          </w:p>
        </w:tc>
        <w:tc>
          <w:tcPr>
            <w:tcW w:w="374"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1201</w:t>
            </w:r>
          </w:p>
        </w:tc>
        <w:tc>
          <w:tcPr>
            <w:tcW w:w="329"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1961</w:t>
            </w:r>
          </w:p>
        </w:tc>
        <w:tc>
          <w:tcPr>
            <w:tcW w:w="320"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95424</w:t>
            </w:r>
          </w:p>
        </w:tc>
        <w:tc>
          <w:tcPr>
            <w:tcW w:w="37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49</w:t>
            </w:r>
          </w:p>
        </w:tc>
      </w:tr>
      <w:tr w:rsidR="00E21437" w:rsidRPr="008F3531" w:rsidTr="00AB54CD">
        <w:trPr>
          <w:trHeight w:val="300"/>
          <w:jc w:val="center"/>
        </w:trPr>
        <w:tc>
          <w:tcPr>
            <w:tcW w:w="483" w:type="pct"/>
            <w:tcBorders>
              <w:top w:val="nil"/>
              <w:left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Tombouctou</w:t>
            </w:r>
          </w:p>
        </w:tc>
        <w:tc>
          <w:tcPr>
            <w:tcW w:w="307"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48</w:t>
            </w:r>
          </w:p>
        </w:tc>
        <w:tc>
          <w:tcPr>
            <w:tcW w:w="379"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187</w:t>
            </w:r>
          </w:p>
        </w:tc>
        <w:tc>
          <w:tcPr>
            <w:tcW w:w="408"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187</w:t>
            </w:r>
          </w:p>
        </w:tc>
        <w:tc>
          <w:tcPr>
            <w:tcW w:w="407"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337</w:t>
            </w:r>
          </w:p>
        </w:tc>
        <w:tc>
          <w:tcPr>
            <w:tcW w:w="354"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9266</w:t>
            </w:r>
          </w:p>
        </w:tc>
        <w:tc>
          <w:tcPr>
            <w:tcW w:w="323"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27</w:t>
            </w:r>
          </w:p>
        </w:tc>
        <w:tc>
          <w:tcPr>
            <w:tcW w:w="219" w:type="pct"/>
            <w:tcBorders>
              <w:top w:val="nil"/>
              <w:left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53</w:t>
            </w:r>
          </w:p>
        </w:tc>
        <w:tc>
          <w:tcPr>
            <w:tcW w:w="421"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201</w:t>
            </w:r>
          </w:p>
        </w:tc>
        <w:tc>
          <w:tcPr>
            <w:tcW w:w="374"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203</w:t>
            </w:r>
          </w:p>
        </w:tc>
        <w:tc>
          <w:tcPr>
            <w:tcW w:w="329"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379</w:t>
            </w:r>
          </w:p>
        </w:tc>
        <w:tc>
          <w:tcPr>
            <w:tcW w:w="320"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9758</w:t>
            </w:r>
          </w:p>
        </w:tc>
        <w:tc>
          <w:tcPr>
            <w:tcW w:w="372"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w:t>
            </w:r>
          </w:p>
        </w:tc>
      </w:tr>
      <w:tr w:rsidR="00E21437" w:rsidRPr="008F3531" w:rsidTr="00AB54CD">
        <w:trPr>
          <w:trHeight w:val="300"/>
          <w:jc w:val="center"/>
        </w:trPr>
        <w:tc>
          <w:tcPr>
            <w:tcW w:w="48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Mali</w:t>
            </w:r>
          </w:p>
        </w:tc>
        <w:tc>
          <w:tcPr>
            <w:tcW w:w="307"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1477</w:t>
            </w:r>
          </w:p>
        </w:tc>
        <w:tc>
          <w:tcPr>
            <w:tcW w:w="379"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5409</w:t>
            </w:r>
          </w:p>
        </w:tc>
        <w:tc>
          <w:tcPr>
            <w:tcW w:w="408"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5595</w:t>
            </w:r>
          </w:p>
        </w:tc>
        <w:tc>
          <w:tcPr>
            <w:tcW w:w="407"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9357</w:t>
            </w:r>
          </w:p>
        </w:tc>
        <w:tc>
          <w:tcPr>
            <w:tcW w:w="354"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422638</w:t>
            </w:r>
          </w:p>
        </w:tc>
        <w:tc>
          <w:tcPr>
            <w:tcW w:w="32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45</w:t>
            </w:r>
          </w:p>
        </w:tc>
        <w:tc>
          <w:tcPr>
            <w:tcW w:w="219" w:type="pct"/>
            <w:tcBorders>
              <w:top w:val="nil"/>
              <w:left w:val="nil"/>
              <w:bottom w:val="single" w:sz="4" w:space="0" w:color="auto"/>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nil"/>
              <w:left w:val="single" w:sz="4" w:space="0" w:color="auto"/>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1650</w:t>
            </w:r>
          </w:p>
        </w:tc>
        <w:tc>
          <w:tcPr>
            <w:tcW w:w="421"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5946</w:t>
            </w:r>
          </w:p>
        </w:tc>
        <w:tc>
          <w:tcPr>
            <w:tcW w:w="374"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6182</w:t>
            </w:r>
          </w:p>
        </w:tc>
        <w:tc>
          <w:tcPr>
            <w:tcW w:w="329"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10164</w:t>
            </w:r>
          </w:p>
        </w:tc>
        <w:tc>
          <w:tcPr>
            <w:tcW w:w="320"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464583</w:t>
            </w:r>
          </w:p>
        </w:tc>
        <w:tc>
          <w:tcPr>
            <w:tcW w:w="372"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46</w:t>
            </w:r>
          </w:p>
        </w:tc>
      </w:tr>
      <w:tr w:rsidR="00E21437" w:rsidRPr="008F3531" w:rsidTr="00AB54CD">
        <w:trPr>
          <w:trHeight w:val="300"/>
          <w:jc w:val="center"/>
        </w:trPr>
        <w:tc>
          <w:tcPr>
            <w:tcW w:w="48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p>
        </w:tc>
        <w:tc>
          <w:tcPr>
            <w:tcW w:w="30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08"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07"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54"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219" w:type="pct"/>
            <w:tcBorders>
              <w:top w:val="single" w:sz="4" w:space="0" w:color="auto"/>
              <w:left w:val="nil"/>
              <w:bottom w:val="nil"/>
              <w:right w:val="single" w:sz="4" w:space="0" w:color="auto"/>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03" w:type="pct"/>
            <w:tcBorders>
              <w:top w:val="single" w:sz="4" w:space="0" w:color="auto"/>
              <w:left w:val="single" w:sz="4" w:space="0" w:color="auto"/>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421"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4"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20"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c>
          <w:tcPr>
            <w:tcW w:w="372"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p>
        </w:tc>
      </w:tr>
    </w:tbl>
    <w:p w:rsidR="00E21437" w:rsidRPr="00E56625" w:rsidRDefault="00E21437" w:rsidP="00AB54CD">
      <w:pPr>
        <w:spacing w:after="0"/>
        <w:ind w:left="-540"/>
        <w:rPr>
          <w:sz w:val="20"/>
          <w:szCs w:val="20"/>
          <w:lang w:val="en-US"/>
        </w:rPr>
      </w:pPr>
      <w:r w:rsidRPr="00E56625">
        <w:rPr>
          <w:sz w:val="20"/>
          <w:szCs w:val="20"/>
          <w:lang w:val="en-US"/>
        </w:rPr>
        <w:t>Source: Ministry of Education, various statistical yearbooks.</w:t>
      </w:r>
    </w:p>
    <w:p w:rsidR="00E21437" w:rsidRPr="00E56625" w:rsidRDefault="00E21437" w:rsidP="00E21437">
      <w:pPr>
        <w:rPr>
          <w:lang w:val="en-US"/>
        </w:rPr>
      </w:pPr>
    </w:p>
    <w:p w:rsidR="00E21437" w:rsidRPr="00E56625" w:rsidRDefault="00E21437" w:rsidP="00E21437">
      <w:pPr>
        <w:rPr>
          <w:lang w:val="en-US"/>
        </w:rPr>
      </w:pPr>
      <w:r w:rsidRPr="00E56625">
        <w:rPr>
          <w:lang w:val="en-US"/>
        </w:rPr>
        <w:br w:type="page"/>
      </w:r>
    </w:p>
    <w:p w:rsidR="00E21437" w:rsidRPr="008F3531" w:rsidRDefault="00AB54CD" w:rsidP="00AB54CD">
      <w:pPr>
        <w:pStyle w:val="Caption"/>
        <w:rPr>
          <w:b w:val="0"/>
        </w:rPr>
      </w:pPr>
      <w:bookmarkStart w:id="113" w:name="_Toc390956291"/>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3</w:t>
      </w:r>
      <w:r w:rsidR="00943E46" w:rsidRPr="00E56625">
        <w:rPr>
          <w:noProof/>
        </w:rPr>
        <w:fldChar w:fldCharType="end"/>
      </w:r>
      <w:r w:rsidR="00E21437" w:rsidRPr="008F3531">
        <w:rPr>
          <w:b w:val="0"/>
        </w:rPr>
        <w:t>: Percent of population living within a certain distance from a school</w:t>
      </w:r>
      <w:bookmarkEnd w:id="113"/>
      <w:r w:rsidR="00E21437" w:rsidRPr="008F3531">
        <w:rPr>
          <w:b w:val="0"/>
        </w:rPr>
        <w:t xml:space="preserve"> </w:t>
      </w:r>
    </w:p>
    <w:tbl>
      <w:tblPr>
        <w:tblW w:w="5000" w:type="pct"/>
        <w:jc w:val="center"/>
        <w:tblLook w:val="04A0" w:firstRow="1" w:lastRow="0" w:firstColumn="1" w:lastColumn="0" w:noHBand="0" w:noVBand="1"/>
      </w:tblPr>
      <w:tblGrid>
        <w:gridCol w:w="2253"/>
        <w:gridCol w:w="1173"/>
        <w:gridCol w:w="1589"/>
        <w:gridCol w:w="1589"/>
        <w:gridCol w:w="1589"/>
        <w:gridCol w:w="1589"/>
        <w:gridCol w:w="1589"/>
        <w:gridCol w:w="1589"/>
      </w:tblGrid>
      <w:tr w:rsidR="00E21437" w:rsidRPr="008F3531" w:rsidTr="00AB54CD">
        <w:trPr>
          <w:trHeight w:val="300"/>
          <w:jc w:val="center"/>
        </w:trPr>
        <w:tc>
          <w:tcPr>
            <w:tcW w:w="869"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rPr>
                <w:rFonts w:eastAsia="Times New Roman"/>
                <w:b/>
                <w:color w:val="000000"/>
                <w:sz w:val="20"/>
                <w:szCs w:val="20"/>
                <w:lang w:val="en-US"/>
              </w:rPr>
            </w:pPr>
          </w:p>
        </w:tc>
        <w:tc>
          <w:tcPr>
            <w:tcW w:w="452"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&lt;= 1km</w:t>
            </w:r>
          </w:p>
        </w:tc>
        <w:tc>
          <w:tcPr>
            <w:tcW w:w="613"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&lt;= 2 km</w:t>
            </w:r>
          </w:p>
        </w:tc>
        <w:tc>
          <w:tcPr>
            <w:tcW w:w="613"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&lt;= 3 km</w:t>
            </w:r>
          </w:p>
        </w:tc>
        <w:tc>
          <w:tcPr>
            <w:tcW w:w="613"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&lt;= 4 km</w:t>
            </w:r>
          </w:p>
        </w:tc>
        <w:tc>
          <w:tcPr>
            <w:tcW w:w="613"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&lt;= 5km</w:t>
            </w:r>
          </w:p>
        </w:tc>
        <w:tc>
          <w:tcPr>
            <w:tcW w:w="613"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&lt;=10km</w:t>
            </w:r>
          </w:p>
        </w:tc>
        <w:tc>
          <w:tcPr>
            <w:tcW w:w="613" w:type="pct"/>
            <w:tcBorders>
              <w:top w:val="single" w:sz="4" w:space="0" w:color="auto"/>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&lt;=20km</w:t>
            </w:r>
          </w:p>
        </w:tc>
      </w:tr>
      <w:tr w:rsidR="00E21437" w:rsidRPr="008F3531" w:rsidTr="00AB54CD">
        <w:trPr>
          <w:trHeight w:val="300"/>
          <w:jc w:val="center"/>
        </w:trPr>
        <w:tc>
          <w:tcPr>
            <w:tcW w:w="869"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Kayes</w:t>
            </w:r>
          </w:p>
        </w:tc>
        <w:tc>
          <w:tcPr>
            <w:tcW w:w="452"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83%</w:t>
            </w:r>
          </w:p>
        </w:tc>
        <w:tc>
          <w:tcPr>
            <w:tcW w:w="61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87%</w:t>
            </w:r>
          </w:p>
        </w:tc>
        <w:tc>
          <w:tcPr>
            <w:tcW w:w="61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90%</w:t>
            </w:r>
          </w:p>
        </w:tc>
        <w:tc>
          <w:tcPr>
            <w:tcW w:w="61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92%</w:t>
            </w:r>
          </w:p>
        </w:tc>
        <w:tc>
          <w:tcPr>
            <w:tcW w:w="61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94%</w:t>
            </w:r>
          </w:p>
        </w:tc>
        <w:tc>
          <w:tcPr>
            <w:tcW w:w="61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99%</w:t>
            </w:r>
          </w:p>
        </w:tc>
        <w:tc>
          <w:tcPr>
            <w:tcW w:w="613" w:type="pct"/>
            <w:tcBorders>
              <w:top w:val="single" w:sz="4" w:space="0" w:color="auto"/>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r w:rsidR="00E21437" w:rsidRPr="008F3531" w:rsidTr="00AB54CD">
        <w:trPr>
          <w:trHeight w:val="300"/>
          <w:jc w:val="center"/>
        </w:trPr>
        <w:tc>
          <w:tcPr>
            <w:tcW w:w="869"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Koulikoro</w:t>
            </w:r>
          </w:p>
        </w:tc>
        <w:tc>
          <w:tcPr>
            <w:tcW w:w="45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86%</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90%</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93%</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95%</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99%</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r w:rsidR="00E21437" w:rsidRPr="008F3531" w:rsidTr="00AB54CD">
        <w:trPr>
          <w:trHeight w:val="300"/>
          <w:jc w:val="center"/>
        </w:trPr>
        <w:tc>
          <w:tcPr>
            <w:tcW w:w="869"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Sikasso</w:t>
            </w:r>
          </w:p>
        </w:tc>
        <w:tc>
          <w:tcPr>
            <w:tcW w:w="45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88%</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91%</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93%</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96%</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98%</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r w:rsidR="00E21437" w:rsidRPr="008F3531" w:rsidTr="00AB54CD">
        <w:trPr>
          <w:trHeight w:val="300"/>
          <w:jc w:val="center"/>
        </w:trPr>
        <w:tc>
          <w:tcPr>
            <w:tcW w:w="869"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Segou</w:t>
            </w:r>
          </w:p>
        </w:tc>
        <w:tc>
          <w:tcPr>
            <w:tcW w:w="45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78%</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84%</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91%</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95%</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99%</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r w:rsidR="00E21437" w:rsidRPr="008F3531" w:rsidTr="00AB54CD">
        <w:trPr>
          <w:trHeight w:val="300"/>
          <w:jc w:val="center"/>
        </w:trPr>
        <w:tc>
          <w:tcPr>
            <w:tcW w:w="869"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Mopti</w:t>
            </w:r>
          </w:p>
        </w:tc>
        <w:tc>
          <w:tcPr>
            <w:tcW w:w="45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64%</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71%</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77%</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83%</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87%</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98%</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r w:rsidR="00E21437" w:rsidRPr="008F3531" w:rsidTr="00AB54CD">
        <w:trPr>
          <w:trHeight w:val="300"/>
          <w:jc w:val="center"/>
        </w:trPr>
        <w:tc>
          <w:tcPr>
            <w:tcW w:w="869"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Tombouctou</w:t>
            </w:r>
          </w:p>
        </w:tc>
        <w:tc>
          <w:tcPr>
            <w:tcW w:w="45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66%</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68%</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74%</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80%</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83%</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91%</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r w:rsidR="00E21437" w:rsidRPr="008F3531" w:rsidTr="00AB54CD">
        <w:trPr>
          <w:trHeight w:val="300"/>
          <w:jc w:val="center"/>
        </w:trPr>
        <w:tc>
          <w:tcPr>
            <w:tcW w:w="869" w:type="pct"/>
            <w:tcBorders>
              <w:top w:val="nil"/>
              <w:left w:val="nil"/>
              <w:bottom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Gao</w:t>
            </w:r>
          </w:p>
        </w:tc>
        <w:tc>
          <w:tcPr>
            <w:tcW w:w="452"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81%</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88%</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91%</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96%</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r w:rsidR="00E21437" w:rsidRPr="008F3531" w:rsidTr="00AB54CD">
        <w:trPr>
          <w:trHeight w:val="300"/>
          <w:jc w:val="center"/>
        </w:trPr>
        <w:tc>
          <w:tcPr>
            <w:tcW w:w="869" w:type="pct"/>
            <w:tcBorders>
              <w:top w:val="nil"/>
              <w:left w:val="nil"/>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Kidal</w:t>
            </w:r>
          </w:p>
        </w:tc>
        <w:tc>
          <w:tcPr>
            <w:tcW w:w="452"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65%</w:t>
            </w:r>
          </w:p>
        </w:tc>
        <w:tc>
          <w:tcPr>
            <w:tcW w:w="613"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w:t>
            </w:r>
          </w:p>
        </w:tc>
        <w:tc>
          <w:tcPr>
            <w:tcW w:w="613"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70%</w:t>
            </w:r>
          </w:p>
        </w:tc>
        <w:tc>
          <w:tcPr>
            <w:tcW w:w="613"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92%</w:t>
            </w:r>
          </w:p>
        </w:tc>
        <w:tc>
          <w:tcPr>
            <w:tcW w:w="613"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92%</w:t>
            </w:r>
          </w:p>
        </w:tc>
        <w:tc>
          <w:tcPr>
            <w:tcW w:w="613"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92%</w:t>
            </w:r>
          </w:p>
        </w:tc>
        <w:tc>
          <w:tcPr>
            <w:tcW w:w="613" w:type="pct"/>
            <w:tcBorders>
              <w:top w:val="nil"/>
              <w:left w:val="nil"/>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w:t>
            </w:r>
          </w:p>
        </w:tc>
      </w:tr>
      <w:tr w:rsidR="00E21437" w:rsidRPr="008F3531" w:rsidTr="00AB54CD">
        <w:trPr>
          <w:trHeight w:val="300"/>
          <w:jc w:val="center"/>
        </w:trPr>
        <w:tc>
          <w:tcPr>
            <w:tcW w:w="869"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rPr>
                <w:rFonts w:eastAsia="Times New Roman"/>
                <w:color w:val="000000"/>
                <w:sz w:val="20"/>
                <w:szCs w:val="20"/>
                <w:lang w:val="en-US"/>
              </w:rPr>
            </w:pPr>
            <w:r w:rsidRPr="00E56625">
              <w:rPr>
                <w:rFonts w:eastAsia="Times New Roman"/>
                <w:color w:val="000000"/>
                <w:sz w:val="20"/>
                <w:szCs w:val="20"/>
                <w:lang w:val="en-US"/>
              </w:rPr>
              <w:t>Bamako</w:t>
            </w:r>
          </w:p>
        </w:tc>
        <w:tc>
          <w:tcPr>
            <w:tcW w:w="452"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c>
          <w:tcPr>
            <w:tcW w:w="613" w:type="pct"/>
            <w:tcBorders>
              <w:top w:val="nil"/>
              <w:left w:val="nil"/>
              <w:bottom w:val="single" w:sz="4" w:space="0" w:color="auto"/>
              <w:right w:val="nil"/>
            </w:tcBorders>
            <w:shd w:val="clear" w:color="auto" w:fill="auto"/>
            <w:noWrap/>
            <w:vAlign w:val="bottom"/>
            <w:hideMark/>
          </w:tcPr>
          <w:p w:rsidR="00E21437" w:rsidRPr="00E56625" w:rsidRDefault="00E21437"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100%</w:t>
            </w:r>
          </w:p>
        </w:tc>
      </w:tr>
    </w:tbl>
    <w:p w:rsidR="00E21437" w:rsidRPr="00E56625" w:rsidRDefault="00E21437" w:rsidP="005078D7">
      <w:pPr>
        <w:spacing w:after="0"/>
        <w:rPr>
          <w:sz w:val="20"/>
          <w:szCs w:val="20"/>
          <w:lang w:val="en-US"/>
        </w:rPr>
      </w:pPr>
      <w:r w:rsidRPr="00E56625">
        <w:rPr>
          <w:sz w:val="20"/>
          <w:szCs w:val="20"/>
          <w:lang w:val="en-US"/>
        </w:rPr>
        <w:t>Source: RGPH 2009. Authors’</w:t>
      </w:r>
      <w:r w:rsidR="00BE7EE5" w:rsidRPr="00E56625">
        <w:rPr>
          <w:sz w:val="20"/>
          <w:szCs w:val="20"/>
          <w:lang w:val="en-US"/>
        </w:rPr>
        <w:t xml:space="preserve"> </w:t>
      </w:r>
      <w:r w:rsidRPr="00E56625">
        <w:rPr>
          <w:sz w:val="20"/>
          <w:szCs w:val="20"/>
          <w:lang w:val="en-US"/>
        </w:rPr>
        <w:t>calculations</w:t>
      </w:r>
      <w:r w:rsidR="00AB54CD" w:rsidRPr="00E56625">
        <w:rPr>
          <w:sz w:val="20"/>
          <w:szCs w:val="20"/>
          <w:lang w:val="en-US"/>
        </w:rPr>
        <w:t>.</w:t>
      </w:r>
    </w:p>
    <w:p w:rsidR="00E21437" w:rsidRPr="00E56625" w:rsidRDefault="00E21437" w:rsidP="00E21437">
      <w:pPr>
        <w:rPr>
          <w:lang w:val="en-US"/>
        </w:rPr>
      </w:pPr>
      <w:r w:rsidRPr="00E56625">
        <w:rPr>
          <w:lang w:val="en-US"/>
        </w:rPr>
        <w:br w:type="page"/>
      </w:r>
    </w:p>
    <w:p w:rsidR="00E21437" w:rsidRPr="00E56625" w:rsidRDefault="00E21437" w:rsidP="00E21437">
      <w:pPr>
        <w:rPr>
          <w:lang w:val="en-US"/>
        </w:rPr>
        <w:sectPr w:rsidR="00E21437" w:rsidRPr="00E56625" w:rsidSect="00B3325F">
          <w:pgSz w:w="15840" w:h="12240" w:orient="landscape"/>
          <w:pgMar w:top="1440" w:right="1440" w:bottom="1440" w:left="1440" w:header="720" w:footer="720" w:gutter="0"/>
          <w:cols w:space="720"/>
          <w:docGrid w:linePitch="360"/>
        </w:sectPr>
      </w:pPr>
    </w:p>
    <w:p w:rsidR="00E21437" w:rsidRPr="00E56625" w:rsidRDefault="00E21437" w:rsidP="003D20DD">
      <w:pPr>
        <w:pStyle w:val="Heading2"/>
        <w:numPr>
          <w:ilvl w:val="0"/>
          <w:numId w:val="10"/>
        </w:numPr>
        <w:spacing w:before="0"/>
        <w:ind w:left="540" w:hanging="540"/>
        <w:rPr>
          <w:rFonts w:ascii="Times New Roman Bold" w:hAnsi="Times New Roman Bold" w:cs="Times New Roman"/>
          <w:color w:val="000000" w:themeColor="text1"/>
          <w:sz w:val="22"/>
          <w:szCs w:val="22"/>
          <w:lang w:val="en-US"/>
        </w:rPr>
      </w:pPr>
      <w:bookmarkStart w:id="114" w:name="_Toc419468562"/>
      <w:r w:rsidRPr="00E56625">
        <w:rPr>
          <w:rFonts w:ascii="Times New Roman Bold" w:hAnsi="Times New Roman Bold" w:cs="Times New Roman"/>
          <w:color w:val="000000" w:themeColor="text1"/>
          <w:sz w:val="22"/>
          <w:szCs w:val="22"/>
          <w:lang w:val="en-US"/>
        </w:rPr>
        <w:t>Electricity</w:t>
      </w:r>
      <w:bookmarkEnd w:id="114"/>
    </w:p>
    <w:p w:rsidR="00E21437" w:rsidRPr="008F3531" w:rsidRDefault="00E21437" w:rsidP="0004705A">
      <w:pPr>
        <w:pStyle w:val="paranumb"/>
        <w:spacing w:after="200"/>
        <w:rPr>
          <w:rFonts w:cs="Times New Roman"/>
          <w:szCs w:val="24"/>
        </w:rPr>
      </w:pPr>
      <w:r w:rsidRPr="008F3531">
        <w:rPr>
          <w:rFonts w:cs="Times New Roman"/>
          <w:szCs w:val="24"/>
        </w:rPr>
        <w:t xml:space="preserve">More than education, access to electricity is complicated by the large investments in generating capacity and a distribution network that it requires. It is unsurprising that access to electricity is unequal and that access is closely associated to areas with high population density. As Table 2.4 already demonstrated, only 1 percent of households in villages have access to electricity, 8 percent in rural towns, 17 percent in towns and about 45 percent of the population in cities. Access to electricity is highest in Bamako where 68 percent of households have access. </w:t>
      </w:r>
    </w:p>
    <w:p w:rsidR="00E21437" w:rsidRPr="008F3531" w:rsidRDefault="00E21437" w:rsidP="0004705A">
      <w:pPr>
        <w:pStyle w:val="paranumb"/>
        <w:spacing w:after="200"/>
      </w:pPr>
      <w:r w:rsidRPr="008F3531">
        <w:rPr>
          <w:rFonts w:cs="Times New Roman"/>
          <w:szCs w:val="24"/>
        </w:rPr>
        <w:t>The ability to use electricity remains a crucial dimension of growth and poverty reduction. It is encouraging that between 2001 and 2010 access to electricity increased from about 9 percent nationwide to around 24 percen</w:t>
      </w:r>
      <w:r w:rsidR="00BE7EE5" w:rsidRPr="008F3531">
        <w:rPr>
          <w:rFonts w:cs="Times New Roman"/>
          <w:szCs w:val="24"/>
        </w:rPr>
        <w:t>t.</w:t>
      </w:r>
      <w:r w:rsidRPr="008F3531">
        <w:rPr>
          <w:rFonts w:cs="Times New Roman"/>
          <w:szCs w:val="24"/>
          <w:vertAlign w:val="superscript"/>
        </w:rPr>
        <w:footnoteReference w:id="49"/>
      </w:r>
      <w:r w:rsidR="005C323F" w:rsidRPr="008F3531">
        <w:rPr>
          <w:vertAlign w:val="superscript"/>
        </w:rPr>
        <w:t xml:space="preserve"> </w:t>
      </w:r>
      <w:r w:rsidRPr="008F3531">
        <w:t xml:space="preserve"> Urban and rural areas have both seen their access increase.  In urban areas, access has more than doubled from 28 percent in 2001 to 60 percent in 2010. In rural areas it started from a much lower base and access quadrupled (from 2.4 to 11.0 percent). The increase in rural areas remains strongly associated to rural towns; access in Mali’s 10,000 villages remains negligible. </w:t>
      </w:r>
    </w:p>
    <w:p w:rsidR="00E21437" w:rsidRPr="00E56625" w:rsidRDefault="00B36297" w:rsidP="00B36297">
      <w:pPr>
        <w:pStyle w:val="Caption"/>
        <w:rPr>
          <w:rStyle w:val="StyleMainParawithChapter11ptChar"/>
          <w:rFonts w:eastAsiaTheme="minorHAnsi"/>
          <w:b w:val="0"/>
        </w:rPr>
      </w:pPr>
      <w:bookmarkStart w:id="115" w:name="_Toc390956421"/>
      <w:r w:rsidRPr="00E56625">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8</w:t>
      </w:r>
      <w:r w:rsidR="00943E46" w:rsidRPr="00E56625">
        <w:rPr>
          <w:noProof/>
        </w:rPr>
        <w:fldChar w:fldCharType="end"/>
      </w:r>
      <w:r w:rsidR="00E21437" w:rsidRPr="008F3531">
        <w:t>: Number of households with access to electricity, by consumption quintile</w:t>
      </w:r>
      <w:bookmarkEnd w:id="115"/>
    </w:p>
    <w:p w:rsidR="00E21437" w:rsidRPr="00E56625" w:rsidRDefault="00E21437" w:rsidP="00411378">
      <w:pPr>
        <w:spacing w:after="0"/>
        <w:jc w:val="center"/>
        <w:rPr>
          <w:sz w:val="20"/>
          <w:szCs w:val="20"/>
          <w:lang w:val="en-US"/>
        </w:rPr>
      </w:pPr>
      <w:r w:rsidRPr="00E56625">
        <w:rPr>
          <w:noProof/>
          <w:lang w:val="en-US"/>
        </w:rPr>
        <w:drawing>
          <wp:inline distT="0" distB="0" distL="0" distR="0" wp14:anchorId="795F2C0C" wp14:editId="5329C1BE">
            <wp:extent cx="5773271" cy="3191435"/>
            <wp:effectExtent l="0" t="0" r="18415" b="952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21437" w:rsidRPr="00E56625" w:rsidRDefault="00445CFA" w:rsidP="005078D7">
      <w:pPr>
        <w:spacing w:after="0"/>
        <w:rPr>
          <w:sz w:val="20"/>
          <w:szCs w:val="20"/>
          <w:lang w:val="en-US"/>
        </w:rPr>
      </w:pPr>
      <w:r w:rsidRPr="00E56625">
        <w:rPr>
          <w:sz w:val="20"/>
          <w:szCs w:val="20"/>
          <w:lang w:val="en-US"/>
        </w:rPr>
        <w:t xml:space="preserve"> </w:t>
      </w:r>
      <w:r w:rsidR="00E21437" w:rsidRPr="00E56625">
        <w:rPr>
          <w:sz w:val="20"/>
          <w:szCs w:val="20"/>
          <w:lang w:val="en-US"/>
        </w:rPr>
        <w:t>Source: ELIM 2010. Authors’ calculations</w:t>
      </w:r>
      <w:r w:rsidR="00411378" w:rsidRPr="00E56625">
        <w:rPr>
          <w:sz w:val="20"/>
          <w:szCs w:val="20"/>
          <w:lang w:val="en-US"/>
        </w:rPr>
        <w:t>.</w:t>
      </w:r>
    </w:p>
    <w:p w:rsidR="00411378" w:rsidRPr="00E56625" w:rsidRDefault="00411378" w:rsidP="005078D7">
      <w:pPr>
        <w:spacing w:after="0"/>
        <w:rPr>
          <w:lang w:val="en-US"/>
        </w:rPr>
      </w:pPr>
    </w:p>
    <w:p w:rsidR="00E21437" w:rsidRPr="008F3531" w:rsidRDefault="00E21437" w:rsidP="0004705A">
      <w:pPr>
        <w:pStyle w:val="paranumb"/>
        <w:spacing w:after="200"/>
      </w:pPr>
      <w:r w:rsidRPr="008F3531">
        <w:t xml:space="preserve">The upward trend in access to electricity benefited households in the lower wealth quintiles more than the richer ones but at 3 percent the poorest households still have much less access to </w:t>
      </w:r>
      <w:r w:rsidRPr="008F3531">
        <w:rPr>
          <w:rFonts w:cs="Times New Roman"/>
          <w:szCs w:val="24"/>
        </w:rPr>
        <w:t>electricity</w:t>
      </w:r>
      <w:r w:rsidRPr="008F3531">
        <w:t xml:space="preserve"> than better off households: 62 percent of households in the top wealth quintile have electricity (see Figure 5.8).</w:t>
      </w:r>
    </w:p>
    <w:p w:rsidR="00E21437" w:rsidRPr="008F3531" w:rsidRDefault="00E21437" w:rsidP="0004705A">
      <w:pPr>
        <w:pStyle w:val="paranumb"/>
        <w:spacing w:after="200"/>
      </w:pPr>
      <w:r w:rsidRPr="008F3531">
        <w:rPr>
          <w:rFonts w:cs="Times New Roman"/>
          <w:szCs w:val="24"/>
        </w:rPr>
        <w:t xml:space="preserve">Given the limited access to electricity it is no surprise that the vast majority of formal enterprises is located in Bamako, and if not in Bamako, then in one of the regional capitals. Outside these localities electricity is not available. Even where electricity is available for productive purposes, it is unreliable. Power surges harm equipment and in certain months demand exceeds supply (by as much as 13 percent, February being the worst month) and electricity is rationed through load shedding. </w:t>
      </w:r>
    </w:p>
    <w:p w:rsidR="00E21437" w:rsidRPr="008F3531" w:rsidRDefault="00E21437" w:rsidP="0004705A">
      <w:pPr>
        <w:pStyle w:val="paranumb"/>
        <w:spacing w:after="200"/>
        <w:rPr>
          <w:rFonts w:cs="Times New Roman"/>
          <w:szCs w:val="24"/>
        </w:rPr>
      </w:pPr>
      <w:r w:rsidRPr="008F3531">
        <w:rPr>
          <w:rFonts w:cs="Times New Roman"/>
          <w:szCs w:val="24"/>
        </w:rPr>
        <w:t xml:space="preserve">The challenges facing the electricity sector are threefold. First demand exceeds supply, necessitating load shedding, which in turn has a negative impact on productivity. For future growth it is critical that electricity is not a constraint, hence additional investments in generating capacity are needed. A second problem is that the electricity sector is heavily subsidized. In 2014 alone, a subsidy of FCFA 30 billion has been budgeted to go to EDM. Even with this subsidy, EDM is expected to make a loss of more than FCFA 5 billion (Government of Mali, 2014). The third problem is that electricity is not available in rural areas, delaying growth and the reduction of poverty precisely in areas where most progress is needed.  </w:t>
      </w:r>
    </w:p>
    <w:p w:rsidR="00E21437" w:rsidRPr="008F3531" w:rsidRDefault="00E21437" w:rsidP="0004705A">
      <w:pPr>
        <w:pStyle w:val="paranumb"/>
        <w:spacing w:after="200"/>
        <w:rPr>
          <w:rFonts w:cs="Times New Roman"/>
          <w:szCs w:val="24"/>
        </w:rPr>
      </w:pPr>
      <w:r w:rsidRPr="008F3531">
        <w:rPr>
          <w:rFonts w:cs="Times New Roman"/>
          <w:szCs w:val="24"/>
        </w:rPr>
        <w:t xml:space="preserve">The electricity sector focuses most of its attention to solving the first problem and largely ignores the second and third. But could the (urban) electricity sector not be made financially sustainable without the need for subsidization, and is equitable access to electricity indeed impossible? </w:t>
      </w:r>
    </w:p>
    <w:p w:rsidR="00E21437" w:rsidRPr="008F3531" w:rsidRDefault="00E21437" w:rsidP="0004705A">
      <w:pPr>
        <w:pStyle w:val="paranumb"/>
        <w:spacing w:after="200"/>
        <w:rPr>
          <w:rFonts w:cs="Times New Roman"/>
          <w:szCs w:val="24"/>
        </w:rPr>
      </w:pPr>
      <w:r w:rsidRPr="008F3531">
        <w:rPr>
          <w:rFonts w:cs="Times New Roman"/>
          <w:szCs w:val="24"/>
        </w:rPr>
        <w:t xml:space="preserve">To start with the last question: it depends. If the objective is for all households to access electricity that can be used for productive purposes, and to run heavy equipment like air conditioners, then inequitable access is likely to persist for a long time as the entire nation would have to be hooked up to a network. But if the ambition is formulated in a more realistic way and the objective is for all households to have access to electricity for basic appliances such as lighting, running a radio or charging a mobile phone, then it may be feasible. The reason being that to fulfill this ambition limited investments in generating power and a network have to be made to connect small town while solar powered devices could be offered as an alternative to the majority of the population who resides in rural areas. </w:t>
      </w:r>
    </w:p>
    <w:p w:rsidR="00E21437" w:rsidRPr="008F3531" w:rsidRDefault="00E21437" w:rsidP="0004705A">
      <w:pPr>
        <w:pStyle w:val="paranumb"/>
        <w:spacing w:after="200"/>
        <w:rPr>
          <w:rFonts w:cs="Times New Roman"/>
          <w:szCs w:val="24"/>
        </w:rPr>
      </w:pPr>
      <w:r w:rsidRPr="008F3531">
        <w:rPr>
          <w:rFonts w:cs="Times New Roman"/>
          <w:szCs w:val="24"/>
        </w:rPr>
        <w:t xml:space="preserve">What about subsidies. Could they be abolished? Doing so requires raising the electricity tariff (and reducing the efficiency losses) to a level where financial losses are no longer incurred. Doing so would help reduce the existing capacity problem as private electricity providers may now want to consider producing and selling electricity to the network (as is the case already in rural areas). </w:t>
      </w:r>
    </w:p>
    <w:p w:rsidR="00E21437" w:rsidRPr="00E56625" w:rsidRDefault="00E21437" w:rsidP="0004705A">
      <w:pPr>
        <w:pStyle w:val="paranumb"/>
        <w:spacing w:after="200"/>
      </w:pPr>
      <w:r w:rsidRPr="008F3531">
        <w:rPr>
          <w:b/>
          <w:bCs/>
        </w:rPr>
        <w:t>A</w:t>
      </w:r>
      <w:r w:rsidRPr="008F3531">
        <w:rPr>
          <w:rFonts w:cs="Times New Roman"/>
          <w:szCs w:val="24"/>
        </w:rPr>
        <w:t>bolishing the subsidy and increasing the electricity tariff could have negative consequences for enterprises (who face higher costs) and could lead to increases in (urban) poverty. The impact on enterprises can be expected to be limited as for most spending on electricity does not make up a large share of their cost: load shedding and power surges are typically much more costly. The impact on urban poverty has been shown to be limited, because the share of spending on electricity is limited, because incomes in urban areas are amongst the highest in the country and because the poorest households have limited access to electricity in any case. A paper prepared by the World Bank (2013) demonstrates how the effect of a 6.5 percent tariff increase on poverty would be extremely marginal: an increase in poverty incidence by less than 0.1 percent.</w:t>
      </w:r>
      <w:r w:rsidRPr="00E56625">
        <w:rPr>
          <w:rStyle w:val="FootnoteReference"/>
        </w:rPr>
        <w:footnoteReference w:id="50"/>
      </w:r>
      <w:r w:rsidRPr="00E56625">
        <w:t xml:space="preserve"> </w:t>
      </w:r>
    </w:p>
    <w:p w:rsidR="00E21437" w:rsidRPr="008F3531" w:rsidRDefault="00E21437" w:rsidP="0004705A">
      <w:pPr>
        <w:pStyle w:val="paranumb"/>
        <w:spacing w:after="200"/>
        <w:rPr>
          <w:rFonts w:cs="Times New Roman"/>
          <w:szCs w:val="24"/>
        </w:rPr>
      </w:pPr>
      <w:r w:rsidRPr="008F3531">
        <w:rPr>
          <w:b/>
          <w:bCs/>
        </w:rPr>
        <w:t xml:space="preserve">Raising electricity tariffs might be politically unpalatable, unless a trade-off is proposed that is acceptable: like giving access to electricity to the majority of the population. The subsidy of </w:t>
      </w:r>
      <w:r w:rsidRPr="008F3531">
        <w:rPr>
          <w:rFonts w:cs="Times New Roman"/>
          <w:szCs w:val="24"/>
        </w:rPr>
        <w:t xml:space="preserve">FCFA 30 – 35 billion envisaged for 2014 is sufficient to provide up to 1 million solar units, which could be used for lighting, listening to the radio or charging a mobile phone. One million units would be sufficient to light up rural Mali. Access to a unit could be made conditional on school enrollment, or on visiting a clinic during pregnancy, thus achieving multiple objectives at the same time while solving the problem of what to use as distribution channel. Access to the units would reduce the dependency on kerosene for lighting, would create new economic opportunities as people can work in the evening, would allow children to study at night (and do chores after school?), and could even help establish a new sector of enterprises serving the solar market. </w:t>
      </w:r>
    </w:p>
    <w:p w:rsidR="00E21437" w:rsidRPr="008F3531" w:rsidRDefault="00E21437" w:rsidP="0004705A">
      <w:pPr>
        <w:pStyle w:val="paranumb"/>
        <w:spacing w:after="200"/>
        <w:rPr>
          <w:rFonts w:cs="Times New Roman"/>
          <w:szCs w:val="24"/>
        </w:rPr>
      </w:pPr>
      <w:r w:rsidRPr="008F3531">
        <w:rPr>
          <w:rFonts w:cs="Times New Roman"/>
          <w:szCs w:val="24"/>
        </w:rPr>
        <w:t>In conclusion, there are huge challenges associated to providing access to electricity, which are associated to the high fixed cost of generating and distribution capacity. This section acknowledges these challenges and accepts that the provision of networked electricity will largely be limited to high density, urban areas. At the same time, it is argued that if the objective is to reduce poverty, existing ways of doing business may have to be reviewed and innovative and affordable approaches embraced.</w:t>
      </w:r>
    </w:p>
    <w:p w:rsidR="00E21437" w:rsidRPr="00E56625" w:rsidRDefault="00E21437" w:rsidP="003D20DD">
      <w:pPr>
        <w:pStyle w:val="Heading2"/>
        <w:numPr>
          <w:ilvl w:val="0"/>
          <w:numId w:val="10"/>
        </w:numPr>
        <w:spacing w:before="0"/>
        <w:ind w:left="540" w:hanging="540"/>
        <w:rPr>
          <w:rFonts w:ascii="Times New Roman Bold" w:hAnsi="Times New Roman Bold" w:cs="Times New Roman"/>
          <w:color w:val="000000" w:themeColor="text1"/>
          <w:sz w:val="22"/>
          <w:szCs w:val="22"/>
          <w:lang w:val="en-US"/>
        </w:rPr>
      </w:pPr>
      <w:bookmarkStart w:id="116" w:name="_Toc419468563"/>
      <w:r w:rsidRPr="00E56625">
        <w:rPr>
          <w:rFonts w:ascii="Times New Roman Bold" w:hAnsi="Times New Roman Bold" w:cs="Times New Roman"/>
          <w:color w:val="000000" w:themeColor="text1"/>
          <w:sz w:val="22"/>
          <w:szCs w:val="22"/>
          <w:lang w:val="en-US"/>
        </w:rPr>
        <w:t>Access to markets and roads</w:t>
      </w:r>
      <w:bookmarkEnd w:id="116"/>
    </w:p>
    <w:p w:rsidR="00E21437" w:rsidRPr="008F3531" w:rsidRDefault="00E21437" w:rsidP="0004705A">
      <w:pPr>
        <w:pStyle w:val="paranumb"/>
        <w:spacing w:after="200"/>
        <w:rPr>
          <w:rFonts w:cs="Times New Roman"/>
          <w:szCs w:val="24"/>
        </w:rPr>
      </w:pPr>
      <w:r w:rsidRPr="008F3531">
        <w:rPr>
          <w:rFonts w:cs="Times New Roman"/>
          <w:szCs w:val="24"/>
        </w:rPr>
        <w:t xml:space="preserve">Limited market access affects households in multiple ways. In chapter two we argued that that the high cost of inter-city transport and communication contributes to a lack of specialization between cities. Poor and non-poor households benefit from roads through the access they provide to services in areas such as health, education, agricultural extension, and provision of information. Improved access to markets also means improved economic opportunities. In rural areas it means opportunities to sell produce from the harvest or livestock and to purchase food and other consumer goods. </w:t>
      </w:r>
    </w:p>
    <w:p w:rsidR="00E21437" w:rsidRPr="008F3531" w:rsidRDefault="00E21437" w:rsidP="0004705A">
      <w:pPr>
        <w:pStyle w:val="paranumb"/>
        <w:spacing w:after="200"/>
        <w:rPr>
          <w:rFonts w:cs="Times New Roman"/>
          <w:szCs w:val="24"/>
        </w:rPr>
      </w:pPr>
      <w:r w:rsidRPr="008F3531">
        <w:rPr>
          <w:rFonts w:cs="Times New Roman"/>
          <w:szCs w:val="24"/>
        </w:rPr>
        <w:t>For people living in rural areas poor market access implies that prices obtained for agricultural produce are relatively low, while prices for products that are purchased are relatively high, which not only makes the cost of inputs higher, but also raises the prices of consumer goods bought with the money earned. High transport cost thus leads to poor ‘terms of trade’ for rural households and contributes to a decrease in the return to labor, which discourages the use of modern inputs and the production of a surplus and makes it rational for households to opt for subsistence agriculture. A recent study on Sub-Saharan Africa has shown that production areas that are nine hours away from the market realize only 8 percent of their agricultural potential, while those located four hours away from the market realize 46 percent of their potential.</w:t>
      </w:r>
      <w:r w:rsidRPr="008F3531">
        <w:footnoteReference w:id="51"/>
      </w:r>
      <w:r w:rsidRPr="008F3531">
        <w:rPr>
          <w:rFonts w:cs="Times New Roman"/>
          <w:szCs w:val="24"/>
        </w:rPr>
        <w:t xml:space="preserve"> Hence, to enhance the agricultural production and rapidly reduce poverty, it is imperative that the distance between markets and households is reduced.</w:t>
      </w: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E21437" w:rsidRPr="008F3531" w:rsidRDefault="003312D4" w:rsidP="003312D4">
      <w:pPr>
        <w:pStyle w:val="Caption"/>
        <w:rPr>
          <w:b w:val="0"/>
        </w:rPr>
      </w:pPr>
      <w:bookmarkStart w:id="117" w:name="_Toc390956422"/>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9</w:t>
      </w:r>
      <w:r w:rsidR="00943E46" w:rsidRPr="00E56625">
        <w:rPr>
          <w:noProof/>
        </w:rPr>
        <w:fldChar w:fldCharType="end"/>
      </w:r>
      <w:r w:rsidR="00E21437" w:rsidRPr="008F3531">
        <w:rPr>
          <w:b w:val="0"/>
        </w:rPr>
        <w:t xml:space="preserve">: Access to </w:t>
      </w:r>
      <w:bookmarkEnd w:id="117"/>
      <w:r w:rsidR="000358BB" w:rsidRPr="008F3531">
        <w:rPr>
          <w:b w:val="0"/>
        </w:rPr>
        <w:t>Markets</w:t>
      </w:r>
    </w:p>
    <w:p w:rsidR="00E21437" w:rsidRPr="008F3531" w:rsidRDefault="003312D4" w:rsidP="003312D4">
      <w:pPr>
        <w:spacing w:after="0"/>
        <w:jc w:val="center"/>
        <w:rPr>
          <w:sz w:val="20"/>
          <w:szCs w:val="20"/>
          <w:lang w:val="en-US"/>
        </w:rPr>
      </w:pPr>
      <w:r w:rsidRPr="00E56625">
        <w:rPr>
          <w:noProof/>
          <w:lang w:val="en-US"/>
        </w:rPr>
        <w:t xml:space="preserve"> </w:t>
      </w:r>
      <w:r w:rsidR="000358BB" w:rsidRPr="00E56625">
        <w:rPr>
          <w:noProof/>
          <w:lang w:val="en-US"/>
        </w:rPr>
        <w:drawing>
          <wp:inline distT="0" distB="0" distL="0" distR="0" wp14:anchorId="03FA79C2" wp14:editId="3B1DB1E3">
            <wp:extent cx="5486400" cy="5210810"/>
            <wp:effectExtent l="0" t="0" r="0" b="8890"/>
            <wp:docPr id="5" name="Picture 5" descr="C:\Users\wb198498\Documents\Mali\Analysis\market access\mli_accessibility_route2009acc_lowdst_livelihood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8498\Documents\Mali\Analysis\market access\mli_accessibility_route2009acc_lowdst_livelihoods_v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5210810"/>
                    </a:xfrm>
                    <a:prstGeom prst="rect">
                      <a:avLst/>
                    </a:prstGeom>
                    <a:noFill/>
                    <a:ln>
                      <a:noFill/>
                    </a:ln>
                  </pic:spPr>
                </pic:pic>
              </a:graphicData>
            </a:graphic>
          </wp:inline>
        </w:drawing>
      </w:r>
    </w:p>
    <w:p w:rsidR="00E21437" w:rsidRPr="00E56625" w:rsidRDefault="003312D4" w:rsidP="005078D7">
      <w:pPr>
        <w:spacing w:after="0"/>
        <w:rPr>
          <w:sz w:val="20"/>
          <w:szCs w:val="20"/>
          <w:lang w:val="en-US"/>
        </w:rPr>
      </w:pPr>
      <w:r w:rsidRPr="00E56625">
        <w:rPr>
          <w:sz w:val="20"/>
          <w:szCs w:val="20"/>
          <w:lang w:val="en-US"/>
        </w:rPr>
        <w:t xml:space="preserve">          </w:t>
      </w:r>
      <w:r w:rsidR="00E21437" w:rsidRPr="00E56625">
        <w:rPr>
          <w:sz w:val="20"/>
          <w:szCs w:val="20"/>
          <w:lang w:val="en-US"/>
        </w:rPr>
        <w:t xml:space="preserve">Source: RGPH 2009. Authors’ calculations. </w:t>
      </w:r>
    </w:p>
    <w:p w:rsidR="003312D4" w:rsidRPr="00E56625" w:rsidRDefault="003312D4" w:rsidP="005078D7">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In order to explore which localities in the country have good market access, a market accessibility indicator was estimated following a methodology described by Deichmann (1997)</w:t>
      </w:r>
      <w:r w:rsidRPr="008F3531">
        <w:rPr>
          <w:rFonts w:cs="Times New Roman"/>
          <w:szCs w:val="24"/>
          <w:vertAlign w:val="superscript"/>
        </w:rPr>
        <w:footnoteReference w:id="52"/>
      </w:r>
      <w:r w:rsidRPr="008F3531">
        <w:rPr>
          <w:rFonts w:cs="Times New Roman"/>
          <w:szCs w:val="24"/>
          <w:vertAlign w:val="superscript"/>
        </w:rPr>
        <w:t xml:space="preserve"> </w:t>
      </w:r>
      <w:r w:rsidRPr="008F3531">
        <w:rPr>
          <w:rFonts w:cs="Times New Roman"/>
          <w:szCs w:val="24"/>
        </w:rPr>
        <w:t>and Nelson (2008)</w:t>
      </w:r>
      <w:r w:rsidR="00521247" w:rsidRPr="008F3531">
        <w:rPr>
          <w:rFonts w:cs="Times New Roman"/>
          <w:szCs w:val="24"/>
        </w:rPr>
        <w:t>.</w:t>
      </w:r>
      <w:r w:rsidRPr="008F3531">
        <w:rPr>
          <w:rFonts w:cs="Times New Roman"/>
          <w:szCs w:val="24"/>
          <w:vertAlign w:val="superscript"/>
        </w:rPr>
        <w:footnoteReference w:id="53"/>
      </w:r>
      <w:r w:rsidR="00521247" w:rsidRPr="008F3531">
        <w:rPr>
          <w:rFonts w:cs="Times New Roman"/>
          <w:szCs w:val="24"/>
        </w:rPr>
        <w:t xml:space="preserve"> </w:t>
      </w:r>
      <w:r w:rsidRPr="008F3531">
        <w:rPr>
          <w:rFonts w:cs="Times New Roman"/>
          <w:szCs w:val="24"/>
        </w:rPr>
        <w:t>The approach estimates travel time from assumptions of speed on the road network based on road category (primary, secondary and tertiary) and then identifies the accessibility index as the sum of the population of urban/village centers in the vicinity of each point in the country, weighted inversely by the time of travel on the transportation network to each urban center along the road network. The index presented on a map in Figure 5.9, was calculated with the negative exponential potential model</w:t>
      </w:r>
      <w:r w:rsidRPr="008F3531">
        <w:rPr>
          <w:rStyle w:val="FootnoteReference"/>
          <w:rFonts w:cs="Times New Roman"/>
          <w:color w:val="000000"/>
          <w:szCs w:val="24"/>
        </w:rPr>
        <w:footnoteReference w:id="54"/>
      </w:r>
      <w:r w:rsidR="00434C40" w:rsidRPr="008F3531">
        <w:rPr>
          <w:rFonts w:cs="Times New Roman"/>
          <w:color w:val="000000"/>
          <w:szCs w:val="24"/>
        </w:rPr>
        <w:t xml:space="preserve"> </w:t>
      </w:r>
      <w:r w:rsidRPr="008F3531">
        <w:rPr>
          <w:rFonts w:cs="Times New Roman"/>
          <w:szCs w:val="24"/>
        </w:rPr>
        <w:t xml:space="preserve">with village level population from the 2009 census, with populations ranging from a few persons to approximately 130.000 (a sub-division of Bamako) measured at 10.000 locations. </w:t>
      </w:r>
    </w:p>
    <w:p w:rsidR="00E21437" w:rsidRPr="008F3531" w:rsidRDefault="00E21437" w:rsidP="0004705A">
      <w:pPr>
        <w:pStyle w:val="paranumb"/>
        <w:spacing w:after="200"/>
        <w:rPr>
          <w:rFonts w:cs="Times New Roman"/>
          <w:szCs w:val="24"/>
        </w:rPr>
      </w:pPr>
      <w:r w:rsidRPr="008F3531">
        <w:rPr>
          <w:rFonts w:cs="Times New Roman"/>
          <w:szCs w:val="24"/>
        </w:rPr>
        <w:t xml:space="preserve">The index shows how market accessibility is uneven: it is reasonably good in the high agricultural potential areas of Southern Mali (zones 11 and 12) and the triangle made up by Bamako, Sikasso and Mopti (zones 9 and 10), but poor in other areas. Even zones with high agricultural potential like around the Niger where fluvial rice is grown (zone 3) or the Niger delta (zone 6) that stretches from south of Mopti all the way to Tombouctou have limited market access. Also in zone 8 in Northwest Kayes is access to markets poor –despite the fact that population density in this area is relatively high.  </w:t>
      </w:r>
    </w:p>
    <w:p w:rsidR="00E21437" w:rsidRPr="008F3531" w:rsidRDefault="003312D4" w:rsidP="003312D4">
      <w:pPr>
        <w:pStyle w:val="Caption"/>
        <w:rPr>
          <w:b w:val="0"/>
          <w:shd w:val="clear" w:color="auto" w:fill="FFFFFF"/>
        </w:rPr>
      </w:pPr>
      <w:bookmarkStart w:id="118" w:name="_Toc390956423"/>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10</w:t>
      </w:r>
      <w:r w:rsidR="00943E46" w:rsidRPr="00E56625">
        <w:rPr>
          <w:noProof/>
        </w:rPr>
        <w:fldChar w:fldCharType="end"/>
      </w:r>
      <w:r w:rsidR="00E21437" w:rsidRPr="008F3531">
        <w:rPr>
          <w:b w:val="0"/>
          <w:shd w:val="clear" w:color="auto" w:fill="FFFFFF"/>
        </w:rPr>
        <w:t>: Percent of population living within 10 km of a market, by livelihood zone.</w:t>
      </w:r>
      <w:bookmarkEnd w:id="118"/>
    </w:p>
    <w:p w:rsidR="00E21437" w:rsidRPr="00E56625" w:rsidRDefault="00E21437" w:rsidP="005078D7">
      <w:pPr>
        <w:spacing w:after="0"/>
        <w:rPr>
          <w:sz w:val="20"/>
          <w:szCs w:val="20"/>
          <w:lang w:val="en-US"/>
        </w:rPr>
      </w:pPr>
      <w:r w:rsidRPr="00E56625">
        <w:rPr>
          <w:noProof/>
          <w:lang w:val="en-US"/>
        </w:rPr>
        <w:drawing>
          <wp:inline distT="0" distB="0" distL="0" distR="0" wp14:anchorId="7D3E23F5" wp14:editId="53F66DAE">
            <wp:extent cx="5610226" cy="3929062"/>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21437" w:rsidRPr="00E56625" w:rsidRDefault="00E21437" w:rsidP="005078D7">
      <w:pPr>
        <w:spacing w:after="0"/>
        <w:rPr>
          <w:sz w:val="20"/>
          <w:szCs w:val="20"/>
          <w:lang w:val="en-US"/>
        </w:rPr>
      </w:pPr>
      <w:r w:rsidRPr="00E56625">
        <w:rPr>
          <w:sz w:val="20"/>
          <w:szCs w:val="20"/>
          <w:lang w:val="en-US"/>
        </w:rPr>
        <w:t xml:space="preserve">Source: RGPH 2009. Authors’ calculations. </w:t>
      </w:r>
    </w:p>
    <w:p w:rsidR="003312D4" w:rsidRPr="00E56625" w:rsidRDefault="003312D4" w:rsidP="005078D7">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 xml:space="preserve">The uneven access to markets across livelihood zones can be illustrated by the percent of the population living within 10 km of a market. It is 100 percent for people living in Bamako and in the area covered by the Office du Niger, but only 51 percent in zone 2 in northern Mali where nomadic and transhumant pastoralism are the dominant way of life. </w:t>
      </w:r>
    </w:p>
    <w:p w:rsidR="00E21437" w:rsidRPr="008F3531" w:rsidRDefault="00E21437" w:rsidP="0004705A">
      <w:pPr>
        <w:pStyle w:val="paranumb"/>
        <w:spacing w:after="200"/>
        <w:rPr>
          <w:rFonts w:cs="Times New Roman"/>
          <w:szCs w:val="24"/>
        </w:rPr>
      </w:pPr>
      <w:r w:rsidRPr="008F3531">
        <w:rPr>
          <w:rFonts w:cs="Times New Roman"/>
          <w:szCs w:val="24"/>
        </w:rPr>
        <w:t>One of the aspects market access affects is the ability of households to smooth their consumption throughout the year. Since many households (and particularly poor households) do not produce sufficient food to last them till the next harvest, the ability to buy food and to have</w:t>
      </w:r>
      <w:r w:rsidRPr="008F3531">
        <w:rPr>
          <w:rFonts w:cs="Times New Roman"/>
          <w:szCs w:val="24"/>
          <w:shd w:val="clear" w:color="auto" w:fill="FFFFFF"/>
        </w:rPr>
        <w:t xml:space="preserve"> </w:t>
      </w:r>
      <w:r w:rsidRPr="008F3531">
        <w:rPr>
          <w:rFonts w:cs="Times New Roman"/>
          <w:szCs w:val="24"/>
        </w:rPr>
        <w:t xml:space="preserve">the means to do so is intricately related to market access. In zones with limited market access, one expects that households are less able to smooth their consumption. </w:t>
      </w:r>
    </w:p>
    <w:p w:rsidR="00E21437" w:rsidRPr="008F3531" w:rsidRDefault="00E21437" w:rsidP="0004705A">
      <w:pPr>
        <w:pStyle w:val="paranumb"/>
        <w:spacing w:after="200"/>
        <w:rPr>
          <w:rFonts w:cs="Times New Roman"/>
          <w:szCs w:val="24"/>
        </w:rPr>
      </w:pPr>
      <w:r w:rsidRPr="008F3531">
        <w:rPr>
          <w:rFonts w:cs="Times New Roman"/>
          <w:szCs w:val="24"/>
        </w:rPr>
        <w:t xml:space="preserve">To explore this Figure 5.11 presents minimum and maximum levels of per capita consumption for 2011 for each livelihood zone. The Figure is compiled using consumption data collected in each of the four quarterly waves of the EMOP. To enhance comparability we only use data for households that participated in each of the four waves of the survey. </w:t>
      </w:r>
    </w:p>
    <w:p w:rsidR="00E21437" w:rsidRPr="008F3531" w:rsidRDefault="00E21437" w:rsidP="0004705A">
      <w:pPr>
        <w:pStyle w:val="paranumb"/>
        <w:spacing w:after="200"/>
        <w:rPr>
          <w:rFonts w:cs="Times New Roman"/>
          <w:szCs w:val="24"/>
        </w:rPr>
      </w:pPr>
      <w:r w:rsidRPr="008F3531">
        <w:rPr>
          <w:rFonts w:cs="Times New Roman"/>
          <w:szCs w:val="24"/>
        </w:rPr>
        <w:t xml:space="preserve">The Figure demonstrates high levels of variation for some zones. The largest difference between highest and lowest quarterly per capita consumption is found for Bamako. This is a bit of a surprise, given the fact that in Bamako market access is good. However the lower bound of Bamako is still much higher than the higher bound in any of the other livelihood zones. It underscores the much higher levels of consumption in Bamako. We suspect that the differences in consumption are less a reflection of an inability to smooth in Bamako and more a reflection of seasonal spending on religious festivities or on school fees. </w:t>
      </w:r>
    </w:p>
    <w:p w:rsidR="00E21437" w:rsidRPr="008F3531" w:rsidRDefault="003312D4" w:rsidP="003312D4">
      <w:pPr>
        <w:pStyle w:val="Caption"/>
        <w:rPr>
          <w:b w:val="0"/>
          <w:shd w:val="clear" w:color="auto" w:fill="FFFFFF"/>
        </w:rPr>
      </w:pPr>
      <w:bookmarkStart w:id="119" w:name="_Toc390956424"/>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11</w:t>
      </w:r>
      <w:r w:rsidR="00943E46" w:rsidRPr="00E56625">
        <w:rPr>
          <w:noProof/>
        </w:rPr>
        <w:fldChar w:fldCharType="end"/>
      </w:r>
      <w:r w:rsidR="00E21437" w:rsidRPr="008F3531">
        <w:rPr>
          <w:b w:val="0"/>
          <w:shd w:val="clear" w:color="auto" w:fill="FFFFFF"/>
        </w:rPr>
        <w:t>: Minimum and maximum levels of quarterly per capita consumption, 2011.</w:t>
      </w:r>
      <w:bookmarkEnd w:id="119"/>
      <w:r w:rsidR="00E21437" w:rsidRPr="008F3531">
        <w:rPr>
          <w:b w:val="0"/>
          <w:shd w:val="clear" w:color="auto" w:fill="FFFFFF"/>
        </w:rPr>
        <w:t xml:space="preserve"> </w:t>
      </w:r>
    </w:p>
    <w:p w:rsidR="00E21437" w:rsidRPr="00E56625" w:rsidRDefault="00E21437" w:rsidP="003312D4">
      <w:pPr>
        <w:spacing w:after="0"/>
        <w:jc w:val="center"/>
        <w:rPr>
          <w:sz w:val="20"/>
          <w:szCs w:val="20"/>
          <w:lang w:val="en-US"/>
        </w:rPr>
      </w:pPr>
      <w:r w:rsidRPr="00E56625">
        <w:rPr>
          <w:noProof/>
          <w:lang w:val="en-US"/>
        </w:rPr>
        <w:drawing>
          <wp:inline distT="0" distB="0" distL="0" distR="0" wp14:anchorId="2FDA99D5" wp14:editId="704C5040">
            <wp:extent cx="6078071" cy="3684494"/>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21437" w:rsidRPr="00E56625" w:rsidRDefault="00E21437" w:rsidP="005078D7">
      <w:pPr>
        <w:spacing w:after="0"/>
        <w:rPr>
          <w:sz w:val="20"/>
          <w:szCs w:val="20"/>
          <w:lang w:val="en-US"/>
        </w:rPr>
      </w:pPr>
      <w:r w:rsidRPr="00E56625">
        <w:rPr>
          <w:sz w:val="20"/>
          <w:szCs w:val="20"/>
          <w:lang w:val="en-US"/>
        </w:rPr>
        <w:t>Source: EMOP 2011. Authors’ calculations.</w:t>
      </w:r>
    </w:p>
    <w:p w:rsidR="003312D4" w:rsidRPr="00E56625" w:rsidRDefault="003312D4" w:rsidP="005078D7">
      <w:pPr>
        <w:spacing w:after="0"/>
        <w:rPr>
          <w:sz w:val="20"/>
          <w:szCs w:val="20"/>
          <w:lang w:val="en-US"/>
        </w:rPr>
      </w:pPr>
    </w:p>
    <w:p w:rsidR="003312D4" w:rsidRPr="008F3531" w:rsidRDefault="003312D4" w:rsidP="003312D4">
      <w:pPr>
        <w:pStyle w:val="paranumb"/>
        <w:spacing w:after="200"/>
        <w:rPr>
          <w:rFonts w:cs="Times New Roman"/>
          <w:szCs w:val="24"/>
        </w:rPr>
      </w:pPr>
      <w:r w:rsidRPr="008F3531">
        <w:rPr>
          <w:rFonts w:cs="Times New Roman"/>
          <w:szCs w:val="24"/>
        </w:rPr>
        <w:t xml:space="preserve">For the rural livelihood zones, the differences in quarterly averages in zones 3 (fluvial rice on the borders of the Niger), 5 (Dogon Plateau) and 6 (Niger delta) are of concern because these zones combine low average levels of consumption with significant variation in it. It comes as no surprise that these zones coincide with region where levels of acute malnutrition are highest (Tombouctou, Figure 3.20). In zones 4 (millet and transhumant livestock rearing), 11 and 12 (South and South West) the variation in quarterly consumption is low, suggesting that household are able to smooth their consumption throughout the year. We thus find a close association between market access and food (in) security. </w:t>
      </w:r>
    </w:p>
    <w:p w:rsidR="00E21437" w:rsidRPr="008F3531" w:rsidRDefault="00E21437" w:rsidP="0004705A">
      <w:pPr>
        <w:pStyle w:val="paranumb"/>
        <w:spacing w:after="200"/>
        <w:rPr>
          <w:rFonts w:cs="Times New Roman"/>
          <w:szCs w:val="24"/>
        </w:rPr>
      </w:pPr>
      <w:r w:rsidRPr="008F3531">
        <w:rPr>
          <w:rFonts w:cs="Times New Roman"/>
          <w:szCs w:val="24"/>
        </w:rPr>
        <w:t xml:space="preserve">Much as the incidence of access to markets is informative and the association between lack of access and acute malnutrition of concern, decisions about fixed investments such as roads not only have to be informed by need but also by the number of people that are reached and their economic potential. To assess this, we repeat Figure 5.9 but now show the number of households within each livelihood zone that do not live within 10km of a road. This is presented in Figure 5.12, which suggests that despite relatively high access incidence rates of respectively 78 percent and 85 percent, additional infrastructure in zones 9 and 11 could connect more than 1.2 million people to markets. In combination with the relatively high agro-ecological potential of these zones, it suggests an investment strategy that considers these two zones, but also the Niger delta where not only the average access rate is poor, but the agro-ecological potential high and the number of people that can be reached substantial. </w:t>
      </w:r>
    </w:p>
    <w:p w:rsidR="00E21437" w:rsidRPr="008F3531" w:rsidRDefault="003312D4" w:rsidP="003312D4">
      <w:pPr>
        <w:pStyle w:val="Caption"/>
        <w:rPr>
          <w:b w:val="0"/>
          <w:shd w:val="clear" w:color="auto" w:fill="FFFFFF"/>
        </w:rPr>
      </w:pPr>
      <w:bookmarkStart w:id="120" w:name="_Toc390956425"/>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12</w:t>
      </w:r>
      <w:r w:rsidR="00943E46" w:rsidRPr="00E56625">
        <w:rPr>
          <w:noProof/>
        </w:rPr>
        <w:fldChar w:fldCharType="end"/>
      </w:r>
      <w:r w:rsidR="00E21437" w:rsidRPr="008F3531">
        <w:rPr>
          <w:b w:val="0"/>
          <w:shd w:val="clear" w:color="auto" w:fill="FFFFFF"/>
        </w:rPr>
        <w:t>: Number of people per zone, living further than 10km from a market</w:t>
      </w:r>
      <w:bookmarkEnd w:id="120"/>
    </w:p>
    <w:p w:rsidR="00E21437" w:rsidRPr="00E56625" w:rsidRDefault="00E21437" w:rsidP="003312D4">
      <w:pPr>
        <w:spacing w:after="0"/>
        <w:jc w:val="center"/>
        <w:rPr>
          <w:sz w:val="20"/>
          <w:szCs w:val="20"/>
          <w:lang w:val="en-US"/>
        </w:rPr>
      </w:pPr>
      <w:r w:rsidRPr="00E56625">
        <w:rPr>
          <w:noProof/>
          <w:lang w:val="en-US"/>
        </w:rPr>
        <w:drawing>
          <wp:inline distT="0" distB="0" distL="0" distR="0" wp14:anchorId="3AAF9937" wp14:editId="7D95B775">
            <wp:extent cx="5610226" cy="3929062"/>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21437" w:rsidRPr="00E56625" w:rsidRDefault="003312D4" w:rsidP="005078D7">
      <w:pPr>
        <w:spacing w:after="0"/>
        <w:rPr>
          <w:sz w:val="20"/>
          <w:szCs w:val="20"/>
          <w:lang w:val="en-US"/>
        </w:rPr>
      </w:pPr>
      <w:r w:rsidRPr="00E56625">
        <w:rPr>
          <w:sz w:val="20"/>
          <w:szCs w:val="20"/>
          <w:lang w:val="en-US"/>
        </w:rPr>
        <w:t xml:space="preserve">    </w:t>
      </w:r>
      <w:r w:rsidR="00E21437" w:rsidRPr="00E56625">
        <w:rPr>
          <w:sz w:val="20"/>
          <w:szCs w:val="20"/>
          <w:lang w:val="en-US"/>
        </w:rPr>
        <w:t xml:space="preserve">Source: RGPH 2009. Authors’ calculations. </w:t>
      </w:r>
    </w:p>
    <w:p w:rsidR="003312D4" w:rsidRPr="00E56625" w:rsidRDefault="003312D4" w:rsidP="005078D7">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 xml:space="preserve">Accessibility is more than new road construction alone. Limited road maintenance renders many roads unusable especially during the rainy season: rural roads, the pistes améliorées, are in a poor state: only 5 percent are in a good condition and as many as 47 percent are listed as being in a poor condition (Table 5.4).  </w:t>
      </w:r>
    </w:p>
    <w:p w:rsidR="00E21437" w:rsidRPr="008F3531" w:rsidRDefault="003312D4" w:rsidP="003312D4">
      <w:pPr>
        <w:pStyle w:val="Caption"/>
        <w:rPr>
          <w:b w:val="0"/>
        </w:rPr>
      </w:pPr>
      <w:bookmarkStart w:id="121" w:name="_Toc390956292"/>
      <w:r w:rsidRPr="008F3531">
        <w:t xml:space="preserve">Table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4</w:t>
      </w:r>
      <w:r w:rsidR="00943E46" w:rsidRPr="00E56625">
        <w:rPr>
          <w:noProof/>
        </w:rPr>
        <w:fldChar w:fldCharType="end"/>
      </w:r>
      <w:r w:rsidR="00E21437" w:rsidRPr="008F3531">
        <w:rPr>
          <w:b w:val="0"/>
        </w:rPr>
        <w:t>: Road type and state of maintenance</w:t>
      </w:r>
      <w:bookmarkEnd w:id="121"/>
      <w:r w:rsidR="00E21437" w:rsidRPr="008F3531">
        <w:rPr>
          <w:b w:val="0"/>
        </w:rPr>
        <w:t xml:space="preserve"> </w:t>
      </w:r>
    </w:p>
    <w:tbl>
      <w:tblPr>
        <w:tblW w:w="4963"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521"/>
        <w:gridCol w:w="1298"/>
        <w:gridCol w:w="1009"/>
        <w:gridCol w:w="864"/>
        <w:gridCol w:w="1009"/>
        <w:gridCol w:w="862"/>
        <w:gridCol w:w="998"/>
        <w:gridCol w:w="730"/>
      </w:tblGrid>
      <w:tr w:rsidR="00E21437" w:rsidRPr="008F3531" w:rsidTr="00B3325F">
        <w:trPr>
          <w:trHeight w:val="481"/>
        </w:trPr>
        <w:tc>
          <w:tcPr>
            <w:tcW w:w="1356" w:type="pct"/>
            <w:vMerge w:val="restart"/>
            <w:tcBorders>
              <w:top w:val="single" w:sz="4" w:space="0" w:color="auto"/>
              <w:bottom w:val="nil"/>
            </w:tcBorders>
            <w:shd w:val="clear" w:color="auto" w:fill="auto"/>
            <w:vAlign w:val="center"/>
          </w:tcPr>
          <w:p w:rsidR="00E21437" w:rsidRPr="00E56625" w:rsidRDefault="00E21437" w:rsidP="004E2752">
            <w:pPr>
              <w:spacing w:after="0"/>
              <w:jc w:val="center"/>
              <w:rPr>
                <w:b/>
                <w:bCs/>
                <w:sz w:val="20"/>
                <w:szCs w:val="20"/>
                <w:lang w:val="en-US" w:eastAsia="fr-FR"/>
              </w:rPr>
            </w:pPr>
            <w:r w:rsidRPr="00E56625">
              <w:rPr>
                <w:b/>
                <w:bCs/>
                <w:sz w:val="20"/>
                <w:szCs w:val="20"/>
                <w:lang w:val="en-US" w:eastAsia="fr-FR"/>
              </w:rPr>
              <w:t>Road type</w:t>
            </w:r>
          </w:p>
        </w:tc>
        <w:tc>
          <w:tcPr>
            <w:tcW w:w="698" w:type="pct"/>
            <w:vMerge w:val="restart"/>
            <w:tcBorders>
              <w:top w:val="single" w:sz="4" w:space="0" w:color="auto"/>
              <w:bottom w:val="nil"/>
            </w:tcBorders>
            <w:shd w:val="clear" w:color="auto" w:fill="auto"/>
            <w:vAlign w:val="center"/>
          </w:tcPr>
          <w:p w:rsidR="00E21437" w:rsidRPr="00E56625" w:rsidRDefault="00E21437" w:rsidP="004E2752">
            <w:pPr>
              <w:spacing w:after="0"/>
              <w:jc w:val="center"/>
              <w:rPr>
                <w:b/>
                <w:bCs/>
                <w:sz w:val="20"/>
                <w:szCs w:val="20"/>
                <w:lang w:val="en-US" w:eastAsia="fr-FR"/>
              </w:rPr>
            </w:pPr>
            <w:r w:rsidRPr="00E56625">
              <w:rPr>
                <w:b/>
                <w:bCs/>
                <w:sz w:val="20"/>
                <w:szCs w:val="20"/>
                <w:lang w:val="en-US" w:eastAsia="fr-FR"/>
              </w:rPr>
              <w:t>Length</w:t>
            </w:r>
          </w:p>
        </w:tc>
        <w:tc>
          <w:tcPr>
            <w:tcW w:w="1008" w:type="pct"/>
            <w:gridSpan w:val="2"/>
            <w:tcBorders>
              <w:top w:val="single" w:sz="4" w:space="0" w:color="auto"/>
              <w:bottom w:val="single" w:sz="4" w:space="0" w:color="auto"/>
            </w:tcBorders>
            <w:shd w:val="clear" w:color="auto" w:fill="auto"/>
            <w:vAlign w:val="center"/>
          </w:tcPr>
          <w:p w:rsidR="00E21437" w:rsidRPr="00E56625" w:rsidRDefault="00E21437" w:rsidP="004E2752">
            <w:pPr>
              <w:spacing w:after="0"/>
              <w:jc w:val="center"/>
              <w:rPr>
                <w:b/>
                <w:bCs/>
                <w:sz w:val="20"/>
                <w:szCs w:val="20"/>
                <w:lang w:val="en-US" w:eastAsia="fr-FR"/>
              </w:rPr>
            </w:pPr>
            <w:r w:rsidRPr="00E56625">
              <w:rPr>
                <w:b/>
                <w:bCs/>
                <w:sz w:val="20"/>
                <w:szCs w:val="20"/>
                <w:lang w:val="en-US" w:eastAsia="fr-FR"/>
              </w:rPr>
              <w:t>Good state</w:t>
            </w:r>
          </w:p>
        </w:tc>
        <w:tc>
          <w:tcPr>
            <w:tcW w:w="1007" w:type="pct"/>
            <w:gridSpan w:val="2"/>
            <w:tcBorders>
              <w:top w:val="single" w:sz="4" w:space="0" w:color="auto"/>
              <w:bottom w:val="single" w:sz="4" w:space="0" w:color="auto"/>
            </w:tcBorders>
            <w:shd w:val="clear" w:color="auto" w:fill="auto"/>
            <w:vAlign w:val="center"/>
          </w:tcPr>
          <w:p w:rsidR="00E21437" w:rsidRPr="00E56625" w:rsidRDefault="00E21437" w:rsidP="004E2752">
            <w:pPr>
              <w:spacing w:after="0"/>
              <w:jc w:val="center"/>
              <w:rPr>
                <w:b/>
                <w:bCs/>
                <w:sz w:val="20"/>
                <w:szCs w:val="20"/>
                <w:lang w:val="en-US" w:eastAsia="fr-FR"/>
              </w:rPr>
            </w:pPr>
            <w:r w:rsidRPr="00E56625">
              <w:rPr>
                <w:b/>
                <w:bCs/>
                <w:sz w:val="20"/>
                <w:szCs w:val="20"/>
                <w:lang w:val="en-US" w:eastAsia="fr-FR"/>
              </w:rPr>
              <w:t>Acceptable</w:t>
            </w:r>
          </w:p>
        </w:tc>
        <w:tc>
          <w:tcPr>
            <w:tcW w:w="930" w:type="pct"/>
            <w:gridSpan w:val="2"/>
            <w:tcBorders>
              <w:top w:val="single" w:sz="4" w:space="0" w:color="auto"/>
              <w:bottom w:val="single" w:sz="4" w:space="0" w:color="auto"/>
            </w:tcBorders>
            <w:shd w:val="clear" w:color="auto" w:fill="auto"/>
            <w:vAlign w:val="center"/>
          </w:tcPr>
          <w:p w:rsidR="00E21437" w:rsidRPr="00E56625" w:rsidRDefault="00E21437" w:rsidP="004E2752">
            <w:pPr>
              <w:spacing w:after="0"/>
              <w:jc w:val="center"/>
              <w:rPr>
                <w:b/>
                <w:bCs/>
                <w:sz w:val="20"/>
                <w:szCs w:val="20"/>
                <w:lang w:val="en-US" w:eastAsia="fr-FR"/>
              </w:rPr>
            </w:pPr>
            <w:r w:rsidRPr="00E56625">
              <w:rPr>
                <w:b/>
                <w:bCs/>
                <w:sz w:val="20"/>
                <w:szCs w:val="20"/>
                <w:lang w:val="en-US" w:eastAsia="fr-FR"/>
              </w:rPr>
              <w:t>Poor state</w:t>
            </w:r>
          </w:p>
        </w:tc>
      </w:tr>
      <w:tr w:rsidR="00E21437" w:rsidRPr="008F3531" w:rsidTr="00B3325F">
        <w:trPr>
          <w:trHeight w:val="403"/>
        </w:trPr>
        <w:tc>
          <w:tcPr>
            <w:tcW w:w="1356" w:type="pct"/>
            <w:vMerge/>
            <w:tcBorders>
              <w:top w:val="nil"/>
              <w:bottom w:val="single" w:sz="4" w:space="0" w:color="auto"/>
            </w:tcBorders>
            <w:vAlign w:val="center"/>
          </w:tcPr>
          <w:p w:rsidR="00E21437" w:rsidRPr="00E56625" w:rsidRDefault="00E21437" w:rsidP="004E2752">
            <w:pPr>
              <w:spacing w:after="0"/>
              <w:rPr>
                <w:b/>
                <w:bCs/>
                <w:sz w:val="20"/>
                <w:szCs w:val="20"/>
                <w:lang w:val="en-US" w:eastAsia="fr-FR"/>
              </w:rPr>
            </w:pPr>
          </w:p>
        </w:tc>
        <w:tc>
          <w:tcPr>
            <w:tcW w:w="698" w:type="pct"/>
            <w:vMerge/>
            <w:tcBorders>
              <w:top w:val="nil"/>
              <w:bottom w:val="single" w:sz="4" w:space="0" w:color="auto"/>
            </w:tcBorders>
            <w:vAlign w:val="center"/>
          </w:tcPr>
          <w:p w:rsidR="00E21437" w:rsidRPr="00E56625" w:rsidRDefault="00E21437" w:rsidP="004E2752">
            <w:pPr>
              <w:spacing w:after="0"/>
              <w:jc w:val="center"/>
              <w:rPr>
                <w:b/>
                <w:bCs/>
                <w:sz w:val="20"/>
                <w:szCs w:val="20"/>
                <w:lang w:val="en-US" w:eastAsia="fr-FR"/>
              </w:rPr>
            </w:pPr>
          </w:p>
        </w:tc>
        <w:tc>
          <w:tcPr>
            <w:tcW w:w="543" w:type="pct"/>
            <w:tcBorders>
              <w:top w:val="single" w:sz="4" w:space="0" w:color="auto"/>
              <w:bottom w:val="single" w:sz="4" w:space="0" w:color="auto"/>
            </w:tcBorders>
            <w:shd w:val="clear" w:color="auto" w:fill="auto"/>
            <w:vAlign w:val="center"/>
          </w:tcPr>
          <w:p w:rsidR="00E21437" w:rsidRPr="00E56625" w:rsidRDefault="00E21437" w:rsidP="004E2752">
            <w:pPr>
              <w:spacing w:after="0"/>
              <w:jc w:val="center"/>
              <w:rPr>
                <w:sz w:val="20"/>
                <w:szCs w:val="20"/>
                <w:lang w:val="en-US" w:eastAsia="fr-FR"/>
              </w:rPr>
            </w:pPr>
            <w:r w:rsidRPr="00E56625">
              <w:rPr>
                <w:sz w:val="20"/>
                <w:szCs w:val="20"/>
                <w:lang w:val="en-US" w:eastAsia="fr-FR"/>
              </w:rPr>
              <w:t>Km</w:t>
            </w:r>
          </w:p>
        </w:tc>
        <w:tc>
          <w:tcPr>
            <w:tcW w:w="465" w:type="pct"/>
            <w:tcBorders>
              <w:top w:val="single" w:sz="4" w:space="0" w:color="auto"/>
              <w:bottom w:val="single" w:sz="4" w:space="0" w:color="auto"/>
            </w:tcBorders>
            <w:shd w:val="clear" w:color="auto" w:fill="auto"/>
            <w:vAlign w:val="center"/>
          </w:tcPr>
          <w:p w:rsidR="00E21437" w:rsidRPr="00E56625" w:rsidRDefault="00E21437" w:rsidP="004E2752">
            <w:pPr>
              <w:spacing w:after="0"/>
              <w:ind w:left="73"/>
              <w:jc w:val="center"/>
              <w:rPr>
                <w:sz w:val="20"/>
                <w:szCs w:val="20"/>
                <w:lang w:val="en-US" w:eastAsia="fr-FR"/>
              </w:rPr>
            </w:pPr>
            <w:r w:rsidRPr="00E56625">
              <w:rPr>
                <w:sz w:val="20"/>
                <w:szCs w:val="20"/>
                <w:lang w:val="en-US" w:eastAsia="fr-FR"/>
              </w:rPr>
              <w:t>%</w:t>
            </w:r>
          </w:p>
        </w:tc>
        <w:tc>
          <w:tcPr>
            <w:tcW w:w="543" w:type="pct"/>
            <w:tcBorders>
              <w:top w:val="single" w:sz="4" w:space="0" w:color="auto"/>
              <w:bottom w:val="single" w:sz="4" w:space="0" w:color="auto"/>
            </w:tcBorders>
            <w:shd w:val="clear" w:color="auto" w:fill="auto"/>
            <w:vAlign w:val="center"/>
          </w:tcPr>
          <w:p w:rsidR="00E21437" w:rsidRPr="00E56625" w:rsidRDefault="00E21437" w:rsidP="004E2752">
            <w:pPr>
              <w:spacing w:after="0"/>
              <w:ind w:left="83"/>
              <w:jc w:val="center"/>
              <w:rPr>
                <w:sz w:val="20"/>
                <w:szCs w:val="20"/>
                <w:lang w:val="en-US" w:eastAsia="fr-FR"/>
              </w:rPr>
            </w:pPr>
            <w:r w:rsidRPr="00E56625">
              <w:rPr>
                <w:sz w:val="20"/>
                <w:szCs w:val="20"/>
                <w:lang w:val="en-US" w:eastAsia="fr-FR"/>
              </w:rPr>
              <w:t>Km</w:t>
            </w:r>
          </w:p>
        </w:tc>
        <w:tc>
          <w:tcPr>
            <w:tcW w:w="464" w:type="pct"/>
            <w:tcBorders>
              <w:top w:val="single" w:sz="4" w:space="0" w:color="auto"/>
              <w:bottom w:val="single" w:sz="4" w:space="0" w:color="auto"/>
            </w:tcBorders>
            <w:shd w:val="clear" w:color="auto" w:fill="auto"/>
            <w:vAlign w:val="center"/>
          </w:tcPr>
          <w:p w:rsidR="00E21437" w:rsidRPr="00E56625" w:rsidRDefault="00E21437" w:rsidP="004E2752">
            <w:pPr>
              <w:spacing w:after="0"/>
              <w:ind w:left="160"/>
              <w:jc w:val="center"/>
              <w:rPr>
                <w:sz w:val="20"/>
                <w:szCs w:val="20"/>
                <w:lang w:val="en-US" w:eastAsia="fr-FR"/>
              </w:rPr>
            </w:pPr>
            <w:r w:rsidRPr="00E56625">
              <w:rPr>
                <w:sz w:val="20"/>
                <w:szCs w:val="20"/>
                <w:lang w:val="en-US" w:eastAsia="fr-FR"/>
              </w:rPr>
              <w:t>%</w:t>
            </w:r>
          </w:p>
        </w:tc>
        <w:tc>
          <w:tcPr>
            <w:tcW w:w="537" w:type="pct"/>
            <w:tcBorders>
              <w:top w:val="single" w:sz="4" w:space="0" w:color="auto"/>
              <w:bottom w:val="single" w:sz="4" w:space="0" w:color="auto"/>
            </w:tcBorders>
            <w:shd w:val="clear" w:color="auto" w:fill="auto"/>
            <w:vAlign w:val="center"/>
          </w:tcPr>
          <w:p w:rsidR="00E21437" w:rsidRPr="00E56625" w:rsidRDefault="00E21437" w:rsidP="004E2752">
            <w:pPr>
              <w:spacing w:after="0"/>
              <w:jc w:val="center"/>
              <w:rPr>
                <w:sz w:val="20"/>
                <w:szCs w:val="20"/>
                <w:lang w:val="en-US" w:eastAsia="fr-FR"/>
              </w:rPr>
            </w:pPr>
            <w:r w:rsidRPr="00E56625">
              <w:rPr>
                <w:sz w:val="20"/>
                <w:szCs w:val="20"/>
                <w:lang w:val="en-US" w:eastAsia="fr-FR"/>
              </w:rPr>
              <w:t>Km</w:t>
            </w:r>
          </w:p>
        </w:tc>
        <w:tc>
          <w:tcPr>
            <w:tcW w:w="393" w:type="pct"/>
            <w:tcBorders>
              <w:top w:val="single" w:sz="4" w:space="0" w:color="auto"/>
              <w:bottom w:val="single" w:sz="4" w:space="0" w:color="auto"/>
            </w:tcBorders>
            <w:shd w:val="clear" w:color="auto" w:fill="auto"/>
            <w:vAlign w:val="center"/>
          </w:tcPr>
          <w:p w:rsidR="00E21437" w:rsidRPr="00E56625" w:rsidRDefault="00E21437" w:rsidP="004E2752">
            <w:pPr>
              <w:spacing w:after="0"/>
              <w:jc w:val="center"/>
              <w:rPr>
                <w:sz w:val="20"/>
                <w:szCs w:val="20"/>
                <w:lang w:val="en-US" w:eastAsia="fr-FR"/>
              </w:rPr>
            </w:pPr>
            <w:r w:rsidRPr="00E56625">
              <w:rPr>
                <w:sz w:val="20"/>
                <w:szCs w:val="20"/>
                <w:lang w:val="en-US" w:eastAsia="fr-FR"/>
              </w:rPr>
              <w:t>%</w:t>
            </w:r>
          </w:p>
        </w:tc>
      </w:tr>
      <w:tr w:rsidR="00E21437" w:rsidRPr="008F3531" w:rsidTr="00B3325F">
        <w:trPr>
          <w:trHeight w:val="537"/>
        </w:trPr>
        <w:tc>
          <w:tcPr>
            <w:tcW w:w="1356" w:type="pct"/>
            <w:tcBorders>
              <w:top w:val="single" w:sz="4" w:space="0" w:color="auto"/>
              <w:bottom w:val="nil"/>
            </w:tcBorders>
            <w:shd w:val="clear" w:color="auto" w:fill="auto"/>
            <w:vAlign w:val="center"/>
          </w:tcPr>
          <w:p w:rsidR="00E21437" w:rsidRPr="00E56625" w:rsidRDefault="00E21437" w:rsidP="004E2752">
            <w:pPr>
              <w:spacing w:after="0"/>
              <w:rPr>
                <w:sz w:val="20"/>
                <w:szCs w:val="20"/>
                <w:lang w:val="en-US" w:eastAsia="fr-FR"/>
              </w:rPr>
            </w:pPr>
            <w:r w:rsidRPr="00E56625">
              <w:rPr>
                <w:sz w:val="20"/>
                <w:szCs w:val="20"/>
                <w:lang w:val="en-US" w:eastAsia="fr-FR"/>
              </w:rPr>
              <w:t>Routes bitumées</w:t>
            </w:r>
          </w:p>
        </w:tc>
        <w:tc>
          <w:tcPr>
            <w:tcW w:w="698" w:type="pct"/>
            <w:tcBorders>
              <w:top w:val="single" w:sz="4" w:space="0" w:color="auto"/>
              <w:bottom w:val="nil"/>
            </w:tcBorders>
            <w:shd w:val="clear" w:color="auto" w:fill="auto"/>
            <w:vAlign w:val="center"/>
          </w:tcPr>
          <w:p w:rsidR="00E21437" w:rsidRPr="00E56625" w:rsidRDefault="00E21437" w:rsidP="004E2752">
            <w:pPr>
              <w:spacing w:after="0"/>
              <w:ind w:left="72"/>
              <w:jc w:val="center"/>
              <w:rPr>
                <w:sz w:val="20"/>
                <w:szCs w:val="20"/>
                <w:lang w:val="en-US" w:eastAsia="fr-FR"/>
              </w:rPr>
            </w:pPr>
            <w:r w:rsidRPr="00E56625">
              <w:rPr>
                <w:sz w:val="20"/>
                <w:szCs w:val="20"/>
                <w:lang w:val="en-US" w:eastAsia="fr-FR"/>
              </w:rPr>
              <w:t>5 694</w:t>
            </w:r>
          </w:p>
        </w:tc>
        <w:tc>
          <w:tcPr>
            <w:tcW w:w="543" w:type="pct"/>
            <w:tcBorders>
              <w:top w:val="single" w:sz="4" w:space="0" w:color="auto"/>
              <w:bottom w:val="nil"/>
            </w:tcBorders>
            <w:shd w:val="clear" w:color="auto" w:fill="auto"/>
            <w:vAlign w:val="center"/>
          </w:tcPr>
          <w:p w:rsidR="00E21437" w:rsidRPr="00E56625" w:rsidRDefault="00E21437" w:rsidP="004E2752">
            <w:pPr>
              <w:spacing w:after="0"/>
              <w:jc w:val="center"/>
              <w:rPr>
                <w:sz w:val="20"/>
                <w:szCs w:val="20"/>
                <w:lang w:val="en-US" w:eastAsia="fr-FR"/>
              </w:rPr>
            </w:pPr>
            <w:r w:rsidRPr="00E56625">
              <w:rPr>
                <w:sz w:val="20"/>
                <w:szCs w:val="20"/>
                <w:lang w:val="en-US" w:eastAsia="fr-FR"/>
              </w:rPr>
              <w:t>3 164</w:t>
            </w:r>
          </w:p>
        </w:tc>
        <w:tc>
          <w:tcPr>
            <w:tcW w:w="465" w:type="pct"/>
            <w:tcBorders>
              <w:top w:val="single" w:sz="4" w:space="0" w:color="auto"/>
              <w:bottom w:val="nil"/>
            </w:tcBorders>
            <w:shd w:val="clear" w:color="auto" w:fill="auto"/>
            <w:vAlign w:val="center"/>
          </w:tcPr>
          <w:p w:rsidR="00E21437" w:rsidRPr="00E56625" w:rsidRDefault="00E21437" w:rsidP="004E2752">
            <w:pPr>
              <w:spacing w:after="0"/>
              <w:ind w:left="73"/>
              <w:jc w:val="center"/>
              <w:rPr>
                <w:sz w:val="20"/>
                <w:szCs w:val="20"/>
                <w:lang w:val="en-US" w:eastAsia="fr-FR"/>
              </w:rPr>
            </w:pPr>
            <w:r w:rsidRPr="00E56625">
              <w:rPr>
                <w:sz w:val="20"/>
                <w:szCs w:val="20"/>
                <w:lang w:val="en-US" w:eastAsia="fr-FR"/>
              </w:rPr>
              <w:t>55.6</w:t>
            </w:r>
          </w:p>
        </w:tc>
        <w:tc>
          <w:tcPr>
            <w:tcW w:w="543" w:type="pct"/>
            <w:tcBorders>
              <w:top w:val="single" w:sz="4" w:space="0" w:color="auto"/>
              <w:bottom w:val="nil"/>
            </w:tcBorders>
            <w:shd w:val="clear" w:color="auto" w:fill="auto"/>
            <w:vAlign w:val="center"/>
          </w:tcPr>
          <w:p w:rsidR="00E21437" w:rsidRPr="00E56625" w:rsidRDefault="00E21437" w:rsidP="004E2752">
            <w:pPr>
              <w:spacing w:after="0"/>
              <w:ind w:left="83"/>
              <w:jc w:val="center"/>
              <w:rPr>
                <w:sz w:val="20"/>
                <w:szCs w:val="20"/>
                <w:lang w:val="en-US" w:eastAsia="fr-FR"/>
              </w:rPr>
            </w:pPr>
            <w:r w:rsidRPr="00E56625">
              <w:rPr>
                <w:sz w:val="20"/>
                <w:szCs w:val="20"/>
                <w:lang w:val="en-US" w:eastAsia="fr-FR"/>
              </w:rPr>
              <w:t>1 292</w:t>
            </w:r>
          </w:p>
        </w:tc>
        <w:tc>
          <w:tcPr>
            <w:tcW w:w="464" w:type="pct"/>
            <w:tcBorders>
              <w:top w:val="single" w:sz="4" w:space="0" w:color="auto"/>
              <w:bottom w:val="nil"/>
            </w:tcBorders>
            <w:shd w:val="clear" w:color="auto" w:fill="auto"/>
            <w:vAlign w:val="center"/>
          </w:tcPr>
          <w:p w:rsidR="00E21437" w:rsidRPr="00E56625" w:rsidRDefault="00E21437" w:rsidP="004E2752">
            <w:pPr>
              <w:spacing w:after="0"/>
              <w:ind w:left="160"/>
              <w:jc w:val="center"/>
              <w:rPr>
                <w:sz w:val="20"/>
                <w:szCs w:val="20"/>
                <w:lang w:val="en-US" w:eastAsia="fr-FR"/>
              </w:rPr>
            </w:pPr>
            <w:r w:rsidRPr="00E56625">
              <w:rPr>
                <w:sz w:val="20"/>
                <w:szCs w:val="20"/>
                <w:lang w:val="en-US" w:eastAsia="fr-FR"/>
              </w:rPr>
              <w:t>22.7</w:t>
            </w:r>
          </w:p>
        </w:tc>
        <w:tc>
          <w:tcPr>
            <w:tcW w:w="537" w:type="pct"/>
            <w:tcBorders>
              <w:top w:val="single" w:sz="4" w:space="0" w:color="auto"/>
              <w:bottom w:val="nil"/>
            </w:tcBorders>
            <w:shd w:val="clear" w:color="auto" w:fill="auto"/>
            <w:vAlign w:val="center"/>
          </w:tcPr>
          <w:p w:rsidR="00E21437" w:rsidRPr="00E56625" w:rsidRDefault="00E21437" w:rsidP="004E2752">
            <w:pPr>
              <w:spacing w:after="0"/>
              <w:ind w:left="103"/>
              <w:jc w:val="center"/>
              <w:rPr>
                <w:sz w:val="20"/>
                <w:szCs w:val="20"/>
                <w:lang w:val="en-US" w:eastAsia="fr-FR"/>
              </w:rPr>
            </w:pPr>
            <w:r w:rsidRPr="00E56625">
              <w:rPr>
                <w:sz w:val="20"/>
                <w:szCs w:val="20"/>
                <w:lang w:val="en-US" w:eastAsia="fr-FR"/>
              </w:rPr>
              <w:t>1 238</w:t>
            </w:r>
          </w:p>
        </w:tc>
        <w:tc>
          <w:tcPr>
            <w:tcW w:w="393" w:type="pct"/>
            <w:tcBorders>
              <w:top w:val="single" w:sz="4" w:space="0" w:color="auto"/>
              <w:bottom w:val="nil"/>
            </w:tcBorders>
            <w:shd w:val="clear" w:color="auto" w:fill="auto"/>
            <w:vAlign w:val="center"/>
          </w:tcPr>
          <w:p w:rsidR="00E21437" w:rsidRPr="00E56625" w:rsidRDefault="00E21437" w:rsidP="004E2752">
            <w:pPr>
              <w:spacing w:after="0"/>
              <w:ind w:left="90"/>
              <w:jc w:val="center"/>
              <w:rPr>
                <w:sz w:val="20"/>
                <w:szCs w:val="20"/>
                <w:lang w:val="en-US" w:eastAsia="fr-FR"/>
              </w:rPr>
            </w:pPr>
            <w:r w:rsidRPr="00E56625">
              <w:rPr>
                <w:sz w:val="20"/>
                <w:szCs w:val="20"/>
                <w:lang w:val="en-US" w:eastAsia="fr-FR"/>
              </w:rPr>
              <w:t>21.7</w:t>
            </w:r>
          </w:p>
        </w:tc>
      </w:tr>
      <w:tr w:rsidR="00E21437" w:rsidRPr="008F3531" w:rsidTr="00B3325F">
        <w:trPr>
          <w:trHeight w:val="558"/>
        </w:trPr>
        <w:tc>
          <w:tcPr>
            <w:tcW w:w="1356" w:type="pct"/>
            <w:tcBorders>
              <w:top w:val="nil"/>
            </w:tcBorders>
            <w:shd w:val="clear" w:color="auto" w:fill="auto"/>
            <w:vAlign w:val="center"/>
          </w:tcPr>
          <w:p w:rsidR="00E21437" w:rsidRPr="00E56625" w:rsidRDefault="00E21437" w:rsidP="004E2752">
            <w:pPr>
              <w:spacing w:after="0"/>
              <w:rPr>
                <w:sz w:val="20"/>
                <w:szCs w:val="20"/>
                <w:lang w:val="en-US" w:eastAsia="fr-FR"/>
              </w:rPr>
            </w:pPr>
            <w:r w:rsidRPr="00E56625">
              <w:rPr>
                <w:sz w:val="20"/>
                <w:szCs w:val="20"/>
                <w:lang w:val="en-US" w:eastAsia="fr-FR"/>
              </w:rPr>
              <w:t>Routes en terre moderne</w:t>
            </w:r>
          </w:p>
        </w:tc>
        <w:tc>
          <w:tcPr>
            <w:tcW w:w="698" w:type="pct"/>
            <w:tcBorders>
              <w:top w:val="nil"/>
            </w:tcBorders>
            <w:shd w:val="clear" w:color="auto" w:fill="auto"/>
            <w:vAlign w:val="center"/>
          </w:tcPr>
          <w:p w:rsidR="00E21437" w:rsidRPr="00E56625" w:rsidRDefault="00E21437" w:rsidP="004E2752">
            <w:pPr>
              <w:spacing w:after="0"/>
              <w:ind w:left="72"/>
              <w:jc w:val="center"/>
              <w:rPr>
                <w:sz w:val="20"/>
                <w:szCs w:val="20"/>
                <w:lang w:val="en-US" w:eastAsia="fr-FR"/>
              </w:rPr>
            </w:pPr>
            <w:r w:rsidRPr="00E56625">
              <w:rPr>
                <w:sz w:val="20"/>
                <w:szCs w:val="20"/>
                <w:lang w:val="en-US" w:eastAsia="fr-FR"/>
              </w:rPr>
              <w:t>1 767</w:t>
            </w:r>
          </w:p>
        </w:tc>
        <w:tc>
          <w:tcPr>
            <w:tcW w:w="543" w:type="pct"/>
            <w:tcBorders>
              <w:top w:val="nil"/>
            </w:tcBorders>
            <w:shd w:val="clear" w:color="auto" w:fill="auto"/>
            <w:vAlign w:val="center"/>
          </w:tcPr>
          <w:p w:rsidR="00E21437" w:rsidRPr="00E56625" w:rsidRDefault="00E21437" w:rsidP="004E2752">
            <w:pPr>
              <w:spacing w:after="0"/>
              <w:jc w:val="center"/>
              <w:rPr>
                <w:sz w:val="20"/>
                <w:szCs w:val="20"/>
                <w:lang w:val="en-US" w:eastAsia="fr-FR"/>
              </w:rPr>
            </w:pPr>
            <w:r w:rsidRPr="00E56625">
              <w:rPr>
                <w:sz w:val="20"/>
                <w:szCs w:val="20"/>
                <w:lang w:val="en-US" w:eastAsia="fr-FR"/>
              </w:rPr>
              <w:t>894</w:t>
            </w:r>
          </w:p>
        </w:tc>
        <w:tc>
          <w:tcPr>
            <w:tcW w:w="465" w:type="pct"/>
            <w:tcBorders>
              <w:top w:val="nil"/>
            </w:tcBorders>
            <w:shd w:val="clear" w:color="auto" w:fill="auto"/>
            <w:vAlign w:val="center"/>
          </w:tcPr>
          <w:p w:rsidR="00E21437" w:rsidRPr="00E56625" w:rsidRDefault="00E21437" w:rsidP="004E2752">
            <w:pPr>
              <w:spacing w:after="0"/>
              <w:ind w:left="73"/>
              <w:jc w:val="center"/>
              <w:rPr>
                <w:sz w:val="20"/>
                <w:szCs w:val="20"/>
                <w:lang w:val="en-US" w:eastAsia="fr-FR"/>
              </w:rPr>
            </w:pPr>
            <w:r w:rsidRPr="00E56625">
              <w:rPr>
                <w:sz w:val="20"/>
                <w:szCs w:val="20"/>
                <w:lang w:val="en-US" w:eastAsia="fr-FR"/>
              </w:rPr>
              <w:t>50.6</w:t>
            </w:r>
          </w:p>
        </w:tc>
        <w:tc>
          <w:tcPr>
            <w:tcW w:w="543" w:type="pct"/>
            <w:tcBorders>
              <w:top w:val="nil"/>
            </w:tcBorders>
            <w:shd w:val="clear" w:color="auto" w:fill="auto"/>
            <w:vAlign w:val="center"/>
          </w:tcPr>
          <w:p w:rsidR="00E21437" w:rsidRPr="00E56625" w:rsidRDefault="00E21437" w:rsidP="004E2752">
            <w:pPr>
              <w:spacing w:after="0"/>
              <w:ind w:left="83"/>
              <w:jc w:val="center"/>
              <w:rPr>
                <w:sz w:val="20"/>
                <w:szCs w:val="20"/>
                <w:lang w:val="en-US" w:eastAsia="fr-FR"/>
              </w:rPr>
            </w:pPr>
            <w:r w:rsidRPr="00E56625">
              <w:rPr>
                <w:sz w:val="20"/>
                <w:szCs w:val="20"/>
                <w:lang w:val="en-US" w:eastAsia="fr-FR"/>
              </w:rPr>
              <w:t>739</w:t>
            </w:r>
          </w:p>
        </w:tc>
        <w:tc>
          <w:tcPr>
            <w:tcW w:w="464" w:type="pct"/>
            <w:tcBorders>
              <w:top w:val="nil"/>
            </w:tcBorders>
            <w:shd w:val="clear" w:color="auto" w:fill="auto"/>
            <w:vAlign w:val="center"/>
          </w:tcPr>
          <w:p w:rsidR="00E21437" w:rsidRPr="00E56625" w:rsidRDefault="00E21437" w:rsidP="004E2752">
            <w:pPr>
              <w:spacing w:after="0"/>
              <w:ind w:left="160"/>
              <w:jc w:val="center"/>
              <w:rPr>
                <w:sz w:val="20"/>
                <w:szCs w:val="20"/>
                <w:lang w:val="en-US" w:eastAsia="fr-FR"/>
              </w:rPr>
            </w:pPr>
            <w:r w:rsidRPr="00E56625">
              <w:rPr>
                <w:sz w:val="20"/>
                <w:szCs w:val="20"/>
                <w:lang w:val="en-US" w:eastAsia="fr-FR"/>
              </w:rPr>
              <w:t>41.8</w:t>
            </w:r>
          </w:p>
        </w:tc>
        <w:tc>
          <w:tcPr>
            <w:tcW w:w="537" w:type="pct"/>
            <w:tcBorders>
              <w:top w:val="nil"/>
            </w:tcBorders>
            <w:shd w:val="clear" w:color="auto" w:fill="auto"/>
            <w:vAlign w:val="center"/>
          </w:tcPr>
          <w:p w:rsidR="00E21437" w:rsidRPr="00E56625" w:rsidRDefault="00E21437" w:rsidP="004E2752">
            <w:pPr>
              <w:spacing w:after="0"/>
              <w:ind w:left="103"/>
              <w:jc w:val="center"/>
              <w:rPr>
                <w:sz w:val="20"/>
                <w:szCs w:val="20"/>
                <w:lang w:val="en-US" w:eastAsia="fr-FR"/>
              </w:rPr>
            </w:pPr>
            <w:r w:rsidRPr="00E56625">
              <w:rPr>
                <w:sz w:val="20"/>
                <w:szCs w:val="20"/>
                <w:lang w:val="en-US" w:eastAsia="fr-FR"/>
              </w:rPr>
              <w:t>134</w:t>
            </w:r>
          </w:p>
        </w:tc>
        <w:tc>
          <w:tcPr>
            <w:tcW w:w="393" w:type="pct"/>
            <w:tcBorders>
              <w:top w:val="nil"/>
            </w:tcBorders>
            <w:shd w:val="clear" w:color="auto" w:fill="auto"/>
            <w:vAlign w:val="center"/>
          </w:tcPr>
          <w:p w:rsidR="00E21437" w:rsidRPr="00E56625" w:rsidRDefault="00E21437" w:rsidP="004E2752">
            <w:pPr>
              <w:spacing w:after="0"/>
              <w:ind w:left="90"/>
              <w:jc w:val="center"/>
              <w:rPr>
                <w:sz w:val="20"/>
                <w:szCs w:val="20"/>
                <w:lang w:val="en-US" w:eastAsia="fr-FR"/>
              </w:rPr>
            </w:pPr>
            <w:r w:rsidRPr="00E56625">
              <w:rPr>
                <w:sz w:val="20"/>
                <w:szCs w:val="20"/>
                <w:lang w:val="en-US" w:eastAsia="fr-FR"/>
              </w:rPr>
              <w:t>7.6</w:t>
            </w:r>
          </w:p>
        </w:tc>
      </w:tr>
      <w:tr w:rsidR="00E21437" w:rsidRPr="008F3531" w:rsidTr="00B3325F">
        <w:trPr>
          <w:trHeight w:val="539"/>
        </w:trPr>
        <w:tc>
          <w:tcPr>
            <w:tcW w:w="1356" w:type="pct"/>
            <w:shd w:val="clear" w:color="auto" w:fill="auto"/>
            <w:vAlign w:val="center"/>
          </w:tcPr>
          <w:p w:rsidR="00E21437" w:rsidRPr="00E56625" w:rsidRDefault="00E21437" w:rsidP="004E2752">
            <w:pPr>
              <w:spacing w:after="0"/>
              <w:rPr>
                <w:sz w:val="20"/>
                <w:szCs w:val="20"/>
                <w:lang w:val="en-US" w:eastAsia="fr-FR"/>
              </w:rPr>
            </w:pPr>
            <w:r w:rsidRPr="00E56625">
              <w:rPr>
                <w:sz w:val="20"/>
                <w:szCs w:val="20"/>
                <w:lang w:val="en-US" w:eastAsia="fr-FR"/>
              </w:rPr>
              <w:t>Pistes améliorées</w:t>
            </w:r>
          </w:p>
        </w:tc>
        <w:tc>
          <w:tcPr>
            <w:tcW w:w="698" w:type="pct"/>
            <w:shd w:val="clear" w:color="auto" w:fill="auto"/>
            <w:vAlign w:val="center"/>
          </w:tcPr>
          <w:p w:rsidR="00E21437" w:rsidRPr="00E56625" w:rsidRDefault="00E21437" w:rsidP="004E2752">
            <w:pPr>
              <w:spacing w:after="0"/>
              <w:ind w:left="72"/>
              <w:jc w:val="center"/>
              <w:rPr>
                <w:sz w:val="20"/>
                <w:szCs w:val="20"/>
                <w:lang w:val="en-US" w:eastAsia="fr-FR"/>
              </w:rPr>
            </w:pPr>
            <w:r w:rsidRPr="00E56625">
              <w:rPr>
                <w:sz w:val="20"/>
                <w:szCs w:val="20"/>
                <w:lang w:val="en-US" w:eastAsia="fr-FR"/>
              </w:rPr>
              <w:t>14 220</w:t>
            </w:r>
          </w:p>
        </w:tc>
        <w:tc>
          <w:tcPr>
            <w:tcW w:w="543" w:type="pct"/>
            <w:shd w:val="clear" w:color="auto" w:fill="auto"/>
            <w:vAlign w:val="center"/>
          </w:tcPr>
          <w:p w:rsidR="00E21437" w:rsidRPr="00E56625" w:rsidRDefault="00E21437" w:rsidP="004E2752">
            <w:pPr>
              <w:spacing w:after="0"/>
              <w:jc w:val="center"/>
              <w:rPr>
                <w:sz w:val="20"/>
                <w:szCs w:val="20"/>
                <w:lang w:val="en-US" w:eastAsia="fr-FR"/>
              </w:rPr>
            </w:pPr>
            <w:r w:rsidRPr="00E56625">
              <w:rPr>
                <w:sz w:val="20"/>
                <w:szCs w:val="20"/>
                <w:lang w:val="en-US" w:eastAsia="fr-FR"/>
              </w:rPr>
              <w:t>669</w:t>
            </w:r>
          </w:p>
        </w:tc>
        <w:tc>
          <w:tcPr>
            <w:tcW w:w="465" w:type="pct"/>
            <w:shd w:val="clear" w:color="auto" w:fill="auto"/>
            <w:vAlign w:val="center"/>
          </w:tcPr>
          <w:p w:rsidR="00E21437" w:rsidRPr="00E56625" w:rsidRDefault="00E21437" w:rsidP="004E2752">
            <w:pPr>
              <w:spacing w:after="0"/>
              <w:ind w:left="73"/>
              <w:jc w:val="center"/>
              <w:rPr>
                <w:sz w:val="20"/>
                <w:szCs w:val="20"/>
                <w:lang w:val="en-US" w:eastAsia="fr-FR"/>
              </w:rPr>
            </w:pPr>
            <w:r w:rsidRPr="00E56625">
              <w:rPr>
                <w:sz w:val="20"/>
                <w:szCs w:val="20"/>
                <w:lang w:val="en-US" w:eastAsia="fr-FR"/>
              </w:rPr>
              <w:t>4.7</w:t>
            </w:r>
          </w:p>
        </w:tc>
        <w:tc>
          <w:tcPr>
            <w:tcW w:w="543" w:type="pct"/>
            <w:shd w:val="clear" w:color="auto" w:fill="auto"/>
            <w:vAlign w:val="center"/>
          </w:tcPr>
          <w:p w:rsidR="00E21437" w:rsidRPr="00E56625" w:rsidRDefault="00E21437" w:rsidP="004E2752">
            <w:pPr>
              <w:spacing w:after="0"/>
              <w:ind w:left="83"/>
              <w:jc w:val="center"/>
              <w:rPr>
                <w:sz w:val="20"/>
                <w:szCs w:val="20"/>
                <w:lang w:val="en-US" w:eastAsia="fr-FR"/>
              </w:rPr>
            </w:pPr>
            <w:r w:rsidRPr="00E56625">
              <w:rPr>
                <w:sz w:val="20"/>
                <w:szCs w:val="20"/>
                <w:lang w:val="en-US" w:eastAsia="fr-FR"/>
              </w:rPr>
              <w:t>6 900</w:t>
            </w:r>
          </w:p>
        </w:tc>
        <w:tc>
          <w:tcPr>
            <w:tcW w:w="464" w:type="pct"/>
            <w:shd w:val="clear" w:color="auto" w:fill="auto"/>
            <w:vAlign w:val="center"/>
          </w:tcPr>
          <w:p w:rsidR="00E21437" w:rsidRPr="00E56625" w:rsidRDefault="00E21437" w:rsidP="004E2752">
            <w:pPr>
              <w:spacing w:after="0"/>
              <w:ind w:left="160"/>
              <w:jc w:val="center"/>
              <w:rPr>
                <w:sz w:val="20"/>
                <w:szCs w:val="20"/>
                <w:lang w:val="en-US" w:eastAsia="fr-FR"/>
              </w:rPr>
            </w:pPr>
            <w:r w:rsidRPr="00E56625">
              <w:rPr>
                <w:sz w:val="20"/>
                <w:szCs w:val="20"/>
                <w:lang w:val="en-US" w:eastAsia="fr-FR"/>
              </w:rPr>
              <w:t>48.5</w:t>
            </w:r>
          </w:p>
        </w:tc>
        <w:tc>
          <w:tcPr>
            <w:tcW w:w="537" w:type="pct"/>
            <w:shd w:val="clear" w:color="auto" w:fill="auto"/>
            <w:vAlign w:val="center"/>
          </w:tcPr>
          <w:p w:rsidR="00E21437" w:rsidRPr="00E56625" w:rsidRDefault="00E21437" w:rsidP="004E2752">
            <w:pPr>
              <w:spacing w:after="0"/>
              <w:ind w:left="103"/>
              <w:jc w:val="center"/>
              <w:rPr>
                <w:sz w:val="20"/>
                <w:szCs w:val="20"/>
                <w:lang w:val="en-US" w:eastAsia="fr-FR"/>
              </w:rPr>
            </w:pPr>
            <w:r w:rsidRPr="00E56625">
              <w:rPr>
                <w:sz w:val="20"/>
                <w:szCs w:val="20"/>
                <w:lang w:val="en-US" w:eastAsia="fr-FR"/>
              </w:rPr>
              <w:t>6 651</w:t>
            </w:r>
          </w:p>
        </w:tc>
        <w:tc>
          <w:tcPr>
            <w:tcW w:w="393" w:type="pct"/>
            <w:shd w:val="clear" w:color="auto" w:fill="auto"/>
            <w:vAlign w:val="center"/>
          </w:tcPr>
          <w:p w:rsidR="00E21437" w:rsidRPr="00E56625" w:rsidRDefault="00E21437" w:rsidP="004E2752">
            <w:pPr>
              <w:spacing w:after="0"/>
              <w:ind w:left="90"/>
              <w:jc w:val="center"/>
              <w:rPr>
                <w:sz w:val="20"/>
                <w:szCs w:val="20"/>
                <w:lang w:val="en-US" w:eastAsia="fr-FR"/>
              </w:rPr>
            </w:pPr>
            <w:r w:rsidRPr="00E56625">
              <w:rPr>
                <w:sz w:val="20"/>
                <w:szCs w:val="20"/>
                <w:lang w:val="en-US" w:eastAsia="fr-FR"/>
              </w:rPr>
              <w:t>46.8</w:t>
            </w:r>
          </w:p>
        </w:tc>
      </w:tr>
      <w:tr w:rsidR="00E21437" w:rsidRPr="008F3531" w:rsidTr="00B3325F">
        <w:trPr>
          <w:trHeight w:val="546"/>
        </w:trPr>
        <w:tc>
          <w:tcPr>
            <w:tcW w:w="1356" w:type="pct"/>
            <w:shd w:val="clear" w:color="auto" w:fill="auto"/>
            <w:vAlign w:val="center"/>
          </w:tcPr>
          <w:p w:rsidR="00E21437" w:rsidRPr="00E56625" w:rsidRDefault="00E21437" w:rsidP="004E2752">
            <w:pPr>
              <w:spacing w:after="0"/>
              <w:rPr>
                <w:b/>
                <w:bCs/>
                <w:sz w:val="20"/>
                <w:szCs w:val="20"/>
                <w:lang w:val="en-US" w:eastAsia="fr-FR"/>
              </w:rPr>
            </w:pPr>
            <w:r w:rsidRPr="00E56625">
              <w:rPr>
                <w:b/>
                <w:bCs/>
                <w:sz w:val="20"/>
                <w:szCs w:val="20"/>
                <w:lang w:val="en-US" w:eastAsia="fr-FR"/>
              </w:rPr>
              <w:t>TOTAL</w:t>
            </w:r>
          </w:p>
        </w:tc>
        <w:tc>
          <w:tcPr>
            <w:tcW w:w="698" w:type="pct"/>
            <w:shd w:val="clear" w:color="auto" w:fill="auto"/>
            <w:vAlign w:val="center"/>
          </w:tcPr>
          <w:p w:rsidR="00E21437" w:rsidRPr="00E56625" w:rsidRDefault="00E21437" w:rsidP="004E2752">
            <w:pPr>
              <w:spacing w:after="0"/>
              <w:ind w:left="72"/>
              <w:jc w:val="center"/>
              <w:rPr>
                <w:b/>
                <w:bCs/>
                <w:sz w:val="20"/>
                <w:szCs w:val="20"/>
                <w:lang w:val="en-US" w:eastAsia="fr-FR"/>
              </w:rPr>
            </w:pPr>
            <w:r w:rsidRPr="00E56625">
              <w:rPr>
                <w:b/>
                <w:bCs/>
                <w:sz w:val="20"/>
                <w:szCs w:val="20"/>
                <w:lang w:val="en-US" w:eastAsia="fr-FR"/>
              </w:rPr>
              <w:t>21 681</w:t>
            </w:r>
          </w:p>
        </w:tc>
        <w:tc>
          <w:tcPr>
            <w:tcW w:w="543" w:type="pct"/>
            <w:shd w:val="clear" w:color="auto" w:fill="auto"/>
            <w:vAlign w:val="center"/>
          </w:tcPr>
          <w:p w:rsidR="00E21437" w:rsidRPr="00E56625" w:rsidRDefault="00E21437" w:rsidP="004E2752">
            <w:pPr>
              <w:spacing w:after="0"/>
              <w:jc w:val="center"/>
              <w:rPr>
                <w:b/>
                <w:bCs/>
                <w:sz w:val="20"/>
                <w:szCs w:val="20"/>
                <w:lang w:val="en-US" w:eastAsia="fr-FR"/>
              </w:rPr>
            </w:pPr>
            <w:r w:rsidRPr="00E56625">
              <w:rPr>
                <w:b/>
                <w:bCs/>
                <w:sz w:val="20"/>
                <w:szCs w:val="20"/>
                <w:lang w:val="en-US" w:eastAsia="fr-FR"/>
              </w:rPr>
              <w:t>4 727</w:t>
            </w:r>
          </w:p>
        </w:tc>
        <w:tc>
          <w:tcPr>
            <w:tcW w:w="465" w:type="pct"/>
            <w:shd w:val="clear" w:color="auto" w:fill="auto"/>
            <w:vAlign w:val="center"/>
          </w:tcPr>
          <w:p w:rsidR="00E21437" w:rsidRPr="00E56625" w:rsidRDefault="00E21437" w:rsidP="004E2752">
            <w:pPr>
              <w:spacing w:after="0"/>
              <w:ind w:left="73"/>
              <w:jc w:val="center"/>
              <w:rPr>
                <w:b/>
                <w:bCs/>
                <w:sz w:val="20"/>
                <w:szCs w:val="20"/>
                <w:lang w:val="en-US" w:eastAsia="fr-FR"/>
              </w:rPr>
            </w:pPr>
            <w:r w:rsidRPr="00E56625">
              <w:rPr>
                <w:b/>
                <w:bCs/>
                <w:sz w:val="20"/>
                <w:szCs w:val="20"/>
                <w:lang w:val="en-US" w:eastAsia="fr-FR"/>
              </w:rPr>
              <w:t>21.8</w:t>
            </w:r>
          </w:p>
        </w:tc>
        <w:tc>
          <w:tcPr>
            <w:tcW w:w="543" w:type="pct"/>
            <w:shd w:val="clear" w:color="auto" w:fill="auto"/>
            <w:vAlign w:val="center"/>
          </w:tcPr>
          <w:p w:rsidR="00E21437" w:rsidRPr="00E56625" w:rsidRDefault="00E21437" w:rsidP="004E2752">
            <w:pPr>
              <w:spacing w:after="0"/>
              <w:ind w:left="83"/>
              <w:jc w:val="center"/>
              <w:rPr>
                <w:b/>
                <w:bCs/>
                <w:sz w:val="20"/>
                <w:szCs w:val="20"/>
                <w:lang w:val="en-US" w:eastAsia="fr-FR"/>
              </w:rPr>
            </w:pPr>
            <w:r w:rsidRPr="00E56625">
              <w:rPr>
                <w:b/>
                <w:bCs/>
                <w:sz w:val="20"/>
                <w:szCs w:val="20"/>
                <w:lang w:val="en-US" w:eastAsia="fr-FR"/>
              </w:rPr>
              <w:t>8 931</w:t>
            </w:r>
          </w:p>
        </w:tc>
        <w:tc>
          <w:tcPr>
            <w:tcW w:w="464" w:type="pct"/>
            <w:shd w:val="clear" w:color="auto" w:fill="auto"/>
            <w:vAlign w:val="center"/>
          </w:tcPr>
          <w:p w:rsidR="00E21437" w:rsidRPr="00E56625" w:rsidRDefault="00E21437" w:rsidP="004E2752">
            <w:pPr>
              <w:spacing w:after="0"/>
              <w:ind w:left="160"/>
              <w:jc w:val="center"/>
              <w:rPr>
                <w:b/>
                <w:bCs/>
                <w:sz w:val="20"/>
                <w:szCs w:val="20"/>
                <w:lang w:val="en-US" w:eastAsia="fr-FR"/>
              </w:rPr>
            </w:pPr>
            <w:r w:rsidRPr="00E56625">
              <w:rPr>
                <w:b/>
                <w:bCs/>
                <w:sz w:val="20"/>
                <w:szCs w:val="20"/>
                <w:lang w:val="en-US" w:eastAsia="fr-FR"/>
              </w:rPr>
              <w:t>41.2</w:t>
            </w:r>
          </w:p>
        </w:tc>
        <w:tc>
          <w:tcPr>
            <w:tcW w:w="537" w:type="pct"/>
            <w:shd w:val="clear" w:color="auto" w:fill="auto"/>
            <w:vAlign w:val="center"/>
          </w:tcPr>
          <w:p w:rsidR="00E21437" w:rsidRPr="00E56625" w:rsidRDefault="00E21437" w:rsidP="004E2752">
            <w:pPr>
              <w:spacing w:after="0"/>
              <w:ind w:left="103"/>
              <w:jc w:val="center"/>
              <w:rPr>
                <w:b/>
                <w:bCs/>
                <w:sz w:val="20"/>
                <w:szCs w:val="20"/>
                <w:lang w:val="en-US" w:eastAsia="fr-FR"/>
              </w:rPr>
            </w:pPr>
            <w:r w:rsidRPr="00E56625">
              <w:rPr>
                <w:b/>
                <w:bCs/>
                <w:sz w:val="20"/>
                <w:szCs w:val="20"/>
                <w:lang w:val="en-US" w:eastAsia="fr-FR"/>
              </w:rPr>
              <w:t>8 023</w:t>
            </w:r>
          </w:p>
        </w:tc>
        <w:tc>
          <w:tcPr>
            <w:tcW w:w="393" w:type="pct"/>
            <w:shd w:val="clear" w:color="auto" w:fill="auto"/>
            <w:vAlign w:val="center"/>
          </w:tcPr>
          <w:p w:rsidR="00E21437" w:rsidRPr="00E56625" w:rsidRDefault="00E21437" w:rsidP="004E2752">
            <w:pPr>
              <w:spacing w:after="0"/>
              <w:ind w:left="90"/>
              <w:jc w:val="center"/>
              <w:rPr>
                <w:b/>
                <w:bCs/>
                <w:sz w:val="20"/>
                <w:szCs w:val="20"/>
                <w:lang w:val="en-US" w:eastAsia="fr-FR"/>
              </w:rPr>
            </w:pPr>
            <w:r w:rsidRPr="00E56625">
              <w:rPr>
                <w:b/>
                <w:bCs/>
                <w:sz w:val="20"/>
                <w:szCs w:val="20"/>
                <w:lang w:val="en-US" w:eastAsia="fr-FR"/>
              </w:rPr>
              <w:t>37.0</w:t>
            </w:r>
          </w:p>
        </w:tc>
      </w:tr>
    </w:tbl>
    <w:p w:rsidR="00E21437" w:rsidRPr="00E56625" w:rsidRDefault="00E21437" w:rsidP="005078D7">
      <w:pPr>
        <w:spacing w:after="0"/>
        <w:rPr>
          <w:sz w:val="20"/>
          <w:szCs w:val="20"/>
          <w:lang w:val="en-US"/>
        </w:rPr>
      </w:pPr>
      <w:r w:rsidRPr="00E56625">
        <w:rPr>
          <w:sz w:val="20"/>
          <w:szCs w:val="20"/>
          <w:lang w:val="en-US"/>
        </w:rPr>
        <w:t xml:space="preserve">Source: Ministry of Transport, 2010. </w:t>
      </w:r>
    </w:p>
    <w:p w:rsidR="003312D4" w:rsidRPr="00E56625" w:rsidRDefault="003312D4" w:rsidP="005078D7">
      <w:pPr>
        <w:spacing w:after="0"/>
        <w:rPr>
          <w:lang w:val="en-US"/>
        </w:rPr>
      </w:pPr>
    </w:p>
    <w:p w:rsidR="00E21437" w:rsidRPr="008F3531" w:rsidRDefault="00E21437" w:rsidP="0004705A">
      <w:pPr>
        <w:pStyle w:val="paranumb"/>
        <w:spacing w:after="200"/>
        <w:rPr>
          <w:rFonts w:cs="Times New Roman"/>
          <w:szCs w:val="24"/>
        </w:rPr>
      </w:pPr>
      <w:r w:rsidRPr="008F3531">
        <w:rPr>
          <w:rFonts w:cs="Times New Roman"/>
          <w:szCs w:val="24"/>
        </w:rPr>
        <w:t>Improved feeder and rural roads would enhance competiveness for local producers, but only if they are connected to good trunk roads. Good connectivity to neighboring countries is important to avoid the risk that increased agricultural production cannot find a market. Yet, as Figure 5.10 has shown, no major roads exist to Niger and Burkina Faso as well as to Dakar. And where they do exist, delays are many. In fact, Mali is the worst performer in the UEMOA as regards the number of checkpoints per every 100 km.</w:t>
      </w:r>
    </w:p>
    <w:p w:rsidR="00E21437" w:rsidRPr="008F3531" w:rsidRDefault="003312D4" w:rsidP="003312D4">
      <w:pPr>
        <w:pStyle w:val="Caption"/>
        <w:rPr>
          <w:b w:val="0"/>
        </w:rPr>
      </w:pPr>
      <w:bookmarkStart w:id="122" w:name="_Toc390956426"/>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13</w:t>
      </w:r>
      <w:r w:rsidR="00943E46" w:rsidRPr="00E56625">
        <w:rPr>
          <w:noProof/>
        </w:rPr>
        <w:fldChar w:fldCharType="end"/>
      </w:r>
      <w:r w:rsidR="00E21437" w:rsidRPr="008F3531">
        <w:rPr>
          <w:b w:val="0"/>
        </w:rPr>
        <w:t>: Number of checkpoints per 100 km (1</w:t>
      </w:r>
      <w:r w:rsidR="00E21437" w:rsidRPr="008F3531">
        <w:rPr>
          <w:b w:val="0"/>
          <w:vertAlign w:val="superscript"/>
        </w:rPr>
        <w:t>st</w:t>
      </w:r>
      <w:r w:rsidR="00E21437" w:rsidRPr="008F3531">
        <w:rPr>
          <w:b w:val="0"/>
        </w:rPr>
        <w:t xml:space="preserve"> quarter of 2013)</w:t>
      </w:r>
      <w:bookmarkEnd w:id="122"/>
    </w:p>
    <w:p w:rsidR="00E21437" w:rsidRPr="00E56625" w:rsidRDefault="00E21437" w:rsidP="003312D4">
      <w:pPr>
        <w:spacing w:after="0"/>
        <w:jc w:val="center"/>
        <w:rPr>
          <w:sz w:val="20"/>
          <w:szCs w:val="20"/>
          <w:lang w:val="en-US"/>
        </w:rPr>
      </w:pPr>
      <w:r w:rsidRPr="00E56625">
        <w:rPr>
          <w:noProof/>
          <w:lang w:val="en-US"/>
        </w:rPr>
        <w:drawing>
          <wp:inline distT="0" distB="0" distL="0" distR="0" wp14:anchorId="73ABF398" wp14:editId="26AD043C">
            <wp:extent cx="5710518" cy="2743200"/>
            <wp:effectExtent l="0" t="0" r="5080" b="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21437" w:rsidRPr="000370E2" w:rsidRDefault="003312D4" w:rsidP="005078D7">
      <w:pPr>
        <w:spacing w:after="0"/>
        <w:rPr>
          <w:sz w:val="20"/>
          <w:szCs w:val="20"/>
          <w:lang w:val="fr-FR"/>
        </w:rPr>
      </w:pPr>
      <w:r w:rsidRPr="000370E2">
        <w:rPr>
          <w:sz w:val="20"/>
          <w:szCs w:val="20"/>
          <w:lang w:val="fr-FR"/>
        </w:rPr>
        <w:t xml:space="preserve">   </w:t>
      </w:r>
      <w:r w:rsidR="00E21437" w:rsidRPr="000370E2">
        <w:rPr>
          <w:sz w:val="20"/>
          <w:szCs w:val="20"/>
          <w:lang w:val="fr-FR"/>
        </w:rPr>
        <w:t xml:space="preserve">Source: UEMOA: Observatoire des pratiques anormales. </w:t>
      </w:r>
    </w:p>
    <w:p w:rsidR="003312D4" w:rsidRPr="000370E2" w:rsidRDefault="003312D4" w:rsidP="005078D7">
      <w:pPr>
        <w:spacing w:after="0"/>
        <w:rPr>
          <w:lang w:val="fr-FR"/>
        </w:rPr>
      </w:pPr>
    </w:p>
    <w:p w:rsidR="00E21437" w:rsidRPr="008F3531" w:rsidRDefault="00E21437" w:rsidP="0004705A">
      <w:pPr>
        <w:pStyle w:val="paranumb"/>
        <w:spacing w:after="200"/>
        <w:rPr>
          <w:rFonts w:cs="Times New Roman"/>
          <w:szCs w:val="24"/>
        </w:rPr>
      </w:pPr>
      <w:r w:rsidRPr="008F3531">
        <w:rPr>
          <w:rFonts w:cs="Times New Roman"/>
          <w:szCs w:val="24"/>
        </w:rPr>
        <w:t xml:space="preserve">We conclude with the obvious: Mali’s road network is insufficient. The fraction of households living more than 10 km from a market is high, and in certain regions even extremely high. The inability to access a market is found to be closely associated with high levels of consumption variability and even acute malnutrition. Improved accessibility requires an improved road network: feeder and rural roads need to be constructed, and equally important, maintained. Additional trunk roads need to be constructed, and existing roads maintained to improve connectivity within the country and to develop areas of high potential (such as the Niger delta) to major markets. International connectivity (Bamako-Dakar, Bamako-Niger and Bamako-Burkina Faso) also needs to be improved. Connections to other countries in the Sahel need to improve particularly to support a poverty reduction strategy poised towards an increased production of food crops. Without access to international markets a strategy that has brought impressive results in the years 2000 may not be sustained, particularly when the domestic demand for these crops become saturated. </w:t>
      </w:r>
    </w:p>
    <w:p w:rsidR="00E21437" w:rsidRPr="00E56625" w:rsidRDefault="00E21437" w:rsidP="003D20DD">
      <w:pPr>
        <w:pStyle w:val="Heading2"/>
        <w:numPr>
          <w:ilvl w:val="0"/>
          <w:numId w:val="10"/>
        </w:numPr>
        <w:spacing w:before="0"/>
        <w:ind w:left="540" w:hanging="540"/>
        <w:rPr>
          <w:rFonts w:ascii="Times New Roman Bold" w:hAnsi="Times New Roman Bold" w:cs="Times New Roman"/>
          <w:color w:val="000000" w:themeColor="text1"/>
          <w:sz w:val="22"/>
          <w:szCs w:val="22"/>
          <w:lang w:val="en-US"/>
        </w:rPr>
      </w:pPr>
      <w:bookmarkStart w:id="123" w:name="_Toc419468564"/>
      <w:r w:rsidRPr="00E56625">
        <w:rPr>
          <w:rFonts w:ascii="Times New Roman Bold" w:hAnsi="Times New Roman Bold" w:cs="Times New Roman"/>
          <w:color w:val="000000" w:themeColor="text1"/>
          <w:sz w:val="22"/>
          <w:szCs w:val="22"/>
          <w:lang w:val="en-US"/>
        </w:rPr>
        <w:t>Discussion</w:t>
      </w:r>
      <w:bookmarkEnd w:id="123"/>
      <w:r w:rsidRPr="00E56625">
        <w:rPr>
          <w:rFonts w:ascii="Times New Roman Bold" w:hAnsi="Times New Roman Bold" w:cs="Times New Roman"/>
          <w:color w:val="000000" w:themeColor="text1"/>
          <w:sz w:val="22"/>
          <w:szCs w:val="22"/>
          <w:lang w:val="en-US"/>
        </w:rPr>
        <w:t xml:space="preserve"> </w:t>
      </w:r>
    </w:p>
    <w:p w:rsidR="00E21437" w:rsidRPr="008F3531" w:rsidRDefault="00E21437" w:rsidP="0004705A">
      <w:pPr>
        <w:pStyle w:val="paranumb"/>
        <w:spacing w:after="200"/>
        <w:rPr>
          <w:rFonts w:cs="Times New Roman"/>
          <w:szCs w:val="24"/>
        </w:rPr>
      </w:pPr>
      <w:r w:rsidRPr="008F3531">
        <w:rPr>
          <w:rFonts w:cs="Times New Roman"/>
          <w:szCs w:val="24"/>
        </w:rPr>
        <w:t>High (fixed and other) costs and limited budgets create difficult choices for the provision of public services. Trade-offs have to be made between giving as many as possible access (i.e. offering the service where the cost per beneficiary is lowest) and ensuring that everybody has the same opportunity to access a service (comparable access rates across space irrespective of the cost of provision). This chapter noted how, in reality, the discussion is more complex than this simple dichotomy. Quality matters as do complementary measures such as an adequate road maintenance budget and policies to prevent unnecessary checkpoints.</w:t>
      </w:r>
    </w:p>
    <w:p w:rsidR="00E21437" w:rsidRPr="008F3531" w:rsidRDefault="00E21437" w:rsidP="0004705A">
      <w:pPr>
        <w:pStyle w:val="paranumb"/>
        <w:spacing w:after="200"/>
        <w:rPr>
          <w:rFonts w:cs="Times New Roman"/>
          <w:szCs w:val="24"/>
        </w:rPr>
      </w:pPr>
      <w:r w:rsidRPr="008F3531">
        <w:rPr>
          <w:rFonts w:cs="Times New Roman"/>
          <w:szCs w:val="24"/>
        </w:rPr>
        <w:t>The chapter illustrated how secondary schools could only be provided in a cost-efficient manner in a limited fraction of all communities, which is unacceptable from an equity perspective. Yet additional budget is unlikely to solve the problem, as the education system would become prohibitively expensive, implying cuts in spending in other, equally important sectors. So there is much pressure to deliver existing services to more people at lower cost.</w:t>
      </w:r>
    </w:p>
    <w:p w:rsidR="00E21437" w:rsidRPr="008F3531" w:rsidRDefault="00E21437" w:rsidP="0004705A">
      <w:pPr>
        <w:pStyle w:val="paranumb"/>
        <w:spacing w:after="200"/>
        <w:rPr>
          <w:rFonts w:cs="Times New Roman"/>
          <w:szCs w:val="24"/>
        </w:rPr>
      </w:pPr>
      <w:r w:rsidRPr="008F3531">
        <w:rPr>
          <w:rFonts w:cs="Times New Roman"/>
          <w:szCs w:val="24"/>
        </w:rPr>
        <w:t xml:space="preserve">The issue of high unit cost limiting the degree to which services can be provided exists across the globe, but is particularly pressing in a low population density environment like in Mali where the fixed cost of service provision can only be shared between relatively few beneficiaries. Finding solutions to the challenge of high unit costs is, therefore, critical. </w:t>
      </w:r>
    </w:p>
    <w:p w:rsidR="00E21437" w:rsidRPr="008F3531" w:rsidRDefault="00E21437" w:rsidP="0004705A">
      <w:pPr>
        <w:pStyle w:val="paranumb"/>
        <w:spacing w:after="200"/>
        <w:rPr>
          <w:rFonts w:cs="Times New Roman"/>
          <w:szCs w:val="24"/>
        </w:rPr>
      </w:pPr>
      <w:r w:rsidRPr="008F3531">
        <w:rPr>
          <w:rFonts w:cs="Times New Roman"/>
          <w:szCs w:val="24"/>
        </w:rPr>
        <w:t>There are various ways to deal with these challenges. One is efficiency. Wastage is never acceptable and it is critical that the public sector is vigilant about the unit cost at which various services are provided in different locations.</w:t>
      </w:r>
      <w:r w:rsidRPr="008F3531">
        <w:rPr>
          <w:szCs w:val="24"/>
        </w:rPr>
        <w:footnoteReference w:id="55"/>
      </w:r>
      <w:r w:rsidRPr="008F3531">
        <w:rPr>
          <w:rFonts w:cs="Times New Roman"/>
          <w:szCs w:val="24"/>
        </w:rPr>
        <w:t xml:space="preserve"> Good planning is essential to avoiding wastage: constructing roads in the absence of means to maintain them amounts to waste that could easily be avoided; high drop-out rates in primary school is equally wasteful. </w:t>
      </w:r>
    </w:p>
    <w:p w:rsidR="00E21437" w:rsidRPr="008F3531" w:rsidRDefault="00E21437" w:rsidP="0004705A">
      <w:pPr>
        <w:pStyle w:val="paranumb"/>
        <w:spacing w:after="200"/>
        <w:rPr>
          <w:rFonts w:cs="Times New Roman"/>
          <w:szCs w:val="24"/>
        </w:rPr>
      </w:pPr>
      <w:r w:rsidRPr="008F3531">
        <w:rPr>
          <w:rFonts w:cs="Times New Roman"/>
          <w:szCs w:val="24"/>
        </w:rPr>
        <w:t>Another way to address the “how to provide services in a cost-effective manner in a low density environment challenge” is by embracing migration. In chapter two it was suggested that pull factors –particularly better access to services and economic opportunities are amongst the reasons for migration. Temporary labor migration as well as permanent migration are already common, and moving people to the service rather than the service to the people deserves to be embraced as a cost-effective way of dealing with low-density problems. Policies need to facilitate internal migration by reducing its cost and increasing the probability of success. Secondary schools or hospitals could offer boarding facilities. Pastoralists may be asked to travel with their animals to veterinary services; businesses can be facilitated to move to towns where electricity is can be offered. Improved education would increase the success rate of migration as unskilled migrants are found to be least likely to succeed.</w:t>
      </w:r>
    </w:p>
    <w:p w:rsidR="00E21437" w:rsidRPr="008F3531" w:rsidRDefault="00E21437" w:rsidP="0004705A">
      <w:pPr>
        <w:pStyle w:val="paranumb"/>
        <w:spacing w:after="200"/>
        <w:rPr>
          <w:rFonts w:cs="Times New Roman"/>
          <w:szCs w:val="24"/>
        </w:rPr>
      </w:pPr>
      <w:r w:rsidRPr="008F3531">
        <w:rPr>
          <w:rFonts w:cs="Times New Roman"/>
          <w:szCs w:val="24"/>
        </w:rPr>
        <w:t xml:space="preserve">A third way to reduce the unit cost of service delivery is by embracing innovation. The challenge posed by low population density is so pressing that reducing the cost of service provision through innovation deserves to be embraced as a core objective of public policy. There are many ways to do so, some of which are already implemented as a matter of routine. Wells and dirt roads are constructed in areas where population density is low; piped water and tarmacked roads are available in cities where population density is high. Other approaches are un-tried: in low density areas students of different grades could share classrooms and teachers; secondary school teachers could be required to teach multiple subjects; veterinary and vaccination services could be offered in an integrated manner. </w:t>
      </w:r>
    </w:p>
    <w:p w:rsidR="00E21437" w:rsidRPr="008F3531" w:rsidRDefault="00E21437" w:rsidP="0004705A">
      <w:pPr>
        <w:pStyle w:val="paranumb"/>
        <w:spacing w:after="200"/>
        <w:rPr>
          <w:rFonts w:cs="Times New Roman"/>
          <w:szCs w:val="24"/>
        </w:rPr>
      </w:pPr>
      <w:r w:rsidRPr="008F3531">
        <w:rPr>
          <w:rFonts w:cs="Times New Roman"/>
          <w:szCs w:val="24"/>
        </w:rPr>
        <w:t xml:space="preserve">With the advent of new technologies, new opportunities to reduce the unit cost of service provision abound. Mobile phone technology allows offering a plethora of services from voice calls to internet access to mobile money transfers and banking and can do so without the need to invest in an expensive cable network. The implications of this for poor households living in isolated areas are far-reaching. Compare for instance the limited availability of financial services as presently offered by savings banks (Figure 5.14) with what would be feasible if mobile money transfers, mobile savings and even full fletched banking services were available as they are in Kenya, Uganda or Tanzania. </w:t>
      </w:r>
    </w:p>
    <w:p w:rsidR="00E21437" w:rsidRPr="008F3531" w:rsidRDefault="00E21437" w:rsidP="0004705A">
      <w:pPr>
        <w:pStyle w:val="paranumb"/>
        <w:spacing w:after="200"/>
        <w:rPr>
          <w:rFonts w:cs="Times New Roman"/>
          <w:szCs w:val="24"/>
        </w:rPr>
      </w:pPr>
      <w:r w:rsidRPr="008F3531">
        <w:rPr>
          <w:rFonts w:cs="Times New Roman"/>
          <w:szCs w:val="24"/>
        </w:rPr>
        <w:t xml:space="preserve">The options are not limited to mobile phone technology. In the chapter we discussed how advances in solar technology makes it affordable to offer lighting and cell phone charging services to all. Cheap tablet computers offer new –cheaper and faster- opportunities for data collection; cheap motor bikes allow households to deal with poor rural roads and have made the market for transport services more competitive. </w:t>
      </w:r>
    </w:p>
    <w:p w:rsidR="00E21437" w:rsidRPr="008F3531" w:rsidRDefault="00E21437" w:rsidP="00E21437">
      <w:pPr>
        <w:pStyle w:val="paranumb"/>
        <w:spacing w:after="200"/>
        <w:rPr>
          <w:rFonts w:cs="Times New Roman"/>
          <w:szCs w:val="24"/>
        </w:rPr>
      </w:pPr>
      <w:r w:rsidRPr="008F3531">
        <w:rPr>
          <w:rFonts w:cs="Times New Roman"/>
          <w:szCs w:val="24"/>
        </w:rPr>
        <w:t>Government can nurture innovations. In some cases (motor bikes for instance) Government needs to do very little as the market is already taking care of it. In other instances (mobile telephony) Government will need to provide the appropriate regulatory framework to ensure that competition is increased such that the benefits of mobile telephony become available to many. Vigilance is needed to avoid policies which go contrary to the objective of access for all. The mandatory registration of SIM cards which is being considered is an illustration of a policy that – if implemented, would yield little in benefits, but which would make it much harder for those who need the service most, people living isolated in low density areas, to benefit from mobile phone services.</w:t>
      </w: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3312D4" w:rsidRPr="00E56625" w:rsidRDefault="003312D4" w:rsidP="00E21437">
      <w:pPr>
        <w:spacing w:after="120"/>
        <w:rPr>
          <w:b/>
          <w:lang w:val="en-US"/>
        </w:rPr>
      </w:pPr>
    </w:p>
    <w:p w:rsidR="00415574" w:rsidRDefault="00415574">
      <w:pPr>
        <w:spacing w:line="276" w:lineRule="auto"/>
        <w:rPr>
          <w:rFonts w:ascii="Times New Roman Bold" w:hAnsi="Times New Roman Bold" w:cstheme="minorBidi"/>
          <w:b/>
          <w:bCs/>
          <w:color w:val="000000" w:themeColor="text1"/>
          <w:sz w:val="22"/>
          <w:szCs w:val="18"/>
          <w:lang w:val="en-US"/>
        </w:rPr>
      </w:pPr>
      <w:bookmarkStart w:id="124" w:name="_Toc390956427"/>
      <w:r>
        <w:br w:type="page"/>
      </w:r>
    </w:p>
    <w:p w:rsidR="00E21437" w:rsidRPr="008F3531" w:rsidRDefault="003312D4" w:rsidP="003312D4">
      <w:pPr>
        <w:pStyle w:val="Caption"/>
        <w:rPr>
          <w:b w:val="0"/>
        </w:rPr>
      </w:pPr>
      <w:r w:rsidRPr="008F3531">
        <w:t xml:space="preserve">Figure </w:t>
      </w:r>
      <w:r w:rsidR="00943E46" w:rsidRPr="00E56625">
        <w:fldChar w:fldCharType="begin"/>
      </w:r>
      <w:r w:rsidR="00943E46" w:rsidRPr="008F3531">
        <w:instrText xml:space="preserve"> STYLEREF 1 \s </w:instrText>
      </w:r>
      <w:r w:rsidR="00943E46" w:rsidRPr="00E56625">
        <w:fldChar w:fldCharType="separate"/>
      </w:r>
      <w:r w:rsidR="002779FA">
        <w:rPr>
          <w:noProof/>
        </w:rPr>
        <w:t>5</w:t>
      </w:r>
      <w:r w:rsidR="00943E46" w:rsidRPr="00E56625">
        <w:rPr>
          <w:noProof/>
        </w:rPr>
        <w:fldChar w:fldCharType="end"/>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14</w:t>
      </w:r>
      <w:r w:rsidR="00943E46" w:rsidRPr="00E56625">
        <w:rPr>
          <w:noProof/>
        </w:rPr>
        <w:fldChar w:fldCharType="end"/>
      </w:r>
      <w:r w:rsidR="00E21437" w:rsidRPr="008F3531">
        <w:rPr>
          <w:b w:val="0"/>
        </w:rPr>
        <w:t>: Location of savings banks</w:t>
      </w:r>
      <w:bookmarkEnd w:id="124"/>
    </w:p>
    <w:p w:rsidR="00E21437" w:rsidRPr="00E56625" w:rsidRDefault="00E21437" w:rsidP="003312D4">
      <w:pPr>
        <w:spacing w:after="0"/>
        <w:rPr>
          <w:sz w:val="20"/>
          <w:szCs w:val="20"/>
          <w:lang w:val="en-US"/>
        </w:rPr>
      </w:pPr>
      <w:r w:rsidRPr="00E56625">
        <w:rPr>
          <w:b/>
          <w:noProof/>
          <w:lang w:val="en-US"/>
        </w:rPr>
        <w:drawing>
          <wp:inline distT="0" distB="0" distL="0" distR="0" wp14:anchorId="56882892" wp14:editId="40893A69">
            <wp:extent cx="6143646" cy="57596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caisse_d_epargne_et_de_credit.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45458" cy="5761368"/>
                    </a:xfrm>
                    <a:prstGeom prst="rect">
                      <a:avLst/>
                    </a:prstGeom>
                  </pic:spPr>
                </pic:pic>
              </a:graphicData>
            </a:graphic>
          </wp:inline>
        </w:drawing>
      </w:r>
    </w:p>
    <w:p w:rsidR="00E21437" w:rsidRPr="00E56625" w:rsidRDefault="00E21437" w:rsidP="005078D7">
      <w:pPr>
        <w:spacing w:after="0"/>
        <w:rPr>
          <w:sz w:val="20"/>
          <w:szCs w:val="20"/>
          <w:lang w:val="en-US"/>
        </w:rPr>
      </w:pPr>
      <w:r w:rsidRPr="00E56625">
        <w:rPr>
          <w:sz w:val="20"/>
          <w:szCs w:val="20"/>
          <w:lang w:val="en-US"/>
        </w:rPr>
        <w:t>Source: RGPH 2009. Authors’ calculations</w:t>
      </w:r>
    </w:p>
    <w:p w:rsidR="00180499" w:rsidRPr="008F3531" w:rsidRDefault="00180499" w:rsidP="00E21437">
      <w:pPr>
        <w:pStyle w:val="paranumb"/>
        <w:numPr>
          <w:ilvl w:val="0"/>
          <w:numId w:val="0"/>
        </w:numPr>
        <w:autoSpaceDE w:val="0"/>
        <w:autoSpaceDN w:val="0"/>
        <w:adjustRightInd w:val="0"/>
        <w:spacing w:after="0"/>
      </w:pPr>
    </w:p>
    <w:p w:rsidR="00DB6412" w:rsidRPr="008F3531" w:rsidRDefault="00DB6412" w:rsidP="00DB6412">
      <w:pPr>
        <w:pStyle w:val="paranumb"/>
        <w:numPr>
          <w:ilvl w:val="0"/>
          <w:numId w:val="0"/>
        </w:numPr>
        <w:autoSpaceDE w:val="0"/>
        <w:autoSpaceDN w:val="0"/>
        <w:adjustRightInd w:val="0"/>
        <w:spacing w:after="0"/>
        <w:rPr>
          <w:sz w:val="20"/>
          <w:szCs w:val="20"/>
        </w:rPr>
      </w:pPr>
    </w:p>
    <w:p w:rsidR="00E21437" w:rsidRPr="008F3531" w:rsidRDefault="00E21437" w:rsidP="00DB6412">
      <w:pPr>
        <w:pStyle w:val="paranumb"/>
        <w:numPr>
          <w:ilvl w:val="0"/>
          <w:numId w:val="0"/>
        </w:numPr>
        <w:autoSpaceDE w:val="0"/>
        <w:autoSpaceDN w:val="0"/>
        <w:adjustRightInd w:val="0"/>
        <w:spacing w:after="0"/>
        <w:rPr>
          <w:sz w:val="20"/>
          <w:szCs w:val="20"/>
        </w:rPr>
      </w:pPr>
    </w:p>
    <w:p w:rsidR="00E21437" w:rsidRPr="008F3531" w:rsidRDefault="00E21437" w:rsidP="00DB6412">
      <w:pPr>
        <w:pStyle w:val="paranumb"/>
        <w:numPr>
          <w:ilvl w:val="0"/>
          <w:numId w:val="0"/>
        </w:numPr>
        <w:autoSpaceDE w:val="0"/>
        <w:autoSpaceDN w:val="0"/>
        <w:adjustRightInd w:val="0"/>
        <w:spacing w:after="0"/>
        <w:rPr>
          <w:sz w:val="20"/>
          <w:szCs w:val="20"/>
        </w:rPr>
        <w:sectPr w:rsidR="00E21437" w:rsidRPr="008F3531" w:rsidSect="008E49BF">
          <w:pgSz w:w="12240" w:h="15840" w:code="1"/>
          <w:pgMar w:top="1440" w:right="1440" w:bottom="1440" w:left="1440" w:header="706" w:footer="706" w:gutter="0"/>
          <w:cols w:space="708"/>
          <w:docGrid w:linePitch="360"/>
        </w:sectPr>
      </w:pPr>
    </w:p>
    <w:p w:rsidR="00CF0E26" w:rsidRPr="008F3531" w:rsidRDefault="00A170BA" w:rsidP="00B612C1">
      <w:pPr>
        <w:pStyle w:val="Heading1"/>
        <w:ind w:left="0"/>
      </w:pPr>
      <w:bookmarkStart w:id="125" w:name="_Toc419468565"/>
      <w:r w:rsidRPr="008F3531">
        <w:t>Pove</w:t>
      </w:r>
      <w:r w:rsidR="003A6B31" w:rsidRPr="008F3531">
        <w:t xml:space="preserve">rty Reduction and Growth in the </w:t>
      </w:r>
      <w:r w:rsidR="00F64AC3" w:rsidRPr="008F3531">
        <w:t>Face of</w:t>
      </w:r>
      <w:r w:rsidR="00F64AC3" w:rsidRPr="008F3531">
        <w:br/>
        <w:t xml:space="preserve">                      </w:t>
      </w:r>
      <w:r w:rsidRPr="008F3531">
        <w:t>Spatial Challenges</w:t>
      </w:r>
      <w:bookmarkEnd w:id="125"/>
    </w:p>
    <w:p w:rsidR="00CF0E26" w:rsidRPr="00E56625" w:rsidRDefault="002A5436" w:rsidP="00E56625">
      <w:pPr>
        <w:pStyle w:val="Heading2"/>
        <w:numPr>
          <w:ilvl w:val="0"/>
          <w:numId w:val="16"/>
        </w:numPr>
        <w:spacing w:before="0"/>
        <w:ind w:left="360"/>
        <w:rPr>
          <w:rFonts w:ascii="Times New Roman Bold" w:hAnsi="Times New Roman Bold" w:cs="Times New Roman"/>
          <w:color w:val="000000" w:themeColor="text1"/>
          <w:sz w:val="22"/>
          <w:szCs w:val="22"/>
          <w:lang w:val="en-US"/>
        </w:rPr>
      </w:pPr>
      <w:bookmarkStart w:id="126" w:name="_Toc419468566"/>
      <w:r w:rsidRPr="00E56625">
        <w:rPr>
          <w:rFonts w:ascii="Times New Roman Bold" w:hAnsi="Times New Roman Bold" w:cs="Times New Roman"/>
          <w:color w:val="000000" w:themeColor="text1"/>
          <w:sz w:val="22"/>
          <w:szCs w:val="22"/>
          <w:lang w:val="en-US"/>
        </w:rPr>
        <w:t>Introduction</w:t>
      </w:r>
      <w:bookmarkEnd w:id="126"/>
      <w:r w:rsidRPr="00E56625">
        <w:rPr>
          <w:rFonts w:ascii="Times New Roman Bold" w:hAnsi="Times New Roman Bold" w:cs="Times New Roman"/>
          <w:color w:val="000000" w:themeColor="text1"/>
          <w:sz w:val="22"/>
          <w:szCs w:val="22"/>
          <w:lang w:val="en-US"/>
        </w:rPr>
        <w:t xml:space="preserve"> </w:t>
      </w:r>
    </w:p>
    <w:p w:rsidR="005D5440" w:rsidRPr="00E56625" w:rsidRDefault="004C1AC1" w:rsidP="00C73CC7">
      <w:pPr>
        <w:numPr>
          <w:ilvl w:val="1"/>
          <w:numId w:val="5"/>
        </w:numPr>
        <w:jc w:val="both"/>
        <w:rPr>
          <w:lang w:val="en-US"/>
        </w:rPr>
      </w:pPr>
      <w:r w:rsidRPr="008F3531">
        <w:rPr>
          <w:rFonts w:eastAsia="Times New Roman" w:cstheme="minorBidi"/>
          <w:sz w:val="22"/>
          <w:szCs w:val="22"/>
          <w:lang w:val="en-US"/>
        </w:rPr>
        <w:t>One</w:t>
      </w:r>
      <w:r w:rsidR="005D5440" w:rsidRPr="008F3531">
        <w:rPr>
          <w:rFonts w:eastAsia="Times New Roman" w:cstheme="minorBidi"/>
          <w:sz w:val="22"/>
          <w:szCs w:val="22"/>
          <w:lang w:val="en-US"/>
        </w:rPr>
        <w:t xml:space="preserve"> </w:t>
      </w:r>
      <w:r w:rsidR="005D5440" w:rsidRPr="00E56625">
        <w:rPr>
          <w:lang w:val="en-US"/>
        </w:rPr>
        <w:t xml:space="preserve">importance of physical distance to the world’s markets was illustrated by the night-time lights map presented in the introduction. In this chapter we explore the connection between poverty reduction and growth and conclude that Mali is well poised to rapidly reduce poverty, provided growth is accelerated. The required growth acceleration falls within the realm of the feasible. The chapter then considers how, in the face of spatial constraints, such an acceleration might be brought about. </w:t>
      </w:r>
    </w:p>
    <w:p w:rsidR="005D5440" w:rsidRPr="00E56625" w:rsidRDefault="005D5440" w:rsidP="003D20DD">
      <w:pPr>
        <w:pStyle w:val="Heading2"/>
        <w:spacing w:before="0"/>
        <w:ind w:left="540" w:hanging="540"/>
        <w:rPr>
          <w:rFonts w:ascii="Times New Roman Bold" w:hAnsi="Times New Roman Bold" w:cs="Times New Roman"/>
          <w:color w:val="000000" w:themeColor="text1"/>
          <w:sz w:val="22"/>
          <w:szCs w:val="22"/>
          <w:lang w:val="en-US"/>
        </w:rPr>
      </w:pPr>
      <w:bookmarkStart w:id="127" w:name="_Toc419468567"/>
      <w:r w:rsidRPr="00E56625">
        <w:rPr>
          <w:rFonts w:ascii="Times New Roman Bold" w:hAnsi="Times New Roman Bold" w:cs="Times New Roman"/>
          <w:color w:val="000000" w:themeColor="text1"/>
          <w:sz w:val="22"/>
          <w:szCs w:val="22"/>
          <w:lang w:val="en-US"/>
        </w:rPr>
        <w:t>Poverty reduction requires accelerated growth</w:t>
      </w:r>
      <w:bookmarkEnd w:id="127"/>
    </w:p>
    <w:p w:rsidR="005D5440" w:rsidRPr="00E56625" w:rsidRDefault="005D5440" w:rsidP="00C73CC7">
      <w:pPr>
        <w:numPr>
          <w:ilvl w:val="1"/>
          <w:numId w:val="5"/>
        </w:numPr>
        <w:jc w:val="both"/>
        <w:rPr>
          <w:lang w:val="en-US"/>
        </w:rPr>
      </w:pPr>
      <w:r w:rsidRPr="00E56625">
        <w:rPr>
          <w:lang w:val="en-US"/>
        </w:rPr>
        <w:t>At an average rate of 1.5 percent per capita since 2000, growth has been lackluster. The main reason why poverty declined between 2001 and 2010 is because of the decline in inequality</w:t>
      </w:r>
      <w:r w:rsidRPr="00E56625">
        <w:rPr>
          <w:rStyle w:val="FootnoteReference"/>
          <w:lang w:val="en-US"/>
        </w:rPr>
        <w:footnoteReference w:id="56"/>
      </w:r>
      <w:r w:rsidRPr="00E56625">
        <w:rPr>
          <w:lang w:val="en-US"/>
        </w:rPr>
        <w:t xml:space="preserve"> as a consequence of the fact that consumption of the poorest segments of the population increased, while consumption of the wealthiest declined. As a consequence of this redistribution the Gini coefficient for Mali dropped from 0.40 in 2001 to around 0.33 in 2010. </w:t>
      </w:r>
    </w:p>
    <w:p w:rsidR="005D5440" w:rsidRPr="00E56625" w:rsidRDefault="005D5440" w:rsidP="00C73CC7">
      <w:pPr>
        <w:numPr>
          <w:ilvl w:val="1"/>
          <w:numId w:val="5"/>
        </w:numPr>
        <w:jc w:val="both"/>
        <w:rPr>
          <w:lang w:val="en-US"/>
        </w:rPr>
      </w:pPr>
      <w:r w:rsidRPr="00E56625">
        <w:rPr>
          <w:lang w:val="en-US"/>
        </w:rPr>
        <w:t>Looking to the future it is relevant to know what the rate of growth would have to be to half poverty by, say, 2030. This is an ambitious objective as it implies that poverty would reduce to around 20 percent, but it is significantly less ambitious than the World Bank’s objective of 3 percent poverty by 2030.</w:t>
      </w:r>
    </w:p>
    <w:p w:rsidR="005D5440" w:rsidRPr="00E56625" w:rsidRDefault="005D5440" w:rsidP="00C73CC7">
      <w:pPr>
        <w:numPr>
          <w:ilvl w:val="1"/>
          <w:numId w:val="5"/>
        </w:numPr>
        <w:jc w:val="both"/>
        <w:rPr>
          <w:lang w:val="en-US"/>
        </w:rPr>
      </w:pPr>
      <w:r w:rsidRPr="00E56625">
        <w:rPr>
          <w:lang w:val="en-US"/>
        </w:rPr>
        <w:t xml:space="preserve">To prepare poverty projections, assumptions have to be made about future changes in inequality, the relation between GDP growth and consumption growth and the rate of population increase. With respect to inequality we make the simplifying assumption that inequality will not change. In other words, it is hypothesized that the shape of the consumption distribution will remain unchanged implying that poverty reduction will not come from changes in inequality but from consumption growth which benefits all households equally. The reason to assume this –in spite of the fact that in the recent past inequality reduction was the main driver of poverty reduction is that, while future decreases in inequality cannot be ruled out, already the level of inequality in Mali is the lowest in the region (Figure </w:t>
      </w:r>
      <w:r w:rsidR="001C7567">
        <w:rPr>
          <w:lang w:val="en-US"/>
        </w:rPr>
        <w:t>6</w:t>
      </w:r>
      <w:r w:rsidRPr="00E56625">
        <w:rPr>
          <w:lang w:val="en-US"/>
        </w:rPr>
        <w:t xml:space="preserve">.1). Further decreases in inequality can be expected to be increasingly difficult to realize. </w:t>
      </w:r>
    </w:p>
    <w:p w:rsidR="003A6B31" w:rsidRPr="00E56625" w:rsidRDefault="003A6B31">
      <w:pPr>
        <w:rPr>
          <w:b/>
          <w:lang w:val="en-US"/>
        </w:rPr>
      </w:pPr>
      <w:r w:rsidRPr="00E56625">
        <w:rPr>
          <w:b/>
          <w:lang w:val="en-US"/>
        </w:rPr>
        <w:br w:type="page"/>
      </w:r>
    </w:p>
    <w:p w:rsidR="005D5440" w:rsidRPr="008F3531" w:rsidRDefault="003A6B31" w:rsidP="003A6B31">
      <w:pPr>
        <w:pStyle w:val="Caption"/>
        <w:rPr>
          <w:b w:val="0"/>
        </w:rPr>
      </w:pPr>
      <w:bookmarkStart w:id="128" w:name="_Toc390956432"/>
      <w:r w:rsidRPr="008F3531">
        <w:t xml:space="preserve">Figure </w:t>
      </w:r>
      <w:r w:rsidR="008F3531" w:rsidRPr="008F3531">
        <w:t>6</w:t>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1</w:t>
      </w:r>
      <w:r w:rsidR="00943E46" w:rsidRPr="00E56625">
        <w:rPr>
          <w:noProof/>
        </w:rPr>
        <w:fldChar w:fldCharType="end"/>
      </w:r>
      <w:r w:rsidR="005D5440" w:rsidRPr="008F3531">
        <w:rPr>
          <w:b w:val="0"/>
        </w:rPr>
        <w:t>: Gini coefficients for selected countries in West Africa</w:t>
      </w:r>
      <w:bookmarkEnd w:id="128"/>
    </w:p>
    <w:p w:rsidR="005D5440" w:rsidRPr="00E56625" w:rsidRDefault="005D5440" w:rsidP="005078D7">
      <w:pPr>
        <w:autoSpaceDE w:val="0"/>
        <w:autoSpaceDN w:val="0"/>
        <w:adjustRightInd w:val="0"/>
        <w:spacing w:after="0"/>
        <w:rPr>
          <w:lang w:val="en-US"/>
        </w:rPr>
      </w:pPr>
      <w:r w:rsidRPr="00E56625">
        <w:rPr>
          <w:noProof/>
          <w:lang w:val="en-US"/>
        </w:rPr>
        <w:drawing>
          <wp:inline distT="0" distB="0" distL="0" distR="0" wp14:anchorId="6B92B206" wp14:editId="75C46EE3">
            <wp:extent cx="5871882" cy="3110753"/>
            <wp:effectExtent l="0" t="0" r="0" b="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D5440" w:rsidRPr="00E56625" w:rsidRDefault="005D5440" w:rsidP="005078D7">
      <w:pPr>
        <w:autoSpaceDE w:val="0"/>
        <w:autoSpaceDN w:val="0"/>
        <w:adjustRightInd w:val="0"/>
        <w:spacing w:after="0"/>
        <w:rPr>
          <w:sz w:val="20"/>
          <w:szCs w:val="20"/>
          <w:lang w:val="en-US"/>
        </w:rPr>
      </w:pPr>
      <w:r w:rsidRPr="00E56625">
        <w:rPr>
          <w:sz w:val="20"/>
          <w:szCs w:val="20"/>
          <w:lang w:val="en-US"/>
        </w:rPr>
        <w:t>Source: World Development Indicators 2013.</w:t>
      </w:r>
    </w:p>
    <w:p w:rsidR="003A6B31" w:rsidRPr="00E56625" w:rsidRDefault="003A6B31" w:rsidP="005078D7">
      <w:pPr>
        <w:autoSpaceDE w:val="0"/>
        <w:autoSpaceDN w:val="0"/>
        <w:adjustRightInd w:val="0"/>
        <w:spacing w:after="0"/>
        <w:rPr>
          <w:lang w:val="en-US"/>
        </w:rPr>
      </w:pPr>
    </w:p>
    <w:p w:rsidR="005D5440" w:rsidRPr="00E56625" w:rsidRDefault="005D5440" w:rsidP="00C73CC7">
      <w:pPr>
        <w:numPr>
          <w:ilvl w:val="1"/>
          <w:numId w:val="5"/>
        </w:numPr>
        <w:jc w:val="both"/>
        <w:rPr>
          <w:lang w:val="en-US"/>
        </w:rPr>
      </w:pPr>
      <w:r w:rsidRPr="00E56625">
        <w:rPr>
          <w:lang w:val="en-US"/>
        </w:rPr>
        <w:t xml:space="preserve">The second assumption we make is that consumption growth tracks GDP growth: when household incomes rise, their consumption rises proportionally. </w:t>
      </w:r>
    </w:p>
    <w:p w:rsidR="005D5440" w:rsidRPr="00E56625" w:rsidRDefault="005D5440" w:rsidP="00C73CC7">
      <w:pPr>
        <w:numPr>
          <w:ilvl w:val="1"/>
          <w:numId w:val="5"/>
        </w:numPr>
        <w:jc w:val="both"/>
        <w:rPr>
          <w:lang w:val="en-US"/>
        </w:rPr>
      </w:pPr>
      <w:r w:rsidRPr="00E56625">
        <w:rPr>
          <w:lang w:val="en-US"/>
        </w:rPr>
        <w:t xml:space="preserve">We also need to make assumptions about the rate of population increase. Table </w:t>
      </w:r>
      <w:r w:rsidR="001C7567">
        <w:rPr>
          <w:lang w:val="en-US"/>
        </w:rPr>
        <w:t>6</w:t>
      </w:r>
      <w:r w:rsidRPr="00E56625">
        <w:rPr>
          <w:lang w:val="en-US"/>
        </w:rPr>
        <w:t>.1 presents data for the last four population censuses obtained from INSTAT (RGPH) and the World Bank (WDI). Both data sources demonstrate how the rate of population growth is increasing. Was the inter-census growth about 1.6-1.7 percent between 1976 and 1987 it increased to a rate of between 3.1 percent and 3.6 percent between 1998 and 2009. The rate of population increase is accelerating! It is beyond the scope of this study to look deeper into the causes and consequences of this but it goes without saying that it deserves further study and attention.</w:t>
      </w:r>
      <w:r w:rsidRPr="00E56625">
        <w:rPr>
          <w:rStyle w:val="FootnoteReference"/>
          <w:lang w:val="en-US"/>
        </w:rPr>
        <w:footnoteReference w:id="57"/>
      </w:r>
      <w:r w:rsidRPr="00E56625">
        <w:rPr>
          <w:lang w:val="en-US"/>
        </w:rPr>
        <w:t xml:space="preserve"> </w:t>
      </w:r>
    </w:p>
    <w:p w:rsidR="005D5440" w:rsidRPr="00E56625" w:rsidRDefault="005D5440" w:rsidP="00C73CC7">
      <w:pPr>
        <w:numPr>
          <w:ilvl w:val="1"/>
          <w:numId w:val="5"/>
        </w:numPr>
        <w:jc w:val="both"/>
        <w:rPr>
          <w:lang w:val="en-US"/>
        </w:rPr>
      </w:pPr>
      <w:r w:rsidRPr="00E56625">
        <w:rPr>
          <w:lang w:val="en-US"/>
        </w:rPr>
        <w:t xml:space="preserve">For our purposes we assume that till 2030 the rate of population increase stabilizes at 3.6 percent. With this it is possible to calculate the rate of GDP growth that is needed to achieve our poverty objective. To reduce poverty by half by 2030, the GDP growth rate has to be 5.9 percent annum (starting 2014); to achieve 10 percent poverty, the growth rate has to be 7.2 percent per annum. To eradicate extreme poverty the growth rate has to be 9.1 percent per annum. </w:t>
      </w:r>
    </w:p>
    <w:p w:rsidR="003A6B31" w:rsidRPr="00E56625" w:rsidRDefault="003A6B31">
      <w:pPr>
        <w:rPr>
          <w:b/>
          <w:lang w:val="en-US"/>
        </w:rPr>
      </w:pPr>
      <w:r w:rsidRPr="00E56625">
        <w:rPr>
          <w:b/>
          <w:lang w:val="en-US"/>
        </w:rPr>
        <w:br w:type="page"/>
      </w:r>
    </w:p>
    <w:p w:rsidR="005D5440" w:rsidRPr="008F3531" w:rsidRDefault="00D115B1" w:rsidP="00D115B1">
      <w:pPr>
        <w:pStyle w:val="Caption"/>
        <w:rPr>
          <w:b w:val="0"/>
        </w:rPr>
      </w:pPr>
      <w:bookmarkStart w:id="129" w:name="_Toc390956293"/>
      <w:r w:rsidRPr="008F3531">
        <w:t xml:space="preserve">Table </w:t>
      </w:r>
      <w:r w:rsidR="008F3531" w:rsidRPr="008F3531">
        <w:t>6</w:t>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1</w:t>
      </w:r>
      <w:r w:rsidR="00943E46" w:rsidRPr="00E56625">
        <w:rPr>
          <w:noProof/>
        </w:rPr>
        <w:fldChar w:fldCharType="end"/>
      </w:r>
      <w:r w:rsidR="005D5440" w:rsidRPr="008F3531">
        <w:rPr>
          <w:b w:val="0"/>
        </w:rPr>
        <w:t>: Population estimates for census years</w:t>
      </w:r>
      <w:bookmarkEnd w:id="129"/>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403"/>
        <w:gridCol w:w="1405"/>
        <w:gridCol w:w="2400"/>
        <w:gridCol w:w="1909"/>
        <w:gridCol w:w="2243"/>
      </w:tblGrid>
      <w:tr w:rsidR="005D5440" w:rsidRPr="008F3531" w:rsidTr="00B3325F">
        <w:trPr>
          <w:trHeight w:val="300"/>
        </w:trPr>
        <w:tc>
          <w:tcPr>
            <w:tcW w:w="749" w:type="pct"/>
            <w:tcBorders>
              <w:top w:val="single" w:sz="4" w:space="0" w:color="auto"/>
              <w:bottom w:val="single" w:sz="4" w:space="0" w:color="auto"/>
            </w:tcBorders>
            <w:shd w:val="clear" w:color="auto" w:fill="auto"/>
            <w:noWrap/>
            <w:vAlign w:val="bottom"/>
            <w:hideMark/>
          </w:tcPr>
          <w:p w:rsidR="005D5440" w:rsidRPr="00E56625" w:rsidRDefault="005D5440" w:rsidP="00B3325F">
            <w:pPr>
              <w:spacing w:after="0"/>
              <w:rPr>
                <w:rFonts w:eastAsia="Times New Roman"/>
                <w:b/>
                <w:color w:val="000000"/>
                <w:sz w:val="20"/>
                <w:szCs w:val="20"/>
                <w:lang w:val="en-US"/>
              </w:rPr>
            </w:pPr>
            <w:r w:rsidRPr="00E56625">
              <w:rPr>
                <w:rFonts w:eastAsia="Times New Roman"/>
                <w:b/>
                <w:color w:val="000000"/>
                <w:sz w:val="20"/>
                <w:szCs w:val="20"/>
                <w:lang w:val="en-US"/>
              </w:rPr>
              <w:t>Census</w:t>
            </w:r>
          </w:p>
          <w:p w:rsidR="005D5440" w:rsidRPr="00E56625" w:rsidRDefault="005D5440" w:rsidP="00B3325F">
            <w:pPr>
              <w:spacing w:after="0"/>
              <w:rPr>
                <w:rFonts w:eastAsia="Times New Roman"/>
                <w:b/>
                <w:color w:val="000000"/>
                <w:sz w:val="20"/>
                <w:szCs w:val="20"/>
                <w:lang w:val="en-US"/>
              </w:rPr>
            </w:pPr>
            <w:r w:rsidRPr="00E56625">
              <w:rPr>
                <w:rFonts w:eastAsia="Times New Roman"/>
                <w:b/>
                <w:color w:val="000000"/>
                <w:sz w:val="20"/>
                <w:szCs w:val="20"/>
                <w:lang w:val="en-US"/>
              </w:rPr>
              <w:t xml:space="preserve"> year</w:t>
            </w:r>
          </w:p>
        </w:tc>
        <w:tc>
          <w:tcPr>
            <w:tcW w:w="750" w:type="pct"/>
            <w:tcBorders>
              <w:top w:val="single" w:sz="4" w:space="0" w:color="auto"/>
              <w:bottom w:val="single" w:sz="4" w:space="0" w:color="auto"/>
            </w:tcBorders>
            <w:shd w:val="clear" w:color="auto" w:fill="auto"/>
            <w:noWrap/>
            <w:vAlign w:val="bottom"/>
            <w:hideMark/>
          </w:tcPr>
          <w:p w:rsidR="005D5440" w:rsidRPr="00E56625" w:rsidRDefault="005D5440"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Population to WDI</w:t>
            </w:r>
          </w:p>
        </w:tc>
        <w:tc>
          <w:tcPr>
            <w:tcW w:w="1282" w:type="pct"/>
            <w:tcBorders>
              <w:top w:val="single" w:sz="4" w:space="0" w:color="auto"/>
              <w:bottom w:val="single" w:sz="4" w:space="0" w:color="auto"/>
            </w:tcBorders>
            <w:shd w:val="clear" w:color="auto" w:fill="auto"/>
            <w:noWrap/>
            <w:vAlign w:val="bottom"/>
            <w:hideMark/>
          </w:tcPr>
          <w:p w:rsidR="005D5440" w:rsidRPr="00E56625" w:rsidRDefault="005D5440"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Population according to RGPH</w:t>
            </w:r>
          </w:p>
        </w:tc>
        <w:tc>
          <w:tcPr>
            <w:tcW w:w="1020" w:type="pct"/>
            <w:tcBorders>
              <w:top w:val="single" w:sz="4" w:space="0" w:color="auto"/>
              <w:bottom w:val="single" w:sz="4" w:space="0" w:color="auto"/>
            </w:tcBorders>
            <w:shd w:val="clear" w:color="auto" w:fill="auto"/>
            <w:noWrap/>
            <w:vAlign w:val="bottom"/>
            <w:hideMark/>
          </w:tcPr>
          <w:p w:rsidR="005D5440" w:rsidRPr="00E56625" w:rsidRDefault="005D5440"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Growth rate according to WDI</w:t>
            </w:r>
          </w:p>
        </w:tc>
        <w:tc>
          <w:tcPr>
            <w:tcW w:w="1198" w:type="pct"/>
            <w:tcBorders>
              <w:top w:val="single" w:sz="4" w:space="0" w:color="auto"/>
              <w:bottom w:val="single" w:sz="4" w:space="0" w:color="auto"/>
            </w:tcBorders>
            <w:shd w:val="clear" w:color="auto" w:fill="auto"/>
            <w:noWrap/>
            <w:vAlign w:val="bottom"/>
            <w:hideMark/>
          </w:tcPr>
          <w:p w:rsidR="005D5440" w:rsidRPr="00E56625" w:rsidRDefault="005D5440"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Growth rate according to RGPH</w:t>
            </w:r>
          </w:p>
        </w:tc>
      </w:tr>
      <w:tr w:rsidR="005D5440" w:rsidRPr="008F3531" w:rsidTr="00B3325F">
        <w:trPr>
          <w:trHeight w:val="300"/>
        </w:trPr>
        <w:tc>
          <w:tcPr>
            <w:tcW w:w="749" w:type="pct"/>
            <w:tcBorders>
              <w:top w:val="single" w:sz="4" w:space="0" w:color="auto"/>
            </w:tcBorders>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r w:rsidRPr="00E56625">
              <w:rPr>
                <w:rFonts w:eastAsia="Times New Roman"/>
                <w:color w:val="000000"/>
                <w:sz w:val="20"/>
                <w:szCs w:val="20"/>
                <w:lang w:val="en-US"/>
              </w:rPr>
              <w:t>1976</w:t>
            </w:r>
          </w:p>
        </w:tc>
        <w:tc>
          <w:tcPr>
            <w:tcW w:w="750" w:type="pct"/>
            <w:tcBorders>
              <w:top w:val="single" w:sz="4" w:space="0" w:color="auto"/>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6,293,218</w:t>
            </w:r>
          </w:p>
        </w:tc>
        <w:tc>
          <w:tcPr>
            <w:tcW w:w="1282" w:type="pct"/>
            <w:tcBorders>
              <w:top w:val="single" w:sz="4" w:space="0" w:color="auto"/>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6,394,918</w:t>
            </w:r>
          </w:p>
        </w:tc>
        <w:tc>
          <w:tcPr>
            <w:tcW w:w="1020" w:type="pct"/>
            <w:tcBorders>
              <w:top w:val="single" w:sz="4" w:space="0" w:color="auto"/>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p>
        </w:tc>
        <w:tc>
          <w:tcPr>
            <w:tcW w:w="1198" w:type="pct"/>
            <w:tcBorders>
              <w:top w:val="single" w:sz="4" w:space="0" w:color="auto"/>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p>
        </w:tc>
      </w:tr>
      <w:tr w:rsidR="005D5440" w:rsidRPr="008F3531" w:rsidTr="00B3325F">
        <w:trPr>
          <w:trHeight w:val="300"/>
        </w:trPr>
        <w:tc>
          <w:tcPr>
            <w:tcW w:w="749" w:type="pct"/>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r w:rsidRPr="00E56625">
              <w:rPr>
                <w:rFonts w:eastAsia="Times New Roman"/>
                <w:color w:val="000000"/>
                <w:sz w:val="20"/>
                <w:szCs w:val="20"/>
                <w:lang w:val="en-US"/>
              </w:rPr>
              <w:t>1987</w:t>
            </w:r>
          </w:p>
        </w:tc>
        <w:tc>
          <w:tcPr>
            <w:tcW w:w="750"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7,613,990</w:t>
            </w:r>
          </w:p>
        </w:tc>
        <w:tc>
          <w:tcPr>
            <w:tcW w:w="1282"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7,632,337</w:t>
            </w:r>
          </w:p>
        </w:tc>
        <w:tc>
          <w:tcPr>
            <w:tcW w:w="1020"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w:t>
            </w:r>
          </w:p>
        </w:tc>
        <w:tc>
          <w:tcPr>
            <w:tcW w:w="1198"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1.6%</w:t>
            </w:r>
          </w:p>
        </w:tc>
      </w:tr>
      <w:tr w:rsidR="005D5440" w:rsidRPr="008F3531" w:rsidTr="00B3325F">
        <w:trPr>
          <w:trHeight w:val="300"/>
        </w:trPr>
        <w:tc>
          <w:tcPr>
            <w:tcW w:w="749" w:type="pct"/>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r w:rsidRPr="00E56625">
              <w:rPr>
                <w:rFonts w:eastAsia="Times New Roman"/>
                <w:color w:val="000000"/>
                <w:sz w:val="20"/>
                <w:szCs w:val="20"/>
                <w:lang w:val="en-US"/>
              </w:rPr>
              <w:t>1998</w:t>
            </w:r>
          </w:p>
        </w:tc>
        <w:tc>
          <w:tcPr>
            <w:tcW w:w="750"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9,712,365</w:t>
            </w:r>
          </w:p>
        </w:tc>
        <w:tc>
          <w:tcPr>
            <w:tcW w:w="1282"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9,810,911</w:t>
            </w:r>
          </w:p>
        </w:tc>
        <w:tc>
          <w:tcPr>
            <w:tcW w:w="1020"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w:t>
            </w:r>
          </w:p>
        </w:tc>
        <w:tc>
          <w:tcPr>
            <w:tcW w:w="1198"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2.3%</w:t>
            </w:r>
          </w:p>
        </w:tc>
      </w:tr>
      <w:tr w:rsidR="005D5440" w:rsidRPr="008F3531" w:rsidTr="00B3325F">
        <w:trPr>
          <w:trHeight w:val="300"/>
        </w:trPr>
        <w:tc>
          <w:tcPr>
            <w:tcW w:w="749" w:type="pct"/>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r w:rsidRPr="00E56625">
              <w:rPr>
                <w:rFonts w:eastAsia="Times New Roman"/>
                <w:color w:val="000000"/>
                <w:sz w:val="20"/>
                <w:szCs w:val="20"/>
                <w:lang w:val="en-US"/>
              </w:rPr>
              <w:t>2009</w:t>
            </w:r>
          </w:p>
        </w:tc>
        <w:tc>
          <w:tcPr>
            <w:tcW w:w="750"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13,559,296</w:t>
            </w:r>
          </w:p>
        </w:tc>
        <w:tc>
          <w:tcPr>
            <w:tcW w:w="1282"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14,528,662</w:t>
            </w:r>
          </w:p>
        </w:tc>
        <w:tc>
          <w:tcPr>
            <w:tcW w:w="1020"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3.1%</w:t>
            </w:r>
          </w:p>
        </w:tc>
        <w:tc>
          <w:tcPr>
            <w:tcW w:w="1198" w:type="pct"/>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3.6%</w:t>
            </w:r>
          </w:p>
        </w:tc>
      </w:tr>
    </w:tbl>
    <w:p w:rsidR="005D5440" w:rsidRPr="00E56625" w:rsidRDefault="005D5440" w:rsidP="005078D7">
      <w:pPr>
        <w:autoSpaceDE w:val="0"/>
        <w:autoSpaceDN w:val="0"/>
        <w:adjustRightInd w:val="0"/>
        <w:spacing w:after="0"/>
        <w:rPr>
          <w:sz w:val="20"/>
          <w:szCs w:val="20"/>
          <w:lang w:val="en-US"/>
        </w:rPr>
      </w:pPr>
      <w:r w:rsidRPr="00E56625">
        <w:rPr>
          <w:sz w:val="20"/>
          <w:szCs w:val="20"/>
          <w:lang w:val="en-US"/>
        </w:rPr>
        <w:t>Source: World Development Indicators and Census Data</w:t>
      </w:r>
      <w:r w:rsidR="00D115B1" w:rsidRPr="00E56625">
        <w:rPr>
          <w:sz w:val="20"/>
          <w:szCs w:val="20"/>
          <w:lang w:val="en-US"/>
        </w:rPr>
        <w:t>.</w:t>
      </w:r>
    </w:p>
    <w:p w:rsidR="00D115B1" w:rsidRPr="00E56625" w:rsidRDefault="00D115B1" w:rsidP="005078D7">
      <w:pPr>
        <w:autoSpaceDE w:val="0"/>
        <w:autoSpaceDN w:val="0"/>
        <w:adjustRightInd w:val="0"/>
        <w:spacing w:after="0"/>
        <w:rPr>
          <w:lang w:val="en-US"/>
        </w:rPr>
      </w:pPr>
    </w:p>
    <w:p w:rsidR="005D5440" w:rsidRPr="00E56625" w:rsidRDefault="005D5440" w:rsidP="00C73CC7">
      <w:pPr>
        <w:numPr>
          <w:ilvl w:val="1"/>
          <w:numId w:val="5"/>
        </w:numPr>
        <w:jc w:val="both"/>
        <w:rPr>
          <w:lang w:val="en-US"/>
        </w:rPr>
      </w:pPr>
      <w:r w:rsidRPr="00E56625">
        <w:rPr>
          <w:lang w:val="en-US"/>
        </w:rPr>
        <w:t xml:space="preserve">These growth rates, even those needed to achieve the most ambitious objective of reducing poverty to around 3 percent, are not impossible. Mali’s low degree of inequality implies that even though the incidence of poverty is high today, the average distance to the poverty line is not too far and can be bridged through rates of growth that are not out of the ordinary. </w:t>
      </w:r>
    </w:p>
    <w:p w:rsidR="005D5440" w:rsidRPr="008F3531" w:rsidRDefault="00D115B1" w:rsidP="00D115B1">
      <w:pPr>
        <w:pStyle w:val="Caption"/>
        <w:rPr>
          <w:b w:val="0"/>
        </w:rPr>
      </w:pPr>
      <w:bookmarkStart w:id="130" w:name="_Toc390956433"/>
      <w:r w:rsidRPr="008F3531">
        <w:t xml:space="preserve">Figure </w:t>
      </w:r>
      <w:r w:rsidR="008F3531" w:rsidRPr="008F3531">
        <w:t>6</w:t>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2</w:t>
      </w:r>
      <w:r w:rsidR="00943E46" w:rsidRPr="00E56625">
        <w:rPr>
          <w:noProof/>
        </w:rPr>
        <w:fldChar w:fldCharType="end"/>
      </w:r>
      <w:r w:rsidR="005D5440" w:rsidRPr="008F3531">
        <w:rPr>
          <w:b w:val="0"/>
        </w:rPr>
        <w:t>: GDP growth rates and growth rates needed to achieve various poverty targets by 2030</w:t>
      </w:r>
      <w:bookmarkEnd w:id="130"/>
    </w:p>
    <w:p w:rsidR="005D5440" w:rsidRPr="00E56625" w:rsidRDefault="005D5440" w:rsidP="00D115B1">
      <w:pPr>
        <w:autoSpaceDE w:val="0"/>
        <w:autoSpaceDN w:val="0"/>
        <w:adjustRightInd w:val="0"/>
        <w:spacing w:after="0"/>
        <w:jc w:val="center"/>
        <w:rPr>
          <w:sz w:val="20"/>
          <w:szCs w:val="20"/>
          <w:lang w:val="en-US"/>
        </w:rPr>
      </w:pPr>
      <w:r w:rsidRPr="00E56625">
        <w:rPr>
          <w:noProof/>
          <w:lang w:val="en-US"/>
        </w:rPr>
        <w:drawing>
          <wp:inline distT="0" distB="0" distL="0" distR="0" wp14:anchorId="0BDEEB16" wp14:editId="01ED5EC6">
            <wp:extent cx="5782235" cy="2814918"/>
            <wp:effectExtent l="0" t="0" r="0" b="508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D5440" w:rsidRPr="00E56625" w:rsidRDefault="00D115B1" w:rsidP="005078D7">
      <w:pPr>
        <w:autoSpaceDE w:val="0"/>
        <w:autoSpaceDN w:val="0"/>
        <w:adjustRightInd w:val="0"/>
        <w:spacing w:after="0"/>
        <w:rPr>
          <w:sz w:val="20"/>
          <w:szCs w:val="20"/>
          <w:lang w:val="en-US"/>
        </w:rPr>
      </w:pPr>
      <w:r w:rsidRPr="00E56625">
        <w:rPr>
          <w:sz w:val="20"/>
          <w:szCs w:val="20"/>
          <w:lang w:val="en-US"/>
        </w:rPr>
        <w:t xml:space="preserve"> </w:t>
      </w:r>
      <w:r w:rsidR="005D5440" w:rsidRPr="00E56625">
        <w:rPr>
          <w:sz w:val="20"/>
          <w:szCs w:val="20"/>
          <w:lang w:val="en-US"/>
        </w:rPr>
        <w:t>Source: Staff calculation using ELIM 2010 and IMF.</w:t>
      </w:r>
    </w:p>
    <w:p w:rsidR="00D115B1" w:rsidRPr="00E56625" w:rsidRDefault="00D115B1" w:rsidP="005078D7">
      <w:pPr>
        <w:autoSpaceDE w:val="0"/>
        <w:autoSpaceDN w:val="0"/>
        <w:adjustRightInd w:val="0"/>
        <w:spacing w:after="0"/>
        <w:rPr>
          <w:sz w:val="20"/>
          <w:szCs w:val="20"/>
          <w:lang w:val="en-US"/>
        </w:rPr>
      </w:pPr>
    </w:p>
    <w:p w:rsidR="005D5440" w:rsidRPr="00E56625" w:rsidRDefault="005D5440" w:rsidP="00C73CC7">
      <w:pPr>
        <w:numPr>
          <w:ilvl w:val="1"/>
          <w:numId w:val="5"/>
        </w:numPr>
        <w:jc w:val="both"/>
        <w:rPr>
          <w:lang w:val="en-US"/>
        </w:rPr>
      </w:pPr>
      <w:r w:rsidRPr="00E56625">
        <w:rPr>
          <w:lang w:val="en-US"/>
        </w:rPr>
        <w:t xml:space="preserve">Less encouraging is that ever since 1990 the required rates of growth have only been attained occasionally (Figure </w:t>
      </w:r>
      <w:r w:rsidR="001C7567">
        <w:rPr>
          <w:lang w:val="en-US"/>
        </w:rPr>
        <w:t>6</w:t>
      </w:r>
      <w:r w:rsidRPr="00E56625">
        <w:rPr>
          <w:lang w:val="en-US"/>
        </w:rPr>
        <w:t>.2). To achieve the poverty targets for 2030, growth rates are needed that are consistently high. This has not been the case. The average annual growth rate between 1990 and 2013 was 4.0 percent; between 2000 and 2013 it was 4.7 percent and between 2010 and 2013 1.4 percent (equivalent to a negative per capita growth of 2.4 percent). Even if the crisis years 2012 and 2013 are excluded and we focus on the period during which consistently positive growth was recorded (2001-2011) growth was less (5.2 percent) than what is needed to achieve even the least ambitious of our poverty targets.</w:t>
      </w:r>
      <w:r w:rsidRPr="00E56625">
        <w:rPr>
          <w:rStyle w:val="FootnoteReference"/>
          <w:lang w:val="en-US"/>
        </w:rPr>
        <w:footnoteReference w:id="58"/>
      </w:r>
      <w:r w:rsidRPr="00E56625">
        <w:rPr>
          <w:lang w:val="en-US"/>
        </w:rPr>
        <w:t xml:space="preserve"> </w:t>
      </w:r>
    </w:p>
    <w:p w:rsidR="005D5440" w:rsidRDefault="005D5440" w:rsidP="00C73CC7">
      <w:pPr>
        <w:numPr>
          <w:ilvl w:val="1"/>
          <w:numId w:val="5"/>
        </w:numPr>
        <w:jc w:val="both"/>
        <w:rPr>
          <w:lang w:val="en-US"/>
        </w:rPr>
      </w:pPr>
      <w:r w:rsidRPr="00E56625">
        <w:rPr>
          <w:lang w:val="en-US"/>
        </w:rPr>
        <w:t>One implication is that growth acceleration is needed. Doing so will require a serious policy effort. Before saying more about what would be needed to accelerate growth, another implication is equally important: it is critical that the low rates of inequality are maintained either by ensuring that growth remains broadly shared, or through redistributive measures. Particularly when more is being earned from natural resources, redistribution measures may have to be considered.</w:t>
      </w:r>
    </w:p>
    <w:p w:rsidR="00407779" w:rsidRPr="00E56625" w:rsidRDefault="001C7567" w:rsidP="00E56625">
      <w:pPr>
        <w:numPr>
          <w:ilvl w:val="1"/>
          <w:numId w:val="5"/>
        </w:numPr>
        <w:jc w:val="both"/>
        <w:rPr>
          <w:lang w:val="en-US"/>
        </w:rPr>
      </w:pPr>
      <w:r w:rsidRPr="00E56625">
        <w:rPr>
          <w:lang w:val="en-US"/>
        </w:rPr>
        <w:t xml:space="preserve">As an aside, poverty can also be reduced through transfers. </w:t>
      </w:r>
      <w:r w:rsidR="00DA2982">
        <w:rPr>
          <w:lang w:val="en-US"/>
        </w:rPr>
        <w:t>These can be in kind (skill training) or in cash offered by a s</w:t>
      </w:r>
      <w:r w:rsidRPr="00E56625">
        <w:rPr>
          <w:lang w:eastAsia="en-GB"/>
        </w:rPr>
        <w:t xml:space="preserve">ocial </w:t>
      </w:r>
      <w:r w:rsidR="00DA2982">
        <w:rPr>
          <w:lang w:eastAsia="en-GB"/>
        </w:rPr>
        <w:t>s</w:t>
      </w:r>
      <w:r w:rsidRPr="00E56625">
        <w:rPr>
          <w:lang w:eastAsia="en-GB"/>
        </w:rPr>
        <w:t xml:space="preserve">afety </w:t>
      </w:r>
      <w:r w:rsidR="00DA2982">
        <w:rPr>
          <w:lang w:eastAsia="en-GB"/>
        </w:rPr>
        <w:t>n</w:t>
      </w:r>
      <w:r w:rsidRPr="00E56625">
        <w:rPr>
          <w:lang w:eastAsia="en-GB"/>
        </w:rPr>
        <w:t>et</w:t>
      </w:r>
      <w:r w:rsidR="00DA2982">
        <w:rPr>
          <w:lang w:eastAsia="en-GB"/>
        </w:rPr>
        <w:t xml:space="preserve">. </w:t>
      </w:r>
      <w:r w:rsidRPr="00E56625">
        <w:rPr>
          <w:lang w:eastAsia="en-GB"/>
        </w:rPr>
        <w:t>Soci</w:t>
      </w:r>
      <w:r w:rsidRPr="00BE18D3">
        <w:rPr>
          <w:lang w:eastAsia="en-GB"/>
        </w:rPr>
        <w:t xml:space="preserve">al safety nets can be used as short term instruments to help the poor cope with economic shocks, but also as medium/long-term poverty alleviation programs, supporting minimum consumption levels and promoting the accumulation of human and physical capital. </w:t>
      </w:r>
      <w:r w:rsidRPr="00BE18D3">
        <w:t xml:space="preserve">When </w:t>
      </w:r>
      <w:r w:rsidR="00DA2982">
        <w:t xml:space="preserve">cash </w:t>
      </w:r>
      <w:r w:rsidRPr="00BE18D3">
        <w:t>transfers are provided over multiple periods</w:t>
      </w:r>
      <w:r>
        <w:t xml:space="preserve"> to poor households</w:t>
      </w:r>
      <w:r w:rsidRPr="00BE18D3">
        <w:t xml:space="preserve">, </w:t>
      </w:r>
      <w:r>
        <w:t xml:space="preserve">it is typically first used </w:t>
      </w:r>
      <w:r w:rsidRPr="00BE18D3">
        <w:t>it to pay off debts</w:t>
      </w:r>
      <w:r>
        <w:t xml:space="preserve"> and later</w:t>
      </w:r>
      <w:r w:rsidRPr="00BE18D3">
        <w:t xml:space="preserve"> to accumulate productive assets or to buy inputs (fertilizer).</w:t>
      </w:r>
      <w:r w:rsidRPr="00BE18D3">
        <w:rPr>
          <w:rStyle w:val="FootnoteReference"/>
        </w:rPr>
        <w:t xml:space="preserve"> </w:t>
      </w:r>
      <w:r w:rsidRPr="00BE18D3">
        <w:rPr>
          <w:rStyle w:val="FootnoteReference"/>
        </w:rPr>
        <w:footnoteReference w:id="59"/>
      </w:r>
      <w:r w:rsidRPr="00BE18D3">
        <w:t xml:space="preserve"> This enhances productive capacity and resilien</w:t>
      </w:r>
      <w:r>
        <w:t>ce such</w:t>
      </w:r>
      <w:r w:rsidRPr="00BE18D3">
        <w:t xml:space="preserve"> that eventually they no longer require support. Experience shows that these objectives are more effectively achieved when safety net support is combined with investments in livelihoods</w:t>
      </w:r>
      <w:r>
        <w:t>.</w:t>
      </w:r>
      <w:r w:rsidRPr="00BE18D3">
        <w:rPr>
          <w:rStyle w:val="FootnoteReference"/>
        </w:rPr>
        <w:footnoteReference w:id="60"/>
      </w:r>
      <w:r w:rsidRPr="00BE18D3">
        <w:t xml:space="preserve"> </w:t>
      </w:r>
      <w:r>
        <w:t>A</w:t>
      </w:r>
      <w:r w:rsidRPr="00BE18D3">
        <w:t xml:space="preserve">daptive social protection is one of </w:t>
      </w:r>
      <w:r>
        <w:t xml:space="preserve">the </w:t>
      </w:r>
      <w:r w:rsidRPr="00BE18D3">
        <w:t>tools to be used</w:t>
      </w:r>
      <w:r>
        <w:t xml:space="preserve">. It </w:t>
      </w:r>
      <w:r w:rsidRPr="00BE18D3">
        <w:t xml:space="preserve">enables </w:t>
      </w:r>
      <w:r>
        <w:t xml:space="preserve">beneficiaries </w:t>
      </w:r>
      <w:r w:rsidRPr="00BE18D3">
        <w:t>to invest in productive assets</w:t>
      </w:r>
      <w:r>
        <w:t>,</w:t>
      </w:r>
      <w:r w:rsidRPr="00BE18D3">
        <w:t xml:space="preserve"> </w:t>
      </w:r>
      <w:r>
        <w:t xml:space="preserve">stimulates use of </w:t>
      </w:r>
      <w:r w:rsidRPr="00BE18D3">
        <w:t xml:space="preserve">basic social services </w:t>
      </w:r>
      <w:r>
        <w:t xml:space="preserve">and </w:t>
      </w:r>
      <w:r w:rsidRPr="00BE18D3">
        <w:t>reduce</w:t>
      </w:r>
      <w:r>
        <w:t>s</w:t>
      </w:r>
      <w:r w:rsidRPr="00BE18D3">
        <w:t xml:space="preserve"> sensitivity to future shocks</w:t>
      </w:r>
    </w:p>
    <w:p w:rsidR="00407779" w:rsidRPr="00E56625" w:rsidRDefault="00407779" w:rsidP="00E56625">
      <w:pPr>
        <w:numPr>
          <w:ilvl w:val="1"/>
          <w:numId w:val="5"/>
        </w:numPr>
        <w:jc w:val="both"/>
        <w:rPr>
          <w:lang w:val="en-US"/>
        </w:rPr>
      </w:pPr>
      <w:r>
        <w:rPr>
          <w:lang w:val="en-US"/>
        </w:rPr>
        <w:t>T</w:t>
      </w:r>
      <w:r w:rsidRPr="00E56625">
        <w:rPr>
          <w:lang w:val="en-US"/>
        </w:rPr>
        <w:t>he combination on income growth with transfers has the potential to reduce poverty rapidly</w:t>
      </w:r>
      <w:r>
        <w:rPr>
          <w:lang w:val="en-US"/>
        </w:rPr>
        <w:t xml:space="preserve"> in Mali</w:t>
      </w:r>
      <w:r w:rsidRPr="00E56625">
        <w:rPr>
          <w:lang w:val="en-US"/>
        </w:rPr>
        <w:t xml:space="preserve">. </w:t>
      </w:r>
      <w:r>
        <w:rPr>
          <w:lang w:val="en-US"/>
        </w:rPr>
        <w:t xml:space="preserve">Expanding the simulations presented above by including </w:t>
      </w:r>
      <w:r>
        <w:t xml:space="preserve">a (perfectly targeted) transfer equivalent of 2 percent of GDP shows that is feasible to reduce poverty to 3 percent by 2030 as long as the consumption growth amongst the poorest households is 2 percent per capita. </w:t>
      </w:r>
    </w:p>
    <w:p w:rsidR="00407779" w:rsidRPr="00E56625" w:rsidRDefault="00407779" w:rsidP="00E56625">
      <w:pPr>
        <w:jc w:val="both"/>
        <w:rPr>
          <w:lang w:val="en-US"/>
        </w:rPr>
      </w:pPr>
    </w:p>
    <w:p w:rsidR="005D5440" w:rsidRPr="00E56625" w:rsidRDefault="005D5440" w:rsidP="003D20DD">
      <w:pPr>
        <w:pStyle w:val="Heading2"/>
        <w:spacing w:before="0"/>
        <w:ind w:left="540" w:hanging="540"/>
        <w:rPr>
          <w:rFonts w:ascii="Times New Roman Bold" w:hAnsi="Times New Roman Bold" w:cs="Times New Roman"/>
          <w:color w:val="000000" w:themeColor="text1"/>
          <w:sz w:val="22"/>
          <w:szCs w:val="22"/>
          <w:lang w:val="en-US"/>
        </w:rPr>
      </w:pPr>
      <w:bookmarkStart w:id="131" w:name="_Toc419468568"/>
      <w:r w:rsidRPr="00E56625">
        <w:rPr>
          <w:rFonts w:ascii="Times New Roman Bold" w:hAnsi="Times New Roman Bold" w:cs="Times New Roman"/>
          <w:color w:val="000000" w:themeColor="text1"/>
          <w:sz w:val="22"/>
          <w:szCs w:val="22"/>
          <w:lang w:val="en-US"/>
        </w:rPr>
        <w:t>Growth between 2000 and 2013</w:t>
      </w:r>
      <w:bookmarkEnd w:id="131"/>
    </w:p>
    <w:p w:rsidR="005D5440" w:rsidRPr="00E56625" w:rsidRDefault="005D5440" w:rsidP="00C73CC7">
      <w:pPr>
        <w:numPr>
          <w:ilvl w:val="1"/>
          <w:numId w:val="5"/>
        </w:numPr>
        <w:jc w:val="both"/>
        <w:rPr>
          <w:lang w:val="en-US"/>
        </w:rPr>
      </w:pPr>
      <w:r w:rsidRPr="00E56625">
        <w:rPr>
          <w:lang w:val="en-US"/>
        </w:rPr>
        <w:t>Between 2000 and 2010, GDP per capita grew steadily, before much of the gains were lost as a result of the combined effects of poor rains and the crisis in the north. By 2013, GDP per capita was at the same level as it was in 2007-8 (Table 7.1). GDP growth has been driven by the primary and tertiary sectors, largely gold, cotton, cereals and aid while the secondary sector stagnated. Growth in the primary sector was driven by agriculture and within agriculture by food crops (57 percent of total agricultural production) and rice (28 percent of total agricultural GDP). Industrial crops, and cotton only play a limited role within the agricultural sector (both contribute 8 percent to agricultural GDP). Within the primary sector, livestock rearing is important but the sector has not grown much since 2010. It makes up about a quarter of primary sector GDP.</w:t>
      </w:r>
    </w:p>
    <w:p w:rsidR="00407779" w:rsidRDefault="00407779">
      <w:pPr>
        <w:spacing w:line="276" w:lineRule="auto"/>
        <w:rPr>
          <w:rFonts w:ascii="Times New Roman Bold" w:hAnsi="Times New Roman Bold" w:cstheme="minorBidi"/>
          <w:b/>
          <w:bCs/>
          <w:color w:val="000000" w:themeColor="text1"/>
          <w:sz w:val="22"/>
          <w:szCs w:val="18"/>
          <w:lang w:val="en-US"/>
        </w:rPr>
      </w:pPr>
      <w:bookmarkStart w:id="132" w:name="_Toc390956434"/>
      <w:r>
        <w:br w:type="page"/>
      </w:r>
    </w:p>
    <w:p w:rsidR="005D5440" w:rsidRPr="008F3531" w:rsidRDefault="00D115B1" w:rsidP="00D115B1">
      <w:pPr>
        <w:pStyle w:val="Caption"/>
        <w:rPr>
          <w:b w:val="0"/>
        </w:rPr>
      </w:pPr>
      <w:r w:rsidRPr="008F3531">
        <w:t xml:space="preserve">Figure </w:t>
      </w:r>
      <w:r w:rsidR="008F3531" w:rsidRPr="008F3531">
        <w:t>6</w:t>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3</w:t>
      </w:r>
      <w:r w:rsidR="00943E46" w:rsidRPr="00E56625">
        <w:rPr>
          <w:noProof/>
        </w:rPr>
        <w:fldChar w:fldCharType="end"/>
      </w:r>
      <w:r w:rsidR="005D5440" w:rsidRPr="008F3531">
        <w:rPr>
          <w:b w:val="0"/>
        </w:rPr>
        <w:t>: GDP per capita (columns) and its decomposition by sector</w:t>
      </w:r>
      <w:bookmarkEnd w:id="132"/>
    </w:p>
    <w:p w:rsidR="005D5440" w:rsidRPr="00E56625" w:rsidRDefault="005D5440" w:rsidP="005078D7">
      <w:pPr>
        <w:autoSpaceDE w:val="0"/>
        <w:autoSpaceDN w:val="0"/>
        <w:adjustRightInd w:val="0"/>
        <w:spacing w:after="0"/>
        <w:rPr>
          <w:sz w:val="20"/>
          <w:szCs w:val="20"/>
          <w:lang w:val="en-US"/>
        </w:rPr>
      </w:pPr>
      <w:r w:rsidRPr="00E56625">
        <w:rPr>
          <w:noProof/>
          <w:lang w:val="en-US"/>
        </w:rPr>
        <w:drawing>
          <wp:inline distT="0" distB="0" distL="0" distR="0" wp14:anchorId="0A5972C0" wp14:editId="2493F8A9">
            <wp:extent cx="5849957" cy="2776251"/>
            <wp:effectExtent l="0" t="0" r="0" b="508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D5440" w:rsidRPr="00E56625" w:rsidRDefault="005D5440" w:rsidP="005078D7">
      <w:pPr>
        <w:autoSpaceDE w:val="0"/>
        <w:autoSpaceDN w:val="0"/>
        <w:adjustRightInd w:val="0"/>
        <w:spacing w:after="0"/>
        <w:rPr>
          <w:sz w:val="20"/>
          <w:szCs w:val="20"/>
          <w:lang w:val="en-US"/>
        </w:rPr>
      </w:pPr>
      <w:r w:rsidRPr="00E56625">
        <w:rPr>
          <w:sz w:val="20"/>
          <w:szCs w:val="20"/>
          <w:lang w:val="en-US"/>
        </w:rPr>
        <w:t>Source: calculated from IMF 2014</w:t>
      </w:r>
      <w:r w:rsidR="00D115B1" w:rsidRPr="00E56625">
        <w:rPr>
          <w:sz w:val="20"/>
          <w:szCs w:val="20"/>
          <w:lang w:val="en-US"/>
        </w:rPr>
        <w:t>.</w:t>
      </w:r>
    </w:p>
    <w:p w:rsidR="00D115B1" w:rsidRPr="00E56625" w:rsidRDefault="00D115B1" w:rsidP="005078D7">
      <w:pPr>
        <w:autoSpaceDE w:val="0"/>
        <w:autoSpaceDN w:val="0"/>
        <w:adjustRightInd w:val="0"/>
        <w:spacing w:after="0"/>
        <w:rPr>
          <w:sz w:val="20"/>
          <w:szCs w:val="20"/>
          <w:lang w:val="en-US"/>
        </w:rPr>
      </w:pPr>
    </w:p>
    <w:p w:rsidR="005D5440" w:rsidRPr="00E56625" w:rsidRDefault="005D5440" w:rsidP="00C73CC7">
      <w:pPr>
        <w:numPr>
          <w:ilvl w:val="1"/>
          <w:numId w:val="5"/>
        </w:numPr>
        <w:jc w:val="both"/>
        <w:rPr>
          <w:lang w:val="en-US"/>
        </w:rPr>
      </w:pPr>
      <w:r w:rsidRPr="00E56625">
        <w:rPr>
          <w:lang w:val="en-US"/>
        </w:rPr>
        <w:t xml:space="preserve">In the tertiary sector growth was driven by trade, transport and telecom and </w:t>
      </w:r>
      <w:r w:rsidR="00366E1C" w:rsidRPr="00E56625">
        <w:rPr>
          <w:lang w:val="en-US"/>
        </w:rPr>
        <w:t>fuelled</w:t>
      </w:r>
      <w:r w:rsidRPr="00E56625">
        <w:rPr>
          <w:lang w:val="en-US"/>
        </w:rPr>
        <w:t xml:space="preserve"> in part by large private investments in the mining sector which led to large increases in the volume of trade (total imports quadrupled between 2001 and 2013 from CFAF 600 billion to over CFAF 2,500 billion). The high level of investments by the private sector is matched by significant public sector investments which comprised a significant part of the budget. Of concern are the large fluctuations in public investment spending –</w:t>
      </w:r>
      <w:r w:rsidR="004A3894" w:rsidRPr="00E56625">
        <w:rPr>
          <w:lang w:val="en-US"/>
        </w:rPr>
        <w:t xml:space="preserve"> </w:t>
      </w:r>
      <w:r w:rsidRPr="00E56625">
        <w:rPr>
          <w:lang w:val="en-US"/>
        </w:rPr>
        <w:t xml:space="preserve">which hamper efficient planning and execution, and the fact that the level of public investments declined significantly during the crisis (Figure </w:t>
      </w:r>
      <w:r w:rsidR="001C7567">
        <w:rPr>
          <w:lang w:val="en-US"/>
        </w:rPr>
        <w:t>6</w:t>
      </w:r>
      <w:r w:rsidRPr="00E56625">
        <w:rPr>
          <w:lang w:val="en-US"/>
        </w:rPr>
        <w:t xml:space="preserve">.4). </w:t>
      </w:r>
    </w:p>
    <w:p w:rsidR="005D5440" w:rsidRPr="008F3531" w:rsidRDefault="00D115B1" w:rsidP="00D115B1">
      <w:pPr>
        <w:pStyle w:val="Caption"/>
        <w:rPr>
          <w:b w:val="0"/>
        </w:rPr>
      </w:pPr>
      <w:bookmarkStart w:id="133" w:name="_Toc390956435"/>
      <w:r w:rsidRPr="008F3531">
        <w:t xml:space="preserve">Figure </w:t>
      </w:r>
      <w:r w:rsidR="008F3531" w:rsidRPr="008F3531">
        <w:t>6</w:t>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4</w:t>
      </w:r>
      <w:r w:rsidR="00943E46" w:rsidRPr="00E56625">
        <w:rPr>
          <w:noProof/>
        </w:rPr>
        <w:fldChar w:fldCharType="end"/>
      </w:r>
      <w:r w:rsidR="005D5440" w:rsidRPr="008F3531">
        <w:rPr>
          <w:b w:val="0"/>
        </w:rPr>
        <w:t>: Public and private investments as a percent of GDP</w:t>
      </w:r>
      <w:bookmarkEnd w:id="133"/>
    </w:p>
    <w:p w:rsidR="005D5440" w:rsidRPr="00E56625" w:rsidRDefault="005D5440" w:rsidP="005078D7">
      <w:pPr>
        <w:autoSpaceDE w:val="0"/>
        <w:autoSpaceDN w:val="0"/>
        <w:adjustRightInd w:val="0"/>
        <w:spacing w:after="0"/>
        <w:rPr>
          <w:sz w:val="20"/>
          <w:szCs w:val="20"/>
          <w:lang w:val="en-US"/>
        </w:rPr>
      </w:pPr>
      <w:r w:rsidRPr="00E56625">
        <w:rPr>
          <w:noProof/>
          <w:lang w:val="en-US"/>
        </w:rPr>
        <w:drawing>
          <wp:inline distT="0" distB="0" distL="0" distR="0" wp14:anchorId="5BB72BBF" wp14:editId="1D163078">
            <wp:extent cx="6078071" cy="2689412"/>
            <wp:effectExtent l="0" t="0" r="0" b="0"/>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D5440" w:rsidRPr="00E56625" w:rsidRDefault="005D5440" w:rsidP="005078D7">
      <w:pPr>
        <w:autoSpaceDE w:val="0"/>
        <w:autoSpaceDN w:val="0"/>
        <w:adjustRightInd w:val="0"/>
        <w:spacing w:after="0"/>
        <w:rPr>
          <w:sz w:val="20"/>
          <w:szCs w:val="20"/>
          <w:lang w:val="en-US"/>
        </w:rPr>
      </w:pPr>
      <w:r w:rsidRPr="00E56625">
        <w:rPr>
          <w:sz w:val="20"/>
          <w:szCs w:val="20"/>
          <w:lang w:val="en-US"/>
        </w:rPr>
        <w:t>Source: IMF 2014</w:t>
      </w:r>
      <w:r w:rsidR="00D115B1" w:rsidRPr="00E56625">
        <w:rPr>
          <w:sz w:val="20"/>
          <w:szCs w:val="20"/>
          <w:lang w:val="en-US"/>
        </w:rPr>
        <w:t>.</w:t>
      </w:r>
    </w:p>
    <w:p w:rsidR="00D115B1" w:rsidRPr="00E56625" w:rsidRDefault="00D115B1" w:rsidP="005078D7">
      <w:pPr>
        <w:autoSpaceDE w:val="0"/>
        <w:autoSpaceDN w:val="0"/>
        <w:adjustRightInd w:val="0"/>
        <w:spacing w:after="0"/>
        <w:rPr>
          <w:lang w:val="en-US"/>
        </w:rPr>
      </w:pPr>
    </w:p>
    <w:p w:rsidR="005D5440" w:rsidRPr="00E56625" w:rsidRDefault="005D5440" w:rsidP="00C73CC7">
      <w:pPr>
        <w:numPr>
          <w:ilvl w:val="1"/>
          <w:numId w:val="5"/>
        </w:numPr>
        <w:jc w:val="both"/>
        <w:rPr>
          <w:lang w:val="en-US"/>
        </w:rPr>
      </w:pPr>
      <w:r w:rsidRPr="00E56625">
        <w:rPr>
          <w:lang w:val="en-US"/>
        </w:rPr>
        <w:t>The lack of growth in the secondary sector was flagged in chapter two when it was found that despite rapid urbanization Bamako is not a driver of growth. Possibly with the exception of New Zealand there are no countries that have reached middle income status without going through a phase of industrialization. Particularly as the scope for increased mineral production or for increased aid (another important driver of consumption and investment) is limited –at least as long as the north remains insecure, and as domestic demand is limited, growth will need to come from factors that combine Mali’s comparative advantages in the primary sector, with industrial processing and exports.</w:t>
      </w:r>
    </w:p>
    <w:p w:rsidR="005D5440" w:rsidRPr="00E56625" w:rsidRDefault="005D5440" w:rsidP="005D5440">
      <w:pPr>
        <w:pStyle w:val="ListParagraph"/>
        <w:spacing w:before="120" w:after="120"/>
        <w:ind w:left="0"/>
        <w:contextualSpacing w:val="0"/>
        <w:outlineLvl w:val="2"/>
        <w:rPr>
          <w:lang w:val="en-US"/>
        </w:rPr>
      </w:pPr>
    </w:p>
    <w:p w:rsidR="005D5440" w:rsidRPr="00E56625" w:rsidRDefault="005D5440" w:rsidP="005D5440">
      <w:pPr>
        <w:pStyle w:val="ListParagraph"/>
        <w:spacing w:before="120" w:after="120"/>
        <w:ind w:left="0"/>
        <w:contextualSpacing w:val="0"/>
        <w:outlineLvl w:val="2"/>
        <w:rPr>
          <w:lang w:val="en-US"/>
        </w:rPr>
        <w:sectPr w:rsidR="005D5440" w:rsidRPr="00E56625">
          <w:pgSz w:w="12240" w:h="15840"/>
          <w:pgMar w:top="1440" w:right="1440" w:bottom="1440" w:left="1440" w:header="720" w:footer="720" w:gutter="0"/>
          <w:cols w:space="720"/>
          <w:docGrid w:linePitch="360"/>
        </w:sectPr>
      </w:pPr>
    </w:p>
    <w:p w:rsidR="00D115B1" w:rsidRPr="008F3531" w:rsidRDefault="00D115B1" w:rsidP="00D115B1">
      <w:pPr>
        <w:pStyle w:val="Caption"/>
        <w:keepNext/>
      </w:pPr>
      <w:bookmarkStart w:id="134" w:name="_Toc390956294"/>
      <w:r w:rsidRPr="008F3531">
        <w:t xml:space="preserve">Table </w:t>
      </w:r>
      <w:r w:rsidR="008F3531" w:rsidRPr="008F3531">
        <w:t>6</w:t>
      </w:r>
      <w:r w:rsidR="00BA393B"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2</w:t>
      </w:r>
      <w:r w:rsidR="00943E46" w:rsidRPr="00E56625">
        <w:rPr>
          <w:noProof/>
        </w:rPr>
        <w:fldChar w:fldCharType="end"/>
      </w:r>
      <w:r w:rsidRPr="008F3531">
        <w:t>: GDP per capita in 1987 prices (in “000</w:t>
      </w:r>
      <w:r w:rsidR="006011F6" w:rsidRPr="008F3531">
        <w:t>”</w:t>
      </w:r>
      <w:r w:rsidRPr="008F3531">
        <w:t xml:space="preserve"> FCFA)</w:t>
      </w:r>
      <w:bookmarkEnd w:id="134"/>
    </w:p>
    <w:tbl>
      <w:tblPr>
        <w:tblW w:w="5000" w:type="pct"/>
        <w:tblLook w:val="04A0" w:firstRow="1" w:lastRow="0" w:firstColumn="1" w:lastColumn="0" w:noHBand="0" w:noVBand="1"/>
      </w:tblPr>
      <w:tblGrid>
        <w:gridCol w:w="4311"/>
        <w:gridCol w:w="576"/>
        <w:gridCol w:w="621"/>
        <w:gridCol w:w="621"/>
        <w:gridCol w:w="621"/>
        <w:gridCol w:w="621"/>
        <w:gridCol w:w="621"/>
        <w:gridCol w:w="621"/>
        <w:gridCol w:w="621"/>
        <w:gridCol w:w="621"/>
        <w:gridCol w:w="621"/>
        <w:gridCol w:w="621"/>
        <w:gridCol w:w="621"/>
        <w:gridCol w:w="621"/>
        <w:gridCol w:w="621"/>
      </w:tblGrid>
      <w:tr w:rsidR="005D5440" w:rsidRPr="008F3531" w:rsidTr="00D115B1">
        <w:trPr>
          <w:trHeight w:val="274"/>
        </w:trPr>
        <w:tc>
          <w:tcPr>
            <w:tcW w:w="1703"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19"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rPr>
                <w:rFonts w:eastAsia="Times New Roman"/>
                <w:b/>
                <w:bCs/>
                <w:sz w:val="18"/>
                <w:szCs w:val="18"/>
                <w:lang w:val="en-US"/>
              </w:rPr>
            </w:pPr>
            <w:r w:rsidRPr="00E56625">
              <w:rPr>
                <w:rFonts w:eastAsia="Times New Roman"/>
                <w:b/>
                <w:bCs/>
                <w:sz w:val="18"/>
                <w:szCs w:val="18"/>
                <w:lang w:val="en-US"/>
              </w:rPr>
              <w:t>2000</w:t>
            </w:r>
          </w:p>
        </w:tc>
        <w:tc>
          <w:tcPr>
            <w:tcW w:w="236"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rPr>
                <w:rFonts w:eastAsia="Times New Roman"/>
                <w:b/>
                <w:bCs/>
                <w:sz w:val="18"/>
                <w:szCs w:val="18"/>
                <w:lang w:val="en-US"/>
              </w:rPr>
            </w:pPr>
            <w:r w:rsidRPr="00E56625">
              <w:rPr>
                <w:rFonts w:eastAsia="Times New Roman"/>
                <w:b/>
                <w:bCs/>
                <w:sz w:val="18"/>
                <w:szCs w:val="18"/>
                <w:lang w:val="en-US"/>
              </w:rPr>
              <w:t>2001</w:t>
            </w:r>
          </w:p>
        </w:tc>
        <w:tc>
          <w:tcPr>
            <w:tcW w:w="236"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2002</w:t>
            </w:r>
          </w:p>
        </w:tc>
        <w:tc>
          <w:tcPr>
            <w:tcW w:w="236"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2003</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2004</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2005</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2006</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2007</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2008</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2009</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2010</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2011</w:t>
            </w:r>
          </w:p>
        </w:tc>
        <w:tc>
          <w:tcPr>
            <w:tcW w:w="23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2012</w:t>
            </w:r>
          </w:p>
        </w:tc>
        <w:tc>
          <w:tcPr>
            <w:tcW w:w="236"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b/>
                <w:bCs/>
                <w:color w:val="000000"/>
                <w:sz w:val="18"/>
                <w:szCs w:val="18"/>
                <w:lang w:val="en-US"/>
              </w:rPr>
            </w:pPr>
            <w:r w:rsidRPr="00E56625">
              <w:rPr>
                <w:rFonts w:eastAsia="Times New Roman"/>
                <w:b/>
                <w:bCs/>
                <w:color w:val="000000"/>
                <w:sz w:val="18"/>
                <w:szCs w:val="18"/>
                <w:lang w:val="en-US"/>
              </w:rPr>
              <w:t>2013</w:t>
            </w:r>
          </w:p>
        </w:tc>
      </w:tr>
      <w:tr w:rsidR="005D5440" w:rsidRPr="008F3531" w:rsidTr="00D115B1">
        <w:trPr>
          <w:trHeight w:val="274"/>
        </w:trPr>
        <w:tc>
          <w:tcPr>
            <w:tcW w:w="1703"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ind w:firstLineChars="100" w:firstLine="181"/>
              <w:rPr>
                <w:rFonts w:eastAsia="Times New Roman"/>
                <w:b/>
                <w:sz w:val="18"/>
                <w:szCs w:val="18"/>
                <w:lang w:val="en-US"/>
              </w:rPr>
            </w:pPr>
            <w:r w:rsidRPr="00E56625">
              <w:rPr>
                <w:rFonts w:eastAsia="Times New Roman"/>
                <w:b/>
                <w:sz w:val="18"/>
                <w:szCs w:val="18"/>
                <w:lang w:val="en-US"/>
              </w:rPr>
              <w:t>Primary sector</w:t>
            </w:r>
          </w:p>
        </w:tc>
        <w:tc>
          <w:tcPr>
            <w:tcW w:w="219"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34.2</w:t>
            </w:r>
          </w:p>
        </w:tc>
        <w:tc>
          <w:tcPr>
            <w:tcW w:w="236"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37.0</w:t>
            </w:r>
          </w:p>
        </w:tc>
        <w:tc>
          <w:tcPr>
            <w:tcW w:w="236"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34.8</w:t>
            </w:r>
          </w:p>
        </w:tc>
        <w:tc>
          <w:tcPr>
            <w:tcW w:w="236"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40.3</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37.5</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38.7</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39.1</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38.9</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42.6</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43.6</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47.1</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45.1</w:t>
            </w:r>
          </w:p>
        </w:tc>
        <w:tc>
          <w:tcPr>
            <w:tcW w:w="23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47.5</w:t>
            </w:r>
          </w:p>
        </w:tc>
        <w:tc>
          <w:tcPr>
            <w:tcW w:w="236"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42.7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i/>
                <w:sz w:val="18"/>
                <w:szCs w:val="18"/>
                <w:lang w:val="en-US"/>
              </w:rPr>
            </w:pPr>
            <w:r w:rsidRPr="00E56625">
              <w:rPr>
                <w:rFonts w:eastAsia="Times New Roman"/>
                <w:sz w:val="18"/>
                <w:szCs w:val="18"/>
                <w:lang w:val="en-US"/>
              </w:rPr>
              <w:t xml:space="preserve">      </w:t>
            </w:r>
            <w:r w:rsidRPr="00E56625">
              <w:rPr>
                <w:rFonts w:eastAsia="Times New Roman"/>
                <w:i/>
                <w:sz w:val="18"/>
                <w:szCs w:val="18"/>
                <w:lang w:val="en-US"/>
              </w:rPr>
              <w:t>Agriculture</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18.2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21.0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18.8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24.2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22.4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22.7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22.2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25.8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26.6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29.9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27.7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30.6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b/>
                <w:bCs/>
                <w:sz w:val="18"/>
                <w:szCs w:val="18"/>
                <w:lang w:val="en-US"/>
              </w:rPr>
            </w:pPr>
            <w:r w:rsidRPr="00E56625">
              <w:rPr>
                <w:rFonts w:eastAsia="Times New Roman"/>
                <w:b/>
                <w:bCs/>
                <w:sz w:val="18"/>
                <w:szCs w:val="18"/>
                <w:lang w:val="en-US"/>
              </w:rPr>
              <w:t>25.7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Food crops, excluding rice</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12.6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13.6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16.5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16.9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20.4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ind w:firstLineChars="100" w:firstLine="180"/>
              <w:rPr>
                <w:rFonts w:eastAsia="Times New Roman"/>
                <w:sz w:val="18"/>
                <w:szCs w:val="18"/>
                <w:lang w:val="en-US"/>
              </w:rPr>
            </w:pPr>
            <w:r w:rsidRPr="00E56625">
              <w:rPr>
                <w:rFonts w:eastAsia="Times New Roman"/>
                <w:sz w:val="18"/>
                <w:szCs w:val="18"/>
                <w:lang w:val="en-US"/>
              </w:rPr>
              <w:t xml:space="preserve"> Rice</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5.1</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7.2</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Industrial crops, excluding cotton </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ind w:firstLineChars="100" w:firstLine="180"/>
              <w:rPr>
                <w:rFonts w:eastAsia="Times New Roman"/>
                <w:sz w:val="18"/>
                <w:szCs w:val="18"/>
                <w:lang w:val="en-US"/>
              </w:rPr>
            </w:pPr>
            <w:r w:rsidRPr="00E56625">
              <w:rPr>
                <w:rFonts w:eastAsia="Times New Roman"/>
                <w:sz w:val="18"/>
                <w:szCs w:val="18"/>
                <w:lang w:val="en-US"/>
              </w:rPr>
              <w:t>Cotton</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2.1</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2.0</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i/>
                <w:sz w:val="18"/>
                <w:szCs w:val="18"/>
                <w:lang w:val="en-US"/>
              </w:rPr>
            </w:pPr>
            <w:r w:rsidRPr="00E56625">
              <w:rPr>
                <w:rFonts w:eastAsia="Times New Roman"/>
                <w:sz w:val="18"/>
                <w:szCs w:val="18"/>
                <w:lang w:val="en-US"/>
              </w:rPr>
              <w:t xml:space="preserve">  </w:t>
            </w:r>
            <w:r w:rsidRPr="00E56625">
              <w:rPr>
                <w:rFonts w:eastAsia="Times New Roman"/>
                <w:b/>
                <w:sz w:val="18"/>
                <w:szCs w:val="18"/>
                <w:lang w:val="en-US"/>
              </w:rPr>
              <w:t xml:space="preserve"> </w:t>
            </w:r>
            <w:r w:rsidRPr="00E56625">
              <w:rPr>
                <w:rFonts w:eastAsia="Times New Roman"/>
                <w:i/>
                <w:sz w:val="18"/>
                <w:szCs w:val="18"/>
                <w:lang w:val="en-US"/>
              </w:rPr>
              <w:t>Livestock</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11.3</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11.4</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Fishing and Forestry</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Fishing</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Forestry</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4.7</w:t>
            </w:r>
          </w:p>
        </w:tc>
      </w:tr>
      <w:tr w:rsidR="005D5440" w:rsidRPr="008F3531" w:rsidTr="00D115B1">
        <w:trPr>
          <w:trHeight w:val="162"/>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b/>
                <w:sz w:val="18"/>
                <w:szCs w:val="18"/>
                <w:lang w:val="en-US"/>
              </w:rPr>
            </w:pPr>
            <w:r w:rsidRPr="00E56625">
              <w:rPr>
                <w:rFonts w:eastAsia="Times New Roman"/>
                <w:sz w:val="18"/>
                <w:szCs w:val="18"/>
                <w:lang w:val="en-US"/>
              </w:rPr>
              <w:t xml:space="preserve">  </w:t>
            </w:r>
            <w:r w:rsidRPr="00E56625">
              <w:rPr>
                <w:rFonts w:eastAsia="Times New Roman"/>
                <w:b/>
                <w:sz w:val="18"/>
                <w:szCs w:val="18"/>
                <w:lang w:val="en-US"/>
              </w:rPr>
              <w:t>Secondary sector</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19.6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22.9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26.5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23.5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23.4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24.5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25.7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23.7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21.9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22.0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21.9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21.1</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Mining</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Industry </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8.3</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Agrobusiness</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3.1</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2.3</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2.6</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Textile</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2.3</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2.7</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2.3</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ind w:firstLineChars="100" w:firstLine="180"/>
              <w:rPr>
                <w:rFonts w:eastAsia="Times New Roman"/>
                <w:sz w:val="18"/>
                <w:szCs w:val="18"/>
                <w:lang w:val="en-US"/>
              </w:rPr>
            </w:pPr>
            <w:r w:rsidRPr="00E56625">
              <w:rPr>
                <w:rFonts w:eastAsia="Times New Roman"/>
                <w:sz w:val="18"/>
                <w:szCs w:val="18"/>
                <w:lang w:val="en-US"/>
              </w:rPr>
              <w:t xml:space="preserve">    Handicrafts (other manufact., incl. cotton)</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1.9</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Energy</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2.9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3.5</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Construction &amp; public works</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4.3</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4.3</w:t>
            </w:r>
          </w:p>
        </w:tc>
      </w:tr>
      <w:tr w:rsidR="005D5440" w:rsidRPr="008F3531" w:rsidTr="00D115B1">
        <w:trPr>
          <w:trHeight w:val="189"/>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ind w:firstLineChars="100" w:firstLine="181"/>
              <w:rPr>
                <w:rFonts w:eastAsia="Times New Roman"/>
                <w:b/>
                <w:sz w:val="18"/>
                <w:szCs w:val="18"/>
                <w:lang w:val="en-US"/>
              </w:rPr>
            </w:pPr>
            <w:r w:rsidRPr="00E56625">
              <w:rPr>
                <w:rFonts w:eastAsia="Times New Roman"/>
                <w:b/>
                <w:sz w:val="18"/>
                <w:szCs w:val="18"/>
                <w:lang w:val="en-US"/>
              </w:rPr>
              <w:t>Tertiary sector</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36.2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37.1</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36.3</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37.7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39.1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39.6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42.0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45.3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45.5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46.1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46.4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42.0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44.4</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ind w:firstLineChars="100" w:firstLine="180"/>
              <w:rPr>
                <w:rFonts w:eastAsia="Times New Roman"/>
                <w:sz w:val="18"/>
                <w:szCs w:val="18"/>
                <w:lang w:val="en-US"/>
              </w:rPr>
            </w:pPr>
            <w:r w:rsidRPr="00E56625">
              <w:rPr>
                <w:rFonts w:eastAsia="Times New Roman"/>
                <w:sz w:val="18"/>
                <w:szCs w:val="18"/>
                <w:lang w:val="en-US"/>
              </w:rPr>
              <w:t xml:space="preserve">  Transport and telecom</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4.9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9.7</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ind w:firstLineChars="100" w:firstLine="180"/>
              <w:rPr>
                <w:rFonts w:eastAsia="Times New Roman"/>
                <w:sz w:val="18"/>
                <w:szCs w:val="18"/>
                <w:lang w:val="en-US"/>
              </w:rPr>
            </w:pPr>
            <w:r w:rsidRPr="00E56625">
              <w:rPr>
                <w:rFonts w:eastAsia="Times New Roman"/>
                <w:sz w:val="18"/>
                <w:szCs w:val="18"/>
                <w:lang w:val="en-US"/>
              </w:rPr>
              <w:t xml:space="preserve">  Trade</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13.5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13.9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15.1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14.8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16.4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17.8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18.2</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18.4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19.3</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Other non financial services</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7.4</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7.7</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5.6</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Financial services</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0.8</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bCs/>
                <w:sz w:val="18"/>
                <w:szCs w:val="18"/>
                <w:lang w:val="en-US"/>
              </w:rPr>
            </w:pPr>
            <w:r w:rsidRPr="00E56625">
              <w:rPr>
                <w:rFonts w:eastAsia="Times New Roman"/>
                <w:bCs/>
                <w:sz w:val="18"/>
                <w:szCs w:val="18"/>
                <w:lang w:val="en-US"/>
              </w:rPr>
              <w:t xml:space="preserve">       Public administration</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9.7</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9.7</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9.8</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10.3</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10.0</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9.5</w:t>
            </w: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sz w:val="18"/>
                <w:szCs w:val="18"/>
                <w:lang w:val="en-US"/>
              </w:rPr>
            </w:pPr>
            <w:r w:rsidRPr="00E56625">
              <w:rPr>
                <w:rFonts w:eastAsia="Times New Roman"/>
                <w:sz w:val="18"/>
                <w:szCs w:val="18"/>
                <w:lang w:val="en-US"/>
              </w:rPr>
              <w:t xml:space="preserve">      Production imputed to banking services</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-0.6</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-0.5</w:t>
            </w:r>
          </w:p>
        </w:tc>
      </w:tr>
      <w:tr w:rsidR="005D5440" w:rsidRPr="008F3531" w:rsidTr="00D115B1">
        <w:trPr>
          <w:trHeight w:val="14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333333"/>
                <w:sz w:val="18"/>
                <w:szCs w:val="18"/>
                <w:lang w:val="en-US"/>
              </w:rPr>
            </w:pP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18"/>
                <w:szCs w:val="18"/>
                <w:lang w:val="en-US"/>
              </w:rPr>
            </w:pPr>
          </w:p>
        </w:tc>
      </w:tr>
      <w:tr w:rsidR="005D5440" w:rsidRPr="008F3531" w:rsidTr="00D115B1">
        <w:trPr>
          <w:trHeight w:val="274"/>
        </w:trPr>
        <w:tc>
          <w:tcPr>
            <w:tcW w:w="1703"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b/>
                <w:sz w:val="18"/>
                <w:szCs w:val="18"/>
                <w:lang w:val="en-US"/>
              </w:rPr>
            </w:pPr>
            <w:r w:rsidRPr="00E56625">
              <w:rPr>
                <w:rFonts w:eastAsia="Times New Roman"/>
                <w:b/>
                <w:sz w:val="18"/>
                <w:szCs w:val="18"/>
                <w:lang w:val="en-US"/>
              </w:rPr>
              <w:t>GDP (at factor cost)</w:t>
            </w:r>
          </w:p>
        </w:tc>
        <w:tc>
          <w:tcPr>
            <w:tcW w:w="219"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90.0</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97.1</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97.5</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101.4</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99.9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102.8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106.8</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107.5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109.9</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111.1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114.1</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113.5</w:t>
            </w:r>
          </w:p>
        </w:tc>
        <w:tc>
          <w:tcPr>
            <w:tcW w:w="237"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110.2</w:t>
            </w:r>
          </w:p>
        </w:tc>
        <w:tc>
          <w:tcPr>
            <w:tcW w:w="236" w:type="pct"/>
            <w:tcBorders>
              <w:top w:val="nil"/>
              <w:left w:val="nil"/>
              <w:bottom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108.3</w:t>
            </w:r>
          </w:p>
        </w:tc>
      </w:tr>
      <w:tr w:rsidR="005D5440" w:rsidRPr="008F3531" w:rsidTr="00D115B1">
        <w:trPr>
          <w:trHeight w:val="274"/>
        </w:trPr>
        <w:tc>
          <w:tcPr>
            <w:tcW w:w="1703" w:type="pct"/>
            <w:tcBorders>
              <w:top w:val="nil"/>
              <w:left w:val="nil"/>
              <w:right w:val="nil"/>
            </w:tcBorders>
            <w:shd w:val="clear" w:color="auto" w:fill="auto"/>
            <w:noWrap/>
            <w:vAlign w:val="bottom"/>
            <w:hideMark/>
          </w:tcPr>
          <w:p w:rsidR="005D5440" w:rsidRPr="00E56625" w:rsidRDefault="005D5440" w:rsidP="00B3325F">
            <w:pPr>
              <w:spacing w:after="0"/>
              <w:rPr>
                <w:rFonts w:eastAsia="Times New Roman"/>
                <w:bCs/>
                <w:sz w:val="18"/>
                <w:szCs w:val="18"/>
                <w:lang w:val="en-US"/>
              </w:rPr>
            </w:pPr>
            <w:r w:rsidRPr="00E56625">
              <w:rPr>
                <w:rFonts w:eastAsia="Times New Roman"/>
                <w:bCs/>
                <w:sz w:val="18"/>
                <w:szCs w:val="18"/>
                <w:lang w:val="en-US"/>
              </w:rPr>
              <w:t>Import taxes and domestic VAT</w:t>
            </w:r>
          </w:p>
        </w:tc>
        <w:tc>
          <w:tcPr>
            <w:tcW w:w="219"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6.3</w:t>
            </w:r>
          </w:p>
        </w:tc>
        <w:tc>
          <w:tcPr>
            <w:tcW w:w="236"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7.6</w:t>
            </w:r>
          </w:p>
        </w:tc>
        <w:tc>
          <w:tcPr>
            <w:tcW w:w="236"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8.4</w:t>
            </w:r>
          </w:p>
        </w:tc>
        <w:tc>
          <w:tcPr>
            <w:tcW w:w="236"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9.2</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9.7</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10.0</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8.2</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8.7</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8.3</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8.5</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8.6</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8.8</w:t>
            </w:r>
          </w:p>
        </w:tc>
        <w:tc>
          <w:tcPr>
            <w:tcW w:w="237"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8.4</w:t>
            </w:r>
          </w:p>
        </w:tc>
        <w:tc>
          <w:tcPr>
            <w:tcW w:w="236" w:type="pct"/>
            <w:tcBorders>
              <w:top w:val="nil"/>
              <w:left w:val="nil"/>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8.8</w:t>
            </w:r>
          </w:p>
        </w:tc>
      </w:tr>
      <w:tr w:rsidR="005D5440" w:rsidRPr="008F3531" w:rsidTr="00D115B1">
        <w:trPr>
          <w:trHeight w:val="274"/>
        </w:trPr>
        <w:tc>
          <w:tcPr>
            <w:tcW w:w="1703"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rPr>
                <w:rFonts w:eastAsia="Times New Roman"/>
                <w:b/>
                <w:bCs/>
                <w:sz w:val="18"/>
                <w:szCs w:val="18"/>
                <w:lang w:val="en-US"/>
              </w:rPr>
            </w:pPr>
            <w:r w:rsidRPr="00E56625">
              <w:rPr>
                <w:rFonts w:eastAsia="Times New Roman"/>
                <w:b/>
                <w:bCs/>
                <w:sz w:val="18"/>
                <w:szCs w:val="18"/>
                <w:lang w:val="en-US"/>
              </w:rPr>
              <w:t>GDP (at market prices)</w:t>
            </w:r>
          </w:p>
        </w:tc>
        <w:tc>
          <w:tcPr>
            <w:tcW w:w="219"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96.3</w:t>
            </w:r>
          </w:p>
        </w:tc>
        <w:tc>
          <w:tcPr>
            <w:tcW w:w="236"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104.7</w:t>
            </w:r>
          </w:p>
        </w:tc>
        <w:tc>
          <w:tcPr>
            <w:tcW w:w="236"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106.0</w:t>
            </w:r>
          </w:p>
        </w:tc>
        <w:tc>
          <w:tcPr>
            <w:tcW w:w="236"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110.6</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109.7</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112.8</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115.0</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116.2</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118.2</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119.6</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122.7</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122.3</w:t>
            </w:r>
          </w:p>
        </w:tc>
        <w:tc>
          <w:tcPr>
            <w:tcW w:w="23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118.6</w:t>
            </w:r>
          </w:p>
        </w:tc>
        <w:tc>
          <w:tcPr>
            <w:tcW w:w="236"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right"/>
              <w:rPr>
                <w:rFonts w:eastAsia="Times New Roman"/>
                <w:color w:val="000000"/>
                <w:sz w:val="18"/>
                <w:szCs w:val="18"/>
                <w:lang w:val="en-US"/>
              </w:rPr>
            </w:pPr>
            <w:r w:rsidRPr="00E56625">
              <w:rPr>
                <w:rFonts w:eastAsia="Times New Roman"/>
                <w:color w:val="000000"/>
                <w:sz w:val="18"/>
                <w:szCs w:val="18"/>
                <w:lang w:val="en-US"/>
              </w:rPr>
              <w:t>117.1</w:t>
            </w:r>
          </w:p>
        </w:tc>
      </w:tr>
      <w:tr w:rsidR="005D5440" w:rsidRPr="008F3531" w:rsidTr="00D115B1">
        <w:trPr>
          <w:trHeight w:val="274"/>
        </w:trPr>
        <w:tc>
          <w:tcPr>
            <w:tcW w:w="1703" w:type="pct"/>
            <w:tcBorders>
              <w:top w:val="single" w:sz="4" w:space="0" w:color="auto"/>
              <w:left w:val="nil"/>
              <w:right w:val="nil"/>
            </w:tcBorders>
            <w:shd w:val="clear" w:color="auto" w:fill="auto"/>
            <w:noWrap/>
            <w:vAlign w:val="bottom"/>
          </w:tcPr>
          <w:p w:rsidR="005D5440" w:rsidRPr="00E56625" w:rsidRDefault="005D5440" w:rsidP="00B3325F">
            <w:pPr>
              <w:spacing w:after="0"/>
              <w:rPr>
                <w:rFonts w:eastAsia="Times New Roman"/>
                <w:bCs/>
                <w:sz w:val="18"/>
                <w:szCs w:val="18"/>
                <w:lang w:val="en-US"/>
              </w:rPr>
            </w:pPr>
            <w:r w:rsidRPr="00E56625">
              <w:rPr>
                <w:rFonts w:eastAsia="Times New Roman"/>
                <w:bCs/>
                <w:sz w:val="18"/>
                <w:szCs w:val="18"/>
                <w:lang w:val="en-US"/>
              </w:rPr>
              <w:t>Source: IMF 2014.  Staff calculations</w:t>
            </w:r>
            <w:r w:rsidR="00D115B1" w:rsidRPr="00E56625">
              <w:rPr>
                <w:rFonts w:eastAsia="Times New Roman"/>
                <w:bCs/>
                <w:sz w:val="18"/>
                <w:szCs w:val="18"/>
                <w:lang w:val="en-US"/>
              </w:rPr>
              <w:t>.</w:t>
            </w:r>
          </w:p>
        </w:tc>
        <w:tc>
          <w:tcPr>
            <w:tcW w:w="219"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6"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6"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6"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7"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c>
          <w:tcPr>
            <w:tcW w:w="236" w:type="pct"/>
            <w:tcBorders>
              <w:top w:val="single" w:sz="4" w:space="0" w:color="auto"/>
              <w:left w:val="nil"/>
              <w:right w:val="nil"/>
            </w:tcBorders>
            <w:shd w:val="clear" w:color="auto" w:fill="auto"/>
            <w:noWrap/>
            <w:vAlign w:val="bottom"/>
          </w:tcPr>
          <w:p w:rsidR="005D5440" w:rsidRPr="00E56625" w:rsidRDefault="005D5440" w:rsidP="00B3325F">
            <w:pPr>
              <w:spacing w:after="0"/>
              <w:jc w:val="right"/>
              <w:rPr>
                <w:rFonts w:eastAsia="Times New Roman"/>
                <w:color w:val="000000"/>
                <w:sz w:val="18"/>
                <w:szCs w:val="18"/>
                <w:lang w:val="en-US"/>
              </w:rPr>
            </w:pPr>
          </w:p>
        </w:tc>
      </w:tr>
    </w:tbl>
    <w:p w:rsidR="005D5440" w:rsidRPr="00E56625" w:rsidRDefault="005D5440" w:rsidP="005D5440">
      <w:pPr>
        <w:pStyle w:val="ListParagraph"/>
        <w:spacing w:before="120" w:after="120"/>
        <w:ind w:left="0"/>
        <w:contextualSpacing w:val="0"/>
        <w:outlineLvl w:val="2"/>
        <w:rPr>
          <w:lang w:val="en-US"/>
        </w:rPr>
        <w:sectPr w:rsidR="005D5440" w:rsidRPr="00E56625" w:rsidSect="00B3325F">
          <w:pgSz w:w="15840" w:h="12240" w:orient="landscape"/>
          <w:pgMar w:top="1440" w:right="1440" w:bottom="1440" w:left="1440" w:header="720" w:footer="720" w:gutter="0"/>
          <w:cols w:space="720"/>
          <w:docGrid w:linePitch="360"/>
        </w:sectPr>
      </w:pPr>
    </w:p>
    <w:p w:rsidR="005D5440" w:rsidRPr="00E56625" w:rsidRDefault="005D5440" w:rsidP="00E56625">
      <w:pPr>
        <w:pStyle w:val="Heading2"/>
        <w:ind w:left="360"/>
        <w:rPr>
          <w:color w:val="000000" w:themeColor="text1"/>
          <w:lang w:val="en-US"/>
        </w:rPr>
      </w:pPr>
      <w:bookmarkStart w:id="135" w:name="_Toc419468569"/>
      <w:r w:rsidRPr="00E56625">
        <w:rPr>
          <w:color w:val="000000" w:themeColor="text1"/>
          <w:lang w:val="en-US"/>
        </w:rPr>
        <w:t>Spatially conscious strategies for accelerating growth</w:t>
      </w:r>
      <w:bookmarkEnd w:id="135"/>
    </w:p>
    <w:p w:rsidR="005D5440" w:rsidRPr="00E56625" w:rsidRDefault="005D5440" w:rsidP="00C73CC7">
      <w:pPr>
        <w:numPr>
          <w:ilvl w:val="1"/>
          <w:numId w:val="5"/>
        </w:numPr>
        <w:jc w:val="both"/>
        <w:rPr>
          <w:lang w:val="en-US"/>
        </w:rPr>
      </w:pPr>
      <w:r w:rsidRPr="00E56625">
        <w:rPr>
          <w:lang w:val="en-US"/>
        </w:rPr>
        <w:t xml:space="preserve">When it comes to designing a strategy to accelerate growth, Mali’s landlocked status and the large distances to the nearest ports (Table 7.3) need to be taken into account. </w:t>
      </w:r>
    </w:p>
    <w:p w:rsidR="005D5440" w:rsidRPr="008F3531" w:rsidRDefault="00BA393B" w:rsidP="00BA393B">
      <w:pPr>
        <w:pStyle w:val="Caption"/>
        <w:rPr>
          <w:b w:val="0"/>
        </w:rPr>
      </w:pPr>
      <w:bookmarkStart w:id="136" w:name="_Toc390956295"/>
      <w:r w:rsidRPr="008F3531">
        <w:t xml:space="preserve">Table </w:t>
      </w:r>
      <w:r w:rsidR="008F3531" w:rsidRPr="008F3531">
        <w:t>6</w:t>
      </w:r>
      <w:r w:rsidRPr="008F3531">
        <w:t>.</w:t>
      </w:r>
      <w:r w:rsidR="00943E46" w:rsidRPr="00E56625">
        <w:fldChar w:fldCharType="begin"/>
      </w:r>
      <w:r w:rsidR="00943E46" w:rsidRPr="008F3531">
        <w:instrText xml:space="preserve"> SEQ Table \* ARABIC \s 1 </w:instrText>
      </w:r>
      <w:r w:rsidR="00943E46" w:rsidRPr="00E56625">
        <w:fldChar w:fldCharType="separate"/>
      </w:r>
      <w:r w:rsidR="002779FA">
        <w:rPr>
          <w:noProof/>
        </w:rPr>
        <w:t>3</w:t>
      </w:r>
      <w:r w:rsidR="00943E46" w:rsidRPr="00E56625">
        <w:rPr>
          <w:noProof/>
        </w:rPr>
        <w:fldChar w:fldCharType="end"/>
      </w:r>
      <w:r w:rsidR="005D5440" w:rsidRPr="008F3531">
        <w:rPr>
          <w:b w:val="0"/>
        </w:rPr>
        <w:t>: Distance and time it takes to reach the main ports serving Mali</w:t>
      </w:r>
      <w:bookmarkEnd w:id="136"/>
    </w:p>
    <w:tbl>
      <w:tblPr>
        <w:tblW w:w="5000" w:type="pct"/>
        <w:jc w:val="center"/>
        <w:tblLook w:val="04A0" w:firstRow="1" w:lastRow="0" w:firstColumn="1" w:lastColumn="0" w:noHBand="0" w:noVBand="1"/>
      </w:tblPr>
      <w:tblGrid>
        <w:gridCol w:w="2812"/>
        <w:gridCol w:w="2164"/>
        <w:gridCol w:w="2222"/>
        <w:gridCol w:w="2162"/>
      </w:tblGrid>
      <w:tr w:rsidR="005D5440" w:rsidRPr="008F3531" w:rsidTr="00BA393B">
        <w:trPr>
          <w:trHeight w:val="300"/>
          <w:jc w:val="center"/>
        </w:trPr>
        <w:tc>
          <w:tcPr>
            <w:tcW w:w="1502"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rPr>
                <w:rFonts w:eastAsia="Times New Roman"/>
                <w:b/>
                <w:color w:val="000000"/>
                <w:sz w:val="20"/>
                <w:szCs w:val="20"/>
                <w:lang w:val="en-US"/>
              </w:rPr>
            </w:pPr>
            <w:r w:rsidRPr="00E56625">
              <w:rPr>
                <w:rFonts w:eastAsia="Times New Roman"/>
                <w:b/>
                <w:color w:val="000000"/>
                <w:sz w:val="20"/>
                <w:szCs w:val="20"/>
                <w:lang w:val="en-US"/>
              </w:rPr>
              <w:t>Destination</w:t>
            </w:r>
          </w:p>
        </w:tc>
        <w:tc>
          <w:tcPr>
            <w:tcW w:w="1156"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Origin</w:t>
            </w:r>
          </w:p>
        </w:tc>
        <w:tc>
          <w:tcPr>
            <w:tcW w:w="1187"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Distance</w:t>
            </w:r>
          </w:p>
        </w:tc>
        <w:tc>
          <w:tcPr>
            <w:tcW w:w="1156" w:type="pct"/>
            <w:tcBorders>
              <w:top w:val="single" w:sz="4" w:space="0" w:color="auto"/>
              <w:left w:val="nil"/>
              <w:bottom w:val="single" w:sz="4" w:space="0" w:color="auto"/>
              <w:right w:val="nil"/>
            </w:tcBorders>
            <w:shd w:val="clear" w:color="auto" w:fill="auto"/>
            <w:noWrap/>
            <w:vAlign w:val="bottom"/>
            <w:hideMark/>
          </w:tcPr>
          <w:p w:rsidR="005D5440" w:rsidRPr="00E56625" w:rsidRDefault="005D5440" w:rsidP="00B3325F">
            <w:pPr>
              <w:spacing w:after="0"/>
              <w:jc w:val="center"/>
              <w:rPr>
                <w:rFonts w:eastAsia="Times New Roman"/>
                <w:b/>
                <w:color w:val="000000"/>
                <w:sz w:val="20"/>
                <w:szCs w:val="20"/>
                <w:lang w:val="en-US"/>
              </w:rPr>
            </w:pPr>
            <w:r w:rsidRPr="00E56625">
              <w:rPr>
                <w:rFonts w:eastAsia="Times New Roman"/>
                <w:b/>
                <w:color w:val="000000"/>
                <w:sz w:val="20"/>
                <w:szCs w:val="20"/>
                <w:lang w:val="en-US"/>
              </w:rPr>
              <w:t>Time</w:t>
            </w:r>
          </w:p>
        </w:tc>
      </w:tr>
      <w:tr w:rsidR="005D5440" w:rsidRPr="008F3531" w:rsidTr="00BA393B">
        <w:trPr>
          <w:trHeight w:val="300"/>
          <w:jc w:val="center"/>
        </w:trPr>
        <w:tc>
          <w:tcPr>
            <w:tcW w:w="1502"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r w:rsidRPr="00E56625">
              <w:rPr>
                <w:rFonts w:eastAsia="Times New Roman"/>
                <w:color w:val="000000"/>
                <w:sz w:val="20"/>
                <w:szCs w:val="20"/>
                <w:lang w:val="en-US"/>
              </w:rPr>
              <w:t>Dakar</w:t>
            </w:r>
          </w:p>
        </w:tc>
        <w:tc>
          <w:tcPr>
            <w:tcW w:w="1156"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Bamako</w:t>
            </w:r>
          </w:p>
        </w:tc>
        <w:tc>
          <w:tcPr>
            <w:tcW w:w="1187"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1,400</w:t>
            </w:r>
          </w:p>
        </w:tc>
        <w:tc>
          <w:tcPr>
            <w:tcW w:w="1156" w:type="pct"/>
            <w:tcBorders>
              <w:top w:val="single" w:sz="4" w:space="0" w:color="auto"/>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13</w:t>
            </w:r>
          </w:p>
        </w:tc>
      </w:tr>
      <w:tr w:rsidR="005D5440" w:rsidRPr="008F3531" w:rsidTr="00BA393B">
        <w:trPr>
          <w:trHeight w:val="300"/>
          <w:jc w:val="center"/>
        </w:trPr>
        <w:tc>
          <w:tcPr>
            <w:tcW w:w="1502"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p>
        </w:tc>
        <w:tc>
          <w:tcPr>
            <w:tcW w:w="1156"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Gao</w:t>
            </w:r>
          </w:p>
        </w:tc>
        <w:tc>
          <w:tcPr>
            <w:tcW w:w="1187"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2,650</w:t>
            </w:r>
          </w:p>
        </w:tc>
        <w:tc>
          <w:tcPr>
            <w:tcW w:w="1156"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17</w:t>
            </w:r>
          </w:p>
        </w:tc>
      </w:tr>
      <w:tr w:rsidR="005D5440" w:rsidRPr="008F3531" w:rsidTr="00BA393B">
        <w:trPr>
          <w:trHeight w:val="300"/>
          <w:jc w:val="center"/>
        </w:trPr>
        <w:tc>
          <w:tcPr>
            <w:tcW w:w="1502"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p>
        </w:tc>
        <w:tc>
          <w:tcPr>
            <w:tcW w:w="1156"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Kidal</w:t>
            </w:r>
          </w:p>
        </w:tc>
        <w:tc>
          <w:tcPr>
            <w:tcW w:w="1187"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2,950</w:t>
            </w:r>
          </w:p>
        </w:tc>
        <w:tc>
          <w:tcPr>
            <w:tcW w:w="1156"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18</w:t>
            </w:r>
          </w:p>
        </w:tc>
      </w:tr>
      <w:tr w:rsidR="005D5440" w:rsidRPr="008F3531" w:rsidTr="00BA393B">
        <w:trPr>
          <w:trHeight w:val="300"/>
          <w:jc w:val="center"/>
        </w:trPr>
        <w:tc>
          <w:tcPr>
            <w:tcW w:w="1502" w:type="pct"/>
            <w:tcBorders>
              <w:top w:val="nil"/>
              <w:left w:val="nil"/>
              <w:bottom w:val="nil"/>
              <w:right w:val="nil"/>
            </w:tcBorders>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r w:rsidRPr="00E56625">
              <w:rPr>
                <w:rFonts w:eastAsia="Times New Roman"/>
                <w:color w:val="000000"/>
                <w:sz w:val="20"/>
                <w:szCs w:val="20"/>
                <w:lang w:val="en-US"/>
              </w:rPr>
              <w:t>Abidjan</w:t>
            </w:r>
          </w:p>
        </w:tc>
        <w:tc>
          <w:tcPr>
            <w:tcW w:w="1156"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Bamako</w:t>
            </w:r>
          </w:p>
        </w:tc>
        <w:tc>
          <w:tcPr>
            <w:tcW w:w="1187"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1,150</w:t>
            </w:r>
          </w:p>
        </w:tc>
        <w:tc>
          <w:tcPr>
            <w:tcW w:w="1156" w:type="pct"/>
            <w:tcBorders>
              <w:top w:val="nil"/>
              <w:left w:val="nil"/>
              <w:bottom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19</w:t>
            </w:r>
          </w:p>
        </w:tc>
      </w:tr>
      <w:tr w:rsidR="005D5440" w:rsidRPr="008F3531" w:rsidTr="00BA393B">
        <w:trPr>
          <w:trHeight w:val="300"/>
          <w:jc w:val="center"/>
        </w:trPr>
        <w:tc>
          <w:tcPr>
            <w:tcW w:w="1502" w:type="pct"/>
            <w:tcBorders>
              <w:top w:val="nil"/>
              <w:left w:val="nil"/>
              <w:right w:val="nil"/>
            </w:tcBorders>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p>
        </w:tc>
        <w:tc>
          <w:tcPr>
            <w:tcW w:w="1156" w:type="pct"/>
            <w:tcBorders>
              <w:top w:val="nil"/>
              <w:left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Gao</w:t>
            </w:r>
          </w:p>
        </w:tc>
        <w:tc>
          <w:tcPr>
            <w:tcW w:w="1187" w:type="pct"/>
            <w:tcBorders>
              <w:top w:val="nil"/>
              <w:left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2,050</w:t>
            </w:r>
          </w:p>
        </w:tc>
        <w:tc>
          <w:tcPr>
            <w:tcW w:w="1156" w:type="pct"/>
            <w:tcBorders>
              <w:top w:val="nil"/>
              <w:left w:val="nil"/>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22</w:t>
            </w:r>
          </w:p>
        </w:tc>
      </w:tr>
      <w:tr w:rsidR="005D5440" w:rsidRPr="008F3531" w:rsidTr="00BA393B">
        <w:trPr>
          <w:trHeight w:val="300"/>
          <w:jc w:val="center"/>
        </w:trPr>
        <w:tc>
          <w:tcPr>
            <w:tcW w:w="1502"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rPr>
                <w:rFonts w:eastAsia="Times New Roman"/>
                <w:color w:val="000000"/>
                <w:sz w:val="20"/>
                <w:szCs w:val="20"/>
                <w:lang w:val="en-US"/>
              </w:rPr>
            </w:pPr>
          </w:p>
        </w:tc>
        <w:tc>
          <w:tcPr>
            <w:tcW w:w="1156"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Kidal</w:t>
            </w:r>
          </w:p>
        </w:tc>
        <w:tc>
          <w:tcPr>
            <w:tcW w:w="1187"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2,400</w:t>
            </w:r>
          </w:p>
        </w:tc>
        <w:tc>
          <w:tcPr>
            <w:tcW w:w="1156" w:type="pct"/>
            <w:tcBorders>
              <w:top w:val="nil"/>
              <w:left w:val="nil"/>
              <w:bottom w:val="single" w:sz="4" w:space="0" w:color="auto"/>
              <w:right w:val="nil"/>
            </w:tcBorders>
            <w:shd w:val="clear" w:color="auto" w:fill="auto"/>
            <w:noWrap/>
            <w:vAlign w:val="bottom"/>
            <w:hideMark/>
          </w:tcPr>
          <w:p w:rsidR="005D5440" w:rsidRPr="00E56625" w:rsidRDefault="005D5440" w:rsidP="00B3325F">
            <w:pPr>
              <w:spacing w:after="0"/>
              <w:jc w:val="center"/>
              <w:rPr>
                <w:rFonts w:eastAsia="Times New Roman"/>
                <w:color w:val="000000"/>
                <w:sz w:val="20"/>
                <w:szCs w:val="20"/>
                <w:lang w:val="en-US"/>
              </w:rPr>
            </w:pPr>
            <w:r w:rsidRPr="00E56625">
              <w:rPr>
                <w:rFonts w:eastAsia="Times New Roman"/>
                <w:color w:val="000000"/>
                <w:sz w:val="20"/>
                <w:szCs w:val="20"/>
                <w:lang w:val="en-US"/>
              </w:rPr>
              <w:t>23</w:t>
            </w:r>
          </w:p>
        </w:tc>
      </w:tr>
    </w:tbl>
    <w:p w:rsidR="005D5440" w:rsidRPr="00E56625" w:rsidRDefault="005D5440" w:rsidP="005078D7">
      <w:pPr>
        <w:autoSpaceDE w:val="0"/>
        <w:autoSpaceDN w:val="0"/>
        <w:adjustRightInd w:val="0"/>
        <w:spacing w:after="0"/>
        <w:rPr>
          <w:sz w:val="20"/>
          <w:szCs w:val="20"/>
          <w:lang w:val="en-US"/>
        </w:rPr>
      </w:pPr>
      <w:r w:rsidRPr="00E56625">
        <w:rPr>
          <w:sz w:val="20"/>
          <w:szCs w:val="20"/>
          <w:lang w:val="en-US"/>
        </w:rPr>
        <w:t>Source: CLRT, 2009.</w:t>
      </w:r>
    </w:p>
    <w:p w:rsidR="00BA393B" w:rsidRPr="00E56625" w:rsidRDefault="00BA393B" w:rsidP="005078D7">
      <w:pPr>
        <w:autoSpaceDE w:val="0"/>
        <w:autoSpaceDN w:val="0"/>
        <w:adjustRightInd w:val="0"/>
        <w:spacing w:after="0"/>
        <w:rPr>
          <w:lang w:val="en-US"/>
        </w:rPr>
      </w:pPr>
    </w:p>
    <w:p w:rsidR="005D5440" w:rsidRPr="00E56625" w:rsidRDefault="004E246E" w:rsidP="00BA393B">
      <w:pPr>
        <w:numPr>
          <w:ilvl w:val="1"/>
          <w:numId w:val="5"/>
        </w:numPr>
        <w:jc w:val="both"/>
        <w:rPr>
          <w:lang w:val="en-US"/>
        </w:rPr>
      </w:pPr>
      <w:r w:rsidRPr="00E56625">
        <w:rPr>
          <w:lang w:val="en-US"/>
        </w:rPr>
        <w:t>Broadly speaking two growth enhancing approaches can be envisaged: (i) a strategy that takes the high transport cost as a natural advantage; and (ii) an export strategy for products in which Mali has a comparative advantage or for products of high value</w:t>
      </w:r>
    </w:p>
    <w:p w:rsidR="005D5440" w:rsidRPr="00E56625" w:rsidRDefault="005D5440" w:rsidP="00C73CC7">
      <w:pPr>
        <w:numPr>
          <w:ilvl w:val="1"/>
          <w:numId w:val="5"/>
        </w:numPr>
        <w:jc w:val="both"/>
        <w:rPr>
          <w:lang w:val="en-US"/>
        </w:rPr>
      </w:pPr>
      <w:r w:rsidRPr="00E56625">
        <w:rPr>
          <w:lang w:val="en-US"/>
        </w:rPr>
        <w:t>The first</w:t>
      </w:r>
      <w:r w:rsidR="004E246E" w:rsidRPr="00E56625">
        <w:rPr>
          <w:lang w:val="en-US"/>
        </w:rPr>
        <w:t xml:space="preserve"> strategy revolves around </w:t>
      </w:r>
      <w:r w:rsidRPr="00E56625">
        <w:rPr>
          <w:lang w:val="en-US"/>
        </w:rPr>
        <w:t>products in which Mali has a comparative advantage ha</w:t>
      </w:r>
      <w:r w:rsidR="004E246E" w:rsidRPr="00E56625">
        <w:rPr>
          <w:lang w:val="en-US"/>
        </w:rPr>
        <w:t>s</w:t>
      </w:r>
      <w:r w:rsidRPr="00E56625">
        <w:rPr>
          <w:lang w:val="en-US"/>
        </w:rPr>
        <w:t xml:space="preserve"> de facto been followed. Mali’s exports are largely made up of gold and cotton, sectors in which the country has a comparative advantage and which have potential for future growth. In the early 2000s the value of cotton production was at least 50 percent higher than it is today, and Mali has considerable unexploited mining potential, including in the north of the country (see Figure </w:t>
      </w:r>
      <w:r w:rsidR="001C7567">
        <w:rPr>
          <w:lang w:val="en-US"/>
        </w:rPr>
        <w:t>6</w:t>
      </w:r>
      <w:r w:rsidRPr="00E56625">
        <w:rPr>
          <w:lang w:val="en-US"/>
        </w:rPr>
        <w:t>.7)</w:t>
      </w:r>
    </w:p>
    <w:p w:rsidR="005D5440" w:rsidRPr="00E56625" w:rsidRDefault="005D5440" w:rsidP="00C73CC7">
      <w:pPr>
        <w:numPr>
          <w:ilvl w:val="1"/>
          <w:numId w:val="5"/>
        </w:numPr>
        <w:jc w:val="both"/>
        <w:rPr>
          <w:lang w:val="en-US"/>
        </w:rPr>
      </w:pPr>
      <w:r w:rsidRPr="00E56625">
        <w:rPr>
          <w:lang w:val="en-US"/>
        </w:rPr>
        <w:t xml:space="preserve">The manufacturing sector of Mali is dominated by industries that have a local comparative advantage: the production of electricity is the largest manufacturing sector in Mali, followed by cotton ginning. Together these two make up 40 percent of total sales of the industrial sector. Other major industries are fertilizer production and other chemicals (20 percent of total sales), transformation of steel (10 percent of sales) and beverages (5 percent of sales). The scope for rapid increases in these sectors (except for cotton ginning) is limited as the scope for exports to the region is marginal so that growth is premised on increases in domestic demand. </w:t>
      </w:r>
    </w:p>
    <w:p w:rsidR="005D5440" w:rsidRPr="00E56625" w:rsidRDefault="005D5440" w:rsidP="00C73CC7">
      <w:pPr>
        <w:numPr>
          <w:ilvl w:val="1"/>
          <w:numId w:val="5"/>
        </w:numPr>
        <w:jc w:val="both"/>
        <w:rPr>
          <w:lang w:val="en-US"/>
        </w:rPr>
      </w:pPr>
      <w:r w:rsidRPr="00E56625">
        <w:rPr>
          <w:lang w:val="en-US"/>
        </w:rPr>
        <w:t>An import substitution strategy per se which in addition to the existing high transport costs, creates additional barriers to trade is unlikely to accelerate growth in a sustainable manner. Protection of industries and sectors has been found to have an initial positive effect on domestic employment, as it offers a captive market to local firms, but tends to run very quickly out of steam, as protectionism removes the incentives for productivity growth and innovation, gradually eroding a country’s ability to meet the needs of its population. If such a strategy had been put in place earlier, it would have prevented (unexpected) improvements in welfare associated to the increased access to affordable means of transport (motorbikes), communication (cell phones) and other imported technologies (solar lights).</w:t>
      </w:r>
    </w:p>
    <w:p w:rsidR="005D5440" w:rsidRPr="00E56625" w:rsidRDefault="005D5440" w:rsidP="00C73CC7">
      <w:pPr>
        <w:numPr>
          <w:ilvl w:val="1"/>
          <w:numId w:val="5"/>
        </w:numPr>
        <w:jc w:val="both"/>
        <w:rPr>
          <w:lang w:val="en-US"/>
        </w:rPr>
      </w:pPr>
      <w:r w:rsidRPr="00E56625">
        <w:rPr>
          <w:lang w:val="en-US"/>
        </w:rPr>
        <w:t xml:space="preserve">Mali could exploit other comparative advantages such as cereal production which could serve the country as well as the region. The Sahel is structurally food deficient and with its irrigation potential (much of which still needs to be developed) and closeness to the markets, Mali is a well placed to serve other landlocked countries with maize, rice and other cereals. A strategy that focuses on increased maize, rice and other cereal production also has immediate benefits for Mali’s food security, and as we have seen in Chapter 4 was one of the reasons behind the rapid reduction in poverty. </w:t>
      </w:r>
    </w:p>
    <w:p w:rsidR="005D5440" w:rsidRPr="008F3531" w:rsidRDefault="00BA393B" w:rsidP="00BA393B">
      <w:pPr>
        <w:pStyle w:val="Caption"/>
        <w:rPr>
          <w:b w:val="0"/>
        </w:rPr>
      </w:pPr>
      <w:bookmarkStart w:id="137" w:name="_Toc390956436"/>
      <w:r w:rsidRPr="008F3531">
        <w:t xml:space="preserve">Figure </w:t>
      </w:r>
      <w:r w:rsidR="008F3531" w:rsidRPr="008F3531">
        <w:t>6</w:t>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5</w:t>
      </w:r>
      <w:r w:rsidR="00943E46" w:rsidRPr="00E56625">
        <w:rPr>
          <w:noProof/>
        </w:rPr>
        <w:fldChar w:fldCharType="end"/>
      </w:r>
      <w:r w:rsidR="005D5440" w:rsidRPr="008F3531">
        <w:rPr>
          <w:b w:val="0"/>
        </w:rPr>
        <w:t>: Cost to import a 20 foot container, 2005-2013</w:t>
      </w:r>
      <w:bookmarkEnd w:id="137"/>
    </w:p>
    <w:p w:rsidR="005D5440" w:rsidRPr="00E56625" w:rsidRDefault="005D5440" w:rsidP="00BA393B">
      <w:pPr>
        <w:autoSpaceDE w:val="0"/>
        <w:autoSpaceDN w:val="0"/>
        <w:adjustRightInd w:val="0"/>
        <w:spacing w:after="0"/>
        <w:jc w:val="center"/>
        <w:rPr>
          <w:sz w:val="20"/>
          <w:szCs w:val="20"/>
          <w:lang w:val="en-US"/>
        </w:rPr>
      </w:pPr>
      <w:r w:rsidRPr="00E56625">
        <w:rPr>
          <w:noProof/>
          <w:lang w:val="en-US"/>
        </w:rPr>
        <w:drawing>
          <wp:inline distT="0" distB="0" distL="0" distR="0" wp14:anchorId="774E20F1" wp14:editId="0B52A3FB">
            <wp:extent cx="5200650" cy="23876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D5440" w:rsidRPr="00E56625" w:rsidRDefault="00BA393B" w:rsidP="005078D7">
      <w:pPr>
        <w:autoSpaceDE w:val="0"/>
        <w:autoSpaceDN w:val="0"/>
        <w:adjustRightInd w:val="0"/>
        <w:spacing w:after="0"/>
        <w:rPr>
          <w:sz w:val="20"/>
          <w:szCs w:val="20"/>
          <w:lang w:val="en-US"/>
        </w:rPr>
      </w:pPr>
      <w:r w:rsidRPr="00E56625">
        <w:rPr>
          <w:sz w:val="20"/>
          <w:szCs w:val="20"/>
          <w:lang w:val="en-US"/>
        </w:rPr>
        <w:t xml:space="preserve">          </w:t>
      </w:r>
      <w:r w:rsidR="005D5440" w:rsidRPr="00E56625">
        <w:rPr>
          <w:sz w:val="20"/>
          <w:szCs w:val="20"/>
          <w:lang w:val="en-US"/>
        </w:rPr>
        <w:t>Source: World Bank, World Development Indicators 2013</w:t>
      </w:r>
      <w:r w:rsidRPr="00E56625">
        <w:rPr>
          <w:sz w:val="20"/>
          <w:szCs w:val="20"/>
          <w:lang w:val="en-US"/>
        </w:rPr>
        <w:t>.</w:t>
      </w:r>
    </w:p>
    <w:p w:rsidR="00BA393B" w:rsidRPr="00E56625" w:rsidRDefault="00BA393B" w:rsidP="005078D7">
      <w:pPr>
        <w:autoSpaceDE w:val="0"/>
        <w:autoSpaceDN w:val="0"/>
        <w:adjustRightInd w:val="0"/>
        <w:spacing w:after="0"/>
        <w:rPr>
          <w:sz w:val="20"/>
          <w:szCs w:val="20"/>
          <w:lang w:val="en-US"/>
        </w:rPr>
      </w:pPr>
    </w:p>
    <w:p w:rsidR="005D5440" w:rsidRPr="00E56625" w:rsidRDefault="005D5440" w:rsidP="00C73CC7">
      <w:pPr>
        <w:numPr>
          <w:ilvl w:val="1"/>
          <w:numId w:val="5"/>
        </w:numPr>
        <w:jc w:val="both"/>
        <w:rPr>
          <w:lang w:val="en-US"/>
        </w:rPr>
      </w:pPr>
      <w:r w:rsidRPr="00E56625">
        <w:rPr>
          <w:lang w:val="en-US"/>
        </w:rPr>
        <w:t>An agricultural growth strategy will only be viable in the long run if the country can to tap into the demand originating from the region. Even then, the regional market for cereals is tiny compared to the huge OECD market. For goods to reach this market they either need to be profitably shipped by airplane (Paris is only 5 hours away) implying that they need to be (i) of high value per unit of volume (cut flowers, dried mangos, horticultural products) or they need to be (ii) goods for which Mali experiences a large favorable productivity differential with the rest of the world like leather and leather products. Instead of physically transporting goods (iii) services could also be traded through IT technology. Bamako is the music capital of West Africa, and Mali’s colorful crafts and leather work are appreciated across the globe. Migration and tourism (iv) present yet another approach to exporting services. One of the zones with the highest rate of consumption growth is in north Kayes (zone 8) in which international migration is a dominant (and successful) livelihood strategy.</w:t>
      </w:r>
    </w:p>
    <w:p w:rsidR="005D5440" w:rsidRPr="00E56625" w:rsidRDefault="005D5440" w:rsidP="00C73CC7">
      <w:pPr>
        <w:numPr>
          <w:ilvl w:val="1"/>
          <w:numId w:val="5"/>
        </w:numPr>
        <w:jc w:val="both"/>
        <w:rPr>
          <w:lang w:val="en-US"/>
        </w:rPr>
      </w:pPr>
      <w:r w:rsidRPr="00E56625">
        <w:rPr>
          <w:lang w:val="en-US"/>
        </w:rPr>
        <w:t xml:space="preserve">This </w:t>
      </w:r>
      <w:r w:rsidR="004E246E" w:rsidRPr="00E56625">
        <w:rPr>
          <w:lang w:val="en-US"/>
        </w:rPr>
        <w:t xml:space="preserve">second </w:t>
      </w:r>
      <w:r w:rsidRPr="00E56625">
        <w:rPr>
          <w:lang w:val="en-US"/>
        </w:rPr>
        <w:t xml:space="preserve">approach which combines structural-transformation with exports will take a long gestation period, and requires a consistent, multi-faceted and active government involvement to facilitate coordination in the sector, to address information externalities and to reduce high levels of transaction costs. It can be done: Ethiopia, Kenya and Tanzania have successfully entered the cut flower industry, and Ethiopia has successfully developed its leather industry. However such a strategy requires considerable demands on Government capacity, and a long term vision, to be successful (see box </w:t>
      </w:r>
      <w:r w:rsidR="00407779">
        <w:rPr>
          <w:lang w:val="en-US"/>
        </w:rPr>
        <w:t>6</w:t>
      </w:r>
      <w:r w:rsidRPr="00E56625">
        <w:rPr>
          <w:lang w:val="en-US"/>
        </w:rPr>
        <w:t xml:space="preserve">.1).  </w:t>
      </w:r>
    </w:p>
    <w:p w:rsidR="005D5440" w:rsidRPr="008F3531" w:rsidRDefault="00BA393B" w:rsidP="00BA393B">
      <w:pPr>
        <w:pStyle w:val="Caption"/>
        <w:rPr>
          <w:b w:val="0"/>
        </w:rPr>
      </w:pPr>
      <w:bookmarkStart w:id="138" w:name="_Toc390956499"/>
      <w:r w:rsidRPr="008F3531">
        <w:t xml:space="preserve">Box </w:t>
      </w:r>
      <w:r w:rsidR="008F3531" w:rsidRPr="008F3531">
        <w:t>6</w:t>
      </w:r>
      <w:r w:rsidRPr="008F3531">
        <w:t>.</w:t>
      </w:r>
      <w:r w:rsidR="00943E46" w:rsidRPr="00E56625">
        <w:fldChar w:fldCharType="begin"/>
      </w:r>
      <w:r w:rsidR="00943E46" w:rsidRPr="008F3531">
        <w:instrText xml:space="preserve"> SEQ Box \* ARABIC \s 1 </w:instrText>
      </w:r>
      <w:r w:rsidR="00943E46" w:rsidRPr="00E56625">
        <w:fldChar w:fldCharType="separate"/>
      </w:r>
      <w:r w:rsidR="002779FA">
        <w:rPr>
          <w:noProof/>
        </w:rPr>
        <w:t>1</w:t>
      </w:r>
      <w:r w:rsidR="00943E46" w:rsidRPr="00E56625">
        <w:rPr>
          <w:noProof/>
        </w:rPr>
        <w:fldChar w:fldCharType="end"/>
      </w:r>
      <w:r w:rsidR="005D5440" w:rsidRPr="008F3531">
        <w:rPr>
          <w:b w:val="0"/>
        </w:rPr>
        <w:t>: An active industrial policy helps Ethiopia’s leather sector accelerate its growth</w:t>
      </w:r>
      <w:bookmarkEnd w:id="138"/>
    </w:p>
    <w:tbl>
      <w:tblPr>
        <w:tblW w:w="0" w:type="auto"/>
        <w:jc w:val="center"/>
        <w:tblLook w:val="04A0" w:firstRow="1" w:lastRow="0" w:firstColumn="1" w:lastColumn="0" w:noHBand="0" w:noVBand="1"/>
      </w:tblPr>
      <w:tblGrid>
        <w:gridCol w:w="9350"/>
      </w:tblGrid>
      <w:tr w:rsidR="005D5440" w:rsidRPr="008F3531" w:rsidTr="00BA393B">
        <w:trPr>
          <w:jc w:val="center"/>
        </w:trPr>
        <w:tc>
          <w:tcPr>
            <w:tcW w:w="9576" w:type="dxa"/>
            <w:tcBorders>
              <w:top w:val="single" w:sz="4" w:space="0" w:color="auto"/>
              <w:left w:val="single" w:sz="4" w:space="0" w:color="auto"/>
              <w:bottom w:val="single" w:sz="4" w:space="0" w:color="auto"/>
              <w:right w:val="single" w:sz="4" w:space="0" w:color="auto"/>
            </w:tcBorders>
          </w:tcPr>
          <w:p w:rsidR="005D5440" w:rsidRPr="008F3531" w:rsidRDefault="005D5440" w:rsidP="00BA393B">
            <w:pPr>
              <w:pStyle w:val="Default"/>
              <w:spacing w:after="120"/>
              <w:jc w:val="both"/>
              <w:rPr>
                <w:rFonts w:ascii="Times New Roman" w:hAnsi="Times New Roman" w:cs="Times New Roman"/>
                <w:sz w:val="20"/>
                <w:szCs w:val="20"/>
                <w:lang w:val="en-US"/>
              </w:rPr>
            </w:pPr>
            <w:r w:rsidRPr="008F3531">
              <w:rPr>
                <w:rFonts w:ascii="Times New Roman" w:hAnsi="Times New Roman" w:cs="Times New Roman"/>
                <w:sz w:val="20"/>
                <w:szCs w:val="20"/>
                <w:lang w:val="en-US"/>
              </w:rPr>
              <w:t xml:space="preserve">While many agree that the private sector is a driver of growth, there appears to have been little consensus on governments’ ability to push the private sector to promoting growth and development; let alone on whether such interventions are necessary for industrial take-off. With the right polices, governments in poor countries can systematically improve the welfare of their society through technological catch up and industrial upgrading. Given the ubiquity of market failures ranging from information externalities to high levels of transaction costs and co-ordination problems, government intervention in the allocation of productive resources is often unavoidable, but intervening successfully is demanding on government capacity and requires a long term vision. </w:t>
            </w:r>
          </w:p>
          <w:p w:rsidR="005D5440" w:rsidRPr="008F3531" w:rsidRDefault="005D5440" w:rsidP="00BA393B">
            <w:pPr>
              <w:pStyle w:val="Default"/>
              <w:spacing w:after="120"/>
              <w:jc w:val="both"/>
              <w:rPr>
                <w:rFonts w:ascii="Times New Roman" w:hAnsi="Times New Roman" w:cs="Times New Roman"/>
                <w:color w:val="auto"/>
                <w:sz w:val="20"/>
                <w:szCs w:val="20"/>
                <w:lang w:val="en-US"/>
              </w:rPr>
            </w:pPr>
            <w:r w:rsidRPr="008F3531">
              <w:rPr>
                <w:rFonts w:ascii="Times New Roman" w:hAnsi="Times New Roman" w:cs="Times New Roman"/>
                <w:sz w:val="20"/>
                <w:szCs w:val="20"/>
                <w:lang w:val="en-US"/>
              </w:rPr>
              <w:t xml:space="preserve">The leather industry in Ethiopia can illustrate what an active industrial policy entails and what it can achieve. Like Mali Ethiopia is endowed with the resource base required for the commercial production of leather and leather products and like in Mali there is a history of leather processing in the country. Unlike Mali, Ethiopia also has a history of shoe manufacturing that dates back to the 1920s. Ethiopia’s resources remained largely untapped due to a host of reasons ranging from poor hides and skins collection to limited technology knowhow at the leather </w:t>
            </w:r>
            <w:r w:rsidRPr="008F3531">
              <w:rPr>
                <w:rFonts w:ascii="Times New Roman" w:hAnsi="Times New Roman" w:cs="Times New Roman"/>
                <w:color w:val="auto"/>
                <w:sz w:val="20"/>
                <w:szCs w:val="20"/>
                <w:lang w:val="en-US"/>
              </w:rPr>
              <w:t xml:space="preserve">processing phase. </w:t>
            </w:r>
          </w:p>
          <w:p w:rsidR="005D5440" w:rsidRPr="008F3531" w:rsidRDefault="005D5440" w:rsidP="00BA393B">
            <w:pPr>
              <w:pStyle w:val="Default"/>
              <w:spacing w:after="120"/>
              <w:jc w:val="both"/>
              <w:rPr>
                <w:rFonts w:ascii="Times New Roman" w:hAnsi="Times New Roman" w:cs="Times New Roman"/>
                <w:color w:val="auto"/>
                <w:sz w:val="20"/>
                <w:szCs w:val="20"/>
                <w:lang w:val="en-US"/>
              </w:rPr>
            </w:pPr>
            <w:r w:rsidRPr="008F3531">
              <w:rPr>
                <w:rFonts w:ascii="Times New Roman" w:hAnsi="Times New Roman" w:cs="Times New Roman"/>
                <w:color w:val="auto"/>
                <w:sz w:val="20"/>
                <w:szCs w:val="20"/>
                <w:lang w:val="en-US"/>
              </w:rPr>
              <w:t xml:space="preserve">The Ethiopian government employed multiple forms of industrial polices to reinvigorate the sector. In addition to non-discriminatory general incentives that are available to all investors, several interventions were aimed at upgrading the leather and leather products industry. </w:t>
            </w:r>
          </w:p>
          <w:p w:rsidR="005D5440" w:rsidRPr="008F3531" w:rsidRDefault="005D5440" w:rsidP="00BA393B">
            <w:pPr>
              <w:pStyle w:val="Default"/>
              <w:spacing w:after="120"/>
              <w:jc w:val="both"/>
              <w:rPr>
                <w:rFonts w:ascii="Times New Roman" w:hAnsi="Times New Roman" w:cs="Times New Roman"/>
                <w:color w:val="auto"/>
                <w:sz w:val="20"/>
                <w:szCs w:val="20"/>
                <w:lang w:val="en-US"/>
              </w:rPr>
            </w:pPr>
            <w:r w:rsidRPr="00E56625">
              <w:rPr>
                <w:rFonts w:ascii="Times New Roman" w:hAnsi="Times New Roman" w:cs="Times New Roman"/>
                <w:noProof/>
                <w:color w:val="auto"/>
                <w:sz w:val="20"/>
                <w:szCs w:val="20"/>
                <w:lang w:val="en-US" w:eastAsia="en-US"/>
              </w:rPr>
              <mc:AlternateContent>
                <mc:Choice Requires="wps">
                  <w:drawing>
                    <wp:anchor distT="0" distB="0" distL="114300" distR="114300" simplePos="0" relativeHeight="251688960" behindDoc="0" locked="0" layoutInCell="1" allowOverlap="1" wp14:anchorId="7C699358" wp14:editId="79469BE3">
                      <wp:simplePos x="0" y="0"/>
                      <wp:positionH relativeFrom="column">
                        <wp:posOffset>1377950</wp:posOffset>
                      </wp:positionH>
                      <wp:positionV relativeFrom="paragraph">
                        <wp:posOffset>1439545</wp:posOffset>
                      </wp:positionV>
                      <wp:extent cx="4368800" cy="2508250"/>
                      <wp:effectExtent l="0" t="0" r="12700" b="254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508250"/>
                              </a:xfrm>
                              <a:prstGeom prst="rect">
                                <a:avLst/>
                              </a:prstGeom>
                              <a:solidFill>
                                <a:srgbClr val="FFFFFF"/>
                              </a:solidFill>
                              <a:ln w="9525">
                                <a:solidFill>
                                  <a:srgbClr val="000000"/>
                                </a:solidFill>
                                <a:miter lim="800000"/>
                                <a:headEnd/>
                                <a:tailEnd/>
                              </a:ln>
                            </wps:spPr>
                            <wps:txbx>
                              <w:txbxContent>
                                <w:p w:rsidR="00B276C3" w:rsidRPr="004E246E" w:rsidRDefault="00B276C3" w:rsidP="005D5440">
                                  <w:pPr>
                                    <w:pStyle w:val="Default"/>
                                    <w:spacing w:after="120"/>
                                    <w:rPr>
                                      <w:rFonts w:ascii="Times New Roman" w:hAnsi="Times New Roman" w:cs="Times New Roman"/>
                                      <w:b/>
                                      <w:color w:val="auto"/>
                                      <w:sz w:val="18"/>
                                      <w:szCs w:val="18"/>
                                      <w:lang w:val="en-US"/>
                                    </w:rPr>
                                  </w:pPr>
                                  <w:r w:rsidRPr="004E246E">
                                    <w:rPr>
                                      <w:rFonts w:ascii="Times New Roman" w:hAnsi="Times New Roman" w:cs="Times New Roman"/>
                                      <w:b/>
                                      <w:color w:val="auto"/>
                                      <w:sz w:val="18"/>
                                      <w:szCs w:val="18"/>
                                      <w:lang w:val="en-US"/>
                                    </w:rPr>
                                    <w:t>Figure B5.1: Export earnings in Ethiopia’s leather and leather products industry</w:t>
                                  </w:r>
                                </w:p>
                                <w:p w:rsidR="00B276C3" w:rsidRDefault="00B276C3" w:rsidP="005D5440">
                                  <w:r w:rsidRPr="00110307">
                                    <w:rPr>
                                      <w:noProof/>
                                      <w:sz w:val="20"/>
                                      <w:szCs w:val="20"/>
                                      <w:lang w:val="en-US"/>
                                    </w:rPr>
                                    <w:drawing>
                                      <wp:inline distT="0" distB="0" distL="0" distR="0" wp14:anchorId="133005EE" wp14:editId="346029B1">
                                        <wp:extent cx="4133850" cy="2091062"/>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51715" cy="21000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9358" id="_x0000_s1032" type="#_x0000_t202" style="position:absolute;left:0;text-align:left;margin-left:108.5pt;margin-top:113.35pt;width:344pt;height:1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qKKAIAAE4EAAAOAAAAZHJzL2Uyb0RvYy54bWysVNtu2zAMfR+wfxD0vthxkzY14hRdugwD&#10;ugvQ7gNkWY6FSaImKbGzry8lp2l2exkmwAIpUkfkIenlzaAV2QvnJZiKTic5JcJwaKTZVvTr4+bN&#10;ghIfmGmYAiMqehCe3qxev1r2thQFdKAa4QiCGF/2tqJdCLbMMs87oZmfgBUGjS04zQKqbps1jvWI&#10;rlVW5Pll1oNrrAMuvMfTu9FIVwm/bQUPn9vWi0BURTG2kHaX9jru2WrJyq1jtpP8GAb7hyg0kwYf&#10;PUHdscDIzsnfoLTkDjy0YcJBZ9C2kouUA2YzzX/J5qFjVqRckBxvTzT5/wfLP+2/OCKbil7kV5QY&#10;prFIj2II5C0MpIj89NaX6PZg0TEMeIx1Trl6ew/8mycG1h0zW3HrHPSdYA3GN403s7OrI46PIHX/&#10;ERp8hu0CJKChdTqSh3QQRMc6HU61iaFwPJxdXC4WOZo42op5vsAvvcHK5+vW+fBegCZRqKjD4id4&#10;tr/3IYbDymeX+JoHJZuNVCopbluvlSN7ho2ySeuI/pObMqSv6PW8mI8M/BUiT+tPEFoG7HgldUUx&#10;H1zRiZWRt3emSXJgUo0yhqzMkcjI3chiGOoh1ewq3o0k19AckFkHY4PjQKLQgftBSY/NXVH/fcec&#10;oER9MFid6+lsFqchKbP5VYGKO7fU5xZmOEJVNFAyiuuQJiiGbeAWq9jKxO9LJMeQsWkT7ccBi1Nx&#10;rievl9/A6gkAAP//AwBQSwMEFAAGAAgAAAAhAIdBaLXgAAAACwEAAA8AAABkcnMvZG93bnJldi54&#10;bWxMj0FPwzAMhe9I/IfISFzQlq5Au5WmE0ICsRtsCK5Z47UViVOarCv/HnOCm+339Py9cj05K0Yc&#10;QudJwWKegECqvemoUfC2e5wtQYSoyWjrCRV8Y4B1dX5W6sL4E73iuI2N4BAKhVbQxtgXUoa6RafD&#10;3PdIrB384HTkdWikGfSJw52VaZJk0umO+EOre3xosf7cHp2C5c3z+BE21y/vdXawq3iVj09fg1KX&#10;F9P9HYiIU/wzwy8+o0PFTHt/JBOEVZAucu4SeUizHAQ7VsktX/YKMtZAVqX836H6AQAA//8DAFBL&#10;AQItABQABgAIAAAAIQC2gziS/gAAAOEBAAATAAAAAAAAAAAAAAAAAAAAAABbQ29udGVudF9UeXBl&#10;c10ueG1sUEsBAi0AFAAGAAgAAAAhADj9If/WAAAAlAEAAAsAAAAAAAAAAAAAAAAALwEAAF9yZWxz&#10;Ly5yZWxzUEsBAi0AFAAGAAgAAAAhAFf2uoooAgAATgQAAA4AAAAAAAAAAAAAAAAALgIAAGRycy9l&#10;Mm9Eb2MueG1sUEsBAi0AFAAGAAgAAAAhAIdBaLXgAAAACwEAAA8AAAAAAAAAAAAAAAAAggQAAGRy&#10;cy9kb3ducmV2LnhtbFBLBQYAAAAABAAEAPMAAACPBQAAAAA=&#10;">
                      <v:textbox>
                        <w:txbxContent>
                          <w:p w:rsidR="00B276C3" w:rsidRPr="004E246E" w:rsidRDefault="00B276C3" w:rsidP="005D5440">
                            <w:pPr>
                              <w:pStyle w:val="Default"/>
                              <w:spacing w:after="120"/>
                              <w:rPr>
                                <w:rFonts w:ascii="Times New Roman" w:hAnsi="Times New Roman" w:cs="Times New Roman"/>
                                <w:b/>
                                <w:color w:val="auto"/>
                                <w:sz w:val="18"/>
                                <w:szCs w:val="18"/>
                                <w:lang w:val="en-US"/>
                              </w:rPr>
                            </w:pPr>
                            <w:r w:rsidRPr="004E246E">
                              <w:rPr>
                                <w:rFonts w:ascii="Times New Roman" w:hAnsi="Times New Roman" w:cs="Times New Roman"/>
                                <w:b/>
                                <w:color w:val="auto"/>
                                <w:sz w:val="18"/>
                                <w:szCs w:val="18"/>
                                <w:lang w:val="en-US"/>
                              </w:rPr>
                              <w:t>Figure B5.1: Export earnings in Ethiopia’s leather and leather products industry</w:t>
                            </w:r>
                          </w:p>
                          <w:p w:rsidR="00B276C3" w:rsidRDefault="00B276C3" w:rsidP="005D5440">
                            <w:r w:rsidRPr="00110307">
                              <w:rPr>
                                <w:noProof/>
                                <w:sz w:val="20"/>
                                <w:szCs w:val="20"/>
                                <w:lang w:val="en-US"/>
                              </w:rPr>
                              <w:drawing>
                                <wp:inline distT="0" distB="0" distL="0" distR="0" wp14:anchorId="133005EE" wp14:editId="346029B1">
                                  <wp:extent cx="4133850" cy="2091062"/>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1715" cy="2100099"/>
                                          </a:xfrm>
                                          <a:prstGeom prst="rect">
                                            <a:avLst/>
                                          </a:prstGeom>
                                          <a:noFill/>
                                          <a:ln>
                                            <a:noFill/>
                                          </a:ln>
                                        </pic:spPr>
                                      </pic:pic>
                                    </a:graphicData>
                                  </a:graphic>
                                </wp:inline>
                              </w:drawing>
                            </w:r>
                          </w:p>
                        </w:txbxContent>
                      </v:textbox>
                      <w10:wrap type="square"/>
                    </v:shape>
                  </w:pict>
                </mc:Fallback>
              </mc:AlternateContent>
            </w:r>
            <w:r w:rsidRPr="008F3531">
              <w:rPr>
                <w:rFonts w:ascii="Times New Roman" w:hAnsi="Times New Roman" w:cs="Times New Roman"/>
                <w:sz w:val="20"/>
                <w:szCs w:val="20"/>
                <w:lang w:val="en-US"/>
              </w:rPr>
              <w:t xml:space="preserve">First the Ethiopian government helped organize six state-owned and two privately held companies to form the Ethiopian Tanners Association, as a first step to properly organize the markets for semi-processed leather and leather articles. </w:t>
            </w:r>
            <w:r w:rsidRPr="008F3531">
              <w:rPr>
                <w:rFonts w:ascii="Times New Roman" w:hAnsi="Times New Roman" w:cs="Times New Roman"/>
                <w:color w:val="auto"/>
                <w:sz w:val="20"/>
                <w:szCs w:val="20"/>
                <w:lang w:val="en-US"/>
              </w:rPr>
              <w:t>The government also engaged in building the local production and marketing capacity through technology learning from abroad. To his end a local institute, LLPTI, was selected to facilitate technology diffusion and upgrade the skills of workers and managers in the industry and enterprises were encouraged enterprises to use foreign experts by subsidizing the costs involved in their employment. The leather and leather goods industry had preferential access to finance from the Development Bank of Ethiopia (DBE). The government also provided land and semi-constructed factories to large and medium sized tanneries and footwear producers at highly discounted lease rates. Finally, the government extensively used its tax and regulatory policies to encourage upgrading along the leather value chain. The export of raw hides and skins, for example, became banned to push local processing of leather. Similarly, the export of semi-finished leather products was subjected to a 150% export tax in 2008. In 2012, the same level of tax was imposed on the export of crust leather products. All these interventions had the combined effects of improving value addition, export and employment in the leather and leather products industry (Figure B5.1).</w:t>
            </w:r>
          </w:p>
          <w:p w:rsidR="005D5440" w:rsidRPr="008F3531" w:rsidRDefault="005D5440" w:rsidP="00BA393B">
            <w:pPr>
              <w:pStyle w:val="Default"/>
              <w:spacing w:after="120"/>
              <w:jc w:val="both"/>
              <w:rPr>
                <w:lang w:val="en-US"/>
              </w:rPr>
            </w:pPr>
            <w:r w:rsidRPr="008F3531">
              <w:rPr>
                <w:rFonts w:ascii="Times New Roman" w:hAnsi="Times New Roman" w:cs="Times New Roman"/>
                <w:color w:val="auto"/>
                <w:sz w:val="20"/>
                <w:szCs w:val="20"/>
                <w:lang w:val="en-US"/>
              </w:rPr>
              <w:t>Despite Ethiopia’s achievements there remains much room for improvements. Policies to improve facets of livestock management and hide and skin collection would greatly improve raw hides and skins supply and quality for the leather processing enterprises. Formal means of communication whereby all stakeholders are fairly represented would facilitate dialogue and facilitate finding solutions to issues impacting the industry and would help build greater trust among various stakeholders in the industry while enhancing the quality and ownership of regulations.</w:t>
            </w:r>
            <w:r w:rsidRPr="008F3531">
              <w:rPr>
                <w:rFonts w:cstheme="minorBidi"/>
                <w:color w:val="auto"/>
                <w:sz w:val="20"/>
                <w:szCs w:val="20"/>
                <w:lang w:val="en-US"/>
              </w:rPr>
              <w:t xml:space="preserve"> </w:t>
            </w:r>
          </w:p>
        </w:tc>
      </w:tr>
    </w:tbl>
    <w:p w:rsidR="005D5440" w:rsidRPr="00E56625" w:rsidRDefault="005D5440" w:rsidP="004E246E">
      <w:pPr>
        <w:autoSpaceDE w:val="0"/>
        <w:autoSpaceDN w:val="0"/>
        <w:adjustRightInd w:val="0"/>
        <w:spacing w:after="0"/>
        <w:rPr>
          <w:sz w:val="20"/>
          <w:szCs w:val="20"/>
          <w:lang w:val="en-US"/>
        </w:rPr>
      </w:pPr>
      <w:r w:rsidRPr="00E56625">
        <w:rPr>
          <w:sz w:val="20"/>
          <w:szCs w:val="20"/>
          <w:lang w:val="en-US"/>
        </w:rPr>
        <w:t>Source: Girum Abebe and Florian Schaefer (2013): High hopes and limited successes: experimenting with industrial policies in the leather industry in Ethiopia. Authors’compilation.</w:t>
      </w:r>
    </w:p>
    <w:p w:rsidR="005D5440" w:rsidRPr="00E56625" w:rsidRDefault="005D5440" w:rsidP="004E246E">
      <w:pPr>
        <w:numPr>
          <w:ilvl w:val="1"/>
          <w:numId w:val="5"/>
        </w:numPr>
        <w:spacing w:before="120" w:after="120"/>
        <w:jc w:val="both"/>
        <w:rPr>
          <w:lang w:val="en-US"/>
        </w:rPr>
      </w:pPr>
      <w:r w:rsidRPr="00E56625">
        <w:rPr>
          <w:lang w:val="en-US"/>
        </w:rPr>
        <w:t>Realizing Mali’s competitive potential requires addressing a number of cross-cutting constraints, many of which have been identified before. A first element is to address high transport and transit costs, both domestically, regionally and internationally. To stimulate trade to OECD countries, and it addition to efforts to reduce transport costs to the ports of Dakar and Abidjan and to the Sahel it should be explored how Mali can become a regular (and cheap) destination for cargo planes, or alternatively, whether cargo and passenger transport can be combined efficiently.</w:t>
      </w:r>
    </w:p>
    <w:p w:rsidR="005D5440" w:rsidRPr="00E56625" w:rsidRDefault="005D5440" w:rsidP="00C73CC7">
      <w:pPr>
        <w:numPr>
          <w:ilvl w:val="1"/>
          <w:numId w:val="5"/>
        </w:numPr>
        <w:jc w:val="both"/>
        <w:rPr>
          <w:lang w:val="en-US"/>
        </w:rPr>
      </w:pPr>
      <w:r w:rsidRPr="00E56625">
        <w:rPr>
          <w:noProof/>
          <w:lang w:val="en-US"/>
        </w:rPr>
        <mc:AlternateContent>
          <mc:Choice Requires="wps">
            <w:drawing>
              <wp:anchor distT="0" distB="0" distL="114300" distR="114300" simplePos="0" relativeHeight="251689984" behindDoc="1" locked="0" layoutInCell="1" allowOverlap="1" wp14:anchorId="24D75CA9" wp14:editId="750A8959">
                <wp:simplePos x="0" y="0"/>
                <wp:positionH relativeFrom="column">
                  <wp:posOffset>2276475</wp:posOffset>
                </wp:positionH>
                <wp:positionV relativeFrom="paragraph">
                  <wp:posOffset>41910</wp:posOffset>
                </wp:positionV>
                <wp:extent cx="3854450" cy="4049395"/>
                <wp:effectExtent l="0" t="0" r="12700" b="2730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4049395"/>
                        </a:xfrm>
                        <a:prstGeom prst="rect">
                          <a:avLst/>
                        </a:prstGeom>
                        <a:solidFill>
                          <a:srgbClr val="FFFFFF"/>
                        </a:solidFill>
                        <a:ln w="9525">
                          <a:solidFill>
                            <a:srgbClr val="000000"/>
                          </a:solidFill>
                          <a:miter lim="800000"/>
                          <a:headEnd/>
                          <a:tailEnd/>
                        </a:ln>
                      </wps:spPr>
                      <wps:txbx>
                        <w:txbxContent>
                          <w:p w:rsidR="00B276C3" w:rsidRPr="00BB4F71" w:rsidRDefault="00B276C3" w:rsidP="00BB4F71">
                            <w:pPr>
                              <w:pStyle w:val="Caption"/>
                              <w:rPr>
                                <w:rFonts w:ascii="Times New Roman" w:hAnsi="Times New Roman" w:cs="Times New Roman"/>
                                <w:noProof/>
                                <w:sz w:val="24"/>
                                <w:szCs w:val="24"/>
                                <w:lang w:val="en-GB"/>
                              </w:rPr>
                            </w:pPr>
                            <w:bookmarkStart w:id="139" w:name="_Toc390956437"/>
                            <w:r>
                              <w:t>Figure 6.</w:t>
                            </w:r>
                            <w:fldSimple w:instr=" SEQ Figure \* ARABIC \s 1 ">
                              <w:r w:rsidR="002779FA">
                                <w:rPr>
                                  <w:noProof/>
                                </w:rPr>
                                <w:t>6</w:t>
                              </w:r>
                            </w:fldSimple>
                            <w:r>
                              <w:t>: Internet Connectivity</w:t>
                            </w:r>
                            <w:r>
                              <w:rPr>
                                <w:noProof/>
                              </w:rPr>
                              <w:drawing>
                                <wp:inline distT="0" distB="0" distL="0" distR="0" wp14:anchorId="682C47E9" wp14:editId="05CFA2F8">
                                  <wp:extent cx="3580449" cy="3693459"/>
                                  <wp:effectExtent l="0" t="0" r="127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_broadband_operational_2009.png"/>
                                          <pic:cNvPicPr/>
                                        </pic:nvPicPr>
                                        <pic:blipFill>
                                          <a:blip r:embed="rId126">
                                            <a:extLst>
                                              <a:ext uri="{28A0092B-C50C-407E-A947-70E740481C1C}">
                                                <a14:useLocalDpi xmlns:a14="http://schemas.microsoft.com/office/drawing/2010/main" val="0"/>
                                              </a:ext>
                                            </a:extLst>
                                          </a:blip>
                                          <a:stretch>
                                            <a:fillRect/>
                                          </a:stretch>
                                        </pic:blipFill>
                                        <pic:spPr>
                                          <a:xfrm>
                                            <a:off x="0" y="0"/>
                                            <a:ext cx="3583620" cy="3696730"/>
                                          </a:xfrm>
                                          <a:prstGeom prst="rect">
                                            <a:avLst/>
                                          </a:prstGeom>
                                        </pic:spPr>
                                      </pic:pic>
                                    </a:graphicData>
                                  </a:graphic>
                                </wp:inline>
                              </w:drawing>
                            </w:r>
                            <w:bookmarkEnd w:id="1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75CA9" id="_x0000_t202" coordsize="21600,21600" o:spt="202" path="m,l,21600r21600,l21600,xe">
                <v:stroke joinstyle="miter"/>
                <v:path gradientshapeok="t" o:connecttype="rect"/>
              </v:shapetype>
              <v:shape id="_x0000_s1033" type="#_x0000_t202" style="position:absolute;left:0;text-align:left;margin-left:179.25pt;margin-top:3.3pt;width:303.5pt;height:318.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DiKAIAAE4EAAAOAAAAZHJzL2Uyb0RvYy54bWysVNtu2zAMfR+wfxD0vthx7DUx4hRdugwD&#10;ugvQ7gNkWY6FSaInKbG7rx8lp2l2exnmB4EUqUPykPT6etSKHIV1EkxF57OUEmE4NNLsK/rlYfdq&#10;SYnzzDRMgREVfRSOXm9evlgPfSky6EA1whIEMa4c+op23vdlkjjeCc3cDHph0NiC1cyjavdJY9mA&#10;6FolWZq+TgawTW+BC+fw9nYy0k3Eb1vB/ae2dcITVVHMzcfTxrMOZ7JZs3JvWd9JfkqD/UMWmkmD&#10;Qc9Qt8wzcrDyNygtuQUHrZ9x0Am0reQi1oDVzNNfqrnvWC9iLUiO6880uf8Hyz8eP1sim4ouspwS&#10;wzQ26UGMnryBkWSBn6F3Jbrd9+joR7zGPsdaXX8H/KsjBrYdM3txYy0MnWAN5jcPL5OLpxOOCyD1&#10;8AEaDMMOHiLQ2FodyEM6CKJjnx7PvQmpcLxcLIs8L9DE0Zan+WqxKmIMVj49763z7wRoEoSKWmx+&#10;hGfHO+dDOqx8cgnRHCjZ7KRSUbH7eqssOTIclF38Tug/uSlDhoquiqyYGPgrRBq/P0Fo6XHildQV&#10;XZ6dWBl4e2uaOI+eSTXJmLIyJyIDdxOLfqzH2LOrECCQXEPziMxamAYcFxKFDux3SgYc7oq6bwdm&#10;BSXqvcHurOZ5HrYhKnlxlaFiLy31pYUZjlAV9ZRM4tbHDQq8GbjBLrYy8vucySllHNpI+2nBwlZc&#10;6tHr+Tew+QEAAP//AwBQSwMEFAAGAAgAAAAhAOxPvYzeAAAACQEAAA8AAABkcnMvZG93bnJldi54&#10;bWxMj8FOwzAQRO9I/IO1SFxQ60ASk4Y4FUIC0Ru0CK5uvE0iYjvYbhr+nuUEx6cZzb6t1rMZ2IQ+&#10;9M5KuF4mwNA2Tve2lfC2e1wUwEJUVqvBWZTwjQHW9flZpUrtTvYVp21sGY3YUCoJXYxjyXloOjQq&#10;LN2IlrKD80ZFQt9y7dWJxs3Ab5JEcKN6Sxc6NeJDh83n9mgkFNnz9BE26ct7Iw7DKl7dTk9fXsrL&#10;i/n+DljEOf6V4Vef1KEmp707Wh3YICHNi5yqEoQARvlK5MR74ixLgdcV//9B/QMAAP//AwBQSwEC&#10;LQAUAAYACAAAACEAtoM4kv4AAADhAQAAEwAAAAAAAAAAAAAAAAAAAAAAW0NvbnRlbnRfVHlwZXNd&#10;LnhtbFBLAQItABQABgAIAAAAIQA4/SH/1gAAAJQBAAALAAAAAAAAAAAAAAAAAC8BAABfcmVscy8u&#10;cmVsc1BLAQItABQABgAIAAAAIQBvFWDiKAIAAE4EAAAOAAAAAAAAAAAAAAAAAC4CAABkcnMvZTJv&#10;RG9jLnhtbFBLAQItABQABgAIAAAAIQDsT72M3gAAAAkBAAAPAAAAAAAAAAAAAAAAAIIEAABkcnMv&#10;ZG93bnJldi54bWxQSwUGAAAAAAQABADzAAAAjQUAAAAA&#10;">
                <v:textbox>
                  <w:txbxContent>
                    <w:p w:rsidR="00B276C3" w:rsidRPr="00BB4F71" w:rsidRDefault="00B276C3" w:rsidP="00BB4F71">
                      <w:pPr>
                        <w:pStyle w:val="Caption"/>
                        <w:rPr>
                          <w:rFonts w:ascii="Times New Roman" w:hAnsi="Times New Roman" w:cs="Times New Roman"/>
                          <w:noProof/>
                          <w:sz w:val="24"/>
                          <w:szCs w:val="24"/>
                          <w:lang w:val="en-GB"/>
                        </w:rPr>
                      </w:pPr>
                      <w:bookmarkStart w:id="140" w:name="_Toc390956437"/>
                      <w:r>
                        <w:t>Figure 6.</w:t>
                      </w:r>
                      <w:fldSimple w:instr=" SEQ Figure \* ARABIC \s 1 ">
                        <w:r w:rsidR="002779FA">
                          <w:rPr>
                            <w:noProof/>
                          </w:rPr>
                          <w:t>6</w:t>
                        </w:r>
                      </w:fldSimple>
                      <w:r>
                        <w:t>: Internet Connectivity</w:t>
                      </w:r>
                      <w:r>
                        <w:rPr>
                          <w:noProof/>
                        </w:rPr>
                        <w:drawing>
                          <wp:inline distT="0" distB="0" distL="0" distR="0" wp14:anchorId="682C47E9" wp14:editId="05CFA2F8">
                            <wp:extent cx="3580449" cy="3693459"/>
                            <wp:effectExtent l="0" t="0" r="127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_broadband_operational_2009.png"/>
                                    <pic:cNvPicPr/>
                                  </pic:nvPicPr>
                                  <pic:blipFill>
                                    <a:blip r:embed="rId126">
                                      <a:extLst>
                                        <a:ext uri="{28A0092B-C50C-407E-A947-70E740481C1C}">
                                          <a14:useLocalDpi xmlns:a14="http://schemas.microsoft.com/office/drawing/2010/main" val="0"/>
                                        </a:ext>
                                      </a:extLst>
                                    </a:blip>
                                    <a:stretch>
                                      <a:fillRect/>
                                    </a:stretch>
                                  </pic:blipFill>
                                  <pic:spPr>
                                    <a:xfrm>
                                      <a:off x="0" y="0"/>
                                      <a:ext cx="3583620" cy="3696730"/>
                                    </a:xfrm>
                                    <a:prstGeom prst="rect">
                                      <a:avLst/>
                                    </a:prstGeom>
                                  </pic:spPr>
                                </pic:pic>
                              </a:graphicData>
                            </a:graphic>
                          </wp:inline>
                        </w:drawing>
                      </w:r>
                      <w:bookmarkEnd w:id="140"/>
                    </w:p>
                  </w:txbxContent>
                </v:textbox>
                <w10:wrap type="square"/>
              </v:shape>
            </w:pict>
          </mc:Fallback>
        </mc:AlternateContent>
      </w:r>
      <w:r w:rsidRPr="00E56625">
        <w:rPr>
          <w:lang w:val="en-US"/>
        </w:rPr>
        <w:t>Another cross cutting factor is the need to exploit the existing IT infrastructure. Mali has a fiber-optic network which links all major cities to the rest of the world, and most citizens live within reach of a mobile telephone network. In combination this could mean affordable internet access for (almost) all, but it requires that the right policies are put in place to stimulate innovation and competition. The present two internet service providers and two mobile telephone operators are insufficient to induce the competition needed to spur innovation and price reductions. International experience has shown that the mobile telephony market is most efficient and innovative when a dominant party who is able to innovate is challenged by 2 or 3 smaller and aggressive operators, suggesting that additional telecom and ISP licenses would have to be issued.</w:t>
      </w:r>
    </w:p>
    <w:p w:rsidR="005D5440" w:rsidRPr="00E56625" w:rsidRDefault="005D5440" w:rsidP="00C73CC7">
      <w:pPr>
        <w:numPr>
          <w:ilvl w:val="1"/>
          <w:numId w:val="5"/>
        </w:numPr>
        <w:jc w:val="both"/>
        <w:rPr>
          <w:color w:val="000000" w:themeColor="text1"/>
          <w:lang w:val="en-US"/>
        </w:rPr>
      </w:pPr>
      <w:r w:rsidRPr="00E56625">
        <w:rPr>
          <w:color w:val="000000" w:themeColor="text1"/>
          <w:lang w:val="en-US"/>
        </w:rPr>
        <w:t xml:space="preserve">A third cross cutting factor is the need to invest in human capital. This requires more than improving the quality of primary and secondary education, but also that the right skills are developed for international migrants to succeed or for entrepreneurs to benefit from the opportunities offered by access </w:t>
      </w:r>
      <w:r w:rsidRPr="00E56625">
        <w:rPr>
          <w:lang w:val="en-US"/>
        </w:rPr>
        <w:t>to</w:t>
      </w:r>
      <w:r w:rsidRPr="00E56625">
        <w:rPr>
          <w:color w:val="000000" w:themeColor="text1"/>
          <w:lang w:val="en-US"/>
        </w:rPr>
        <w:t xml:space="preserve"> internet and the mobile phone network.</w:t>
      </w:r>
    </w:p>
    <w:p w:rsidR="008F1592" w:rsidRPr="008F3531" w:rsidRDefault="005D5440" w:rsidP="00C73CC7">
      <w:pPr>
        <w:numPr>
          <w:ilvl w:val="1"/>
          <w:numId w:val="5"/>
        </w:numPr>
        <w:jc w:val="both"/>
        <w:rPr>
          <w:sz w:val="22"/>
          <w:szCs w:val="22"/>
          <w:lang w:val="en-US"/>
        </w:rPr>
      </w:pPr>
      <w:r w:rsidRPr="00E56625">
        <w:rPr>
          <w:lang w:val="en-US"/>
        </w:rPr>
        <w:t xml:space="preserve">A final and critical cross cutting factor is peace and stability in the north. The consequences of the continued crisis for economic growth are severe: resources which otherwise could be used for developmental purposes (whether from donors or the Government) are being re-allocated towards peace keeping efforts –viz. the decline in public investments. Meanwhile international investors can be expected to shy away as long as security concerns remain –viz. the increase in transport cost (Figure </w:t>
      </w:r>
      <w:r w:rsidR="001C7567">
        <w:rPr>
          <w:lang w:val="en-US"/>
        </w:rPr>
        <w:t>6</w:t>
      </w:r>
      <w:r w:rsidRPr="00E56625">
        <w:rPr>
          <w:lang w:val="en-US"/>
        </w:rPr>
        <w:t>.5) and the decline in private investments. In the absence of stability throughout the country sectors with growth potential like mining and tourism will remain under-developed</w:t>
      </w:r>
      <w:r w:rsidR="00BB4F71" w:rsidRPr="00E56625">
        <w:rPr>
          <w:lang w:val="en-US"/>
        </w:rPr>
        <w:t>.</w:t>
      </w:r>
    </w:p>
    <w:p w:rsidR="004E246E" w:rsidRPr="008F3531" w:rsidRDefault="004E246E" w:rsidP="00BB4F71">
      <w:pPr>
        <w:pStyle w:val="Caption"/>
      </w:pPr>
      <w:bookmarkStart w:id="141" w:name="_Toc390956438"/>
    </w:p>
    <w:p w:rsidR="004E246E" w:rsidRPr="008F3531" w:rsidRDefault="004E246E" w:rsidP="00BB4F71">
      <w:pPr>
        <w:pStyle w:val="Caption"/>
      </w:pPr>
    </w:p>
    <w:p w:rsidR="004E246E" w:rsidRPr="008F3531" w:rsidRDefault="004E246E" w:rsidP="00BB4F71">
      <w:pPr>
        <w:pStyle w:val="Caption"/>
      </w:pPr>
    </w:p>
    <w:p w:rsidR="004E246E" w:rsidRPr="008F3531" w:rsidRDefault="004E246E" w:rsidP="00BB4F71">
      <w:pPr>
        <w:pStyle w:val="Caption"/>
      </w:pPr>
    </w:p>
    <w:p w:rsidR="008F1592" w:rsidRPr="008F3531" w:rsidRDefault="00BB4F71" w:rsidP="00BB4F71">
      <w:pPr>
        <w:pStyle w:val="Caption"/>
        <w:rPr>
          <w:szCs w:val="22"/>
        </w:rPr>
      </w:pPr>
      <w:r w:rsidRPr="008F3531">
        <w:t xml:space="preserve">Figure </w:t>
      </w:r>
      <w:r w:rsidR="008F3531" w:rsidRPr="008F3531">
        <w:t>6</w:t>
      </w:r>
      <w:r w:rsidR="00EE6599" w:rsidRPr="008F3531">
        <w:t>.</w:t>
      </w:r>
      <w:r w:rsidR="00943E46" w:rsidRPr="00E56625">
        <w:fldChar w:fldCharType="begin"/>
      </w:r>
      <w:r w:rsidR="00943E46" w:rsidRPr="008F3531">
        <w:instrText xml:space="preserve"> SEQ Figure \* ARABIC \s 1 </w:instrText>
      </w:r>
      <w:r w:rsidR="00943E46" w:rsidRPr="00E56625">
        <w:fldChar w:fldCharType="separate"/>
      </w:r>
      <w:r w:rsidR="002779FA">
        <w:rPr>
          <w:noProof/>
        </w:rPr>
        <w:t>7</w:t>
      </w:r>
      <w:r w:rsidR="00943E46" w:rsidRPr="00E56625">
        <w:rPr>
          <w:noProof/>
        </w:rPr>
        <w:fldChar w:fldCharType="end"/>
      </w:r>
      <w:r w:rsidR="005D5440" w:rsidRPr="008F3531">
        <w:rPr>
          <w:b w:val="0"/>
        </w:rPr>
        <w:t>: Map of Mineral Deposits</w:t>
      </w:r>
      <w:bookmarkEnd w:id="141"/>
    </w:p>
    <w:p w:rsidR="005D5440" w:rsidRPr="008F3531" w:rsidRDefault="005D5440" w:rsidP="00BB4F71">
      <w:pPr>
        <w:jc w:val="center"/>
        <w:rPr>
          <w:lang w:val="en-US"/>
        </w:rPr>
      </w:pPr>
      <w:r w:rsidRPr="00E56625">
        <w:rPr>
          <w:noProof/>
          <w:lang w:val="en-US"/>
        </w:rPr>
        <w:drawing>
          <wp:inline distT="0" distB="0" distL="0" distR="0" wp14:anchorId="3043FFE3" wp14:editId="3BBC7850">
            <wp:extent cx="5262880" cy="493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_mining_livelihood.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267480" cy="4938263"/>
                    </a:xfrm>
                    <a:prstGeom prst="rect">
                      <a:avLst/>
                    </a:prstGeom>
                  </pic:spPr>
                </pic:pic>
              </a:graphicData>
            </a:graphic>
          </wp:inline>
        </w:drawing>
      </w:r>
    </w:p>
    <w:p w:rsidR="00B3325F" w:rsidRPr="00E56625" w:rsidRDefault="00B3325F">
      <w:pPr>
        <w:rPr>
          <w:lang w:val="en-US"/>
        </w:rPr>
        <w:sectPr w:rsidR="00B3325F" w:rsidRPr="00E56625" w:rsidSect="006F7811">
          <w:pgSz w:w="12240" w:h="15840" w:code="1"/>
          <w:pgMar w:top="1440" w:right="1440" w:bottom="1440" w:left="1440" w:header="706" w:footer="706" w:gutter="0"/>
          <w:cols w:space="708"/>
          <w:docGrid w:linePitch="360"/>
        </w:sectPr>
      </w:pPr>
    </w:p>
    <w:p w:rsidR="00C73CC7" w:rsidRPr="008F3531" w:rsidRDefault="004D40F9" w:rsidP="004E246E">
      <w:pPr>
        <w:pStyle w:val="Caption"/>
        <w:rPr>
          <w:b w:val="0"/>
        </w:rPr>
      </w:pPr>
      <w:bookmarkStart w:id="142" w:name="_Toc390956256"/>
      <w:r w:rsidRPr="008F3531">
        <w:t xml:space="preserve">Annex </w:t>
      </w:r>
      <w:r w:rsidR="00943E46" w:rsidRPr="00E56625">
        <w:fldChar w:fldCharType="begin"/>
      </w:r>
      <w:r w:rsidR="00943E46" w:rsidRPr="008F3531">
        <w:instrText xml:space="preserve"> SEQ Annex \* ARABIC </w:instrText>
      </w:r>
      <w:r w:rsidR="00943E46" w:rsidRPr="00E56625">
        <w:fldChar w:fldCharType="separate"/>
      </w:r>
      <w:r w:rsidR="002779FA">
        <w:rPr>
          <w:noProof/>
        </w:rPr>
        <w:t>1</w:t>
      </w:r>
      <w:r w:rsidR="00943E46" w:rsidRPr="00E56625">
        <w:rPr>
          <w:noProof/>
        </w:rPr>
        <w:fldChar w:fldCharType="end"/>
      </w:r>
      <w:r w:rsidR="00042E12" w:rsidRPr="008F3531">
        <w:t>:</w:t>
      </w:r>
      <w:r w:rsidR="00CF0E26" w:rsidRPr="008F3531">
        <w:rPr>
          <w:b w:val="0"/>
        </w:rPr>
        <w:t xml:space="preserve"> </w:t>
      </w:r>
      <w:bookmarkEnd w:id="142"/>
      <w:r w:rsidR="00C73CC7" w:rsidRPr="008F3531">
        <w:t>Population characteristics by place type (1987)</w:t>
      </w:r>
    </w:p>
    <w:tbl>
      <w:tblPr>
        <w:tblStyle w:val="TableGrid"/>
        <w:tblW w:w="5026" w:type="pct"/>
        <w:tblInd w:w="-72" w:type="dxa"/>
        <w:tblLayout w:type="fixed"/>
        <w:tblLook w:val="04A0" w:firstRow="1" w:lastRow="0" w:firstColumn="1" w:lastColumn="0" w:noHBand="0" w:noVBand="1"/>
      </w:tblPr>
      <w:tblGrid>
        <w:gridCol w:w="4160"/>
        <w:gridCol w:w="1327"/>
        <w:gridCol w:w="1778"/>
        <w:gridCol w:w="1376"/>
        <w:gridCol w:w="1376"/>
        <w:gridCol w:w="786"/>
        <w:gridCol w:w="79"/>
        <w:gridCol w:w="827"/>
        <w:gridCol w:w="52"/>
        <w:gridCol w:w="851"/>
        <w:gridCol w:w="984"/>
      </w:tblGrid>
      <w:tr w:rsidR="00C73CC7" w:rsidRPr="008F3531" w:rsidTr="00DF293B">
        <w:trPr>
          <w:trHeight w:val="1124"/>
        </w:trPr>
        <w:tc>
          <w:tcPr>
            <w:tcW w:w="1530" w:type="pct"/>
            <w:tcBorders>
              <w:top w:val="single" w:sz="4" w:space="0" w:color="auto"/>
              <w:left w:val="single" w:sz="4" w:space="0" w:color="auto"/>
              <w:bottom w:val="single" w:sz="4" w:space="0" w:color="auto"/>
              <w:right w:val="single" w:sz="4" w:space="0" w:color="auto"/>
            </w:tcBorders>
            <w:noWrap/>
            <w:hideMark/>
          </w:tcPr>
          <w:p w:rsidR="00C73CC7" w:rsidRPr="00E56625" w:rsidRDefault="00C73CC7" w:rsidP="00321AFB">
            <w:pPr>
              <w:rPr>
                <w:b/>
                <w:bCs/>
                <w:sz w:val="18"/>
                <w:szCs w:val="18"/>
                <w:lang w:val="en-US"/>
              </w:rPr>
            </w:pPr>
          </w:p>
        </w:tc>
        <w:tc>
          <w:tcPr>
            <w:tcW w:w="488"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Village</w:t>
            </w:r>
          </w:p>
          <w:p w:rsidR="00C73CC7" w:rsidRPr="00E56625" w:rsidRDefault="00C73CC7" w:rsidP="00321AFB">
            <w:pPr>
              <w:jc w:val="center"/>
              <w:rPr>
                <w:b/>
                <w:bCs/>
                <w:sz w:val="18"/>
                <w:szCs w:val="18"/>
                <w:lang w:val="en-US"/>
              </w:rPr>
            </w:pPr>
            <w:r w:rsidRPr="00E56625">
              <w:rPr>
                <w:b/>
                <w:bCs/>
                <w:sz w:val="18"/>
                <w:szCs w:val="18"/>
                <w:lang w:val="en-US"/>
              </w:rPr>
              <w:t>Population &lt;5,000</w:t>
            </w:r>
          </w:p>
        </w:tc>
        <w:tc>
          <w:tcPr>
            <w:tcW w:w="654"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Rural Town</w:t>
            </w:r>
          </w:p>
          <w:p w:rsidR="00C73CC7" w:rsidRPr="00E56625" w:rsidRDefault="00C73CC7" w:rsidP="00321AFB">
            <w:pPr>
              <w:jc w:val="center"/>
              <w:rPr>
                <w:b/>
                <w:bCs/>
                <w:sz w:val="18"/>
                <w:szCs w:val="18"/>
                <w:lang w:val="en-US"/>
              </w:rPr>
            </w:pPr>
            <w:r w:rsidRPr="00E56625">
              <w:rPr>
                <w:b/>
                <w:bCs/>
                <w:sz w:val="18"/>
                <w:szCs w:val="18"/>
                <w:lang w:val="en-US"/>
              </w:rPr>
              <w:t xml:space="preserve">Pop </w:t>
            </w:r>
            <w:r w:rsidRPr="00E56625">
              <w:rPr>
                <w:b/>
                <w:bCs/>
                <w:sz w:val="18"/>
                <w:szCs w:val="18"/>
                <w:lang w:val="en-US"/>
              </w:rPr>
              <w:sym w:font="Symbol" w:char="F0B3"/>
            </w:r>
            <w:r w:rsidRPr="00E56625">
              <w:rPr>
                <w:b/>
                <w:bCs/>
                <w:sz w:val="18"/>
                <w:szCs w:val="18"/>
                <w:lang w:val="en-US"/>
              </w:rPr>
              <w:t>5,000</w:t>
            </w:r>
          </w:p>
          <w:p w:rsidR="00C73CC7" w:rsidRPr="00E56625" w:rsidRDefault="00C73CC7" w:rsidP="00321AFB">
            <w:pPr>
              <w:jc w:val="center"/>
              <w:rPr>
                <w:b/>
                <w:bCs/>
                <w:sz w:val="18"/>
                <w:szCs w:val="18"/>
                <w:lang w:val="en-US"/>
              </w:rPr>
            </w:pPr>
            <w:r w:rsidRPr="00E56625">
              <w:rPr>
                <w:b/>
                <w:bCs/>
                <w:sz w:val="18"/>
                <w:szCs w:val="18"/>
                <w:lang w:val="en-US"/>
              </w:rPr>
              <w:t>&lt;30,000 density&lt;250 people/</w:t>
            </w:r>
            <w:r w:rsidR="00C8297A" w:rsidRPr="00C8297A">
              <w:rPr>
                <w:b/>
                <w:bCs/>
                <w:sz w:val="18"/>
                <w:szCs w:val="18"/>
                <w:lang w:val="en-US"/>
              </w:rPr>
              <w:t>km2</w:t>
            </w:r>
          </w:p>
        </w:tc>
        <w:tc>
          <w:tcPr>
            <w:tcW w:w="506"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Town</w:t>
            </w:r>
          </w:p>
          <w:p w:rsidR="00C73CC7" w:rsidRPr="00E56625" w:rsidRDefault="00C73CC7" w:rsidP="00321AFB">
            <w:pPr>
              <w:jc w:val="center"/>
              <w:rPr>
                <w:b/>
                <w:bCs/>
                <w:sz w:val="18"/>
                <w:szCs w:val="18"/>
                <w:lang w:val="en-US"/>
              </w:rPr>
            </w:pPr>
            <w:r w:rsidRPr="00E56625">
              <w:rPr>
                <w:b/>
                <w:bCs/>
                <w:sz w:val="18"/>
                <w:szCs w:val="18"/>
                <w:lang w:val="en-US"/>
              </w:rPr>
              <w:t xml:space="preserve">Pop </w:t>
            </w:r>
            <w:r w:rsidRPr="00E56625">
              <w:rPr>
                <w:b/>
                <w:bCs/>
                <w:sz w:val="18"/>
                <w:szCs w:val="18"/>
                <w:lang w:val="en-US"/>
              </w:rPr>
              <w:sym w:font="Symbol" w:char="F0B3"/>
            </w:r>
            <w:r w:rsidRPr="00E56625">
              <w:rPr>
                <w:b/>
                <w:bCs/>
                <w:sz w:val="18"/>
                <w:szCs w:val="18"/>
                <w:lang w:val="en-US"/>
              </w:rPr>
              <w:t>5,000</w:t>
            </w:r>
          </w:p>
          <w:p w:rsidR="00C73CC7" w:rsidRPr="00E56625" w:rsidRDefault="00C73CC7" w:rsidP="00321AFB">
            <w:pPr>
              <w:jc w:val="center"/>
              <w:rPr>
                <w:b/>
                <w:bCs/>
                <w:sz w:val="18"/>
                <w:szCs w:val="18"/>
                <w:lang w:val="en-US"/>
              </w:rPr>
            </w:pPr>
            <w:r w:rsidRPr="00E56625">
              <w:rPr>
                <w:b/>
                <w:bCs/>
                <w:sz w:val="18"/>
                <w:szCs w:val="18"/>
                <w:lang w:val="en-US"/>
              </w:rPr>
              <w:t>&lt;30,000 density</w:t>
            </w:r>
            <w:r w:rsidRPr="00E56625">
              <w:rPr>
                <w:b/>
                <w:bCs/>
                <w:sz w:val="18"/>
                <w:szCs w:val="18"/>
                <w:lang w:val="en-US"/>
              </w:rPr>
              <w:sym w:font="Symbol" w:char="F0B3"/>
            </w:r>
            <w:r w:rsidRPr="00E56625">
              <w:rPr>
                <w:b/>
                <w:bCs/>
                <w:sz w:val="18"/>
                <w:szCs w:val="18"/>
                <w:lang w:val="en-US"/>
              </w:rPr>
              <w:t>250 people/</w:t>
            </w:r>
            <w:r w:rsidR="00C8297A" w:rsidRPr="00C8297A">
              <w:rPr>
                <w:b/>
                <w:bCs/>
                <w:sz w:val="18"/>
                <w:szCs w:val="18"/>
                <w:lang w:val="en-US"/>
              </w:rPr>
              <w:t>km2</w:t>
            </w:r>
          </w:p>
        </w:tc>
        <w:tc>
          <w:tcPr>
            <w:tcW w:w="506"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City</w:t>
            </w:r>
          </w:p>
          <w:p w:rsidR="00C73CC7" w:rsidRPr="00E56625" w:rsidRDefault="00C73CC7" w:rsidP="00321AFB">
            <w:pPr>
              <w:jc w:val="center"/>
              <w:rPr>
                <w:b/>
                <w:bCs/>
                <w:sz w:val="18"/>
                <w:szCs w:val="18"/>
                <w:lang w:val="en-US"/>
              </w:rPr>
            </w:pPr>
            <w:r w:rsidRPr="00E56625">
              <w:rPr>
                <w:b/>
                <w:bCs/>
                <w:sz w:val="18"/>
                <w:szCs w:val="18"/>
                <w:lang w:val="en-US"/>
              </w:rPr>
              <w:t xml:space="preserve">Population </w:t>
            </w:r>
            <w:r w:rsidRPr="00E56625">
              <w:rPr>
                <w:b/>
                <w:bCs/>
                <w:sz w:val="18"/>
                <w:szCs w:val="18"/>
                <w:lang w:val="en-US"/>
              </w:rPr>
              <w:sym w:font="Symbol" w:char="F0B3"/>
            </w:r>
            <w:r w:rsidRPr="00E56625">
              <w:rPr>
                <w:b/>
                <w:bCs/>
                <w:sz w:val="18"/>
                <w:szCs w:val="18"/>
                <w:lang w:val="en-US"/>
              </w:rPr>
              <w:t>30,000 density</w:t>
            </w:r>
            <w:r w:rsidRPr="00E56625">
              <w:rPr>
                <w:b/>
                <w:bCs/>
                <w:sz w:val="18"/>
                <w:szCs w:val="18"/>
                <w:lang w:val="en-US"/>
              </w:rPr>
              <w:sym w:font="Symbol" w:char="F0B3"/>
            </w:r>
            <w:r w:rsidRPr="00E56625">
              <w:rPr>
                <w:b/>
                <w:bCs/>
                <w:sz w:val="18"/>
                <w:szCs w:val="18"/>
                <w:lang w:val="en-US"/>
              </w:rPr>
              <w:t>250 people/</w:t>
            </w:r>
            <w:r w:rsidR="00C8297A" w:rsidRPr="00C8297A">
              <w:rPr>
                <w:b/>
                <w:bCs/>
                <w:sz w:val="18"/>
                <w:szCs w:val="18"/>
                <w:lang w:val="en-US"/>
              </w:rPr>
              <w:t>km2</w:t>
            </w:r>
          </w:p>
        </w:tc>
        <w:tc>
          <w:tcPr>
            <w:tcW w:w="289"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Kayes</w:t>
            </w:r>
          </w:p>
        </w:tc>
        <w:tc>
          <w:tcPr>
            <w:tcW w:w="333" w:type="pct"/>
            <w:gridSpan w:val="2"/>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Sikasso</w:t>
            </w:r>
          </w:p>
        </w:tc>
        <w:tc>
          <w:tcPr>
            <w:tcW w:w="332" w:type="pct"/>
            <w:gridSpan w:val="2"/>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Ségou</w:t>
            </w:r>
          </w:p>
        </w:tc>
        <w:tc>
          <w:tcPr>
            <w:tcW w:w="362"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8"/>
                <w:szCs w:val="18"/>
                <w:lang w:val="en-US"/>
              </w:rPr>
            </w:pPr>
            <w:r w:rsidRPr="00E56625">
              <w:rPr>
                <w:b/>
                <w:bCs/>
                <w:sz w:val="18"/>
                <w:szCs w:val="18"/>
                <w:lang w:val="en-US"/>
              </w:rPr>
              <w:t>Bamako</w:t>
            </w:r>
          </w:p>
        </w:tc>
      </w:tr>
      <w:tr w:rsidR="00C73CC7" w:rsidRPr="008F3531" w:rsidTr="00DF293B">
        <w:trPr>
          <w:trHeight w:val="80"/>
        </w:trPr>
        <w:tc>
          <w:tcPr>
            <w:tcW w:w="1530" w:type="pct"/>
            <w:tcBorders>
              <w:top w:val="single" w:sz="4" w:space="0" w:color="auto"/>
              <w:left w:val="single" w:sz="4" w:space="0" w:color="auto"/>
              <w:bottom w:val="single" w:sz="4" w:space="0" w:color="auto"/>
              <w:right w:val="single" w:sz="4" w:space="0" w:color="auto"/>
            </w:tcBorders>
            <w:noWrap/>
            <w:vAlign w:val="center"/>
            <w:hideMark/>
          </w:tcPr>
          <w:p w:rsidR="00C73CC7" w:rsidRPr="00E56625" w:rsidRDefault="00C73CC7" w:rsidP="00321AFB">
            <w:pPr>
              <w:jc w:val="right"/>
              <w:rPr>
                <w:b/>
                <w:bCs/>
                <w:sz w:val="18"/>
                <w:szCs w:val="18"/>
                <w:lang w:val="en-US"/>
              </w:rPr>
            </w:pPr>
            <w:r w:rsidRPr="00E56625">
              <w:rPr>
                <w:b/>
                <w:bCs/>
                <w:sz w:val="18"/>
                <w:szCs w:val="18"/>
                <w:lang w:val="en-US"/>
              </w:rPr>
              <w:t>Number of places (agglomerations or villages)</w:t>
            </w:r>
          </w:p>
        </w:tc>
        <w:tc>
          <w:tcPr>
            <w:tcW w:w="488"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11,365</w:t>
            </w:r>
          </w:p>
        </w:tc>
        <w:tc>
          <w:tcPr>
            <w:tcW w:w="654"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124</w:t>
            </w:r>
          </w:p>
        </w:tc>
        <w:tc>
          <w:tcPr>
            <w:tcW w:w="506"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60</w:t>
            </w:r>
          </w:p>
        </w:tc>
        <w:tc>
          <w:tcPr>
            <w:tcW w:w="506"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11</w:t>
            </w:r>
          </w:p>
        </w:tc>
        <w:tc>
          <w:tcPr>
            <w:tcW w:w="289"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1</w:t>
            </w:r>
          </w:p>
        </w:tc>
        <w:tc>
          <w:tcPr>
            <w:tcW w:w="333" w:type="pct"/>
            <w:gridSpan w:val="2"/>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1</w:t>
            </w:r>
          </w:p>
        </w:tc>
        <w:tc>
          <w:tcPr>
            <w:tcW w:w="332" w:type="pct"/>
            <w:gridSpan w:val="2"/>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1</w:t>
            </w:r>
          </w:p>
        </w:tc>
        <w:tc>
          <w:tcPr>
            <w:tcW w:w="362"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8"/>
                <w:szCs w:val="18"/>
                <w:lang w:val="en-US"/>
              </w:rPr>
            </w:pPr>
            <w:r w:rsidRPr="00E56625">
              <w:rPr>
                <w:sz w:val="18"/>
                <w:szCs w:val="18"/>
                <w:lang w:val="en-US"/>
              </w:rPr>
              <w:t>1</w:t>
            </w:r>
          </w:p>
        </w:tc>
      </w:tr>
      <w:tr w:rsidR="00C73CC7" w:rsidRPr="008F3531" w:rsidTr="00DF293B">
        <w:trPr>
          <w:trHeight w:val="215"/>
        </w:trPr>
        <w:tc>
          <w:tcPr>
            <w:tcW w:w="5000" w:type="pct"/>
            <w:gridSpan w:val="11"/>
            <w:tcBorders>
              <w:top w:val="single" w:sz="4" w:space="0" w:color="auto"/>
              <w:left w:val="single" w:sz="4" w:space="0" w:color="auto"/>
              <w:bottom w:val="single" w:sz="4" w:space="0" w:color="auto"/>
              <w:right w:val="single" w:sz="4" w:space="0" w:color="auto"/>
            </w:tcBorders>
            <w:noWrap/>
            <w:hideMark/>
          </w:tcPr>
          <w:p w:rsidR="00C73CC7" w:rsidRPr="00E56625" w:rsidRDefault="00C73CC7" w:rsidP="00321AFB">
            <w:pPr>
              <w:rPr>
                <w:b/>
                <w:bCs/>
                <w:sz w:val="18"/>
                <w:szCs w:val="18"/>
                <w:lang w:val="en-US"/>
              </w:rPr>
            </w:pPr>
            <w:r w:rsidRPr="00E56625">
              <w:rPr>
                <w:b/>
                <w:bCs/>
                <w:sz w:val="18"/>
                <w:szCs w:val="18"/>
                <w:lang w:val="en-US"/>
              </w:rPr>
              <w:t xml:space="preserve">Demographic characteristics </w:t>
            </w:r>
          </w:p>
        </w:tc>
      </w:tr>
      <w:tr w:rsidR="00C73CC7" w:rsidRPr="008F3531" w:rsidTr="00DF293B">
        <w:trPr>
          <w:trHeight w:val="917"/>
        </w:trPr>
        <w:tc>
          <w:tcPr>
            <w:tcW w:w="1530" w:type="pct"/>
            <w:tcBorders>
              <w:top w:val="single" w:sz="4" w:space="0" w:color="auto"/>
              <w:bottom w:val="single" w:sz="4" w:space="0" w:color="auto"/>
            </w:tcBorders>
            <w:noWrap/>
            <w:hideMark/>
          </w:tcPr>
          <w:p w:rsidR="00C73CC7" w:rsidRPr="00E56625" w:rsidRDefault="00C73CC7" w:rsidP="00321AFB">
            <w:pPr>
              <w:rPr>
                <w:sz w:val="18"/>
                <w:szCs w:val="18"/>
                <w:lang w:val="en-US"/>
              </w:rPr>
            </w:pPr>
            <w:r w:rsidRPr="00E56625">
              <w:rPr>
                <w:sz w:val="18"/>
                <w:szCs w:val="18"/>
                <w:lang w:val="en-US"/>
              </w:rPr>
              <w:t xml:space="preserve">  Population size</w:t>
            </w:r>
          </w:p>
          <w:p w:rsidR="00C73CC7" w:rsidRPr="00E56625" w:rsidRDefault="00C73CC7" w:rsidP="00321AFB">
            <w:pPr>
              <w:rPr>
                <w:sz w:val="18"/>
                <w:szCs w:val="18"/>
                <w:lang w:val="en-US"/>
              </w:rPr>
            </w:pPr>
            <w:r w:rsidRPr="00E56625">
              <w:rPr>
                <w:sz w:val="18"/>
                <w:szCs w:val="18"/>
                <w:lang w:val="en-US"/>
              </w:rPr>
              <w:t xml:space="preserve">  Ages 0-14</w:t>
            </w:r>
          </w:p>
          <w:p w:rsidR="00C73CC7" w:rsidRPr="00E56625" w:rsidRDefault="00C73CC7" w:rsidP="00321AFB">
            <w:pPr>
              <w:rPr>
                <w:sz w:val="18"/>
                <w:szCs w:val="18"/>
                <w:lang w:val="en-US"/>
              </w:rPr>
            </w:pPr>
            <w:r w:rsidRPr="00E56625">
              <w:rPr>
                <w:sz w:val="18"/>
                <w:szCs w:val="18"/>
                <w:lang w:val="en-US"/>
              </w:rPr>
              <w:t xml:space="preserve">  Ages 15-64</w:t>
            </w:r>
          </w:p>
          <w:p w:rsidR="00C73CC7" w:rsidRPr="00E56625" w:rsidRDefault="00C73CC7" w:rsidP="00321AFB">
            <w:pPr>
              <w:rPr>
                <w:sz w:val="18"/>
                <w:szCs w:val="18"/>
                <w:lang w:val="en-US"/>
              </w:rPr>
            </w:pPr>
            <w:r w:rsidRPr="00E56625">
              <w:rPr>
                <w:sz w:val="18"/>
                <w:szCs w:val="18"/>
                <w:lang w:val="en-US"/>
              </w:rPr>
              <w:t xml:space="preserve">  Ages 65 and above</w:t>
            </w:r>
          </w:p>
        </w:tc>
        <w:tc>
          <w:tcPr>
            <w:tcW w:w="488" w:type="pct"/>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513</w:t>
            </w:r>
          </w:p>
          <w:p w:rsidR="00C73CC7" w:rsidRPr="00E56625" w:rsidRDefault="00C73CC7" w:rsidP="00321AFB">
            <w:pPr>
              <w:jc w:val="center"/>
              <w:rPr>
                <w:sz w:val="18"/>
                <w:szCs w:val="18"/>
                <w:lang w:val="en-US"/>
              </w:rPr>
            </w:pPr>
            <w:r w:rsidRPr="00E56625">
              <w:rPr>
                <w:sz w:val="18"/>
                <w:szCs w:val="18"/>
                <w:lang w:val="en-US"/>
              </w:rPr>
              <w:t>41.4%</w:t>
            </w:r>
          </w:p>
          <w:p w:rsidR="00C73CC7" w:rsidRPr="00E56625" w:rsidRDefault="00C73CC7" w:rsidP="00321AFB">
            <w:pPr>
              <w:jc w:val="center"/>
              <w:rPr>
                <w:sz w:val="18"/>
                <w:szCs w:val="18"/>
                <w:lang w:val="en-US"/>
              </w:rPr>
            </w:pPr>
            <w:r w:rsidRPr="00E56625">
              <w:rPr>
                <w:sz w:val="18"/>
                <w:szCs w:val="18"/>
                <w:lang w:val="en-US"/>
              </w:rPr>
              <w:t>47.9%</w:t>
            </w:r>
          </w:p>
          <w:p w:rsidR="00C73CC7" w:rsidRPr="00E56625" w:rsidRDefault="00C73CC7" w:rsidP="00321AFB">
            <w:pPr>
              <w:jc w:val="center"/>
              <w:rPr>
                <w:sz w:val="18"/>
                <w:szCs w:val="18"/>
                <w:lang w:val="en-US"/>
              </w:rPr>
            </w:pPr>
            <w:r w:rsidRPr="00E56625">
              <w:rPr>
                <w:sz w:val="18"/>
                <w:szCs w:val="18"/>
                <w:lang w:val="en-US"/>
              </w:rPr>
              <w:t>4.3%</w:t>
            </w:r>
          </w:p>
        </w:tc>
        <w:tc>
          <w:tcPr>
            <w:tcW w:w="654" w:type="pct"/>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3,739</w:t>
            </w:r>
          </w:p>
          <w:p w:rsidR="00C73CC7" w:rsidRPr="00E56625" w:rsidRDefault="00C73CC7" w:rsidP="00321AFB">
            <w:pPr>
              <w:jc w:val="center"/>
              <w:rPr>
                <w:sz w:val="18"/>
                <w:szCs w:val="18"/>
                <w:lang w:val="en-US"/>
              </w:rPr>
            </w:pPr>
            <w:r w:rsidRPr="00E56625">
              <w:rPr>
                <w:sz w:val="18"/>
                <w:szCs w:val="18"/>
                <w:lang w:val="en-US"/>
              </w:rPr>
              <w:t>45.0%</w:t>
            </w:r>
          </w:p>
          <w:p w:rsidR="00C73CC7" w:rsidRPr="00E56625" w:rsidRDefault="00C73CC7" w:rsidP="00321AFB">
            <w:pPr>
              <w:jc w:val="center"/>
              <w:rPr>
                <w:sz w:val="18"/>
                <w:szCs w:val="18"/>
                <w:lang w:val="en-US"/>
              </w:rPr>
            </w:pPr>
            <w:r w:rsidRPr="00E56625">
              <w:rPr>
                <w:sz w:val="18"/>
                <w:szCs w:val="18"/>
                <w:lang w:val="en-US"/>
              </w:rPr>
              <w:t>47.7%</w:t>
            </w:r>
          </w:p>
          <w:p w:rsidR="00C73CC7" w:rsidRPr="00E56625" w:rsidRDefault="00C73CC7" w:rsidP="00321AFB">
            <w:pPr>
              <w:jc w:val="center"/>
              <w:rPr>
                <w:sz w:val="18"/>
                <w:szCs w:val="18"/>
                <w:lang w:val="en-US"/>
              </w:rPr>
            </w:pPr>
            <w:r w:rsidRPr="00E56625">
              <w:rPr>
                <w:sz w:val="18"/>
                <w:szCs w:val="18"/>
                <w:lang w:val="en-US"/>
              </w:rPr>
              <w:t>4.1%</w:t>
            </w:r>
          </w:p>
        </w:tc>
        <w:tc>
          <w:tcPr>
            <w:tcW w:w="506" w:type="pct"/>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6,849</w:t>
            </w:r>
          </w:p>
          <w:p w:rsidR="00C73CC7" w:rsidRPr="00E56625" w:rsidRDefault="00C73CC7" w:rsidP="00321AFB">
            <w:pPr>
              <w:jc w:val="center"/>
              <w:rPr>
                <w:sz w:val="18"/>
                <w:szCs w:val="18"/>
                <w:lang w:val="en-US"/>
              </w:rPr>
            </w:pPr>
            <w:r w:rsidRPr="00E56625">
              <w:rPr>
                <w:sz w:val="18"/>
                <w:szCs w:val="18"/>
                <w:lang w:val="en-US"/>
              </w:rPr>
              <w:t>44.6%</w:t>
            </w:r>
          </w:p>
          <w:p w:rsidR="00C73CC7" w:rsidRPr="00E56625" w:rsidRDefault="00C73CC7" w:rsidP="00321AFB">
            <w:pPr>
              <w:jc w:val="center"/>
              <w:rPr>
                <w:sz w:val="18"/>
                <w:szCs w:val="18"/>
                <w:lang w:val="en-US"/>
              </w:rPr>
            </w:pPr>
            <w:r w:rsidRPr="00E56625">
              <w:rPr>
                <w:sz w:val="18"/>
                <w:szCs w:val="18"/>
                <w:lang w:val="en-US"/>
              </w:rPr>
              <w:t>51.0%</w:t>
            </w:r>
          </w:p>
          <w:p w:rsidR="00C73CC7" w:rsidRPr="00E56625" w:rsidRDefault="00C73CC7" w:rsidP="00321AFB">
            <w:pPr>
              <w:jc w:val="center"/>
              <w:rPr>
                <w:sz w:val="18"/>
                <w:szCs w:val="18"/>
                <w:lang w:val="en-US"/>
              </w:rPr>
            </w:pPr>
            <w:r w:rsidRPr="00E56625">
              <w:rPr>
                <w:sz w:val="18"/>
                <w:szCs w:val="18"/>
                <w:lang w:val="en-US"/>
              </w:rPr>
              <w:t>4.4%</w:t>
            </w:r>
          </w:p>
        </w:tc>
        <w:tc>
          <w:tcPr>
            <w:tcW w:w="506" w:type="pct"/>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30,385</w:t>
            </w:r>
          </w:p>
          <w:p w:rsidR="00C73CC7" w:rsidRPr="00E56625" w:rsidRDefault="00C73CC7" w:rsidP="00321AFB">
            <w:pPr>
              <w:jc w:val="center"/>
              <w:rPr>
                <w:sz w:val="18"/>
                <w:szCs w:val="18"/>
                <w:lang w:val="en-US"/>
              </w:rPr>
            </w:pPr>
            <w:r w:rsidRPr="00E56625">
              <w:rPr>
                <w:sz w:val="18"/>
                <w:szCs w:val="18"/>
                <w:lang w:val="en-US"/>
              </w:rPr>
              <w:t>43.4%</w:t>
            </w:r>
          </w:p>
          <w:p w:rsidR="00C73CC7" w:rsidRPr="00E56625" w:rsidRDefault="00C73CC7" w:rsidP="00321AFB">
            <w:pPr>
              <w:jc w:val="center"/>
              <w:rPr>
                <w:sz w:val="18"/>
                <w:szCs w:val="18"/>
                <w:lang w:val="en-US"/>
              </w:rPr>
            </w:pPr>
            <w:r w:rsidRPr="00E56625">
              <w:rPr>
                <w:sz w:val="18"/>
                <w:szCs w:val="18"/>
                <w:lang w:val="en-US"/>
              </w:rPr>
              <w:t>52.8%</w:t>
            </w:r>
          </w:p>
          <w:p w:rsidR="00C73CC7" w:rsidRPr="00E56625" w:rsidRDefault="00C73CC7" w:rsidP="00321AFB">
            <w:pPr>
              <w:jc w:val="center"/>
              <w:rPr>
                <w:sz w:val="18"/>
                <w:szCs w:val="18"/>
                <w:lang w:val="en-US"/>
              </w:rPr>
            </w:pPr>
            <w:r w:rsidRPr="00E56625">
              <w:rPr>
                <w:sz w:val="18"/>
                <w:szCs w:val="18"/>
                <w:lang w:val="en-US"/>
              </w:rPr>
              <w:t>3.7%</w:t>
            </w:r>
          </w:p>
        </w:tc>
        <w:tc>
          <w:tcPr>
            <w:tcW w:w="318" w:type="pct"/>
            <w:gridSpan w:val="2"/>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58,720</w:t>
            </w:r>
          </w:p>
          <w:p w:rsidR="00C73CC7" w:rsidRPr="00E56625" w:rsidRDefault="00C73CC7" w:rsidP="00321AFB">
            <w:pPr>
              <w:jc w:val="center"/>
              <w:rPr>
                <w:sz w:val="18"/>
                <w:szCs w:val="18"/>
                <w:lang w:val="en-US"/>
              </w:rPr>
            </w:pPr>
            <w:r w:rsidRPr="00E56625">
              <w:rPr>
                <w:sz w:val="18"/>
                <w:szCs w:val="18"/>
                <w:lang w:val="en-US"/>
              </w:rPr>
              <w:t>40.3%</w:t>
            </w:r>
          </w:p>
          <w:p w:rsidR="00C73CC7" w:rsidRPr="00E56625" w:rsidRDefault="00C73CC7" w:rsidP="00321AFB">
            <w:pPr>
              <w:jc w:val="center"/>
              <w:rPr>
                <w:sz w:val="18"/>
                <w:szCs w:val="18"/>
                <w:lang w:val="en-US"/>
              </w:rPr>
            </w:pPr>
            <w:r w:rsidRPr="00E56625">
              <w:rPr>
                <w:sz w:val="18"/>
                <w:szCs w:val="18"/>
                <w:lang w:val="en-US"/>
              </w:rPr>
              <w:t>54.9%</w:t>
            </w:r>
          </w:p>
          <w:p w:rsidR="00C73CC7" w:rsidRPr="00E56625" w:rsidRDefault="00C73CC7" w:rsidP="00321AFB">
            <w:pPr>
              <w:jc w:val="center"/>
              <w:rPr>
                <w:sz w:val="18"/>
                <w:szCs w:val="18"/>
                <w:lang w:val="en-US"/>
              </w:rPr>
            </w:pPr>
            <w:r w:rsidRPr="00E56625">
              <w:rPr>
                <w:sz w:val="18"/>
                <w:szCs w:val="18"/>
                <w:lang w:val="en-US"/>
              </w:rPr>
              <w:t>4.8%</w:t>
            </w:r>
          </w:p>
        </w:tc>
        <w:tc>
          <w:tcPr>
            <w:tcW w:w="323" w:type="pct"/>
            <w:gridSpan w:val="2"/>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69,840</w:t>
            </w:r>
          </w:p>
          <w:p w:rsidR="00C73CC7" w:rsidRPr="00E56625" w:rsidRDefault="00C73CC7" w:rsidP="00321AFB">
            <w:pPr>
              <w:jc w:val="center"/>
              <w:rPr>
                <w:sz w:val="18"/>
                <w:szCs w:val="18"/>
                <w:lang w:val="en-US"/>
              </w:rPr>
            </w:pPr>
            <w:r w:rsidRPr="00E56625">
              <w:rPr>
                <w:sz w:val="18"/>
                <w:szCs w:val="18"/>
                <w:lang w:val="en-US"/>
              </w:rPr>
              <w:t>45.5%</w:t>
            </w:r>
          </w:p>
          <w:p w:rsidR="00C73CC7" w:rsidRPr="00E56625" w:rsidRDefault="00C73CC7" w:rsidP="00321AFB">
            <w:pPr>
              <w:jc w:val="center"/>
              <w:rPr>
                <w:sz w:val="18"/>
                <w:szCs w:val="18"/>
                <w:lang w:val="en-US"/>
              </w:rPr>
            </w:pPr>
            <w:r w:rsidRPr="00E56625">
              <w:rPr>
                <w:sz w:val="18"/>
                <w:szCs w:val="18"/>
                <w:lang w:val="en-US"/>
              </w:rPr>
              <w:t>51.3%</w:t>
            </w:r>
          </w:p>
          <w:p w:rsidR="00C73CC7" w:rsidRPr="00E56625" w:rsidRDefault="00C73CC7" w:rsidP="00321AFB">
            <w:pPr>
              <w:jc w:val="center"/>
              <w:rPr>
                <w:sz w:val="18"/>
                <w:szCs w:val="18"/>
                <w:lang w:val="en-US"/>
              </w:rPr>
            </w:pPr>
            <w:r w:rsidRPr="00E56625">
              <w:rPr>
                <w:sz w:val="18"/>
                <w:szCs w:val="18"/>
                <w:lang w:val="en-US"/>
              </w:rPr>
              <w:t>3.2%</w:t>
            </w:r>
          </w:p>
        </w:tc>
        <w:tc>
          <w:tcPr>
            <w:tcW w:w="313" w:type="pct"/>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88,714</w:t>
            </w:r>
          </w:p>
          <w:p w:rsidR="00C73CC7" w:rsidRPr="00E56625" w:rsidRDefault="00C73CC7" w:rsidP="00321AFB">
            <w:pPr>
              <w:jc w:val="center"/>
              <w:rPr>
                <w:sz w:val="18"/>
                <w:szCs w:val="18"/>
                <w:lang w:val="en-US"/>
              </w:rPr>
            </w:pPr>
            <w:r w:rsidRPr="00E56625">
              <w:rPr>
                <w:sz w:val="18"/>
                <w:szCs w:val="18"/>
                <w:lang w:val="en-US"/>
              </w:rPr>
              <w:t>42.2%</w:t>
            </w:r>
          </w:p>
          <w:p w:rsidR="00C73CC7" w:rsidRPr="00E56625" w:rsidRDefault="00C73CC7" w:rsidP="00321AFB">
            <w:pPr>
              <w:jc w:val="center"/>
              <w:rPr>
                <w:sz w:val="18"/>
                <w:szCs w:val="18"/>
                <w:lang w:val="en-US"/>
              </w:rPr>
            </w:pPr>
            <w:r w:rsidRPr="00E56625">
              <w:rPr>
                <w:sz w:val="18"/>
                <w:szCs w:val="18"/>
                <w:lang w:val="en-US"/>
              </w:rPr>
              <w:t>54.2%</w:t>
            </w:r>
          </w:p>
          <w:p w:rsidR="00C73CC7" w:rsidRPr="00E56625" w:rsidRDefault="00C73CC7" w:rsidP="00321AFB">
            <w:pPr>
              <w:jc w:val="center"/>
              <w:rPr>
                <w:sz w:val="18"/>
                <w:szCs w:val="18"/>
                <w:lang w:val="en-US"/>
              </w:rPr>
            </w:pPr>
            <w:r w:rsidRPr="00E56625">
              <w:rPr>
                <w:sz w:val="18"/>
                <w:szCs w:val="18"/>
                <w:lang w:val="en-US"/>
              </w:rPr>
              <w:t>3.6%</w:t>
            </w:r>
          </w:p>
        </w:tc>
        <w:tc>
          <w:tcPr>
            <w:tcW w:w="362" w:type="pct"/>
            <w:tcBorders>
              <w:top w:val="single" w:sz="4" w:space="0" w:color="auto"/>
              <w:bottom w:val="single" w:sz="4" w:space="0" w:color="auto"/>
            </w:tcBorders>
            <w:noWrap/>
          </w:tcPr>
          <w:p w:rsidR="00C73CC7" w:rsidRPr="00E56625" w:rsidRDefault="00C73CC7" w:rsidP="00321AFB">
            <w:pPr>
              <w:jc w:val="center"/>
              <w:rPr>
                <w:sz w:val="18"/>
                <w:szCs w:val="18"/>
                <w:lang w:val="en-US"/>
              </w:rPr>
            </w:pPr>
            <w:r w:rsidRPr="00E56625">
              <w:rPr>
                <w:sz w:val="18"/>
                <w:szCs w:val="18"/>
                <w:lang w:val="en-US"/>
              </w:rPr>
              <w:t>757,051</w:t>
            </w:r>
          </w:p>
          <w:p w:rsidR="00C73CC7" w:rsidRPr="00E56625" w:rsidRDefault="00C73CC7" w:rsidP="00321AFB">
            <w:pPr>
              <w:jc w:val="center"/>
              <w:rPr>
                <w:sz w:val="18"/>
                <w:szCs w:val="18"/>
                <w:lang w:val="en-US"/>
              </w:rPr>
            </w:pPr>
            <w:r w:rsidRPr="00E56625">
              <w:rPr>
                <w:sz w:val="18"/>
                <w:szCs w:val="18"/>
                <w:lang w:val="en-US"/>
              </w:rPr>
              <w:t>42.1%</w:t>
            </w:r>
          </w:p>
          <w:p w:rsidR="00C73CC7" w:rsidRPr="00E56625" w:rsidRDefault="00C73CC7" w:rsidP="00321AFB">
            <w:pPr>
              <w:jc w:val="center"/>
              <w:rPr>
                <w:sz w:val="18"/>
                <w:szCs w:val="18"/>
                <w:lang w:val="en-US"/>
              </w:rPr>
            </w:pPr>
            <w:r w:rsidRPr="00E56625">
              <w:rPr>
                <w:sz w:val="18"/>
                <w:szCs w:val="18"/>
                <w:lang w:val="en-US"/>
              </w:rPr>
              <w:t>55.3%</w:t>
            </w:r>
          </w:p>
          <w:p w:rsidR="003F04AA" w:rsidRPr="00E56625" w:rsidRDefault="00C73CC7" w:rsidP="00DF293B">
            <w:pPr>
              <w:jc w:val="center"/>
              <w:rPr>
                <w:sz w:val="18"/>
                <w:szCs w:val="18"/>
                <w:lang w:val="en-US"/>
              </w:rPr>
            </w:pPr>
            <w:r w:rsidRPr="00E56625">
              <w:rPr>
                <w:sz w:val="18"/>
                <w:szCs w:val="18"/>
                <w:lang w:val="en-US"/>
              </w:rPr>
              <w:t>2.7%</w:t>
            </w:r>
          </w:p>
        </w:tc>
      </w:tr>
      <w:tr w:rsidR="00C73CC7" w:rsidRPr="008F3531" w:rsidTr="00DF293B">
        <w:trPr>
          <w:trHeight w:val="107"/>
        </w:trPr>
        <w:tc>
          <w:tcPr>
            <w:tcW w:w="5000" w:type="pct"/>
            <w:gridSpan w:val="11"/>
            <w:tcBorders>
              <w:top w:val="single" w:sz="4" w:space="0" w:color="auto"/>
              <w:left w:val="single" w:sz="4" w:space="0" w:color="auto"/>
              <w:bottom w:val="single" w:sz="4" w:space="0" w:color="auto"/>
              <w:right w:val="single" w:sz="4" w:space="0" w:color="auto"/>
            </w:tcBorders>
            <w:noWrap/>
            <w:hideMark/>
          </w:tcPr>
          <w:p w:rsidR="00C73CC7" w:rsidRPr="00E56625" w:rsidRDefault="00C73CC7" w:rsidP="00321AFB">
            <w:pPr>
              <w:rPr>
                <w:sz w:val="18"/>
                <w:szCs w:val="18"/>
                <w:lang w:val="en-US"/>
              </w:rPr>
            </w:pPr>
            <w:r w:rsidRPr="00E56625">
              <w:rPr>
                <w:b/>
                <w:bCs/>
                <w:sz w:val="18"/>
                <w:szCs w:val="18"/>
                <w:lang w:val="en-US"/>
              </w:rPr>
              <w:t>Origin of population</w:t>
            </w:r>
          </w:p>
        </w:tc>
      </w:tr>
      <w:tr w:rsidR="00C73CC7" w:rsidRPr="008F3531" w:rsidTr="00DF293B">
        <w:trPr>
          <w:trHeight w:val="728"/>
        </w:trPr>
        <w:tc>
          <w:tcPr>
            <w:tcW w:w="1530" w:type="pct"/>
            <w:tcBorders>
              <w:top w:val="single" w:sz="4" w:space="0" w:color="auto"/>
            </w:tcBorders>
            <w:noWrap/>
            <w:hideMark/>
          </w:tcPr>
          <w:p w:rsidR="00C73CC7" w:rsidRPr="00E56625" w:rsidRDefault="00C73CC7" w:rsidP="00321AFB">
            <w:pPr>
              <w:rPr>
                <w:sz w:val="18"/>
                <w:szCs w:val="18"/>
                <w:lang w:val="en-US"/>
              </w:rPr>
            </w:pPr>
            <w:r w:rsidRPr="00E56625">
              <w:rPr>
                <w:sz w:val="18"/>
                <w:szCs w:val="18"/>
                <w:lang w:val="en-US"/>
              </w:rPr>
              <w:t xml:space="preserve">  Born in same region</w:t>
            </w:r>
          </w:p>
          <w:p w:rsidR="00C73CC7" w:rsidRPr="00E56625" w:rsidRDefault="00C73CC7" w:rsidP="00321AFB">
            <w:pPr>
              <w:rPr>
                <w:sz w:val="18"/>
                <w:szCs w:val="18"/>
                <w:lang w:val="en-US"/>
              </w:rPr>
            </w:pPr>
            <w:r w:rsidRPr="00E56625">
              <w:rPr>
                <w:sz w:val="18"/>
                <w:szCs w:val="18"/>
                <w:lang w:val="en-US"/>
              </w:rPr>
              <w:t xml:space="preserve">  Born in other region</w:t>
            </w:r>
          </w:p>
          <w:p w:rsidR="00C73CC7" w:rsidRPr="00E56625" w:rsidRDefault="00C73CC7" w:rsidP="00321AFB">
            <w:pPr>
              <w:rPr>
                <w:sz w:val="18"/>
                <w:szCs w:val="18"/>
                <w:lang w:val="en-US"/>
              </w:rPr>
            </w:pPr>
            <w:r w:rsidRPr="00E56625">
              <w:rPr>
                <w:sz w:val="18"/>
                <w:szCs w:val="18"/>
                <w:lang w:val="en-US"/>
              </w:rPr>
              <w:t xml:space="preserve">  Born in foreign country</w:t>
            </w:r>
          </w:p>
        </w:tc>
        <w:tc>
          <w:tcPr>
            <w:tcW w:w="488" w:type="pct"/>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89.3%</w:t>
            </w:r>
          </w:p>
          <w:p w:rsidR="00C73CC7" w:rsidRPr="00E56625" w:rsidRDefault="00C73CC7" w:rsidP="00321AFB">
            <w:pPr>
              <w:jc w:val="center"/>
              <w:rPr>
                <w:sz w:val="18"/>
                <w:szCs w:val="18"/>
                <w:lang w:val="en-US"/>
              </w:rPr>
            </w:pPr>
            <w:r w:rsidRPr="00E56625">
              <w:rPr>
                <w:sz w:val="18"/>
                <w:szCs w:val="18"/>
                <w:lang w:val="en-US"/>
              </w:rPr>
              <w:t>9.4%</w:t>
            </w:r>
          </w:p>
          <w:p w:rsidR="00C73CC7" w:rsidRPr="00E56625" w:rsidRDefault="00C73CC7" w:rsidP="00321AFB">
            <w:pPr>
              <w:jc w:val="center"/>
              <w:rPr>
                <w:sz w:val="18"/>
                <w:szCs w:val="18"/>
                <w:lang w:val="en-US"/>
              </w:rPr>
            </w:pPr>
            <w:r w:rsidRPr="00E56625">
              <w:rPr>
                <w:sz w:val="18"/>
                <w:szCs w:val="18"/>
                <w:lang w:val="en-US"/>
              </w:rPr>
              <w:t>1.3%</w:t>
            </w:r>
          </w:p>
        </w:tc>
        <w:tc>
          <w:tcPr>
            <w:tcW w:w="654" w:type="pct"/>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87.1%</w:t>
            </w:r>
          </w:p>
          <w:p w:rsidR="00C73CC7" w:rsidRPr="00E56625" w:rsidRDefault="00C73CC7" w:rsidP="00321AFB">
            <w:pPr>
              <w:jc w:val="center"/>
              <w:rPr>
                <w:sz w:val="18"/>
                <w:szCs w:val="18"/>
                <w:lang w:val="en-US"/>
              </w:rPr>
            </w:pPr>
            <w:r w:rsidRPr="00E56625">
              <w:rPr>
                <w:sz w:val="18"/>
                <w:szCs w:val="18"/>
                <w:lang w:val="en-US"/>
              </w:rPr>
              <w:t>10.7%</w:t>
            </w:r>
          </w:p>
          <w:p w:rsidR="00C73CC7" w:rsidRPr="00E56625" w:rsidRDefault="00C73CC7" w:rsidP="00321AFB">
            <w:pPr>
              <w:jc w:val="center"/>
              <w:rPr>
                <w:sz w:val="18"/>
                <w:szCs w:val="18"/>
                <w:lang w:val="en-US"/>
              </w:rPr>
            </w:pPr>
            <w:r w:rsidRPr="00E56625">
              <w:rPr>
                <w:sz w:val="18"/>
                <w:szCs w:val="18"/>
                <w:lang w:val="en-US"/>
              </w:rPr>
              <w:t>2.2%</w:t>
            </w:r>
          </w:p>
        </w:tc>
        <w:tc>
          <w:tcPr>
            <w:tcW w:w="506" w:type="pct"/>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83.4%</w:t>
            </w:r>
          </w:p>
          <w:p w:rsidR="00C73CC7" w:rsidRPr="00E56625" w:rsidRDefault="00C73CC7" w:rsidP="00321AFB">
            <w:pPr>
              <w:jc w:val="center"/>
              <w:rPr>
                <w:sz w:val="18"/>
                <w:szCs w:val="18"/>
                <w:lang w:val="en-US"/>
              </w:rPr>
            </w:pPr>
            <w:r w:rsidRPr="00E56625">
              <w:rPr>
                <w:sz w:val="18"/>
                <w:szCs w:val="18"/>
                <w:lang w:val="en-US"/>
              </w:rPr>
              <w:t>13.7%</w:t>
            </w:r>
          </w:p>
          <w:p w:rsidR="00C73CC7" w:rsidRPr="00E56625" w:rsidRDefault="00C73CC7" w:rsidP="00321AFB">
            <w:pPr>
              <w:jc w:val="center"/>
              <w:rPr>
                <w:sz w:val="18"/>
                <w:szCs w:val="18"/>
                <w:lang w:val="en-US"/>
              </w:rPr>
            </w:pPr>
            <w:r w:rsidRPr="00E56625">
              <w:rPr>
                <w:sz w:val="18"/>
                <w:szCs w:val="18"/>
                <w:lang w:val="en-US"/>
              </w:rPr>
              <w:t>2.8%</w:t>
            </w:r>
          </w:p>
        </w:tc>
        <w:tc>
          <w:tcPr>
            <w:tcW w:w="506" w:type="pct"/>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74.2%</w:t>
            </w:r>
          </w:p>
          <w:p w:rsidR="00C73CC7" w:rsidRPr="00E56625" w:rsidRDefault="00C73CC7" w:rsidP="00321AFB">
            <w:pPr>
              <w:jc w:val="center"/>
              <w:rPr>
                <w:sz w:val="18"/>
                <w:szCs w:val="18"/>
                <w:lang w:val="en-US"/>
              </w:rPr>
            </w:pPr>
            <w:r w:rsidRPr="00E56625">
              <w:rPr>
                <w:sz w:val="18"/>
                <w:szCs w:val="18"/>
                <w:lang w:val="en-US"/>
              </w:rPr>
              <w:t>22.9%</w:t>
            </w:r>
          </w:p>
          <w:p w:rsidR="00C73CC7" w:rsidRPr="00E56625" w:rsidRDefault="00C73CC7" w:rsidP="00321AFB">
            <w:pPr>
              <w:jc w:val="center"/>
              <w:rPr>
                <w:sz w:val="18"/>
                <w:szCs w:val="18"/>
                <w:lang w:val="en-US"/>
              </w:rPr>
            </w:pPr>
            <w:r w:rsidRPr="00E56625">
              <w:rPr>
                <w:sz w:val="18"/>
                <w:szCs w:val="18"/>
                <w:lang w:val="en-US"/>
              </w:rPr>
              <w:t>2.9%</w:t>
            </w:r>
          </w:p>
        </w:tc>
        <w:tc>
          <w:tcPr>
            <w:tcW w:w="289" w:type="pct"/>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85.0%</w:t>
            </w:r>
          </w:p>
          <w:p w:rsidR="00C73CC7" w:rsidRPr="00E56625" w:rsidRDefault="00C73CC7" w:rsidP="00321AFB">
            <w:pPr>
              <w:jc w:val="center"/>
              <w:rPr>
                <w:sz w:val="18"/>
                <w:szCs w:val="18"/>
                <w:lang w:val="en-US"/>
              </w:rPr>
            </w:pPr>
            <w:r w:rsidRPr="00E56625">
              <w:rPr>
                <w:sz w:val="18"/>
                <w:szCs w:val="18"/>
                <w:lang w:val="en-US"/>
              </w:rPr>
              <w:t>11.8%</w:t>
            </w:r>
          </w:p>
          <w:p w:rsidR="00C73CC7" w:rsidRPr="00E56625" w:rsidRDefault="00C73CC7" w:rsidP="00321AFB">
            <w:pPr>
              <w:jc w:val="center"/>
              <w:rPr>
                <w:sz w:val="18"/>
                <w:szCs w:val="18"/>
                <w:lang w:val="en-US"/>
              </w:rPr>
            </w:pPr>
            <w:r w:rsidRPr="00E56625">
              <w:rPr>
                <w:sz w:val="18"/>
                <w:szCs w:val="18"/>
                <w:lang w:val="en-US"/>
              </w:rPr>
              <w:t>3.2%</w:t>
            </w:r>
          </w:p>
        </w:tc>
        <w:tc>
          <w:tcPr>
            <w:tcW w:w="333" w:type="pct"/>
            <w:gridSpan w:val="2"/>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71.7%</w:t>
            </w:r>
          </w:p>
          <w:p w:rsidR="00C73CC7" w:rsidRPr="00E56625" w:rsidRDefault="00C73CC7" w:rsidP="00321AFB">
            <w:pPr>
              <w:jc w:val="center"/>
              <w:rPr>
                <w:sz w:val="18"/>
                <w:szCs w:val="18"/>
                <w:lang w:val="en-US"/>
              </w:rPr>
            </w:pPr>
            <w:r w:rsidRPr="00E56625">
              <w:rPr>
                <w:sz w:val="18"/>
                <w:szCs w:val="18"/>
                <w:lang w:val="en-US"/>
              </w:rPr>
              <w:t>23.3%</w:t>
            </w:r>
          </w:p>
          <w:p w:rsidR="00C73CC7" w:rsidRPr="00E56625" w:rsidRDefault="00C73CC7" w:rsidP="00321AFB">
            <w:pPr>
              <w:jc w:val="center"/>
              <w:rPr>
                <w:sz w:val="18"/>
                <w:szCs w:val="18"/>
                <w:lang w:val="en-US"/>
              </w:rPr>
            </w:pPr>
            <w:r w:rsidRPr="00E56625">
              <w:rPr>
                <w:sz w:val="18"/>
                <w:szCs w:val="18"/>
                <w:lang w:val="en-US"/>
              </w:rPr>
              <w:t>5.0%</w:t>
            </w:r>
          </w:p>
        </w:tc>
        <w:tc>
          <w:tcPr>
            <w:tcW w:w="332" w:type="pct"/>
            <w:gridSpan w:val="2"/>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76.5%</w:t>
            </w:r>
          </w:p>
          <w:p w:rsidR="00C73CC7" w:rsidRPr="00E56625" w:rsidRDefault="00C73CC7" w:rsidP="00321AFB">
            <w:pPr>
              <w:jc w:val="center"/>
              <w:rPr>
                <w:sz w:val="18"/>
                <w:szCs w:val="18"/>
                <w:lang w:val="en-US"/>
              </w:rPr>
            </w:pPr>
            <w:r w:rsidRPr="00E56625">
              <w:rPr>
                <w:sz w:val="18"/>
                <w:szCs w:val="18"/>
                <w:lang w:val="en-US"/>
              </w:rPr>
              <w:t>20.4%</w:t>
            </w:r>
          </w:p>
          <w:p w:rsidR="00C73CC7" w:rsidRPr="00E56625" w:rsidRDefault="00C73CC7" w:rsidP="00321AFB">
            <w:pPr>
              <w:jc w:val="center"/>
              <w:rPr>
                <w:sz w:val="18"/>
                <w:szCs w:val="18"/>
                <w:lang w:val="en-US"/>
              </w:rPr>
            </w:pPr>
            <w:r w:rsidRPr="00E56625">
              <w:rPr>
                <w:sz w:val="18"/>
                <w:szCs w:val="18"/>
                <w:lang w:val="en-US"/>
              </w:rPr>
              <w:t>3.0%</w:t>
            </w:r>
          </w:p>
        </w:tc>
        <w:tc>
          <w:tcPr>
            <w:tcW w:w="362" w:type="pct"/>
            <w:tcBorders>
              <w:top w:val="single" w:sz="4" w:space="0" w:color="auto"/>
            </w:tcBorders>
            <w:noWrap/>
          </w:tcPr>
          <w:p w:rsidR="00C73CC7" w:rsidRPr="00E56625" w:rsidRDefault="00C73CC7" w:rsidP="00321AFB">
            <w:pPr>
              <w:jc w:val="center"/>
              <w:rPr>
                <w:sz w:val="18"/>
                <w:szCs w:val="18"/>
                <w:lang w:val="en-US"/>
              </w:rPr>
            </w:pPr>
            <w:r w:rsidRPr="00E56625">
              <w:rPr>
                <w:sz w:val="18"/>
                <w:szCs w:val="18"/>
                <w:lang w:val="en-US"/>
              </w:rPr>
              <w:t>54.7%</w:t>
            </w:r>
          </w:p>
          <w:p w:rsidR="00C73CC7" w:rsidRPr="00E56625" w:rsidRDefault="00C73CC7" w:rsidP="00321AFB">
            <w:pPr>
              <w:jc w:val="center"/>
              <w:rPr>
                <w:sz w:val="18"/>
                <w:szCs w:val="18"/>
                <w:lang w:val="en-US"/>
              </w:rPr>
            </w:pPr>
            <w:r w:rsidRPr="00E56625">
              <w:rPr>
                <w:sz w:val="18"/>
                <w:szCs w:val="18"/>
                <w:lang w:val="en-US"/>
              </w:rPr>
              <w:t>40.1%</w:t>
            </w:r>
          </w:p>
          <w:p w:rsidR="003F04AA" w:rsidRPr="00E56625" w:rsidRDefault="00C73CC7" w:rsidP="00DF293B">
            <w:pPr>
              <w:jc w:val="center"/>
              <w:rPr>
                <w:sz w:val="18"/>
                <w:szCs w:val="18"/>
                <w:lang w:val="en-US"/>
              </w:rPr>
            </w:pPr>
            <w:r w:rsidRPr="00E56625">
              <w:rPr>
                <w:sz w:val="18"/>
                <w:szCs w:val="18"/>
                <w:lang w:val="en-US"/>
              </w:rPr>
              <w:t>5.2%</w:t>
            </w:r>
          </w:p>
        </w:tc>
      </w:tr>
      <w:tr w:rsidR="00C73CC7" w:rsidRPr="008F3531" w:rsidTr="00DF293B">
        <w:trPr>
          <w:trHeight w:val="188"/>
        </w:trPr>
        <w:tc>
          <w:tcPr>
            <w:tcW w:w="5000" w:type="pct"/>
            <w:gridSpan w:val="11"/>
            <w:noWrap/>
            <w:hideMark/>
          </w:tcPr>
          <w:p w:rsidR="00C73CC7" w:rsidRPr="00E56625" w:rsidRDefault="00C73CC7" w:rsidP="00321AFB">
            <w:pPr>
              <w:rPr>
                <w:sz w:val="18"/>
                <w:szCs w:val="18"/>
                <w:lang w:val="en-US"/>
              </w:rPr>
            </w:pPr>
            <w:r w:rsidRPr="00E56625">
              <w:rPr>
                <w:b/>
                <w:bCs/>
                <w:sz w:val="18"/>
                <w:szCs w:val="18"/>
                <w:lang w:val="en-US"/>
              </w:rPr>
              <w:t>Education of working-age population (ages 15-64)</w:t>
            </w:r>
          </w:p>
        </w:tc>
      </w:tr>
      <w:tr w:rsidR="00C73CC7" w:rsidRPr="008F3531" w:rsidTr="00DF293B">
        <w:trPr>
          <w:trHeight w:val="1160"/>
        </w:trPr>
        <w:tc>
          <w:tcPr>
            <w:tcW w:w="1530" w:type="pct"/>
            <w:noWrap/>
            <w:hideMark/>
          </w:tcPr>
          <w:p w:rsidR="00C73CC7" w:rsidRPr="00E56625" w:rsidRDefault="00C73CC7" w:rsidP="00321AFB">
            <w:pPr>
              <w:rPr>
                <w:sz w:val="18"/>
                <w:szCs w:val="18"/>
                <w:lang w:val="en-US"/>
              </w:rPr>
            </w:pPr>
            <w:r w:rsidRPr="00E56625">
              <w:rPr>
                <w:sz w:val="18"/>
                <w:szCs w:val="18"/>
                <w:lang w:val="en-US"/>
              </w:rPr>
              <w:t xml:space="preserve">  No school</w:t>
            </w:r>
          </w:p>
          <w:p w:rsidR="00C73CC7" w:rsidRPr="00E56625" w:rsidRDefault="00C73CC7" w:rsidP="00321AFB">
            <w:pPr>
              <w:rPr>
                <w:sz w:val="18"/>
                <w:szCs w:val="18"/>
                <w:lang w:val="en-US"/>
              </w:rPr>
            </w:pPr>
            <w:r w:rsidRPr="00E56625">
              <w:rPr>
                <w:sz w:val="18"/>
                <w:szCs w:val="18"/>
                <w:lang w:val="en-US"/>
              </w:rPr>
              <w:t xml:space="preserve">  Primary level ("primaire")</w:t>
            </w:r>
          </w:p>
          <w:p w:rsidR="00C73CC7" w:rsidRPr="00E56625" w:rsidRDefault="00C73CC7" w:rsidP="00321AFB">
            <w:pPr>
              <w:rPr>
                <w:sz w:val="18"/>
                <w:szCs w:val="18"/>
                <w:lang w:val="en-US"/>
              </w:rPr>
            </w:pPr>
            <w:r w:rsidRPr="00E56625">
              <w:rPr>
                <w:sz w:val="18"/>
                <w:szCs w:val="18"/>
                <w:lang w:val="en-US"/>
              </w:rPr>
              <w:t xml:space="preserve">  Secondary 1 level ("collège")</w:t>
            </w:r>
          </w:p>
          <w:p w:rsidR="00C73CC7" w:rsidRPr="00E56625" w:rsidRDefault="00C73CC7" w:rsidP="00321AFB">
            <w:pPr>
              <w:rPr>
                <w:sz w:val="18"/>
                <w:szCs w:val="18"/>
                <w:lang w:val="en-US"/>
              </w:rPr>
            </w:pPr>
            <w:r w:rsidRPr="00E56625">
              <w:rPr>
                <w:sz w:val="18"/>
                <w:szCs w:val="18"/>
                <w:lang w:val="en-US"/>
              </w:rPr>
              <w:t xml:space="preserve">  Secondary 2 level ("lycée")</w:t>
            </w:r>
          </w:p>
          <w:p w:rsidR="00C73CC7" w:rsidRPr="00E56625" w:rsidRDefault="00C73CC7" w:rsidP="00321AFB">
            <w:pPr>
              <w:rPr>
                <w:sz w:val="18"/>
                <w:szCs w:val="18"/>
                <w:lang w:val="en-US"/>
              </w:rPr>
            </w:pPr>
            <w:r w:rsidRPr="00E56625">
              <w:rPr>
                <w:sz w:val="18"/>
                <w:szCs w:val="18"/>
                <w:lang w:val="en-US"/>
              </w:rPr>
              <w:t xml:space="preserve">  Tertiary level ("supérieur")</w:t>
            </w:r>
          </w:p>
        </w:tc>
        <w:tc>
          <w:tcPr>
            <w:tcW w:w="488" w:type="pct"/>
            <w:noWrap/>
          </w:tcPr>
          <w:p w:rsidR="00C73CC7" w:rsidRPr="00E56625" w:rsidRDefault="00C73CC7" w:rsidP="00321AFB">
            <w:pPr>
              <w:jc w:val="center"/>
              <w:rPr>
                <w:sz w:val="18"/>
                <w:szCs w:val="18"/>
                <w:lang w:val="en-US"/>
              </w:rPr>
            </w:pPr>
            <w:r w:rsidRPr="00E56625">
              <w:rPr>
                <w:sz w:val="18"/>
                <w:szCs w:val="18"/>
                <w:lang w:val="en-US"/>
              </w:rPr>
              <w:t>95.6%</w:t>
            </w:r>
          </w:p>
          <w:p w:rsidR="00C73CC7" w:rsidRPr="00E56625" w:rsidRDefault="00C73CC7" w:rsidP="00321AFB">
            <w:pPr>
              <w:jc w:val="center"/>
              <w:rPr>
                <w:sz w:val="18"/>
                <w:szCs w:val="18"/>
                <w:lang w:val="en-US"/>
              </w:rPr>
            </w:pPr>
            <w:r w:rsidRPr="00E56625">
              <w:rPr>
                <w:sz w:val="18"/>
                <w:szCs w:val="18"/>
                <w:lang w:val="en-US"/>
              </w:rPr>
              <w:t>3.2%</w:t>
            </w:r>
          </w:p>
          <w:p w:rsidR="00C73CC7" w:rsidRPr="00E56625" w:rsidRDefault="00C73CC7" w:rsidP="00321AFB">
            <w:pPr>
              <w:jc w:val="center"/>
              <w:rPr>
                <w:sz w:val="18"/>
                <w:szCs w:val="18"/>
                <w:lang w:val="en-US"/>
              </w:rPr>
            </w:pPr>
            <w:r w:rsidRPr="00E56625">
              <w:rPr>
                <w:sz w:val="18"/>
                <w:szCs w:val="18"/>
                <w:lang w:val="en-US"/>
              </w:rPr>
              <w:t>1.0%</w:t>
            </w:r>
          </w:p>
          <w:p w:rsidR="00C73CC7" w:rsidRPr="00E56625" w:rsidRDefault="00C73CC7" w:rsidP="00321AFB">
            <w:pPr>
              <w:jc w:val="center"/>
              <w:rPr>
                <w:sz w:val="18"/>
                <w:szCs w:val="18"/>
                <w:lang w:val="en-US"/>
              </w:rPr>
            </w:pPr>
            <w:r w:rsidRPr="00E56625">
              <w:rPr>
                <w:sz w:val="18"/>
                <w:szCs w:val="18"/>
                <w:lang w:val="en-US"/>
              </w:rPr>
              <w:t>0.2%</w:t>
            </w:r>
          </w:p>
          <w:p w:rsidR="00C73CC7" w:rsidRPr="00E56625" w:rsidRDefault="00C73CC7" w:rsidP="00321AFB">
            <w:pPr>
              <w:jc w:val="center"/>
              <w:rPr>
                <w:sz w:val="18"/>
                <w:szCs w:val="18"/>
                <w:lang w:val="en-US"/>
              </w:rPr>
            </w:pPr>
            <w:r w:rsidRPr="00E56625">
              <w:rPr>
                <w:sz w:val="18"/>
                <w:szCs w:val="18"/>
                <w:lang w:val="en-US"/>
              </w:rPr>
              <w:t>0.0%</w:t>
            </w:r>
          </w:p>
        </w:tc>
        <w:tc>
          <w:tcPr>
            <w:tcW w:w="654" w:type="pct"/>
            <w:noWrap/>
          </w:tcPr>
          <w:p w:rsidR="00C73CC7" w:rsidRPr="00E56625" w:rsidRDefault="00C73CC7" w:rsidP="00321AFB">
            <w:pPr>
              <w:jc w:val="center"/>
              <w:rPr>
                <w:sz w:val="18"/>
                <w:szCs w:val="18"/>
                <w:lang w:val="en-US"/>
              </w:rPr>
            </w:pPr>
            <w:r w:rsidRPr="00E56625">
              <w:rPr>
                <w:sz w:val="18"/>
                <w:szCs w:val="18"/>
                <w:lang w:val="en-US"/>
              </w:rPr>
              <w:t>87.8%</w:t>
            </w:r>
          </w:p>
          <w:p w:rsidR="00C73CC7" w:rsidRPr="00E56625" w:rsidRDefault="00C73CC7" w:rsidP="00321AFB">
            <w:pPr>
              <w:jc w:val="center"/>
              <w:rPr>
                <w:sz w:val="18"/>
                <w:szCs w:val="18"/>
                <w:lang w:val="en-US"/>
              </w:rPr>
            </w:pPr>
            <w:r w:rsidRPr="00E56625">
              <w:rPr>
                <w:sz w:val="18"/>
                <w:szCs w:val="18"/>
                <w:lang w:val="en-US"/>
              </w:rPr>
              <w:t>7.2%</w:t>
            </w:r>
          </w:p>
          <w:p w:rsidR="00C73CC7" w:rsidRPr="00E56625" w:rsidRDefault="00C73CC7" w:rsidP="00321AFB">
            <w:pPr>
              <w:jc w:val="center"/>
              <w:rPr>
                <w:sz w:val="18"/>
                <w:szCs w:val="18"/>
                <w:lang w:val="en-US"/>
              </w:rPr>
            </w:pPr>
            <w:r w:rsidRPr="00E56625">
              <w:rPr>
                <w:sz w:val="18"/>
                <w:szCs w:val="18"/>
                <w:lang w:val="en-US"/>
              </w:rPr>
              <w:t>3.6%</w:t>
            </w:r>
          </w:p>
          <w:p w:rsidR="00C73CC7" w:rsidRPr="00E56625" w:rsidRDefault="00C73CC7" w:rsidP="00321AFB">
            <w:pPr>
              <w:jc w:val="center"/>
              <w:rPr>
                <w:sz w:val="18"/>
                <w:szCs w:val="18"/>
                <w:lang w:val="en-US"/>
              </w:rPr>
            </w:pPr>
            <w:r w:rsidRPr="00E56625">
              <w:rPr>
                <w:sz w:val="18"/>
                <w:szCs w:val="18"/>
                <w:lang w:val="en-US"/>
              </w:rPr>
              <w:t>1.3%</w:t>
            </w:r>
          </w:p>
          <w:p w:rsidR="00C73CC7" w:rsidRPr="00E56625" w:rsidRDefault="00C73CC7" w:rsidP="00321AFB">
            <w:pPr>
              <w:jc w:val="center"/>
              <w:rPr>
                <w:sz w:val="18"/>
                <w:szCs w:val="18"/>
                <w:lang w:val="en-US"/>
              </w:rPr>
            </w:pPr>
            <w:r w:rsidRPr="00E56625">
              <w:rPr>
                <w:sz w:val="18"/>
                <w:szCs w:val="18"/>
                <w:lang w:val="en-US"/>
              </w:rPr>
              <w:t>0.2%</w:t>
            </w:r>
          </w:p>
        </w:tc>
        <w:tc>
          <w:tcPr>
            <w:tcW w:w="506" w:type="pct"/>
            <w:noWrap/>
          </w:tcPr>
          <w:p w:rsidR="00C73CC7" w:rsidRPr="00E56625" w:rsidRDefault="00C73CC7" w:rsidP="00321AFB">
            <w:pPr>
              <w:jc w:val="center"/>
              <w:rPr>
                <w:sz w:val="18"/>
                <w:szCs w:val="18"/>
                <w:lang w:val="en-US"/>
              </w:rPr>
            </w:pPr>
            <w:r w:rsidRPr="00E56625">
              <w:rPr>
                <w:sz w:val="18"/>
                <w:szCs w:val="18"/>
                <w:lang w:val="en-US"/>
              </w:rPr>
              <w:t>81.4%</w:t>
            </w:r>
          </w:p>
          <w:p w:rsidR="00C73CC7" w:rsidRPr="00E56625" w:rsidRDefault="00C73CC7" w:rsidP="00321AFB">
            <w:pPr>
              <w:jc w:val="center"/>
              <w:rPr>
                <w:sz w:val="18"/>
                <w:szCs w:val="18"/>
                <w:lang w:val="en-US"/>
              </w:rPr>
            </w:pPr>
            <w:r w:rsidRPr="00E56625">
              <w:rPr>
                <w:sz w:val="18"/>
                <w:szCs w:val="18"/>
                <w:lang w:val="en-US"/>
              </w:rPr>
              <w:t>9.3%</w:t>
            </w:r>
          </w:p>
          <w:p w:rsidR="00C73CC7" w:rsidRPr="00E56625" w:rsidRDefault="00C73CC7" w:rsidP="00321AFB">
            <w:pPr>
              <w:jc w:val="center"/>
              <w:rPr>
                <w:sz w:val="18"/>
                <w:szCs w:val="18"/>
                <w:lang w:val="en-US"/>
              </w:rPr>
            </w:pPr>
            <w:r w:rsidRPr="00E56625">
              <w:rPr>
                <w:sz w:val="18"/>
                <w:szCs w:val="18"/>
                <w:lang w:val="en-US"/>
              </w:rPr>
              <w:t>6.4%</w:t>
            </w:r>
          </w:p>
          <w:p w:rsidR="00C73CC7" w:rsidRPr="00E56625" w:rsidRDefault="00C73CC7" w:rsidP="00321AFB">
            <w:pPr>
              <w:jc w:val="center"/>
              <w:rPr>
                <w:sz w:val="18"/>
                <w:szCs w:val="18"/>
                <w:lang w:val="en-US"/>
              </w:rPr>
            </w:pPr>
            <w:r w:rsidRPr="00E56625">
              <w:rPr>
                <w:sz w:val="18"/>
                <w:szCs w:val="18"/>
                <w:lang w:val="en-US"/>
              </w:rPr>
              <w:t>2.5%</w:t>
            </w:r>
          </w:p>
          <w:p w:rsidR="00C73CC7" w:rsidRPr="00E56625" w:rsidRDefault="00C73CC7" w:rsidP="00321AFB">
            <w:pPr>
              <w:jc w:val="center"/>
              <w:rPr>
                <w:sz w:val="18"/>
                <w:szCs w:val="18"/>
                <w:lang w:val="en-US"/>
              </w:rPr>
            </w:pPr>
            <w:r w:rsidRPr="00E56625">
              <w:rPr>
                <w:sz w:val="18"/>
                <w:szCs w:val="18"/>
                <w:lang w:val="en-US"/>
              </w:rPr>
              <w:t>0.5%</w:t>
            </w:r>
          </w:p>
        </w:tc>
        <w:tc>
          <w:tcPr>
            <w:tcW w:w="506" w:type="pct"/>
            <w:noWrap/>
          </w:tcPr>
          <w:p w:rsidR="00C73CC7" w:rsidRPr="00E56625" w:rsidRDefault="00C73CC7" w:rsidP="00321AFB">
            <w:pPr>
              <w:jc w:val="center"/>
              <w:rPr>
                <w:sz w:val="18"/>
                <w:szCs w:val="18"/>
                <w:lang w:val="en-US"/>
              </w:rPr>
            </w:pPr>
            <w:r w:rsidRPr="00E56625">
              <w:rPr>
                <w:sz w:val="18"/>
                <w:szCs w:val="18"/>
                <w:lang w:val="en-US"/>
              </w:rPr>
              <w:t>71.0%</w:t>
            </w:r>
          </w:p>
          <w:p w:rsidR="00C73CC7" w:rsidRPr="00E56625" w:rsidRDefault="00C73CC7" w:rsidP="00321AFB">
            <w:pPr>
              <w:jc w:val="center"/>
              <w:rPr>
                <w:sz w:val="18"/>
                <w:szCs w:val="18"/>
                <w:lang w:val="en-US"/>
              </w:rPr>
            </w:pPr>
            <w:r w:rsidRPr="00E56625">
              <w:rPr>
                <w:sz w:val="18"/>
                <w:szCs w:val="18"/>
                <w:lang w:val="en-US"/>
              </w:rPr>
              <w:t>13.7%</w:t>
            </w:r>
          </w:p>
          <w:p w:rsidR="00C73CC7" w:rsidRPr="00E56625" w:rsidRDefault="00C73CC7" w:rsidP="00321AFB">
            <w:pPr>
              <w:jc w:val="center"/>
              <w:rPr>
                <w:sz w:val="18"/>
                <w:szCs w:val="18"/>
                <w:lang w:val="en-US"/>
              </w:rPr>
            </w:pPr>
            <w:r w:rsidRPr="00E56625">
              <w:rPr>
                <w:sz w:val="18"/>
                <w:szCs w:val="18"/>
                <w:lang w:val="en-US"/>
              </w:rPr>
              <w:t>10.4%</w:t>
            </w:r>
          </w:p>
          <w:p w:rsidR="00C73CC7" w:rsidRPr="00E56625" w:rsidRDefault="00C73CC7" w:rsidP="00321AFB">
            <w:pPr>
              <w:jc w:val="center"/>
              <w:rPr>
                <w:sz w:val="18"/>
                <w:szCs w:val="18"/>
                <w:lang w:val="en-US"/>
              </w:rPr>
            </w:pPr>
            <w:r w:rsidRPr="00E56625">
              <w:rPr>
                <w:sz w:val="18"/>
                <w:szCs w:val="18"/>
                <w:lang w:val="en-US"/>
              </w:rPr>
              <w:t>4.1%</w:t>
            </w:r>
          </w:p>
          <w:p w:rsidR="00C73CC7" w:rsidRPr="00E56625" w:rsidRDefault="00C73CC7" w:rsidP="00321AFB">
            <w:pPr>
              <w:jc w:val="center"/>
              <w:rPr>
                <w:sz w:val="18"/>
                <w:szCs w:val="18"/>
                <w:lang w:val="en-US"/>
              </w:rPr>
            </w:pPr>
            <w:r w:rsidRPr="00E56625">
              <w:rPr>
                <w:sz w:val="18"/>
                <w:szCs w:val="18"/>
                <w:lang w:val="en-US"/>
              </w:rPr>
              <w:t>0.8%</w:t>
            </w:r>
          </w:p>
        </w:tc>
        <w:tc>
          <w:tcPr>
            <w:tcW w:w="289" w:type="pct"/>
            <w:noWrap/>
          </w:tcPr>
          <w:p w:rsidR="00C73CC7" w:rsidRPr="00E56625" w:rsidRDefault="00C73CC7" w:rsidP="00321AFB">
            <w:pPr>
              <w:jc w:val="center"/>
              <w:rPr>
                <w:sz w:val="18"/>
                <w:szCs w:val="18"/>
                <w:lang w:val="en-US"/>
              </w:rPr>
            </w:pPr>
            <w:r w:rsidRPr="00E56625">
              <w:rPr>
                <w:sz w:val="18"/>
                <w:szCs w:val="18"/>
                <w:lang w:val="en-US"/>
              </w:rPr>
              <w:t>61.9%</w:t>
            </w:r>
          </w:p>
          <w:p w:rsidR="00C73CC7" w:rsidRPr="00E56625" w:rsidRDefault="00C73CC7" w:rsidP="00321AFB">
            <w:pPr>
              <w:jc w:val="center"/>
              <w:rPr>
                <w:sz w:val="18"/>
                <w:szCs w:val="18"/>
                <w:lang w:val="en-US"/>
              </w:rPr>
            </w:pPr>
            <w:r w:rsidRPr="00E56625">
              <w:rPr>
                <w:sz w:val="18"/>
                <w:szCs w:val="18"/>
                <w:lang w:val="en-US"/>
              </w:rPr>
              <w:t>18.1%</w:t>
            </w:r>
          </w:p>
          <w:p w:rsidR="00C73CC7" w:rsidRPr="00E56625" w:rsidRDefault="00C73CC7" w:rsidP="00321AFB">
            <w:pPr>
              <w:jc w:val="center"/>
              <w:rPr>
                <w:sz w:val="18"/>
                <w:szCs w:val="18"/>
                <w:lang w:val="en-US"/>
              </w:rPr>
            </w:pPr>
            <w:r w:rsidRPr="00E56625">
              <w:rPr>
                <w:sz w:val="18"/>
                <w:szCs w:val="18"/>
                <w:lang w:val="en-US"/>
              </w:rPr>
              <w:t>13.5%</w:t>
            </w:r>
          </w:p>
          <w:p w:rsidR="00C73CC7" w:rsidRPr="00E56625" w:rsidRDefault="00C73CC7" w:rsidP="00321AFB">
            <w:pPr>
              <w:jc w:val="center"/>
              <w:rPr>
                <w:sz w:val="18"/>
                <w:szCs w:val="18"/>
                <w:lang w:val="en-US"/>
              </w:rPr>
            </w:pPr>
            <w:r w:rsidRPr="00E56625">
              <w:rPr>
                <w:sz w:val="18"/>
                <w:szCs w:val="18"/>
                <w:lang w:val="en-US"/>
              </w:rPr>
              <w:t>5.5%</w:t>
            </w:r>
          </w:p>
          <w:p w:rsidR="00C73CC7" w:rsidRPr="00E56625" w:rsidRDefault="00C73CC7" w:rsidP="00321AFB">
            <w:pPr>
              <w:jc w:val="center"/>
              <w:rPr>
                <w:sz w:val="18"/>
                <w:szCs w:val="18"/>
                <w:lang w:val="en-US"/>
              </w:rPr>
            </w:pPr>
            <w:r w:rsidRPr="00E56625">
              <w:rPr>
                <w:sz w:val="18"/>
                <w:szCs w:val="18"/>
                <w:lang w:val="en-US"/>
              </w:rPr>
              <w:t>1.1%</w:t>
            </w:r>
          </w:p>
        </w:tc>
        <w:tc>
          <w:tcPr>
            <w:tcW w:w="333" w:type="pct"/>
            <w:gridSpan w:val="2"/>
            <w:noWrap/>
          </w:tcPr>
          <w:p w:rsidR="00C73CC7" w:rsidRPr="00E56625" w:rsidRDefault="00C73CC7" w:rsidP="00321AFB">
            <w:pPr>
              <w:jc w:val="center"/>
              <w:rPr>
                <w:sz w:val="18"/>
                <w:szCs w:val="18"/>
                <w:lang w:val="en-US"/>
              </w:rPr>
            </w:pPr>
            <w:r w:rsidRPr="00E56625">
              <w:rPr>
                <w:sz w:val="18"/>
                <w:szCs w:val="18"/>
                <w:lang w:val="en-US"/>
              </w:rPr>
              <w:t>63.8%</w:t>
            </w:r>
          </w:p>
          <w:p w:rsidR="00C73CC7" w:rsidRPr="00E56625" w:rsidRDefault="00C73CC7" w:rsidP="00321AFB">
            <w:pPr>
              <w:jc w:val="center"/>
              <w:rPr>
                <w:sz w:val="18"/>
                <w:szCs w:val="18"/>
                <w:lang w:val="en-US"/>
              </w:rPr>
            </w:pPr>
            <w:r w:rsidRPr="00E56625">
              <w:rPr>
                <w:sz w:val="18"/>
                <w:szCs w:val="18"/>
                <w:lang w:val="en-US"/>
              </w:rPr>
              <w:t>15.2%</w:t>
            </w:r>
          </w:p>
          <w:p w:rsidR="00C73CC7" w:rsidRPr="00E56625" w:rsidRDefault="00C73CC7" w:rsidP="00321AFB">
            <w:pPr>
              <w:jc w:val="center"/>
              <w:rPr>
                <w:sz w:val="18"/>
                <w:szCs w:val="18"/>
                <w:lang w:val="en-US"/>
              </w:rPr>
            </w:pPr>
            <w:r w:rsidRPr="00E56625">
              <w:rPr>
                <w:sz w:val="18"/>
                <w:szCs w:val="18"/>
                <w:lang w:val="en-US"/>
              </w:rPr>
              <w:t>13.4%</w:t>
            </w:r>
          </w:p>
          <w:p w:rsidR="00C73CC7" w:rsidRPr="00E56625" w:rsidRDefault="00C73CC7" w:rsidP="00321AFB">
            <w:pPr>
              <w:jc w:val="center"/>
              <w:rPr>
                <w:sz w:val="18"/>
                <w:szCs w:val="18"/>
                <w:lang w:val="en-US"/>
              </w:rPr>
            </w:pPr>
            <w:r w:rsidRPr="00E56625">
              <w:rPr>
                <w:sz w:val="18"/>
                <w:szCs w:val="18"/>
                <w:lang w:val="en-US"/>
              </w:rPr>
              <w:t>6.3%</w:t>
            </w:r>
          </w:p>
          <w:p w:rsidR="00C73CC7" w:rsidRPr="00E56625" w:rsidRDefault="00C73CC7" w:rsidP="00321AFB">
            <w:pPr>
              <w:jc w:val="center"/>
              <w:rPr>
                <w:sz w:val="18"/>
                <w:szCs w:val="18"/>
                <w:lang w:val="en-US"/>
              </w:rPr>
            </w:pPr>
            <w:r w:rsidRPr="00E56625">
              <w:rPr>
                <w:sz w:val="18"/>
                <w:szCs w:val="18"/>
                <w:lang w:val="en-US"/>
              </w:rPr>
              <w:t>1.3%</w:t>
            </w:r>
          </w:p>
        </w:tc>
        <w:tc>
          <w:tcPr>
            <w:tcW w:w="332" w:type="pct"/>
            <w:gridSpan w:val="2"/>
            <w:noWrap/>
          </w:tcPr>
          <w:p w:rsidR="00C73CC7" w:rsidRPr="00E56625" w:rsidRDefault="00C73CC7" w:rsidP="00321AFB">
            <w:pPr>
              <w:jc w:val="center"/>
              <w:rPr>
                <w:sz w:val="18"/>
                <w:szCs w:val="18"/>
                <w:lang w:val="en-US"/>
              </w:rPr>
            </w:pPr>
            <w:r w:rsidRPr="00E56625">
              <w:rPr>
                <w:sz w:val="18"/>
                <w:szCs w:val="18"/>
                <w:lang w:val="en-US"/>
              </w:rPr>
              <w:t>60.8%</w:t>
            </w:r>
          </w:p>
          <w:p w:rsidR="00C73CC7" w:rsidRPr="00E56625" w:rsidRDefault="00C73CC7" w:rsidP="00321AFB">
            <w:pPr>
              <w:jc w:val="center"/>
              <w:rPr>
                <w:sz w:val="18"/>
                <w:szCs w:val="18"/>
                <w:lang w:val="en-US"/>
              </w:rPr>
            </w:pPr>
            <w:r w:rsidRPr="00E56625">
              <w:rPr>
                <w:sz w:val="18"/>
                <w:szCs w:val="18"/>
                <w:lang w:val="en-US"/>
              </w:rPr>
              <w:t>18.4%</w:t>
            </w:r>
          </w:p>
          <w:p w:rsidR="00C73CC7" w:rsidRPr="00E56625" w:rsidRDefault="00C73CC7" w:rsidP="00321AFB">
            <w:pPr>
              <w:jc w:val="center"/>
              <w:rPr>
                <w:sz w:val="18"/>
                <w:szCs w:val="18"/>
                <w:lang w:val="en-US"/>
              </w:rPr>
            </w:pPr>
            <w:r w:rsidRPr="00E56625">
              <w:rPr>
                <w:sz w:val="18"/>
                <w:szCs w:val="18"/>
                <w:lang w:val="en-US"/>
              </w:rPr>
              <w:t>14.8%</w:t>
            </w:r>
          </w:p>
          <w:p w:rsidR="00C73CC7" w:rsidRPr="00E56625" w:rsidRDefault="00C73CC7" w:rsidP="00321AFB">
            <w:pPr>
              <w:jc w:val="center"/>
              <w:rPr>
                <w:sz w:val="18"/>
                <w:szCs w:val="18"/>
                <w:lang w:val="en-US"/>
              </w:rPr>
            </w:pPr>
            <w:r w:rsidRPr="00E56625">
              <w:rPr>
                <w:sz w:val="18"/>
                <w:szCs w:val="18"/>
                <w:lang w:val="en-US"/>
              </w:rPr>
              <w:t>4.5%</w:t>
            </w:r>
          </w:p>
          <w:p w:rsidR="00C73CC7" w:rsidRPr="00E56625" w:rsidRDefault="00C73CC7" w:rsidP="00321AFB">
            <w:pPr>
              <w:jc w:val="center"/>
              <w:rPr>
                <w:sz w:val="18"/>
                <w:szCs w:val="18"/>
                <w:lang w:val="en-US"/>
              </w:rPr>
            </w:pPr>
            <w:r w:rsidRPr="00E56625">
              <w:rPr>
                <w:sz w:val="18"/>
                <w:szCs w:val="18"/>
                <w:lang w:val="en-US"/>
              </w:rPr>
              <w:t>1.4%</w:t>
            </w:r>
          </w:p>
        </w:tc>
        <w:tc>
          <w:tcPr>
            <w:tcW w:w="362" w:type="pct"/>
            <w:noWrap/>
          </w:tcPr>
          <w:p w:rsidR="00C73CC7" w:rsidRPr="00E56625" w:rsidRDefault="00C73CC7" w:rsidP="00321AFB">
            <w:pPr>
              <w:jc w:val="center"/>
              <w:rPr>
                <w:sz w:val="18"/>
                <w:szCs w:val="18"/>
                <w:lang w:val="en-US"/>
              </w:rPr>
            </w:pPr>
            <w:r w:rsidRPr="00E56625">
              <w:rPr>
                <w:sz w:val="18"/>
                <w:szCs w:val="18"/>
                <w:lang w:val="en-US"/>
              </w:rPr>
              <w:t>56.5%</w:t>
            </w:r>
          </w:p>
          <w:p w:rsidR="00C73CC7" w:rsidRPr="00E56625" w:rsidRDefault="00C73CC7" w:rsidP="00321AFB">
            <w:pPr>
              <w:jc w:val="center"/>
              <w:rPr>
                <w:sz w:val="18"/>
                <w:szCs w:val="18"/>
                <w:lang w:val="en-US"/>
              </w:rPr>
            </w:pPr>
            <w:r w:rsidRPr="00E56625">
              <w:rPr>
                <w:sz w:val="18"/>
                <w:szCs w:val="18"/>
                <w:lang w:val="en-US"/>
              </w:rPr>
              <w:t>17.8%</w:t>
            </w:r>
          </w:p>
          <w:p w:rsidR="00C73CC7" w:rsidRPr="00E56625" w:rsidRDefault="00C73CC7" w:rsidP="00321AFB">
            <w:pPr>
              <w:jc w:val="center"/>
              <w:rPr>
                <w:sz w:val="18"/>
                <w:szCs w:val="18"/>
                <w:lang w:val="en-US"/>
              </w:rPr>
            </w:pPr>
            <w:r w:rsidRPr="00E56625">
              <w:rPr>
                <w:sz w:val="18"/>
                <w:szCs w:val="18"/>
                <w:lang w:val="en-US"/>
              </w:rPr>
              <w:t>13.8%</w:t>
            </w:r>
          </w:p>
          <w:p w:rsidR="00C73CC7" w:rsidRPr="00E56625" w:rsidRDefault="00C73CC7" w:rsidP="00321AFB">
            <w:pPr>
              <w:jc w:val="center"/>
              <w:rPr>
                <w:sz w:val="18"/>
                <w:szCs w:val="18"/>
                <w:lang w:val="en-US"/>
              </w:rPr>
            </w:pPr>
            <w:r w:rsidRPr="00E56625">
              <w:rPr>
                <w:sz w:val="18"/>
                <w:szCs w:val="18"/>
                <w:lang w:val="en-US"/>
              </w:rPr>
              <w:t>9.0%</w:t>
            </w:r>
          </w:p>
          <w:p w:rsidR="003F04AA" w:rsidRPr="00E56625" w:rsidRDefault="00C73CC7" w:rsidP="00DF293B">
            <w:pPr>
              <w:jc w:val="center"/>
              <w:rPr>
                <w:sz w:val="18"/>
                <w:szCs w:val="18"/>
                <w:lang w:val="en-US"/>
              </w:rPr>
            </w:pPr>
            <w:r w:rsidRPr="00E56625">
              <w:rPr>
                <w:sz w:val="18"/>
                <w:szCs w:val="18"/>
                <w:lang w:val="en-US"/>
              </w:rPr>
              <w:t>2.8%</w:t>
            </w:r>
          </w:p>
        </w:tc>
      </w:tr>
      <w:tr w:rsidR="00C73CC7" w:rsidRPr="008F3531" w:rsidTr="00DF293B">
        <w:trPr>
          <w:trHeight w:val="170"/>
        </w:trPr>
        <w:tc>
          <w:tcPr>
            <w:tcW w:w="1530" w:type="pct"/>
            <w:noWrap/>
            <w:hideMark/>
          </w:tcPr>
          <w:p w:rsidR="00C73CC7" w:rsidRPr="00E56625" w:rsidRDefault="00C73CC7" w:rsidP="00321AFB">
            <w:pPr>
              <w:rPr>
                <w:b/>
                <w:bCs/>
                <w:sz w:val="18"/>
                <w:szCs w:val="18"/>
                <w:lang w:val="en-US"/>
              </w:rPr>
            </w:pPr>
            <w:r w:rsidRPr="00E56625">
              <w:rPr>
                <w:b/>
                <w:bCs/>
                <w:sz w:val="18"/>
                <w:szCs w:val="18"/>
                <w:lang w:val="en-US"/>
              </w:rPr>
              <w:t>Labor-market participation (ages 15-64)</w:t>
            </w:r>
          </w:p>
        </w:tc>
        <w:tc>
          <w:tcPr>
            <w:tcW w:w="488" w:type="pct"/>
            <w:noWrap/>
            <w:hideMark/>
          </w:tcPr>
          <w:p w:rsidR="00C73CC7" w:rsidRPr="00E56625" w:rsidRDefault="00C73CC7" w:rsidP="00321AFB">
            <w:pPr>
              <w:jc w:val="center"/>
              <w:rPr>
                <w:sz w:val="18"/>
                <w:szCs w:val="18"/>
                <w:lang w:val="en-US"/>
              </w:rPr>
            </w:pPr>
          </w:p>
        </w:tc>
        <w:tc>
          <w:tcPr>
            <w:tcW w:w="654" w:type="pct"/>
            <w:noWrap/>
            <w:hideMark/>
          </w:tcPr>
          <w:p w:rsidR="00C73CC7" w:rsidRPr="00E56625" w:rsidRDefault="00C73CC7" w:rsidP="00321AFB">
            <w:pPr>
              <w:jc w:val="center"/>
              <w:rPr>
                <w:sz w:val="18"/>
                <w:szCs w:val="18"/>
                <w:lang w:val="en-US"/>
              </w:rPr>
            </w:pPr>
          </w:p>
        </w:tc>
        <w:tc>
          <w:tcPr>
            <w:tcW w:w="506" w:type="pct"/>
            <w:noWrap/>
            <w:hideMark/>
          </w:tcPr>
          <w:p w:rsidR="00C73CC7" w:rsidRPr="00E56625" w:rsidRDefault="00C73CC7" w:rsidP="00321AFB">
            <w:pPr>
              <w:jc w:val="center"/>
              <w:rPr>
                <w:sz w:val="18"/>
                <w:szCs w:val="18"/>
                <w:lang w:val="en-US"/>
              </w:rPr>
            </w:pPr>
          </w:p>
        </w:tc>
        <w:tc>
          <w:tcPr>
            <w:tcW w:w="506" w:type="pct"/>
            <w:noWrap/>
            <w:hideMark/>
          </w:tcPr>
          <w:p w:rsidR="00C73CC7" w:rsidRPr="00E56625" w:rsidRDefault="00C73CC7" w:rsidP="00321AFB">
            <w:pPr>
              <w:jc w:val="center"/>
              <w:rPr>
                <w:sz w:val="18"/>
                <w:szCs w:val="18"/>
                <w:lang w:val="en-US"/>
              </w:rPr>
            </w:pPr>
          </w:p>
        </w:tc>
        <w:tc>
          <w:tcPr>
            <w:tcW w:w="289" w:type="pct"/>
            <w:noWrap/>
            <w:hideMark/>
          </w:tcPr>
          <w:p w:rsidR="00C73CC7" w:rsidRPr="00E56625" w:rsidRDefault="00C73CC7" w:rsidP="00321AFB">
            <w:pPr>
              <w:jc w:val="center"/>
              <w:rPr>
                <w:sz w:val="18"/>
                <w:szCs w:val="18"/>
                <w:lang w:val="en-US"/>
              </w:rPr>
            </w:pPr>
          </w:p>
        </w:tc>
        <w:tc>
          <w:tcPr>
            <w:tcW w:w="333" w:type="pct"/>
            <w:gridSpan w:val="2"/>
            <w:noWrap/>
            <w:hideMark/>
          </w:tcPr>
          <w:p w:rsidR="00C73CC7" w:rsidRPr="00E56625" w:rsidRDefault="00C73CC7" w:rsidP="00321AFB">
            <w:pPr>
              <w:jc w:val="center"/>
              <w:rPr>
                <w:sz w:val="18"/>
                <w:szCs w:val="18"/>
                <w:lang w:val="en-US"/>
              </w:rPr>
            </w:pPr>
          </w:p>
        </w:tc>
        <w:tc>
          <w:tcPr>
            <w:tcW w:w="332" w:type="pct"/>
            <w:gridSpan w:val="2"/>
            <w:noWrap/>
            <w:hideMark/>
          </w:tcPr>
          <w:p w:rsidR="00C73CC7" w:rsidRPr="00E56625" w:rsidRDefault="00C73CC7" w:rsidP="00321AFB">
            <w:pPr>
              <w:jc w:val="center"/>
              <w:rPr>
                <w:sz w:val="18"/>
                <w:szCs w:val="18"/>
                <w:lang w:val="en-US"/>
              </w:rPr>
            </w:pPr>
          </w:p>
        </w:tc>
        <w:tc>
          <w:tcPr>
            <w:tcW w:w="362" w:type="pct"/>
            <w:noWrap/>
            <w:hideMark/>
          </w:tcPr>
          <w:p w:rsidR="00C73CC7" w:rsidRPr="00E56625" w:rsidRDefault="00C73CC7" w:rsidP="00321AFB">
            <w:pPr>
              <w:jc w:val="center"/>
              <w:rPr>
                <w:sz w:val="18"/>
                <w:szCs w:val="18"/>
                <w:lang w:val="en-US"/>
              </w:rPr>
            </w:pPr>
          </w:p>
        </w:tc>
      </w:tr>
      <w:tr w:rsidR="00C73CC7" w:rsidRPr="008F3531" w:rsidTr="00DF293B">
        <w:trPr>
          <w:trHeight w:val="710"/>
        </w:trPr>
        <w:tc>
          <w:tcPr>
            <w:tcW w:w="1530" w:type="pct"/>
            <w:noWrap/>
            <w:hideMark/>
          </w:tcPr>
          <w:p w:rsidR="00C73CC7" w:rsidRPr="00E56625" w:rsidRDefault="00C73CC7" w:rsidP="00321AFB">
            <w:pPr>
              <w:rPr>
                <w:sz w:val="18"/>
                <w:szCs w:val="18"/>
                <w:lang w:val="en-US"/>
              </w:rPr>
            </w:pPr>
            <w:r w:rsidRPr="00E56625">
              <w:rPr>
                <w:sz w:val="18"/>
                <w:szCs w:val="18"/>
                <w:lang w:val="en-US"/>
              </w:rPr>
              <w:t xml:space="preserve">  Share of population in labor force</w:t>
            </w:r>
          </w:p>
          <w:p w:rsidR="00C73CC7" w:rsidRPr="00E56625" w:rsidRDefault="00C73CC7" w:rsidP="00321AFB">
            <w:pPr>
              <w:rPr>
                <w:sz w:val="18"/>
                <w:szCs w:val="18"/>
                <w:lang w:val="en-US"/>
              </w:rPr>
            </w:pPr>
            <w:r w:rsidRPr="00E56625">
              <w:rPr>
                <w:sz w:val="18"/>
                <w:szCs w:val="18"/>
                <w:lang w:val="en-US"/>
              </w:rPr>
              <w:t xml:space="preserve">  Share of population working</w:t>
            </w:r>
          </w:p>
          <w:p w:rsidR="00C73CC7" w:rsidRPr="00E56625" w:rsidRDefault="00C73CC7" w:rsidP="00321AFB">
            <w:pPr>
              <w:rPr>
                <w:sz w:val="18"/>
                <w:szCs w:val="18"/>
                <w:lang w:val="en-US"/>
              </w:rPr>
            </w:pPr>
            <w:r w:rsidRPr="00E56625">
              <w:rPr>
                <w:sz w:val="18"/>
                <w:szCs w:val="18"/>
                <w:lang w:val="en-US"/>
              </w:rPr>
              <w:t xml:space="preserve">  Student share of population</w:t>
            </w:r>
          </w:p>
        </w:tc>
        <w:tc>
          <w:tcPr>
            <w:tcW w:w="488" w:type="pct"/>
            <w:noWrap/>
          </w:tcPr>
          <w:p w:rsidR="00C73CC7" w:rsidRPr="00E56625" w:rsidRDefault="00C73CC7" w:rsidP="00321AFB">
            <w:pPr>
              <w:jc w:val="center"/>
              <w:rPr>
                <w:sz w:val="18"/>
                <w:szCs w:val="18"/>
                <w:lang w:val="en-US"/>
              </w:rPr>
            </w:pPr>
            <w:r w:rsidRPr="00E56625">
              <w:rPr>
                <w:sz w:val="18"/>
                <w:szCs w:val="18"/>
                <w:lang w:val="en-US"/>
              </w:rPr>
              <w:t>67.6%</w:t>
            </w:r>
          </w:p>
          <w:p w:rsidR="00C73CC7" w:rsidRPr="00E56625" w:rsidRDefault="00C73CC7" w:rsidP="00321AFB">
            <w:pPr>
              <w:jc w:val="center"/>
              <w:rPr>
                <w:sz w:val="18"/>
                <w:szCs w:val="18"/>
                <w:lang w:val="en-US"/>
              </w:rPr>
            </w:pPr>
            <w:r w:rsidRPr="00E56625">
              <w:rPr>
                <w:sz w:val="18"/>
                <w:szCs w:val="18"/>
                <w:lang w:val="en-US"/>
              </w:rPr>
              <w:t>67.4%</w:t>
            </w:r>
          </w:p>
          <w:p w:rsidR="00C73CC7" w:rsidRPr="00E56625" w:rsidRDefault="00C73CC7" w:rsidP="00321AFB">
            <w:pPr>
              <w:jc w:val="center"/>
              <w:rPr>
                <w:sz w:val="18"/>
                <w:szCs w:val="18"/>
                <w:lang w:val="en-US"/>
              </w:rPr>
            </w:pPr>
            <w:r w:rsidRPr="00E56625">
              <w:rPr>
                <w:sz w:val="18"/>
                <w:szCs w:val="18"/>
                <w:lang w:val="en-US"/>
              </w:rPr>
              <w:t>-</w:t>
            </w:r>
          </w:p>
        </w:tc>
        <w:tc>
          <w:tcPr>
            <w:tcW w:w="654" w:type="pct"/>
            <w:noWrap/>
          </w:tcPr>
          <w:p w:rsidR="00C73CC7" w:rsidRPr="00E56625" w:rsidRDefault="00C73CC7" w:rsidP="00321AFB">
            <w:pPr>
              <w:jc w:val="center"/>
              <w:rPr>
                <w:sz w:val="18"/>
                <w:szCs w:val="18"/>
                <w:lang w:val="en-US"/>
              </w:rPr>
            </w:pPr>
            <w:r w:rsidRPr="00E56625">
              <w:rPr>
                <w:sz w:val="18"/>
                <w:szCs w:val="18"/>
                <w:lang w:val="en-US"/>
              </w:rPr>
              <w:t>65.7%</w:t>
            </w:r>
          </w:p>
          <w:p w:rsidR="00C73CC7" w:rsidRPr="00E56625" w:rsidRDefault="00C73CC7" w:rsidP="00321AFB">
            <w:pPr>
              <w:jc w:val="center"/>
              <w:rPr>
                <w:sz w:val="18"/>
                <w:szCs w:val="18"/>
                <w:lang w:val="en-US"/>
              </w:rPr>
            </w:pPr>
            <w:r w:rsidRPr="00E56625">
              <w:rPr>
                <w:sz w:val="18"/>
                <w:szCs w:val="18"/>
                <w:lang w:val="en-US"/>
              </w:rPr>
              <w:t>65.3%</w:t>
            </w:r>
          </w:p>
          <w:p w:rsidR="00C73CC7" w:rsidRPr="00E56625" w:rsidRDefault="00C73CC7" w:rsidP="00321AFB">
            <w:pPr>
              <w:jc w:val="center"/>
              <w:rPr>
                <w:sz w:val="18"/>
                <w:szCs w:val="18"/>
                <w:lang w:val="en-US"/>
              </w:rPr>
            </w:pPr>
            <w:r w:rsidRPr="00E56625">
              <w:rPr>
                <w:sz w:val="18"/>
                <w:szCs w:val="18"/>
                <w:lang w:val="en-US"/>
              </w:rPr>
              <w:t>-</w:t>
            </w:r>
          </w:p>
        </w:tc>
        <w:tc>
          <w:tcPr>
            <w:tcW w:w="506" w:type="pct"/>
            <w:noWrap/>
          </w:tcPr>
          <w:p w:rsidR="00C73CC7" w:rsidRPr="00E56625" w:rsidRDefault="00C73CC7" w:rsidP="00321AFB">
            <w:pPr>
              <w:jc w:val="center"/>
              <w:rPr>
                <w:sz w:val="18"/>
                <w:szCs w:val="18"/>
                <w:lang w:val="en-US"/>
              </w:rPr>
            </w:pPr>
            <w:r w:rsidRPr="00E56625">
              <w:rPr>
                <w:sz w:val="18"/>
                <w:szCs w:val="18"/>
                <w:lang w:val="en-US"/>
              </w:rPr>
              <w:t>60.8%</w:t>
            </w:r>
          </w:p>
          <w:p w:rsidR="00C73CC7" w:rsidRPr="00E56625" w:rsidRDefault="00C73CC7" w:rsidP="00321AFB">
            <w:pPr>
              <w:jc w:val="center"/>
              <w:rPr>
                <w:sz w:val="18"/>
                <w:szCs w:val="18"/>
                <w:lang w:val="en-US"/>
              </w:rPr>
            </w:pPr>
            <w:r w:rsidRPr="00E56625">
              <w:rPr>
                <w:sz w:val="18"/>
                <w:szCs w:val="18"/>
                <w:lang w:val="en-US"/>
              </w:rPr>
              <w:t>60.0%</w:t>
            </w:r>
          </w:p>
          <w:p w:rsidR="00C73CC7" w:rsidRPr="00E56625" w:rsidRDefault="00C73CC7" w:rsidP="00321AFB">
            <w:pPr>
              <w:jc w:val="center"/>
              <w:rPr>
                <w:sz w:val="18"/>
                <w:szCs w:val="18"/>
                <w:lang w:val="en-US"/>
              </w:rPr>
            </w:pPr>
            <w:r w:rsidRPr="00E56625">
              <w:rPr>
                <w:sz w:val="18"/>
                <w:szCs w:val="18"/>
                <w:lang w:val="en-US"/>
              </w:rPr>
              <w:t>-</w:t>
            </w:r>
          </w:p>
        </w:tc>
        <w:tc>
          <w:tcPr>
            <w:tcW w:w="506" w:type="pct"/>
            <w:noWrap/>
          </w:tcPr>
          <w:p w:rsidR="00C73CC7" w:rsidRPr="00E56625" w:rsidRDefault="00C73CC7" w:rsidP="00321AFB">
            <w:pPr>
              <w:jc w:val="center"/>
              <w:rPr>
                <w:sz w:val="18"/>
                <w:szCs w:val="18"/>
                <w:lang w:val="en-US"/>
              </w:rPr>
            </w:pPr>
            <w:r w:rsidRPr="00E56625">
              <w:rPr>
                <w:sz w:val="18"/>
                <w:szCs w:val="18"/>
                <w:lang w:val="en-US"/>
              </w:rPr>
              <w:t>47.5%</w:t>
            </w:r>
          </w:p>
          <w:p w:rsidR="00C73CC7" w:rsidRPr="00E56625" w:rsidRDefault="00C73CC7" w:rsidP="00321AFB">
            <w:pPr>
              <w:jc w:val="center"/>
              <w:rPr>
                <w:sz w:val="18"/>
                <w:szCs w:val="18"/>
                <w:lang w:val="en-US"/>
              </w:rPr>
            </w:pPr>
            <w:r w:rsidRPr="00E56625">
              <w:rPr>
                <w:sz w:val="18"/>
                <w:szCs w:val="18"/>
                <w:lang w:val="en-US"/>
              </w:rPr>
              <w:t>46.2%</w:t>
            </w:r>
          </w:p>
          <w:p w:rsidR="00C73CC7" w:rsidRPr="00E56625" w:rsidRDefault="00C73CC7" w:rsidP="00321AFB">
            <w:pPr>
              <w:jc w:val="center"/>
              <w:rPr>
                <w:sz w:val="18"/>
                <w:szCs w:val="18"/>
                <w:lang w:val="en-US"/>
              </w:rPr>
            </w:pPr>
            <w:r w:rsidRPr="00E56625">
              <w:rPr>
                <w:sz w:val="18"/>
                <w:szCs w:val="18"/>
                <w:lang w:val="en-US"/>
              </w:rPr>
              <w:t>-</w:t>
            </w:r>
          </w:p>
        </w:tc>
        <w:tc>
          <w:tcPr>
            <w:tcW w:w="289" w:type="pct"/>
            <w:noWrap/>
          </w:tcPr>
          <w:p w:rsidR="00C73CC7" w:rsidRPr="00E56625" w:rsidRDefault="00C73CC7" w:rsidP="00321AFB">
            <w:pPr>
              <w:jc w:val="center"/>
              <w:rPr>
                <w:sz w:val="18"/>
                <w:szCs w:val="18"/>
                <w:lang w:val="en-US"/>
              </w:rPr>
            </w:pPr>
            <w:r w:rsidRPr="00E56625">
              <w:rPr>
                <w:sz w:val="18"/>
                <w:szCs w:val="18"/>
                <w:lang w:val="en-US"/>
              </w:rPr>
              <w:t>43.2%</w:t>
            </w:r>
          </w:p>
          <w:p w:rsidR="00C73CC7" w:rsidRPr="00E56625" w:rsidRDefault="00C73CC7" w:rsidP="00321AFB">
            <w:pPr>
              <w:jc w:val="center"/>
              <w:rPr>
                <w:sz w:val="18"/>
                <w:szCs w:val="18"/>
                <w:lang w:val="en-US"/>
              </w:rPr>
            </w:pPr>
            <w:r w:rsidRPr="00E56625">
              <w:rPr>
                <w:sz w:val="18"/>
                <w:szCs w:val="18"/>
                <w:lang w:val="en-US"/>
              </w:rPr>
              <w:t>40.6%</w:t>
            </w:r>
          </w:p>
          <w:p w:rsidR="00C73CC7" w:rsidRPr="00E56625" w:rsidRDefault="00C73CC7" w:rsidP="00321AFB">
            <w:pPr>
              <w:jc w:val="center"/>
              <w:rPr>
                <w:sz w:val="18"/>
                <w:szCs w:val="18"/>
                <w:lang w:val="en-US"/>
              </w:rPr>
            </w:pPr>
            <w:r w:rsidRPr="00E56625">
              <w:rPr>
                <w:sz w:val="18"/>
                <w:szCs w:val="18"/>
                <w:lang w:val="en-US"/>
              </w:rPr>
              <w:t>-</w:t>
            </w:r>
          </w:p>
        </w:tc>
        <w:tc>
          <w:tcPr>
            <w:tcW w:w="333" w:type="pct"/>
            <w:gridSpan w:val="2"/>
            <w:noWrap/>
          </w:tcPr>
          <w:p w:rsidR="00C73CC7" w:rsidRPr="00E56625" w:rsidRDefault="00C73CC7" w:rsidP="00321AFB">
            <w:pPr>
              <w:jc w:val="center"/>
              <w:rPr>
                <w:sz w:val="18"/>
                <w:szCs w:val="18"/>
                <w:lang w:val="en-US"/>
              </w:rPr>
            </w:pPr>
            <w:r w:rsidRPr="00E56625">
              <w:rPr>
                <w:sz w:val="18"/>
                <w:szCs w:val="18"/>
                <w:lang w:val="en-US"/>
              </w:rPr>
              <w:t>52.6%</w:t>
            </w:r>
          </w:p>
          <w:p w:rsidR="00C73CC7" w:rsidRPr="00E56625" w:rsidRDefault="00C73CC7" w:rsidP="00321AFB">
            <w:pPr>
              <w:jc w:val="center"/>
              <w:rPr>
                <w:sz w:val="18"/>
                <w:szCs w:val="18"/>
                <w:lang w:val="en-US"/>
              </w:rPr>
            </w:pPr>
            <w:r w:rsidRPr="00E56625">
              <w:rPr>
                <w:sz w:val="18"/>
                <w:szCs w:val="18"/>
                <w:lang w:val="en-US"/>
              </w:rPr>
              <w:t>51.4%</w:t>
            </w:r>
          </w:p>
          <w:p w:rsidR="00C73CC7" w:rsidRPr="00E56625" w:rsidRDefault="00C73CC7" w:rsidP="00321AFB">
            <w:pPr>
              <w:jc w:val="center"/>
              <w:rPr>
                <w:sz w:val="18"/>
                <w:szCs w:val="18"/>
                <w:lang w:val="en-US"/>
              </w:rPr>
            </w:pPr>
            <w:r w:rsidRPr="00E56625">
              <w:rPr>
                <w:sz w:val="18"/>
                <w:szCs w:val="18"/>
                <w:lang w:val="en-US"/>
              </w:rPr>
              <w:t>-</w:t>
            </w:r>
          </w:p>
        </w:tc>
        <w:tc>
          <w:tcPr>
            <w:tcW w:w="332" w:type="pct"/>
            <w:gridSpan w:val="2"/>
            <w:noWrap/>
          </w:tcPr>
          <w:p w:rsidR="00C73CC7" w:rsidRPr="00E56625" w:rsidRDefault="00C73CC7" w:rsidP="00321AFB">
            <w:pPr>
              <w:jc w:val="center"/>
              <w:rPr>
                <w:sz w:val="18"/>
                <w:szCs w:val="18"/>
                <w:lang w:val="en-US"/>
              </w:rPr>
            </w:pPr>
            <w:r w:rsidRPr="00E56625">
              <w:rPr>
                <w:sz w:val="18"/>
                <w:szCs w:val="18"/>
                <w:lang w:val="en-US"/>
              </w:rPr>
              <w:t>50.2%</w:t>
            </w:r>
          </w:p>
          <w:p w:rsidR="00C73CC7" w:rsidRPr="00E56625" w:rsidRDefault="00C73CC7" w:rsidP="00321AFB">
            <w:pPr>
              <w:jc w:val="center"/>
              <w:rPr>
                <w:sz w:val="18"/>
                <w:szCs w:val="18"/>
                <w:lang w:val="en-US"/>
              </w:rPr>
            </w:pPr>
            <w:r w:rsidRPr="00E56625">
              <w:rPr>
                <w:sz w:val="18"/>
                <w:szCs w:val="18"/>
                <w:lang w:val="en-US"/>
              </w:rPr>
              <w:t>48.2%</w:t>
            </w:r>
          </w:p>
          <w:p w:rsidR="00C73CC7" w:rsidRPr="00E56625" w:rsidRDefault="00C73CC7" w:rsidP="00321AFB">
            <w:pPr>
              <w:jc w:val="center"/>
              <w:rPr>
                <w:sz w:val="18"/>
                <w:szCs w:val="18"/>
                <w:lang w:val="en-US"/>
              </w:rPr>
            </w:pPr>
            <w:r w:rsidRPr="00E56625">
              <w:rPr>
                <w:sz w:val="18"/>
                <w:szCs w:val="18"/>
                <w:lang w:val="en-US"/>
              </w:rPr>
              <w:t>-</w:t>
            </w:r>
          </w:p>
        </w:tc>
        <w:tc>
          <w:tcPr>
            <w:tcW w:w="362" w:type="pct"/>
            <w:noWrap/>
          </w:tcPr>
          <w:p w:rsidR="00C73CC7" w:rsidRPr="00E56625" w:rsidRDefault="00C73CC7" w:rsidP="00321AFB">
            <w:pPr>
              <w:jc w:val="center"/>
              <w:rPr>
                <w:sz w:val="18"/>
                <w:szCs w:val="18"/>
                <w:lang w:val="en-US"/>
              </w:rPr>
            </w:pPr>
            <w:r w:rsidRPr="00E56625">
              <w:rPr>
                <w:sz w:val="18"/>
                <w:szCs w:val="18"/>
                <w:lang w:val="en-US"/>
              </w:rPr>
              <w:t>48.8%</w:t>
            </w:r>
          </w:p>
          <w:p w:rsidR="00C73CC7" w:rsidRPr="00E56625" w:rsidRDefault="00C73CC7" w:rsidP="00321AFB">
            <w:pPr>
              <w:jc w:val="center"/>
              <w:rPr>
                <w:sz w:val="18"/>
                <w:szCs w:val="18"/>
                <w:lang w:val="en-US"/>
              </w:rPr>
            </w:pPr>
            <w:r w:rsidRPr="00E56625">
              <w:rPr>
                <w:sz w:val="18"/>
                <w:szCs w:val="18"/>
                <w:lang w:val="en-US"/>
              </w:rPr>
              <w:t>46.3%</w:t>
            </w:r>
          </w:p>
          <w:p w:rsidR="003F04AA" w:rsidRPr="00E56625" w:rsidRDefault="00C73CC7" w:rsidP="00DF293B">
            <w:pPr>
              <w:jc w:val="center"/>
              <w:rPr>
                <w:sz w:val="18"/>
                <w:szCs w:val="18"/>
                <w:lang w:val="en-US"/>
              </w:rPr>
            </w:pPr>
            <w:r w:rsidRPr="00E56625">
              <w:rPr>
                <w:sz w:val="18"/>
                <w:szCs w:val="18"/>
                <w:lang w:val="en-US"/>
              </w:rPr>
              <w:t>-0.3%</w:t>
            </w:r>
          </w:p>
        </w:tc>
      </w:tr>
      <w:tr w:rsidR="00C73CC7" w:rsidRPr="008F3531" w:rsidTr="00DF293B">
        <w:trPr>
          <w:trHeight w:val="152"/>
        </w:trPr>
        <w:tc>
          <w:tcPr>
            <w:tcW w:w="5000" w:type="pct"/>
            <w:gridSpan w:val="11"/>
            <w:noWrap/>
            <w:hideMark/>
          </w:tcPr>
          <w:p w:rsidR="00C73CC7" w:rsidRPr="00E56625" w:rsidRDefault="00C73CC7" w:rsidP="00321AFB">
            <w:pPr>
              <w:rPr>
                <w:sz w:val="18"/>
                <w:szCs w:val="18"/>
                <w:lang w:val="en-US"/>
              </w:rPr>
            </w:pPr>
            <w:r w:rsidRPr="00E56625">
              <w:rPr>
                <w:b/>
                <w:bCs/>
                <w:sz w:val="18"/>
                <w:szCs w:val="18"/>
                <w:lang w:val="en-US"/>
              </w:rPr>
              <w:t>Economic sector (occupied workers, ages 15-64)</w:t>
            </w:r>
          </w:p>
        </w:tc>
      </w:tr>
      <w:tr w:rsidR="00C73CC7" w:rsidRPr="008F3531" w:rsidTr="00DF293B">
        <w:trPr>
          <w:trHeight w:val="2321"/>
        </w:trPr>
        <w:tc>
          <w:tcPr>
            <w:tcW w:w="1530" w:type="pct"/>
            <w:noWrap/>
            <w:hideMark/>
          </w:tcPr>
          <w:p w:rsidR="00C73CC7" w:rsidRPr="00E56625" w:rsidRDefault="00C73CC7" w:rsidP="00321AFB">
            <w:pPr>
              <w:rPr>
                <w:sz w:val="18"/>
                <w:szCs w:val="18"/>
                <w:lang w:val="en-US"/>
              </w:rPr>
            </w:pPr>
            <w:r w:rsidRPr="00E56625">
              <w:rPr>
                <w:sz w:val="18"/>
                <w:szCs w:val="18"/>
                <w:lang w:val="en-US"/>
              </w:rPr>
              <w:t xml:space="preserve">  Agriculture</w:t>
            </w:r>
          </w:p>
          <w:p w:rsidR="00C73CC7" w:rsidRPr="00E56625" w:rsidRDefault="00C73CC7" w:rsidP="00321AFB">
            <w:pPr>
              <w:rPr>
                <w:sz w:val="18"/>
                <w:szCs w:val="18"/>
                <w:lang w:val="en-US"/>
              </w:rPr>
            </w:pPr>
            <w:r w:rsidRPr="00E56625">
              <w:rPr>
                <w:sz w:val="18"/>
                <w:szCs w:val="18"/>
                <w:lang w:val="en-US"/>
              </w:rPr>
              <w:t xml:space="preserve">  Extractive industry</w:t>
            </w:r>
          </w:p>
          <w:p w:rsidR="00C73CC7" w:rsidRPr="00E56625" w:rsidRDefault="00C73CC7" w:rsidP="00321AFB">
            <w:pPr>
              <w:rPr>
                <w:sz w:val="18"/>
                <w:szCs w:val="18"/>
                <w:lang w:val="en-US"/>
              </w:rPr>
            </w:pPr>
            <w:r w:rsidRPr="00E56625">
              <w:rPr>
                <w:sz w:val="18"/>
                <w:szCs w:val="18"/>
                <w:lang w:val="en-US"/>
              </w:rPr>
              <w:t xml:space="preserve">  Manufacturing and craft</w:t>
            </w:r>
          </w:p>
          <w:p w:rsidR="00C73CC7" w:rsidRPr="00E56625" w:rsidRDefault="00C73CC7" w:rsidP="00321AFB">
            <w:pPr>
              <w:rPr>
                <w:sz w:val="18"/>
                <w:szCs w:val="18"/>
                <w:lang w:val="en-US"/>
              </w:rPr>
            </w:pPr>
            <w:r w:rsidRPr="00E56625">
              <w:rPr>
                <w:sz w:val="18"/>
                <w:szCs w:val="18"/>
                <w:lang w:val="en-US"/>
              </w:rPr>
              <w:t xml:space="preserve">  Trade</w:t>
            </w:r>
          </w:p>
          <w:p w:rsidR="00C73CC7" w:rsidRPr="00E56625" w:rsidRDefault="00C73CC7" w:rsidP="00321AFB">
            <w:pPr>
              <w:rPr>
                <w:sz w:val="18"/>
                <w:szCs w:val="18"/>
                <w:lang w:val="en-US"/>
              </w:rPr>
            </w:pPr>
            <w:r w:rsidRPr="00E56625">
              <w:rPr>
                <w:sz w:val="18"/>
                <w:szCs w:val="18"/>
                <w:lang w:val="en-US"/>
              </w:rPr>
              <w:t xml:space="preserve">  Bank / insurance</w:t>
            </w:r>
          </w:p>
          <w:p w:rsidR="00C73CC7" w:rsidRPr="00E56625" w:rsidRDefault="00C73CC7" w:rsidP="00321AFB">
            <w:pPr>
              <w:rPr>
                <w:sz w:val="18"/>
                <w:szCs w:val="18"/>
                <w:lang w:val="en-US"/>
              </w:rPr>
            </w:pPr>
            <w:r w:rsidRPr="00E56625">
              <w:rPr>
                <w:sz w:val="18"/>
                <w:szCs w:val="18"/>
                <w:lang w:val="en-US"/>
              </w:rPr>
              <w:t xml:space="preserve">  Public or private administration</w:t>
            </w:r>
          </w:p>
          <w:p w:rsidR="00C73CC7" w:rsidRPr="00E56625" w:rsidRDefault="00C73CC7" w:rsidP="00321AFB">
            <w:pPr>
              <w:rPr>
                <w:sz w:val="18"/>
                <w:szCs w:val="18"/>
                <w:lang w:val="en-US"/>
              </w:rPr>
            </w:pPr>
            <w:r w:rsidRPr="00E56625">
              <w:rPr>
                <w:sz w:val="18"/>
                <w:szCs w:val="18"/>
                <w:lang w:val="en-US"/>
              </w:rPr>
              <w:t xml:space="preserve"> Transport and communication</w:t>
            </w:r>
          </w:p>
          <w:p w:rsidR="00C73CC7" w:rsidRPr="00E56625" w:rsidRDefault="00C73CC7" w:rsidP="00321AFB">
            <w:pPr>
              <w:rPr>
                <w:sz w:val="18"/>
                <w:szCs w:val="18"/>
                <w:lang w:val="en-US"/>
              </w:rPr>
            </w:pPr>
            <w:r w:rsidRPr="00E56625">
              <w:rPr>
                <w:sz w:val="18"/>
                <w:szCs w:val="18"/>
                <w:lang w:val="en-US"/>
              </w:rPr>
              <w:t xml:space="preserve">  Construction</w:t>
            </w:r>
          </w:p>
          <w:p w:rsidR="00C73CC7" w:rsidRPr="00E56625" w:rsidRDefault="00C73CC7" w:rsidP="00321AFB">
            <w:pPr>
              <w:rPr>
                <w:sz w:val="18"/>
                <w:szCs w:val="18"/>
                <w:lang w:val="en-US"/>
              </w:rPr>
            </w:pPr>
            <w:r w:rsidRPr="00E56625">
              <w:rPr>
                <w:sz w:val="18"/>
                <w:szCs w:val="18"/>
                <w:lang w:val="en-US"/>
              </w:rPr>
              <w:t xml:space="preserve">  Services</w:t>
            </w:r>
          </w:p>
          <w:p w:rsidR="00C73CC7" w:rsidRPr="00E56625" w:rsidRDefault="00C73CC7" w:rsidP="00321AFB">
            <w:pPr>
              <w:rPr>
                <w:sz w:val="18"/>
                <w:szCs w:val="18"/>
                <w:lang w:val="en-US"/>
              </w:rPr>
            </w:pPr>
            <w:r w:rsidRPr="00E56625">
              <w:rPr>
                <w:sz w:val="18"/>
                <w:szCs w:val="18"/>
                <w:lang w:val="en-US"/>
              </w:rPr>
              <w:t xml:space="preserve">  Electricity, water and gas</w:t>
            </w:r>
          </w:p>
          <w:p w:rsidR="00C73CC7" w:rsidRPr="00E56625" w:rsidRDefault="00C73CC7" w:rsidP="00321AFB">
            <w:pPr>
              <w:rPr>
                <w:sz w:val="18"/>
                <w:szCs w:val="18"/>
                <w:lang w:val="en-US"/>
              </w:rPr>
            </w:pPr>
            <w:r w:rsidRPr="00E56625">
              <w:rPr>
                <w:sz w:val="18"/>
                <w:szCs w:val="18"/>
                <w:lang w:val="en-US"/>
              </w:rPr>
              <w:t xml:space="preserve">  no response / missing </w:t>
            </w:r>
          </w:p>
        </w:tc>
        <w:tc>
          <w:tcPr>
            <w:tcW w:w="488" w:type="pct"/>
            <w:noWrap/>
          </w:tcPr>
          <w:p w:rsidR="00C73CC7" w:rsidRPr="00E56625" w:rsidRDefault="00C73CC7" w:rsidP="00321AFB">
            <w:pPr>
              <w:jc w:val="center"/>
              <w:rPr>
                <w:sz w:val="18"/>
                <w:szCs w:val="18"/>
                <w:lang w:val="en-US"/>
              </w:rPr>
            </w:pPr>
            <w:r w:rsidRPr="00E56625">
              <w:rPr>
                <w:sz w:val="18"/>
                <w:szCs w:val="18"/>
                <w:lang w:val="en-US"/>
              </w:rPr>
              <w:t>83.2%</w:t>
            </w:r>
          </w:p>
          <w:p w:rsidR="00C73CC7" w:rsidRPr="00E56625" w:rsidRDefault="00C73CC7" w:rsidP="00321AFB">
            <w:pPr>
              <w:jc w:val="center"/>
              <w:rPr>
                <w:sz w:val="18"/>
                <w:szCs w:val="18"/>
                <w:lang w:val="en-US"/>
              </w:rPr>
            </w:pPr>
            <w:r w:rsidRPr="00E56625">
              <w:rPr>
                <w:sz w:val="18"/>
                <w:szCs w:val="18"/>
                <w:lang w:val="en-US"/>
              </w:rPr>
              <w:t>0.0%</w:t>
            </w:r>
          </w:p>
          <w:p w:rsidR="00C73CC7" w:rsidRPr="00E56625" w:rsidRDefault="00C73CC7" w:rsidP="00321AFB">
            <w:pPr>
              <w:jc w:val="center"/>
              <w:rPr>
                <w:sz w:val="18"/>
                <w:szCs w:val="18"/>
                <w:lang w:val="en-US"/>
              </w:rPr>
            </w:pPr>
            <w:r w:rsidRPr="00E56625">
              <w:rPr>
                <w:sz w:val="18"/>
                <w:szCs w:val="18"/>
                <w:lang w:val="en-US"/>
              </w:rPr>
              <w:t>0.0%</w:t>
            </w:r>
          </w:p>
          <w:p w:rsidR="00C73CC7" w:rsidRPr="00E56625" w:rsidRDefault="00C73CC7" w:rsidP="00321AFB">
            <w:pPr>
              <w:jc w:val="center"/>
              <w:rPr>
                <w:sz w:val="18"/>
                <w:szCs w:val="18"/>
                <w:lang w:val="en-US"/>
              </w:rPr>
            </w:pPr>
            <w:r w:rsidRPr="00E56625">
              <w:rPr>
                <w:sz w:val="18"/>
                <w:szCs w:val="18"/>
                <w:lang w:val="en-US"/>
              </w:rPr>
              <w:t>2.1%</w:t>
            </w:r>
          </w:p>
          <w:p w:rsidR="00C73CC7" w:rsidRPr="00E56625" w:rsidRDefault="00C73CC7" w:rsidP="00321AFB">
            <w:pPr>
              <w:jc w:val="center"/>
              <w:rPr>
                <w:sz w:val="18"/>
                <w:szCs w:val="18"/>
                <w:lang w:val="en-US"/>
              </w:rPr>
            </w:pPr>
            <w:r w:rsidRPr="00E56625">
              <w:rPr>
                <w:sz w:val="18"/>
                <w:szCs w:val="18"/>
                <w:lang w:val="en-US"/>
              </w:rPr>
              <w:t>0.0%</w:t>
            </w:r>
          </w:p>
          <w:p w:rsidR="00C73CC7" w:rsidRPr="00E56625" w:rsidRDefault="00C73CC7" w:rsidP="00321AFB">
            <w:pPr>
              <w:jc w:val="center"/>
              <w:rPr>
                <w:sz w:val="18"/>
                <w:szCs w:val="18"/>
                <w:lang w:val="en-US"/>
              </w:rPr>
            </w:pPr>
            <w:r w:rsidRPr="00E56625">
              <w:rPr>
                <w:sz w:val="18"/>
                <w:szCs w:val="18"/>
                <w:lang w:val="en-US"/>
              </w:rPr>
              <w:t>0.5%</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0.6%</w:t>
            </w:r>
          </w:p>
          <w:p w:rsidR="00C73CC7" w:rsidRPr="00E56625" w:rsidRDefault="00C73CC7" w:rsidP="00321AFB">
            <w:pPr>
              <w:jc w:val="center"/>
              <w:rPr>
                <w:sz w:val="18"/>
                <w:szCs w:val="18"/>
                <w:lang w:val="en-US"/>
              </w:rPr>
            </w:pPr>
            <w:r w:rsidRPr="00E56625">
              <w:rPr>
                <w:sz w:val="18"/>
                <w:szCs w:val="18"/>
                <w:lang w:val="en-US"/>
              </w:rPr>
              <w:t>0.0%</w:t>
            </w:r>
          </w:p>
          <w:p w:rsidR="00C73CC7" w:rsidRPr="00E56625" w:rsidRDefault="00C73CC7" w:rsidP="00321AFB">
            <w:pPr>
              <w:jc w:val="center"/>
              <w:rPr>
                <w:sz w:val="18"/>
                <w:szCs w:val="18"/>
                <w:lang w:val="en-US"/>
              </w:rPr>
            </w:pPr>
            <w:r w:rsidRPr="00E56625">
              <w:rPr>
                <w:sz w:val="18"/>
                <w:szCs w:val="18"/>
                <w:lang w:val="en-US"/>
              </w:rPr>
              <w:t>13.3%</w:t>
            </w:r>
          </w:p>
        </w:tc>
        <w:tc>
          <w:tcPr>
            <w:tcW w:w="654" w:type="pct"/>
            <w:noWrap/>
          </w:tcPr>
          <w:p w:rsidR="00C73CC7" w:rsidRPr="00E56625" w:rsidRDefault="00C73CC7" w:rsidP="00321AFB">
            <w:pPr>
              <w:jc w:val="center"/>
              <w:rPr>
                <w:sz w:val="18"/>
                <w:szCs w:val="18"/>
                <w:lang w:val="en-US"/>
              </w:rPr>
            </w:pPr>
            <w:r w:rsidRPr="00E56625">
              <w:rPr>
                <w:sz w:val="18"/>
                <w:szCs w:val="18"/>
                <w:lang w:val="en-US"/>
              </w:rPr>
              <w:t>77.6%</w:t>
            </w:r>
          </w:p>
          <w:p w:rsidR="00C73CC7" w:rsidRPr="00E56625" w:rsidRDefault="00C73CC7" w:rsidP="00321AFB">
            <w:pPr>
              <w:jc w:val="center"/>
              <w:rPr>
                <w:sz w:val="18"/>
                <w:szCs w:val="18"/>
                <w:lang w:val="en-US"/>
              </w:rPr>
            </w:pPr>
            <w:r w:rsidRPr="00E56625">
              <w:rPr>
                <w:sz w:val="18"/>
                <w:szCs w:val="18"/>
                <w:lang w:val="en-US"/>
              </w:rPr>
              <w:t>0.3%</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5.2%</w:t>
            </w:r>
          </w:p>
          <w:p w:rsidR="00C73CC7" w:rsidRPr="00E56625" w:rsidRDefault="00C73CC7" w:rsidP="00321AFB">
            <w:pPr>
              <w:jc w:val="center"/>
              <w:rPr>
                <w:sz w:val="18"/>
                <w:szCs w:val="18"/>
                <w:lang w:val="en-US"/>
              </w:rPr>
            </w:pPr>
            <w:r w:rsidRPr="00E56625">
              <w:rPr>
                <w:sz w:val="18"/>
                <w:szCs w:val="18"/>
                <w:lang w:val="en-US"/>
              </w:rPr>
              <w:t>0.0%</w:t>
            </w:r>
          </w:p>
          <w:p w:rsidR="00C73CC7" w:rsidRPr="00E56625" w:rsidRDefault="00C73CC7" w:rsidP="00321AFB">
            <w:pPr>
              <w:jc w:val="center"/>
              <w:rPr>
                <w:sz w:val="18"/>
                <w:szCs w:val="18"/>
                <w:lang w:val="en-US"/>
              </w:rPr>
            </w:pPr>
            <w:r w:rsidRPr="00E56625">
              <w:rPr>
                <w:sz w:val="18"/>
                <w:szCs w:val="18"/>
                <w:lang w:val="en-US"/>
              </w:rPr>
              <w:t>3.7%</w:t>
            </w:r>
          </w:p>
          <w:p w:rsidR="00C73CC7" w:rsidRPr="00E56625" w:rsidRDefault="00C73CC7" w:rsidP="00321AFB">
            <w:pPr>
              <w:jc w:val="center"/>
              <w:rPr>
                <w:sz w:val="18"/>
                <w:szCs w:val="18"/>
                <w:lang w:val="en-US"/>
              </w:rPr>
            </w:pPr>
            <w:r w:rsidRPr="00E56625">
              <w:rPr>
                <w:sz w:val="18"/>
                <w:szCs w:val="18"/>
                <w:lang w:val="en-US"/>
              </w:rPr>
              <w:t>0.6%</w:t>
            </w:r>
          </w:p>
          <w:p w:rsidR="00C73CC7" w:rsidRPr="00E56625" w:rsidRDefault="00C73CC7" w:rsidP="00321AFB">
            <w:pPr>
              <w:jc w:val="center"/>
              <w:rPr>
                <w:sz w:val="18"/>
                <w:szCs w:val="18"/>
                <w:lang w:val="en-US"/>
              </w:rPr>
            </w:pPr>
            <w:r w:rsidRPr="00E56625">
              <w:rPr>
                <w:sz w:val="18"/>
                <w:szCs w:val="18"/>
                <w:lang w:val="en-US"/>
              </w:rPr>
              <w:t>0.8%</w:t>
            </w:r>
          </w:p>
          <w:p w:rsidR="00C73CC7" w:rsidRPr="00E56625" w:rsidRDefault="00C73CC7" w:rsidP="00321AFB">
            <w:pPr>
              <w:jc w:val="center"/>
              <w:rPr>
                <w:sz w:val="18"/>
                <w:szCs w:val="18"/>
                <w:lang w:val="en-US"/>
              </w:rPr>
            </w:pPr>
            <w:r w:rsidRPr="00E56625">
              <w:rPr>
                <w:sz w:val="18"/>
                <w:szCs w:val="18"/>
                <w:lang w:val="en-US"/>
              </w:rPr>
              <w:t>2.9%</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8.6%</w:t>
            </w:r>
          </w:p>
        </w:tc>
        <w:tc>
          <w:tcPr>
            <w:tcW w:w="506" w:type="pct"/>
            <w:noWrap/>
          </w:tcPr>
          <w:p w:rsidR="00C73CC7" w:rsidRPr="00E56625" w:rsidRDefault="00C73CC7" w:rsidP="00321AFB">
            <w:pPr>
              <w:jc w:val="center"/>
              <w:rPr>
                <w:sz w:val="18"/>
                <w:szCs w:val="18"/>
                <w:lang w:val="en-US"/>
              </w:rPr>
            </w:pPr>
            <w:r w:rsidRPr="00E56625">
              <w:rPr>
                <w:sz w:val="18"/>
                <w:szCs w:val="18"/>
                <w:lang w:val="en-US"/>
              </w:rPr>
              <w:t>60.2%</w:t>
            </w:r>
          </w:p>
          <w:p w:rsidR="00C73CC7" w:rsidRPr="00E56625" w:rsidRDefault="00C73CC7" w:rsidP="00321AFB">
            <w:pPr>
              <w:jc w:val="center"/>
              <w:rPr>
                <w:sz w:val="18"/>
                <w:szCs w:val="18"/>
                <w:lang w:val="en-US"/>
              </w:rPr>
            </w:pPr>
            <w:r w:rsidRPr="00E56625">
              <w:rPr>
                <w:sz w:val="18"/>
                <w:szCs w:val="18"/>
                <w:lang w:val="en-US"/>
              </w:rPr>
              <w:t>0.2%</w:t>
            </w:r>
          </w:p>
          <w:p w:rsidR="00C73CC7" w:rsidRPr="00E56625" w:rsidRDefault="00C73CC7" w:rsidP="00321AFB">
            <w:pPr>
              <w:jc w:val="center"/>
              <w:rPr>
                <w:sz w:val="18"/>
                <w:szCs w:val="18"/>
                <w:lang w:val="en-US"/>
              </w:rPr>
            </w:pPr>
            <w:r w:rsidRPr="00E56625">
              <w:rPr>
                <w:sz w:val="18"/>
                <w:szCs w:val="18"/>
                <w:lang w:val="en-US"/>
              </w:rPr>
              <w:t>0.2%</w:t>
            </w:r>
          </w:p>
          <w:p w:rsidR="00C73CC7" w:rsidRPr="00E56625" w:rsidRDefault="00C73CC7" w:rsidP="00321AFB">
            <w:pPr>
              <w:jc w:val="center"/>
              <w:rPr>
                <w:sz w:val="18"/>
                <w:szCs w:val="18"/>
                <w:lang w:val="en-US"/>
              </w:rPr>
            </w:pPr>
            <w:r w:rsidRPr="00E56625">
              <w:rPr>
                <w:sz w:val="18"/>
                <w:szCs w:val="18"/>
                <w:lang w:val="en-US"/>
              </w:rPr>
              <w:t>11.0%</w:t>
            </w:r>
          </w:p>
          <w:p w:rsidR="00C73CC7" w:rsidRPr="00E56625" w:rsidRDefault="00C73CC7" w:rsidP="00321AFB">
            <w:pPr>
              <w:jc w:val="center"/>
              <w:rPr>
                <w:sz w:val="18"/>
                <w:szCs w:val="18"/>
                <w:lang w:val="en-US"/>
              </w:rPr>
            </w:pPr>
            <w:r w:rsidRPr="00E56625">
              <w:rPr>
                <w:sz w:val="18"/>
                <w:szCs w:val="18"/>
                <w:lang w:val="en-US"/>
              </w:rPr>
              <w:t>0.0%</w:t>
            </w:r>
          </w:p>
          <w:p w:rsidR="00C73CC7" w:rsidRPr="00E56625" w:rsidRDefault="00C73CC7" w:rsidP="00321AFB">
            <w:pPr>
              <w:jc w:val="center"/>
              <w:rPr>
                <w:sz w:val="18"/>
                <w:szCs w:val="18"/>
                <w:lang w:val="en-US"/>
              </w:rPr>
            </w:pPr>
            <w:r w:rsidRPr="00E56625">
              <w:rPr>
                <w:sz w:val="18"/>
                <w:szCs w:val="18"/>
                <w:lang w:val="en-US"/>
              </w:rPr>
              <w:t>8.9%</w:t>
            </w:r>
          </w:p>
          <w:p w:rsidR="00C73CC7" w:rsidRPr="00E56625" w:rsidRDefault="00C73CC7" w:rsidP="00321AFB">
            <w:pPr>
              <w:jc w:val="center"/>
              <w:rPr>
                <w:sz w:val="18"/>
                <w:szCs w:val="18"/>
                <w:lang w:val="en-US"/>
              </w:rPr>
            </w:pPr>
            <w:r w:rsidRPr="00E56625">
              <w:rPr>
                <w:sz w:val="18"/>
                <w:szCs w:val="18"/>
                <w:lang w:val="en-US"/>
              </w:rPr>
              <w:t>1.4%</w:t>
            </w:r>
          </w:p>
          <w:p w:rsidR="00C73CC7" w:rsidRPr="00E56625" w:rsidRDefault="00C73CC7" w:rsidP="00321AFB">
            <w:pPr>
              <w:jc w:val="center"/>
              <w:rPr>
                <w:sz w:val="18"/>
                <w:szCs w:val="18"/>
                <w:lang w:val="en-US"/>
              </w:rPr>
            </w:pPr>
            <w:r w:rsidRPr="00E56625">
              <w:rPr>
                <w:sz w:val="18"/>
                <w:szCs w:val="18"/>
                <w:lang w:val="en-US"/>
              </w:rPr>
              <w:t>1.1%</w:t>
            </w:r>
          </w:p>
          <w:p w:rsidR="00C73CC7" w:rsidRPr="00E56625" w:rsidRDefault="00C73CC7" w:rsidP="00321AFB">
            <w:pPr>
              <w:jc w:val="center"/>
              <w:rPr>
                <w:sz w:val="18"/>
                <w:szCs w:val="18"/>
                <w:lang w:val="en-US"/>
              </w:rPr>
            </w:pPr>
            <w:r w:rsidRPr="00E56625">
              <w:rPr>
                <w:sz w:val="18"/>
                <w:szCs w:val="18"/>
                <w:lang w:val="en-US"/>
              </w:rPr>
              <w:t>5.9%</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11.0%</w:t>
            </w:r>
          </w:p>
        </w:tc>
        <w:tc>
          <w:tcPr>
            <w:tcW w:w="506" w:type="pct"/>
            <w:noWrap/>
          </w:tcPr>
          <w:p w:rsidR="00C73CC7" w:rsidRPr="00E56625" w:rsidRDefault="00C73CC7" w:rsidP="00321AFB">
            <w:pPr>
              <w:jc w:val="center"/>
              <w:rPr>
                <w:sz w:val="18"/>
                <w:szCs w:val="18"/>
                <w:lang w:val="en-US"/>
              </w:rPr>
            </w:pPr>
            <w:r w:rsidRPr="00E56625">
              <w:rPr>
                <w:sz w:val="18"/>
                <w:szCs w:val="18"/>
                <w:lang w:val="en-US"/>
              </w:rPr>
              <w:t>34.2%</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0.5%</w:t>
            </w:r>
          </w:p>
          <w:p w:rsidR="00C73CC7" w:rsidRPr="00E56625" w:rsidRDefault="00C73CC7" w:rsidP="00321AFB">
            <w:pPr>
              <w:jc w:val="center"/>
              <w:rPr>
                <w:sz w:val="18"/>
                <w:szCs w:val="18"/>
                <w:lang w:val="en-US"/>
              </w:rPr>
            </w:pPr>
            <w:r w:rsidRPr="00E56625">
              <w:rPr>
                <w:sz w:val="18"/>
                <w:szCs w:val="18"/>
                <w:lang w:val="en-US"/>
              </w:rPr>
              <w:t>19.4%</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15.7%</w:t>
            </w:r>
          </w:p>
          <w:p w:rsidR="00C73CC7" w:rsidRPr="00E56625" w:rsidRDefault="00C73CC7" w:rsidP="00321AFB">
            <w:pPr>
              <w:jc w:val="center"/>
              <w:rPr>
                <w:sz w:val="18"/>
                <w:szCs w:val="18"/>
                <w:lang w:val="en-US"/>
              </w:rPr>
            </w:pPr>
            <w:r w:rsidRPr="00E56625">
              <w:rPr>
                <w:sz w:val="18"/>
                <w:szCs w:val="18"/>
                <w:lang w:val="en-US"/>
              </w:rPr>
              <w:t>4.2%</w:t>
            </w:r>
          </w:p>
          <w:p w:rsidR="00C73CC7" w:rsidRPr="00E56625" w:rsidRDefault="00C73CC7" w:rsidP="00321AFB">
            <w:pPr>
              <w:jc w:val="center"/>
              <w:rPr>
                <w:sz w:val="18"/>
                <w:szCs w:val="18"/>
                <w:lang w:val="en-US"/>
              </w:rPr>
            </w:pPr>
            <w:r w:rsidRPr="00E56625">
              <w:rPr>
                <w:sz w:val="18"/>
                <w:szCs w:val="18"/>
                <w:lang w:val="en-US"/>
              </w:rPr>
              <w:t>2.1%</w:t>
            </w:r>
          </w:p>
          <w:p w:rsidR="00C73CC7" w:rsidRPr="00E56625" w:rsidRDefault="00C73CC7" w:rsidP="00321AFB">
            <w:pPr>
              <w:jc w:val="center"/>
              <w:rPr>
                <w:sz w:val="18"/>
                <w:szCs w:val="18"/>
                <w:lang w:val="en-US"/>
              </w:rPr>
            </w:pPr>
            <w:r w:rsidRPr="00E56625">
              <w:rPr>
                <w:sz w:val="18"/>
                <w:szCs w:val="18"/>
                <w:lang w:val="en-US"/>
              </w:rPr>
              <w:t>12.7%</w:t>
            </w:r>
          </w:p>
          <w:p w:rsidR="00C73CC7" w:rsidRPr="00E56625" w:rsidRDefault="00C73CC7" w:rsidP="00321AFB">
            <w:pPr>
              <w:jc w:val="center"/>
              <w:rPr>
                <w:sz w:val="18"/>
                <w:szCs w:val="18"/>
                <w:lang w:val="en-US"/>
              </w:rPr>
            </w:pPr>
            <w:r w:rsidRPr="00E56625">
              <w:rPr>
                <w:sz w:val="18"/>
                <w:szCs w:val="18"/>
                <w:lang w:val="en-US"/>
              </w:rPr>
              <w:t>0.3%</w:t>
            </w:r>
          </w:p>
          <w:p w:rsidR="00C73CC7" w:rsidRPr="00E56625" w:rsidRDefault="00C73CC7" w:rsidP="00321AFB">
            <w:pPr>
              <w:jc w:val="center"/>
              <w:rPr>
                <w:sz w:val="18"/>
                <w:szCs w:val="18"/>
                <w:lang w:val="en-US"/>
              </w:rPr>
            </w:pPr>
            <w:r w:rsidRPr="00E56625">
              <w:rPr>
                <w:sz w:val="18"/>
                <w:szCs w:val="18"/>
                <w:lang w:val="en-US"/>
              </w:rPr>
              <w:t>10.8%</w:t>
            </w:r>
          </w:p>
        </w:tc>
        <w:tc>
          <w:tcPr>
            <w:tcW w:w="289" w:type="pct"/>
            <w:noWrap/>
          </w:tcPr>
          <w:p w:rsidR="00C73CC7" w:rsidRPr="00E56625" w:rsidRDefault="00C73CC7" w:rsidP="00321AFB">
            <w:pPr>
              <w:jc w:val="center"/>
              <w:rPr>
                <w:sz w:val="18"/>
                <w:szCs w:val="18"/>
                <w:lang w:val="en-US"/>
              </w:rPr>
            </w:pPr>
            <w:r w:rsidRPr="00E56625">
              <w:rPr>
                <w:sz w:val="18"/>
                <w:szCs w:val="18"/>
                <w:lang w:val="en-US"/>
              </w:rPr>
              <w:t>22.6%</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0.3%</w:t>
            </w:r>
          </w:p>
          <w:p w:rsidR="00C73CC7" w:rsidRPr="00E56625" w:rsidRDefault="00C73CC7" w:rsidP="00321AFB">
            <w:pPr>
              <w:jc w:val="center"/>
              <w:rPr>
                <w:sz w:val="18"/>
                <w:szCs w:val="18"/>
                <w:lang w:val="en-US"/>
              </w:rPr>
            </w:pPr>
            <w:r w:rsidRPr="00E56625">
              <w:rPr>
                <w:sz w:val="18"/>
                <w:szCs w:val="18"/>
                <w:lang w:val="en-US"/>
              </w:rPr>
              <w:t>18.3%</w:t>
            </w:r>
          </w:p>
          <w:p w:rsidR="00C73CC7" w:rsidRPr="00E56625" w:rsidRDefault="00C73CC7" w:rsidP="00321AFB">
            <w:pPr>
              <w:jc w:val="center"/>
              <w:rPr>
                <w:sz w:val="18"/>
                <w:szCs w:val="18"/>
                <w:lang w:val="en-US"/>
              </w:rPr>
            </w:pPr>
            <w:r w:rsidRPr="00E56625">
              <w:rPr>
                <w:sz w:val="18"/>
                <w:szCs w:val="18"/>
                <w:lang w:val="en-US"/>
              </w:rPr>
              <w:t>0.2%</w:t>
            </w:r>
          </w:p>
          <w:p w:rsidR="00C73CC7" w:rsidRPr="00E56625" w:rsidRDefault="00C73CC7" w:rsidP="00321AFB">
            <w:pPr>
              <w:jc w:val="center"/>
              <w:rPr>
                <w:sz w:val="18"/>
                <w:szCs w:val="18"/>
                <w:lang w:val="en-US"/>
              </w:rPr>
            </w:pPr>
            <w:r w:rsidRPr="00E56625">
              <w:rPr>
                <w:sz w:val="18"/>
                <w:szCs w:val="18"/>
                <w:lang w:val="en-US"/>
              </w:rPr>
              <w:t>18.4%</w:t>
            </w:r>
          </w:p>
          <w:p w:rsidR="00C73CC7" w:rsidRPr="00E56625" w:rsidRDefault="00C73CC7" w:rsidP="00321AFB">
            <w:pPr>
              <w:jc w:val="center"/>
              <w:rPr>
                <w:sz w:val="18"/>
                <w:szCs w:val="18"/>
                <w:lang w:val="en-US"/>
              </w:rPr>
            </w:pPr>
            <w:r w:rsidRPr="00E56625">
              <w:rPr>
                <w:sz w:val="18"/>
                <w:szCs w:val="18"/>
                <w:lang w:val="en-US"/>
              </w:rPr>
              <w:t>5.6%</w:t>
            </w:r>
          </w:p>
          <w:p w:rsidR="00C73CC7" w:rsidRPr="00E56625" w:rsidRDefault="00C73CC7" w:rsidP="00321AFB">
            <w:pPr>
              <w:jc w:val="center"/>
              <w:rPr>
                <w:sz w:val="18"/>
                <w:szCs w:val="18"/>
                <w:lang w:val="en-US"/>
              </w:rPr>
            </w:pPr>
            <w:r w:rsidRPr="00E56625">
              <w:rPr>
                <w:sz w:val="18"/>
                <w:szCs w:val="18"/>
                <w:lang w:val="en-US"/>
              </w:rPr>
              <w:t>2.1%</w:t>
            </w:r>
          </w:p>
          <w:p w:rsidR="00C73CC7" w:rsidRPr="00E56625" w:rsidRDefault="00C73CC7" w:rsidP="00321AFB">
            <w:pPr>
              <w:jc w:val="center"/>
              <w:rPr>
                <w:sz w:val="18"/>
                <w:szCs w:val="18"/>
                <w:lang w:val="en-US"/>
              </w:rPr>
            </w:pPr>
            <w:r w:rsidRPr="00E56625">
              <w:rPr>
                <w:sz w:val="18"/>
                <w:szCs w:val="18"/>
                <w:lang w:val="en-US"/>
              </w:rPr>
              <w:t>14.8%</w:t>
            </w:r>
          </w:p>
          <w:p w:rsidR="00C73CC7" w:rsidRPr="00E56625" w:rsidRDefault="00C73CC7" w:rsidP="00321AFB">
            <w:pPr>
              <w:jc w:val="center"/>
              <w:rPr>
                <w:sz w:val="18"/>
                <w:szCs w:val="18"/>
                <w:lang w:val="en-US"/>
              </w:rPr>
            </w:pPr>
            <w:r w:rsidRPr="00E56625">
              <w:rPr>
                <w:sz w:val="18"/>
                <w:szCs w:val="18"/>
                <w:lang w:val="en-US"/>
              </w:rPr>
              <w:t>0.5%</w:t>
            </w:r>
          </w:p>
          <w:p w:rsidR="00C73CC7" w:rsidRPr="00E56625" w:rsidRDefault="00C73CC7" w:rsidP="00321AFB">
            <w:pPr>
              <w:jc w:val="center"/>
              <w:rPr>
                <w:sz w:val="18"/>
                <w:szCs w:val="18"/>
                <w:lang w:val="en-US"/>
              </w:rPr>
            </w:pPr>
            <w:r w:rsidRPr="00E56625">
              <w:rPr>
                <w:sz w:val="18"/>
                <w:szCs w:val="18"/>
                <w:lang w:val="en-US"/>
              </w:rPr>
              <w:t>17.1%</w:t>
            </w:r>
          </w:p>
        </w:tc>
        <w:tc>
          <w:tcPr>
            <w:tcW w:w="333" w:type="pct"/>
            <w:gridSpan w:val="2"/>
            <w:noWrap/>
          </w:tcPr>
          <w:p w:rsidR="00C73CC7" w:rsidRPr="00E56625" w:rsidRDefault="00C73CC7" w:rsidP="00321AFB">
            <w:pPr>
              <w:jc w:val="center"/>
              <w:rPr>
                <w:sz w:val="18"/>
                <w:szCs w:val="18"/>
                <w:lang w:val="en-US"/>
              </w:rPr>
            </w:pPr>
            <w:r w:rsidRPr="00E56625">
              <w:rPr>
                <w:sz w:val="18"/>
                <w:szCs w:val="18"/>
                <w:lang w:val="en-US"/>
              </w:rPr>
              <w:t>16.8%</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0.2%</w:t>
            </w:r>
          </w:p>
          <w:p w:rsidR="00C73CC7" w:rsidRPr="00E56625" w:rsidRDefault="00C73CC7" w:rsidP="00321AFB">
            <w:pPr>
              <w:jc w:val="center"/>
              <w:rPr>
                <w:sz w:val="18"/>
                <w:szCs w:val="18"/>
                <w:lang w:val="en-US"/>
              </w:rPr>
            </w:pPr>
            <w:r w:rsidRPr="00E56625">
              <w:rPr>
                <w:sz w:val="18"/>
                <w:szCs w:val="18"/>
                <w:lang w:val="en-US"/>
              </w:rPr>
              <w:t>28.6%</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14.4%</w:t>
            </w:r>
          </w:p>
          <w:p w:rsidR="00C73CC7" w:rsidRPr="00E56625" w:rsidRDefault="00C73CC7" w:rsidP="00321AFB">
            <w:pPr>
              <w:jc w:val="center"/>
              <w:rPr>
                <w:sz w:val="18"/>
                <w:szCs w:val="18"/>
                <w:lang w:val="en-US"/>
              </w:rPr>
            </w:pPr>
            <w:r w:rsidRPr="00E56625">
              <w:rPr>
                <w:sz w:val="18"/>
                <w:szCs w:val="18"/>
                <w:lang w:val="en-US"/>
              </w:rPr>
              <w:t>8.4%</w:t>
            </w:r>
          </w:p>
          <w:p w:rsidR="00C73CC7" w:rsidRPr="00E56625" w:rsidRDefault="00C73CC7" w:rsidP="00321AFB">
            <w:pPr>
              <w:jc w:val="center"/>
              <w:rPr>
                <w:sz w:val="18"/>
                <w:szCs w:val="18"/>
                <w:lang w:val="en-US"/>
              </w:rPr>
            </w:pPr>
            <w:r w:rsidRPr="00E56625">
              <w:rPr>
                <w:sz w:val="18"/>
                <w:szCs w:val="18"/>
                <w:lang w:val="en-US"/>
              </w:rPr>
              <w:t>1.6%</w:t>
            </w:r>
          </w:p>
          <w:p w:rsidR="00C73CC7" w:rsidRPr="00E56625" w:rsidRDefault="00C73CC7" w:rsidP="00321AFB">
            <w:pPr>
              <w:jc w:val="center"/>
              <w:rPr>
                <w:sz w:val="18"/>
                <w:szCs w:val="18"/>
                <w:lang w:val="en-US"/>
              </w:rPr>
            </w:pPr>
            <w:r w:rsidRPr="00E56625">
              <w:rPr>
                <w:sz w:val="18"/>
                <w:szCs w:val="18"/>
                <w:lang w:val="en-US"/>
              </w:rPr>
              <w:t>16.7%</w:t>
            </w:r>
          </w:p>
          <w:p w:rsidR="00C73CC7" w:rsidRPr="00E56625" w:rsidRDefault="00C73CC7" w:rsidP="00321AFB">
            <w:pPr>
              <w:jc w:val="center"/>
              <w:rPr>
                <w:sz w:val="18"/>
                <w:szCs w:val="18"/>
                <w:lang w:val="en-US"/>
              </w:rPr>
            </w:pPr>
            <w:r w:rsidRPr="00E56625">
              <w:rPr>
                <w:sz w:val="18"/>
                <w:szCs w:val="18"/>
                <w:lang w:val="en-US"/>
              </w:rPr>
              <w:t>0.4%</w:t>
            </w:r>
          </w:p>
          <w:p w:rsidR="00C73CC7" w:rsidRPr="00E56625" w:rsidRDefault="00C73CC7" w:rsidP="00321AFB">
            <w:pPr>
              <w:jc w:val="center"/>
              <w:rPr>
                <w:sz w:val="18"/>
                <w:szCs w:val="18"/>
                <w:lang w:val="en-US"/>
              </w:rPr>
            </w:pPr>
            <w:r w:rsidRPr="00E56625">
              <w:rPr>
                <w:sz w:val="18"/>
                <w:szCs w:val="18"/>
                <w:lang w:val="en-US"/>
              </w:rPr>
              <w:t>12.7%</w:t>
            </w:r>
          </w:p>
        </w:tc>
        <w:tc>
          <w:tcPr>
            <w:tcW w:w="332" w:type="pct"/>
            <w:gridSpan w:val="2"/>
            <w:noWrap/>
          </w:tcPr>
          <w:p w:rsidR="00C73CC7" w:rsidRPr="00E56625" w:rsidRDefault="00C73CC7" w:rsidP="00321AFB">
            <w:pPr>
              <w:jc w:val="center"/>
              <w:rPr>
                <w:sz w:val="18"/>
                <w:szCs w:val="18"/>
                <w:lang w:val="en-US"/>
              </w:rPr>
            </w:pPr>
            <w:r w:rsidRPr="00E56625">
              <w:rPr>
                <w:sz w:val="18"/>
                <w:szCs w:val="18"/>
                <w:lang w:val="en-US"/>
              </w:rPr>
              <w:t>13.4%</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1.8%</w:t>
            </w:r>
          </w:p>
          <w:p w:rsidR="00C73CC7" w:rsidRPr="00E56625" w:rsidRDefault="00C73CC7" w:rsidP="00321AFB">
            <w:pPr>
              <w:jc w:val="center"/>
              <w:rPr>
                <w:sz w:val="18"/>
                <w:szCs w:val="18"/>
                <w:lang w:val="en-US"/>
              </w:rPr>
            </w:pPr>
            <w:r w:rsidRPr="00E56625">
              <w:rPr>
                <w:sz w:val="18"/>
                <w:szCs w:val="18"/>
                <w:lang w:val="en-US"/>
              </w:rPr>
              <w:t>23.5%</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20.2%</w:t>
            </w:r>
          </w:p>
          <w:p w:rsidR="00C73CC7" w:rsidRPr="00E56625" w:rsidRDefault="00C73CC7" w:rsidP="00321AFB">
            <w:pPr>
              <w:jc w:val="center"/>
              <w:rPr>
                <w:sz w:val="18"/>
                <w:szCs w:val="18"/>
                <w:lang w:val="en-US"/>
              </w:rPr>
            </w:pPr>
            <w:r w:rsidRPr="00E56625">
              <w:rPr>
                <w:sz w:val="18"/>
                <w:szCs w:val="18"/>
                <w:lang w:val="en-US"/>
              </w:rPr>
              <w:t>4.1%</w:t>
            </w:r>
          </w:p>
          <w:p w:rsidR="00C73CC7" w:rsidRPr="00E56625" w:rsidRDefault="00C73CC7" w:rsidP="00321AFB">
            <w:pPr>
              <w:jc w:val="center"/>
              <w:rPr>
                <w:sz w:val="18"/>
                <w:szCs w:val="18"/>
                <w:lang w:val="en-US"/>
              </w:rPr>
            </w:pPr>
            <w:r w:rsidRPr="00E56625">
              <w:rPr>
                <w:sz w:val="18"/>
                <w:szCs w:val="18"/>
                <w:lang w:val="en-US"/>
              </w:rPr>
              <w:t>1.6%</w:t>
            </w:r>
          </w:p>
          <w:p w:rsidR="00C73CC7" w:rsidRPr="00E56625" w:rsidRDefault="00C73CC7" w:rsidP="00321AFB">
            <w:pPr>
              <w:jc w:val="center"/>
              <w:rPr>
                <w:sz w:val="18"/>
                <w:szCs w:val="18"/>
                <w:lang w:val="en-US"/>
              </w:rPr>
            </w:pPr>
            <w:r w:rsidRPr="00E56625">
              <w:rPr>
                <w:sz w:val="18"/>
                <w:szCs w:val="18"/>
                <w:lang w:val="en-US"/>
              </w:rPr>
              <w:t>17.9%</w:t>
            </w:r>
          </w:p>
          <w:p w:rsidR="00C73CC7" w:rsidRPr="00E56625" w:rsidRDefault="00C73CC7" w:rsidP="00321AFB">
            <w:pPr>
              <w:jc w:val="center"/>
              <w:rPr>
                <w:sz w:val="18"/>
                <w:szCs w:val="18"/>
                <w:lang w:val="en-US"/>
              </w:rPr>
            </w:pPr>
            <w:r w:rsidRPr="00E56625">
              <w:rPr>
                <w:sz w:val="18"/>
                <w:szCs w:val="18"/>
                <w:lang w:val="en-US"/>
              </w:rPr>
              <w:t>0.4%</w:t>
            </w:r>
          </w:p>
          <w:p w:rsidR="00C73CC7" w:rsidRPr="00E56625" w:rsidRDefault="00C73CC7" w:rsidP="00321AFB">
            <w:pPr>
              <w:jc w:val="center"/>
              <w:rPr>
                <w:sz w:val="18"/>
                <w:szCs w:val="18"/>
                <w:lang w:val="en-US"/>
              </w:rPr>
            </w:pPr>
            <w:r w:rsidRPr="00E56625">
              <w:rPr>
                <w:sz w:val="18"/>
                <w:szCs w:val="18"/>
                <w:lang w:val="en-US"/>
              </w:rPr>
              <w:t>17.0%</w:t>
            </w:r>
          </w:p>
        </w:tc>
        <w:tc>
          <w:tcPr>
            <w:tcW w:w="362" w:type="pct"/>
            <w:noWrap/>
          </w:tcPr>
          <w:p w:rsidR="00C73CC7" w:rsidRPr="00E56625" w:rsidRDefault="00C73CC7" w:rsidP="00321AFB">
            <w:pPr>
              <w:jc w:val="center"/>
              <w:rPr>
                <w:sz w:val="18"/>
                <w:szCs w:val="18"/>
                <w:lang w:val="en-US"/>
              </w:rPr>
            </w:pPr>
            <w:r w:rsidRPr="00E56625">
              <w:rPr>
                <w:sz w:val="18"/>
                <w:szCs w:val="18"/>
                <w:lang w:val="en-US"/>
              </w:rPr>
              <w:t>9.4%</w:t>
            </w:r>
          </w:p>
          <w:p w:rsidR="00C73CC7" w:rsidRPr="00E56625" w:rsidRDefault="00C73CC7" w:rsidP="00321AFB">
            <w:pPr>
              <w:jc w:val="center"/>
              <w:rPr>
                <w:sz w:val="18"/>
                <w:szCs w:val="18"/>
                <w:lang w:val="en-US"/>
              </w:rPr>
            </w:pPr>
            <w:r w:rsidRPr="00E56625">
              <w:rPr>
                <w:sz w:val="18"/>
                <w:szCs w:val="18"/>
                <w:lang w:val="en-US"/>
              </w:rPr>
              <w:t>0.1%</w:t>
            </w:r>
          </w:p>
          <w:p w:rsidR="00C73CC7" w:rsidRPr="00E56625" w:rsidRDefault="00C73CC7" w:rsidP="00321AFB">
            <w:pPr>
              <w:jc w:val="center"/>
              <w:rPr>
                <w:sz w:val="18"/>
                <w:szCs w:val="18"/>
                <w:lang w:val="en-US"/>
              </w:rPr>
            </w:pPr>
            <w:r w:rsidRPr="00E56625">
              <w:rPr>
                <w:sz w:val="18"/>
                <w:szCs w:val="18"/>
                <w:lang w:val="en-US"/>
              </w:rPr>
              <w:t>1.1%</w:t>
            </w:r>
          </w:p>
          <w:p w:rsidR="00C73CC7" w:rsidRPr="00E56625" w:rsidRDefault="00C73CC7" w:rsidP="00321AFB">
            <w:pPr>
              <w:jc w:val="center"/>
              <w:rPr>
                <w:sz w:val="18"/>
                <w:szCs w:val="18"/>
                <w:lang w:val="en-US"/>
              </w:rPr>
            </w:pPr>
            <w:r w:rsidRPr="00E56625">
              <w:rPr>
                <w:sz w:val="18"/>
                <w:szCs w:val="18"/>
                <w:lang w:val="en-US"/>
              </w:rPr>
              <w:t>25.0%</w:t>
            </w:r>
          </w:p>
          <w:p w:rsidR="00C73CC7" w:rsidRPr="00E56625" w:rsidRDefault="00C73CC7" w:rsidP="00321AFB">
            <w:pPr>
              <w:jc w:val="center"/>
              <w:rPr>
                <w:sz w:val="18"/>
                <w:szCs w:val="18"/>
                <w:lang w:val="en-US"/>
              </w:rPr>
            </w:pPr>
            <w:r w:rsidRPr="00E56625">
              <w:rPr>
                <w:sz w:val="18"/>
                <w:szCs w:val="18"/>
                <w:lang w:val="en-US"/>
              </w:rPr>
              <w:t>0.4%</w:t>
            </w:r>
          </w:p>
          <w:p w:rsidR="00C73CC7" w:rsidRPr="00E56625" w:rsidRDefault="00C73CC7" w:rsidP="00321AFB">
            <w:pPr>
              <w:jc w:val="center"/>
              <w:rPr>
                <w:sz w:val="18"/>
                <w:szCs w:val="18"/>
                <w:lang w:val="en-US"/>
              </w:rPr>
            </w:pPr>
            <w:r w:rsidRPr="00E56625">
              <w:rPr>
                <w:sz w:val="18"/>
                <w:szCs w:val="18"/>
                <w:lang w:val="en-US"/>
              </w:rPr>
              <w:t>19.4%</w:t>
            </w:r>
          </w:p>
          <w:p w:rsidR="00C73CC7" w:rsidRPr="00E56625" w:rsidRDefault="00C73CC7" w:rsidP="00321AFB">
            <w:pPr>
              <w:jc w:val="center"/>
              <w:rPr>
                <w:sz w:val="18"/>
                <w:szCs w:val="18"/>
                <w:lang w:val="en-US"/>
              </w:rPr>
            </w:pPr>
            <w:r w:rsidRPr="00E56625">
              <w:rPr>
                <w:sz w:val="18"/>
                <w:szCs w:val="18"/>
                <w:lang w:val="en-US"/>
              </w:rPr>
              <w:t>5.3%</w:t>
            </w:r>
          </w:p>
          <w:p w:rsidR="00C73CC7" w:rsidRPr="00E56625" w:rsidRDefault="00C73CC7" w:rsidP="00321AFB">
            <w:pPr>
              <w:jc w:val="center"/>
              <w:rPr>
                <w:sz w:val="18"/>
                <w:szCs w:val="18"/>
                <w:lang w:val="en-US"/>
              </w:rPr>
            </w:pPr>
            <w:r w:rsidRPr="00E56625">
              <w:rPr>
                <w:sz w:val="18"/>
                <w:szCs w:val="18"/>
                <w:lang w:val="en-US"/>
              </w:rPr>
              <w:t>2.5%</w:t>
            </w:r>
          </w:p>
          <w:p w:rsidR="00C73CC7" w:rsidRPr="00E56625" w:rsidRDefault="00C73CC7" w:rsidP="00321AFB">
            <w:pPr>
              <w:jc w:val="center"/>
              <w:rPr>
                <w:sz w:val="18"/>
                <w:szCs w:val="18"/>
                <w:lang w:val="en-US"/>
              </w:rPr>
            </w:pPr>
            <w:r w:rsidRPr="00E56625">
              <w:rPr>
                <w:sz w:val="18"/>
                <w:szCs w:val="18"/>
                <w:lang w:val="en-US"/>
              </w:rPr>
              <w:t>21.0%</w:t>
            </w:r>
          </w:p>
          <w:p w:rsidR="00C73CC7" w:rsidRPr="00E56625" w:rsidRDefault="00C73CC7" w:rsidP="00321AFB">
            <w:pPr>
              <w:jc w:val="center"/>
              <w:rPr>
                <w:sz w:val="18"/>
                <w:szCs w:val="18"/>
                <w:lang w:val="en-US"/>
              </w:rPr>
            </w:pPr>
            <w:r w:rsidRPr="00E56625">
              <w:rPr>
                <w:sz w:val="18"/>
                <w:szCs w:val="18"/>
                <w:lang w:val="en-US"/>
              </w:rPr>
              <w:t>1.2%</w:t>
            </w:r>
          </w:p>
          <w:p w:rsidR="00C73CC7" w:rsidRPr="00E56625" w:rsidRDefault="00C73CC7" w:rsidP="00321AFB">
            <w:pPr>
              <w:jc w:val="center"/>
              <w:rPr>
                <w:sz w:val="18"/>
                <w:szCs w:val="18"/>
                <w:lang w:val="en-US"/>
              </w:rPr>
            </w:pPr>
            <w:r w:rsidRPr="00E56625">
              <w:rPr>
                <w:sz w:val="18"/>
                <w:szCs w:val="18"/>
                <w:lang w:val="en-US"/>
              </w:rPr>
              <w:t>14.5%</w:t>
            </w:r>
          </w:p>
        </w:tc>
      </w:tr>
      <w:tr w:rsidR="00C73CC7" w:rsidRPr="008F3531" w:rsidTr="00DF293B">
        <w:trPr>
          <w:trHeight w:val="152"/>
        </w:trPr>
        <w:tc>
          <w:tcPr>
            <w:tcW w:w="5000" w:type="pct"/>
            <w:gridSpan w:val="11"/>
            <w:noWrap/>
            <w:hideMark/>
          </w:tcPr>
          <w:p w:rsidR="00C73CC7" w:rsidRPr="00E56625" w:rsidRDefault="00C73CC7" w:rsidP="00321AFB">
            <w:pPr>
              <w:rPr>
                <w:sz w:val="18"/>
                <w:szCs w:val="18"/>
                <w:lang w:val="en-US"/>
              </w:rPr>
            </w:pPr>
            <w:r w:rsidRPr="00E56625">
              <w:rPr>
                <w:b/>
                <w:bCs/>
                <w:sz w:val="18"/>
                <w:szCs w:val="18"/>
                <w:lang w:val="en-US"/>
              </w:rPr>
              <w:t>Occupational status (occupied workers, ages 15-64)</w:t>
            </w:r>
          </w:p>
        </w:tc>
      </w:tr>
      <w:tr w:rsidR="00C73CC7" w:rsidRPr="008F3531" w:rsidTr="00DF293B">
        <w:trPr>
          <w:trHeight w:val="300"/>
        </w:trPr>
        <w:tc>
          <w:tcPr>
            <w:tcW w:w="1530" w:type="pct"/>
            <w:noWrap/>
            <w:hideMark/>
          </w:tcPr>
          <w:p w:rsidR="00C73CC7" w:rsidRPr="00E56625" w:rsidRDefault="00C73CC7" w:rsidP="00321AFB">
            <w:pPr>
              <w:rPr>
                <w:sz w:val="18"/>
                <w:szCs w:val="18"/>
                <w:lang w:val="en-US"/>
              </w:rPr>
            </w:pPr>
            <w:r w:rsidRPr="00E56625">
              <w:rPr>
                <w:sz w:val="18"/>
                <w:szCs w:val="18"/>
                <w:lang w:val="en-US"/>
              </w:rPr>
              <w:t xml:space="preserve">  Wage labor</w:t>
            </w:r>
          </w:p>
        </w:tc>
        <w:tc>
          <w:tcPr>
            <w:tcW w:w="488" w:type="pct"/>
            <w:noWrap/>
          </w:tcPr>
          <w:p w:rsidR="00C73CC7" w:rsidRPr="00E56625" w:rsidRDefault="00C73CC7" w:rsidP="00321AFB">
            <w:pPr>
              <w:jc w:val="center"/>
              <w:rPr>
                <w:sz w:val="18"/>
                <w:szCs w:val="18"/>
                <w:lang w:val="en-US"/>
              </w:rPr>
            </w:pPr>
            <w:r w:rsidRPr="00E56625">
              <w:rPr>
                <w:sz w:val="18"/>
                <w:szCs w:val="18"/>
                <w:lang w:val="en-US"/>
              </w:rPr>
              <w:t>1.5%</w:t>
            </w:r>
          </w:p>
        </w:tc>
        <w:tc>
          <w:tcPr>
            <w:tcW w:w="654" w:type="pct"/>
            <w:noWrap/>
          </w:tcPr>
          <w:p w:rsidR="00C73CC7" w:rsidRPr="00E56625" w:rsidRDefault="00C73CC7" w:rsidP="00321AFB">
            <w:pPr>
              <w:jc w:val="center"/>
              <w:rPr>
                <w:sz w:val="18"/>
                <w:szCs w:val="18"/>
                <w:lang w:val="en-US"/>
              </w:rPr>
            </w:pPr>
            <w:r w:rsidRPr="00E56625">
              <w:rPr>
                <w:sz w:val="18"/>
                <w:szCs w:val="18"/>
                <w:lang w:val="en-US"/>
              </w:rPr>
              <w:t>6.7%</w:t>
            </w:r>
          </w:p>
        </w:tc>
        <w:tc>
          <w:tcPr>
            <w:tcW w:w="506" w:type="pct"/>
            <w:noWrap/>
          </w:tcPr>
          <w:p w:rsidR="00C73CC7" w:rsidRPr="00E56625" w:rsidRDefault="00C73CC7" w:rsidP="00321AFB">
            <w:pPr>
              <w:jc w:val="center"/>
              <w:rPr>
                <w:sz w:val="18"/>
                <w:szCs w:val="18"/>
                <w:lang w:val="en-US"/>
              </w:rPr>
            </w:pPr>
            <w:r w:rsidRPr="00E56625">
              <w:rPr>
                <w:sz w:val="18"/>
                <w:szCs w:val="18"/>
                <w:lang w:val="en-US"/>
              </w:rPr>
              <w:t>13.7%</w:t>
            </w:r>
          </w:p>
        </w:tc>
        <w:tc>
          <w:tcPr>
            <w:tcW w:w="506" w:type="pct"/>
            <w:noWrap/>
          </w:tcPr>
          <w:p w:rsidR="00C73CC7" w:rsidRPr="00E56625" w:rsidRDefault="00C73CC7" w:rsidP="00321AFB">
            <w:pPr>
              <w:jc w:val="center"/>
              <w:rPr>
                <w:sz w:val="18"/>
                <w:szCs w:val="18"/>
                <w:lang w:val="en-US"/>
              </w:rPr>
            </w:pPr>
            <w:r w:rsidRPr="00E56625">
              <w:rPr>
                <w:sz w:val="18"/>
                <w:szCs w:val="18"/>
                <w:lang w:val="en-US"/>
              </w:rPr>
              <w:t>24.9%</w:t>
            </w:r>
          </w:p>
        </w:tc>
        <w:tc>
          <w:tcPr>
            <w:tcW w:w="289" w:type="pct"/>
            <w:noWrap/>
          </w:tcPr>
          <w:p w:rsidR="00C73CC7" w:rsidRPr="00E56625" w:rsidRDefault="00C73CC7" w:rsidP="00321AFB">
            <w:pPr>
              <w:jc w:val="center"/>
              <w:rPr>
                <w:sz w:val="18"/>
                <w:szCs w:val="18"/>
                <w:lang w:val="en-US"/>
              </w:rPr>
            </w:pPr>
            <w:r w:rsidRPr="00E56625">
              <w:rPr>
                <w:sz w:val="18"/>
                <w:szCs w:val="18"/>
                <w:lang w:val="en-US"/>
              </w:rPr>
              <w:t>30.6%</w:t>
            </w:r>
          </w:p>
        </w:tc>
        <w:tc>
          <w:tcPr>
            <w:tcW w:w="333" w:type="pct"/>
            <w:gridSpan w:val="2"/>
            <w:noWrap/>
          </w:tcPr>
          <w:p w:rsidR="00C73CC7" w:rsidRPr="00E56625" w:rsidRDefault="00C73CC7" w:rsidP="00321AFB">
            <w:pPr>
              <w:jc w:val="center"/>
              <w:rPr>
                <w:sz w:val="18"/>
                <w:szCs w:val="18"/>
                <w:lang w:val="en-US"/>
              </w:rPr>
            </w:pPr>
            <w:r w:rsidRPr="00E56625">
              <w:rPr>
                <w:sz w:val="18"/>
                <w:szCs w:val="18"/>
                <w:lang w:val="en-US"/>
              </w:rPr>
              <w:t>27.4%</w:t>
            </w:r>
          </w:p>
        </w:tc>
        <w:tc>
          <w:tcPr>
            <w:tcW w:w="332" w:type="pct"/>
            <w:gridSpan w:val="2"/>
            <w:noWrap/>
          </w:tcPr>
          <w:p w:rsidR="00C73CC7" w:rsidRPr="00E56625" w:rsidRDefault="00C73CC7" w:rsidP="00321AFB">
            <w:pPr>
              <w:jc w:val="center"/>
              <w:rPr>
                <w:sz w:val="18"/>
                <w:szCs w:val="18"/>
                <w:lang w:val="en-US"/>
              </w:rPr>
            </w:pPr>
            <w:r w:rsidRPr="00E56625">
              <w:rPr>
                <w:sz w:val="18"/>
                <w:szCs w:val="18"/>
                <w:lang w:val="en-US"/>
              </w:rPr>
              <w:t>32.9%</w:t>
            </w:r>
          </w:p>
        </w:tc>
        <w:tc>
          <w:tcPr>
            <w:tcW w:w="362" w:type="pct"/>
            <w:noWrap/>
          </w:tcPr>
          <w:p w:rsidR="00C73CC7" w:rsidRPr="00E56625" w:rsidRDefault="00C73CC7" w:rsidP="00321AFB">
            <w:pPr>
              <w:jc w:val="center"/>
              <w:rPr>
                <w:sz w:val="18"/>
                <w:szCs w:val="18"/>
                <w:lang w:val="en-US"/>
              </w:rPr>
            </w:pPr>
            <w:r w:rsidRPr="00E56625">
              <w:rPr>
                <w:sz w:val="18"/>
                <w:szCs w:val="18"/>
                <w:lang w:val="en-US"/>
              </w:rPr>
              <w:t>35.0%</w:t>
            </w:r>
          </w:p>
        </w:tc>
      </w:tr>
    </w:tbl>
    <w:p w:rsidR="004E246E" w:rsidRPr="00E56625" w:rsidRDefault="004E246E" w:rsidP="00070C1C">
      <w:pPr>
        <w:spacing w:after="0"/>
        <w:jc w:val="center"/>
        <w:rPr>
          <w:b/>
          <w:lang w:val="en-US"/>
        </w:rPr>
      </w:pPr>
    </w:p>
    <w:p w:rsidR="004E246E" w:rsidRPr="00E56625" w:rsidRDefault="004E246E">
      <w:pPr>
        <w:rPr>
          <w:b/>
          <w:lang w:val="en-US"/>
        </w:rPr>
      </w:pPr>
      <w:r w:rsidRPr="00E56625">
        <w:rPr>
          <w:b/>
          <w:lang w:val="en-US"/>
        </w:rPr>
        <w:br w:type="page"/>
      </w:r>
    </w:p>
    <w:p w:rsidR="00C73CC7" w:rsidRPr="00E56625" w:rsidRDefault="004E246E" w:rsidP="00070C1C">
      <w:pPr>
        <w:spacing w:after="0"/>
        <w:jc w:val="center"/>
        <w:rPr>
          <w:b/>
          <w:lang w:val="en-US"/>
        </w:rPr>
      </w:pPr>
      <w:r w:rsidRPr="00E56625">
        <w:rPr>
          <w:b/>
          <w:lang w:val="en-US"/>
        </w:rPr>
        <w:t xml:space="preserve">Annex </w:t>
      </w:r>
      <w:r w:rsidR="00C73CC7" w:rsidRPr="00E56625">
        <w:rPr>
          <w:b/>
          <w:lang w:val="en-US"/>
        </w:rPr>
        <w:t>2</w:t>
      </w:r>
      <w:r w:rsidR="00DF293B" w:rsidRPr="00E56625">
        <w:rPr>
          <w:b/>
          <w:lang w:val="en-US"/>
        </w:rPr>
        <w:t>:</w:t>
      </w:r>
      <w:r w:rsidR="00C73CC7" w:rsidRPr="00E56625">
        <w:rPr>
          <w:b/>
          <w:lang w:val="en-US"/>
        </w:rPr>
        <w:t xml:space="preserve"> Population characteristics by place type (1998)</w:t>
      </w:r>
    </w:p>
    <w:tbl>
      <w:tblPr>
        <w:tblStyle w:val="TableGrid"/>
        <w:tblW w:w="5000" w:type="pct"/>
        <w:tblLook w:val="04A0" w:firstRow="1" w:lastRow="0" w:firstColumn="1" w:lastColumn="0" w:noHBand="0" w:noVBand="1"/>
      </w:tblPr>
      <w:tblGrid>
        <w:gridCol w:w="4456"/>
        <w:gridCol w:w="1234"/>
        <w:gridCol w:w="1347"/>
        <w:gridCol w:w="1358"/>
        <w:gridCol w:w="1358"/>
        <w:gridCol w:w="776"/>
        <w:gridCol w:w="76"/>
        <w:gridCol w:w="895"/>
        <w:gridCol w:w="62"/>
        <w:gridCol w:w="841"/>
        <w:gridCol w:w="1123"/>
      </w:tblGrid>
      <w:tr w:rsidR="00C73CC7" w:rsidRPr="008F3531" w:rsidTr="00DF293B">
        <w:trPr>
          <w:trHeight w:val="1286"/>
        </w:trPr>
        <w:tc>
          <w:tcPr>
            <w:tcW w:w="1647" w:type="pct"/>
            <w:tcBorders>
              <w:top w:val="single" w:sz="4" w:space="0" w:color="auto"/>
              <w:left w:val="single" w:sz="4" w:space="0" w:color="auto"/>
              <w:bottom w:val="single" w:sz="4" w:space="0" w:color="auto"/>
              <w:right w:val="single" w:sz="4" w:space="0" w:color="auto"/>
            </w:tcBorders>
            <w:noWrap/>
            <w:hideMark/>
          </w:tcPr>
          <w:p w:rsidR="00C73CC7" w:rsidRPr="00E56625" w:rsidRDefault="00C73CC7" w:rsidP="00321AFB">
            <w:pPr>
              <w:rPr>
                <w:b/>
                <w:bCs/>
                <w:sz w:val="19"/>
                <w:szCs w:val="19"/>
                <w:lang w:val="en-US"/>
              </w:rPr>
            </w:pPr>
          </w:p>
        </w:tc>
        <w:tc>
          <w:tcPr>
            <w:tcW w:w="456"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Village</w:t>
            </w:r>
          </w:p>
          <w:p w:rsidR="00C73CC7" w:rsidRPr="00E56625" w:rsidRDefault="00C73CC7" w:rsidP="00321AFB">
            <w:pPr>
              <w:jc w:val="center"/>
              <w:rPr>
                <w:b/>
                <w:bCs/>
                <w:sz w:val="19"/>
                <w:szCs w:val="19"/>
                <w:lang w:val="en-US"/>
              </w:rPr>
            </w:pPr>
            <w:r w:rsidRPr="00E56625">
              <w:rPr>
                <w:b/>
                <w:bCs/>
                <w:sz w:val="19"/>
                <w:szCs w:val="19"/>
                <w:lang w:val="en-US"/>
              </w:rPr>
              <w:t>Population &lt;5,000</w:t>
            </w:r>
          </w:p>
        </w:tc>
        <w:tc>
          <w:tcPr>
            <w:tcW w:w="498"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Rural Town</w:t>
            </w:r>
          </w:p>
          <w:p w:rsidR="00C73CC7" w:rsidRPr="00E56625" w:rsidRDefault="00C73CC7" w:rsidP="00321AFB">
            <w:pPr>
              <w:jc w:val="center"/>
              <w:rPr>
                <w:b/>
                <w:bCs/>
                <w:sz w:val="19"/>
                <w:szCs w:val="19"/>
                <w:lang w:val="en-US"/>
              </w:rPr>
            </w:pPr>
            <w:r w:rsidRPr="00E56625">
              <w:rPr>
                <w:b/>
                <w:bCs/>
                <w:sz w:val="19"/>
                <w:szCs w:val="19"/>
                <w:lang w:val="en-US"/>
              </w:rPr>
              <w:t xml:space="preserve">Population </w:t>
            </w:r>
            <w:r w:rsidRPr="00E56625">
              <w:rPr>
                <w:b/>
                <w:bCs/>
                <w:sz w:val="19"/>
                <w:szCs w:val="19"/>
                <w:lang w:val="en-US"/>
              </w:rPr>
              <w:sym w:font="Symbol" w:char="F0B3"/>
            </w:r>
            <w:r w:rsidRPr="00E56625">
              <w:rPr>
                <w:b/>
                <w:bCs/>
                <w:sz w:val="19"/>
                <w:szCs w:val="19"/>
                <w:lang w:val="en-US"/>
              </w:rPr>
              <w:t>5,000</w:t>
            </w:r>
          </w:p>
          <w:p w:rsidR="00C73CC7" w:rsidRPr="00E56625" w:rsidRDefault="00C73CC7" w:rsidP="00321AFB">
            <w:pPr>
              <w:jc w:val="center"/>
              <w:rPr>
                <w:b/>
                <w:bCs/>
                <w:sz w:val="19"/>
                <w:szCs w:val="19"/>
                <w:lang w:val="en-US"/>
              </w:rPr>
            </w:pPr>
            <w:r w:rsidRPr="00E56625">
              <w:rPr>
                <w:b/>
                <w:bCs/>
                <w:sz w:val="19"/>
                <w:szCs w:val="19"/>
                <w:lang w:val="en-US"/>
              </w:rPr>
              <w:t>&lt;30,000 density&lt;250 people/</w:t>
            </w:r>
            <w:r w:rsidR="00C8297A" w:rsidRPr="00C8297A">
              <w:rPr>
                <w:b/>
                <w:bCs/>
                <w:sz w:val="19"/>
                <w:szCs w:val="19"/>
                <w:lang w:val="en-US"/>
              </w:rPr>
              <w:t>km2</w:t>
            </w:r>
          </w:p>
        </w:tc>
        <w:tc>
          <w:tcPr>
            <w:tcW w:w="502"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Town</w:t>
            </w:r>
          </w:p>
          <w:p w:rsidR="00C73CC7" w:rsidRPr="00E56625" w:rsidRDefault="00C73CC7" w:rsidP="00321AFB">
            <w:pPr>
              <w:jc w:val="center"/>
              <w:rPr>
                <w:b/>
                <w:bCs/>
                <w:sz w:val="19"/>
                <w:szCs w:val="19"/>
                <w:lang w:val="en-US"/>
              </w:rPr>
            </w:pPr>
            <w:r w:rsidRPr="00E56625">
              <w:rPr>
                <w:b/>
                <w:bCs/>
                <w:sz w:val="19"/>
                <w:szCs w:val="19"/>
                <w:lang w:val="en-US"/>
              </w:rPr>
              <w:t xml:space="preserve">Population </w:t>
            </w:r>
            <w:r w:rsidRPr="00E56625">
              <w:rPr>
                <w:b/>
                <w:bCs/>
                <w:sz w:val="19"/>
                <w:szCs w:val="19"/>
                <w:lang w:val="en-US"/>
              </w:rPr>
              <w:sym w:font="Symbol" w:char="F0B3"/>
            </w:r>
            <w:r w:rsidRPr="00E56625">
              <w:rPr>
                <w:b/>
                <w:bCs/>
                <w:sz w:val="19"/>
                <w:szCs w:val="19"/>
                <w:lang w:val="en-US"/>
              </w:rPr>
              <w:t>5,000</w:t>
            </w:r>
          </w:p>
          <w:p w:rsidR="00C73CC7" w:rsidRPr="00E56625" w:rsidRDefault="00C73CC7" w:rsidP="00321AFB">
            <w:pPr>
              <w:jc w:val="center"/>
              <w:rPr>
                <w:b/>
                <w:bCs/>
                <w:sz w:val="19"/>
                <w:szCs w:val="19"/>
                <w:lang w:val="en-US"/>
              </w:rPr>
            </w:pPr>
            <w:r w:rsidRPr="00E56625">
              <w:rPr>
                <w:b/>
                <w:bCs/>
                <w:sz w:val="19"/>
                <w:szCs w:val="19"/>
                <w:lang w:val="en-US"/>
              </w:rPr>
              <w:t>&lt;30,000 density</w:t>
            </w:r>
            <w:r w:rsidRPr="00E56625">
              <w:rPr>
                <w:b/>
                <w:bCs/>
                <w:sz w:val="19"/>
                <w:szCs w:val="19"/>
                <w:lang w:val="en-US"/>
              </w:rPr>
              <w:sym w:font="Symbol" w:char="F0B3"/>
            </w:r>
            <w:r w:rsidRPr="00E56625">
              <w:rPr>
                <w:b/>
                <w:bCs/>
                <w:sz w:val="19"/>
                <w:szCs w:val="19"/>
                <w:lang w:val="en-US"/>
              </w:rPr>
              <w:t>250 people/</w:t>
            </w:r>
            <w:r w:rsidR="00C8297A" w:rsidRPr="00C8297A">
              <w:rPr>
                <w:b/>
                <w:bCs/>
                <w:sz w:val="19"/>
                <w:szCs w:val="19"/>
                <w:lang w:val="en-US"/>
              </w:rPr>
              <w:t>km2</w:t>
            </w:r>
          </w:p>
        </w:tc>
        <w:tc>
          <w:tcPr>
            <w:tcW w:w="502"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City</w:t>
            </w:r>
          </w:p>
          <w:p w:rsidR="00C73CC7" w:rsidRPr="00E56625" w:rsidRDefault="00C73CC7" w:rsidP="00321AFB">
            <w:pPr>
              <w:jc w:val="center"/>
              <w:rPr>
                <w:b/>
                <w:bCs/>
                <w:sz w:val="19"/>
                <w:szCs w:val="19"/>
                <w:lang w:val="en-US"/>
              </w:rPr>
            </w:pPr>
            <w:r w:rsidRPr="00E56625">
              <w:rPr>
                <w:b/>
                <w:bCs/>
                <w:sz w:val="19"/>
                <w:szCs w:val="19"/>
                <w:lang w:val="en-US"/>
              </w:rPr>
              <w:t xml:space="preserve">Population </w:t>
            </w:r>
            <w:r w:rsidRPr="00E56625">
              <w:rPr>
                <w:b/>
                <w:bCs/>
                <w:sz w:val="19"/>
                <w:szCs w:val="19"/>
                <w:lang w:val="en-US"/>
              </w:rPr>
              <w:sym w:font="Symbol" w:char="F0B3"/>
            </w:r>
            <w:r w:rsidRPr="00E56625">
              <w:rPr>
                <w:b/>
                <w:bCs/>
                <w:sz w:val="19"/>
                <w:szCs w:val="19"/>
                <w:lang w:val="en-US"/>
              </w:rPr>
              <w:t>30,000 density</w:t>
            </w:r>
            <w:r w:rsidRPr="00E56625">
              <w:rPr>
                <w:b/>
                <w:bCs/>
                <w:sz w:val="19"/>
                <w:szCs w:val="19"/>
                <w:lang w:val="en-US"/>
              </w:rPr>
              <w:sym w:font="Symbol" w:char="F0B3"/>
            </w:r>
            <w:r w:rsidRPr="00E56625">
              <w:rPr>
                <w:b/>
                <w:bCs/>
                <w:sz w:val="19"/>
                <w:szCs w:val="19"/>
                <w:lang w:val="en-US"/>
              </w:rPr>
              <w:t>250 people/</w:t>
            </w:r>
            <w:r w:rsidR="00C8297A" w:rsidRPr="00C8297A">
              <w:rPr>
                <w:b/>
                <w:bCs/>
                <w:sz w:val="19"/>
                <w:szCs w:val="19"/>
                <w:lang w:val="en-US"/>
              </w:rPr>
              <w:t>km2</w:t>
            </w:r>
          </w:p>
        </w:tc>
        <w:tc>
          <w:tcPr>
            <w:tcW w:w="287"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Kayes</w:t>
            </w:r>
          </w:p>
        </w:tc>
        <w:tc>
          <w:tcPr>
            <w:tcW w:w="359" w:type="pct"/>
            <w:gridSpan w:val="2"/>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Sikasso</w:t>
            </w:r>
          </w:p>
        </w:tc>
        <w:tc>
          <w:tcPr>
            <w:tcW w:w="334" w:type="pct"/>
            <w:gridSpan w:val="2"/>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Ségou</w:t>
            </w:r>
          </w:p>
        </w:tc>
        <w:tc>
          <w:tcPr>
            <w:tcW w:w="415" w:type="pct"/>
            <w:tcBorders>
              <w:top w:val="single" w:sz="4" w:space="0" w:color="auto"/>
              <w:left w:val="single" w:sz="4" w:space="0" w:color="auto"/>
              <w:bottom w:val="single" w:sz="4" w:space="0" w:color="auto"/>
              <w:right w:val="single" w:sz="4" w:space="0" w:color="auto"/>
            </w:tcBorders>
            <w:hideMark/>
          </w:tcPr>
          <w:p w:rsidR="00C73CC7" w:rsidRPr="00E56625" w:rsidRDefault="00C73CC7" w:rsidP="00321AFB">
            <w:pPr>
              <w:jc w:val="center"/>
              <w:rPr>
                <w:b/>
                <w:bCs/>
                <w:sz w:val="19"/>
                <w:szCs w:val="19"/>
                <w:lang w:val="en-US"/>
              </w:rPr>
            </w:pPr>
            <w:r w:rsidRPr="00E56625">
              <w:rPr>
                <w:b/>
                <w:bCs/>
                <w:sz w:val="19"/>
                <w:szCs w:val="19"/>
                <w:lang w:val="en-US"/>
              </w:rPr>
              <w:t>Bamako</w:t>
            </w:r>
          </w:p>
        </w:tc>
      </w:tr>
      <w:tr w:rsidR="00C73CC7" w:rsidRPr="008F3531" w:rsidTr="00321AFB">
        <w:trPr>
          <w:trHeight w:val="80"/>
        </w:trPr>
        <w:tc>
          <w:tcPr>
            <w:tcW w:w="1647" w:type="pct"/>
            <w:tcBorders>
              <w:top w:val="single" w:sz="4" w:space="0" w:color="auto"/>
              <w:left w:val="single" w:sz="4" w:space="0" w:color="auto"/>
              <w:bottom w:val="single" w:sz="4" w:space="0" w:color="auto"/>
              <w:right w:val="single" w:sz="4" w:space="0" w:color="auto"/>
            </w:tcBorders>
            <w:noWrap/>
            <w:vAlign w:val="center"/>
            <w:hideMark/>
          </w:tcPr>
          <w:p w:rsidR="00C73CC7" w:rsidRPr="00E56625" w:rsidRDefault="00C73CC7" w:rsidP="00321AFB">
            <w:pPr>
              <w:rPr>
                <w:b/>
                <w:bCs/>
                <w:sz w:val="19"/>
                <w:szCs w:val="19"/>
                <w:lang w:val="en-US"/>
              </w:rPr>
            </w:pPr>
            <w:r w:rsidRPr="00E56625">
              <w:rPr>
                <w:b/>
                <w:bCs/>
                <w:sz w:val="19"/>
                <w:szCs w:val="19"/>
                <w:lang w:val="en-US"/>
              </w:rPr>
              <w:t>Number of places (agglomerations or villages)</w:t>
            </w:r>
          </w:p>
        </w:tc>
        <w:tc>
          <w:tcPr>
            <w:tcW w:w="456"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10,713</w:t>
            </w:r>
          </w:p>
        </w:tc>
        <w:tc>
          <w:tcPr>
            <w:tcW w:w="498"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128</w:t>
            </w:r>
          </w:p>
        </w:tc>
        <w:tc>
          <w:tcPr>
            <w:tcW w:w="502"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60</w:t>
            </w:r>
          </w:p>
        </w:tc>
        <w:tc>
          <w:tcPr>
            <w:tcW w:w="502"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11</w:t>
            </w:r>
          </w:p>
        </w:tc>
        <w:tc>
          <w:tcPr>
            <w:tcW w:w="287"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1</w:t>
            </w:r>
          </w:p>
        </w:tc>
        <w:tc>
          <w:tcPr>
            <w:tcW w:w="359" w:type="pct"/>
            <w:gridSpan w:val="2"/>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1</w:t>
            </w:r>
          </w:p>
        </w:tc>
        <w:tc>
          <w:tcPr>
            <w:tcW w:w="334" w:type="pct"/>
            <w:gridSpan w:val="2"/>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1</w:t>
            </w:r>
          </w:p>
        </w:tc>
        <w:tc>
          <w:tcPr>
            <w:tcW w:w="415" w:type="pct"/>
            <w:tcBorders>
              <w:top w:val="single" w:sz="4" w:space="0" w:color="auto"/>
              <w:left w:val="single" w:sz="4" w:space="0" w:color="auto"/>
              <w:bottom w:val="single" w:sz="4" w:space="0" w:color="auto"/>
              <w:right w:val="single" w:sz="4" w:space="0" w:color="auto"/>
            </w:tcBorders>
          </w:tcPr>
          <w:p w:rsidR="00C73CC7" w:rsidRPr="00E56625" w:rsidRDefault="00C73CC7" w:rsidP="00321AFB">
            <w:pPr>
              <w:jc w:val="center"/>
              <w:rPr>
                <w:sz w:val="19"/>
                <w:szCs w:val="19"/>
                <w:lang w:val="en-US"/>
              </w:rPr>
            </w:pPr>
            <w:r w:rsidRPr="00E56625">
              <w:rPr>
                <w:sz w:val="19"/>
                <w:szCs w:val="19"/>
                <w:lang w:val="en-US"/>
              </w:rPr>
              <w:t>1</w:t>
            </w:r>
          </w:p>
        </w:tc>
      </w:tr>
      <w:tr w:rsidR="00C73CC7" w:rsidRPr="008F3531" w:rsidTr="00321AFB">
        <w:trPr>
          <w:trHeight w:val="215"/>
        </w:trPr>
        <w:tc>
          <w:tcPr>
            <w:tcW w:w="5000" w:type="pct"/>
            <w:gridSpan w:val="11"/>
            <w:tcBorders>
              <w:top w:val="single" w:sz="4" w:space="0" w:color="auto"/>
              <w:left w:val="single" w:sz="4" w:space="0" w:color="auto"/>
              <w:bottom w:val="single" w:sz="4" w:space="0" w:color="auto"/>
              <w:right w:val="single" w:sz="4" w:space="0" w:color="auto"/>
            </w:tcBorders>
            <w:noWrap/>
            <w:hideMark/>
          </w:tcPr>
          <w:p w:rsidR="00C73CC7" w:rsidRPr="00E56625" w:rsidRDefault="00C73CC7" w:rsidP="00321AFB">
            <w:pPr>
              <w:rPr>
                <w:b/>
                <w:bCs/>
                <w:sz w:val="19"/>
                <w:szCs w:val="19"/>
                <w:lang w:val="en-US"/>
              </w:rPr>
            </w:pPr>
            <w:r w:rsidRPr="00E56625">
              <w:rPr>
                <w:b/>
                <w:bCs/>
                <w:sz w:val="19"/>
                <w:szCs w:val="19"/>
                <w:lang w:val="en-US"/>
              </w:rPr>
              <w:t>Average demographic characteristics of place</w:t>
            </w:r>
          </w:p>
        </w:tc>
      </w:tr>
      <w:tr w:rsidR="00C73CC7" w:rsidRPr="008F3531" w:rsidTr="00321AFB">
        <w:trPr>
          <w:trHeight w:val="917"/>
        </w:trPr>
        <w:tc>
          <w:tcPr>
            <w:tcW w:w="1647" w:type="pct"/>
            <w:tcBorders>
              <w:top w:val="single" w:sz="4" w:space="0" w:color="auto"/>
              <w:bottom w:val="single" w:sz="4" w:space="0" w:color="auto"/>
            </w:tcBorders>
            <w:noWrap/>
            <w:hideMark/>
          </w:tcPr>
          <w:p w:rsidR="00C73CC7" w:rsidRPr="00E56625" w:rsidRDefault="00C73CC7" w:rsidP="00321AFB">
            <w:pPr>
              <w:rPr>
                <w:sz w:val="19"/>
                <w:szCs w:val="19"/>
                <w:lang w:val="en-US"/>
              </w:rPr>
            </w:pPr>
            <w:r w:rsidRPr="00E56625">
              <w:rPr>
                <w:sz w:val="19"/>
                <w:szCs w:val="19"/>
                <w:lang w:val="en-US"/>
              </w:rPr>
              <w:t xml:space="preserve">  Population size</w:t>
            </w:r>
          </w:p>
          <w:p w:rsidR="00C73CC7" w:rsidRPr="00E56625" w:rsidRDefault="00C73CC7" w:rsidP="00321AFB">
            <w:pPr>
              <w:rPr>
                <w:sz w:val="19"/>
                <w:szCs w:val="19"/>
                <w:lang w:val="en-US"/>
              </w:rPr>
            </w:pPr>
            <w:r w:rsidRPr="00E56625">
              <w:rPr>
                <w:sz w:val="19"/>
                <w:szCs w:val="19"/>
                <w:lang w:val="en-US"/>
              </w:rPr>
              <w:t xml:space="preserve">  Ages 0-14</w:t>
            </w:r>
          </w:p>
          <w:p w:rsidR="00C73CC7" w:rsidRPr="00E56625" w:rsidRDefault="00C73CC7" w:rsidP="00321AFB">
            <w:pPr>
              <w:rPr>
                <w:sz w:val="19"/>
                <w:szCs w:val="19"/>
                <w:lang w:val="en-US"/>
              </w:rPr>
            </w:pPr>
            <w:r w:rsidRPr="00E56625">
              <w:rPr>
                <w:sz w:val="19"/>
                <w:szCs w:val="19"/>
                <w:lang w:val="en-US"/>
              </w:rPr>
              <w:t xml:space="preserve">  Ages 15-64</w:t>
            </w:r>
          </w:p>
          <w:p w:rsidR="00C73CC7" w:rsidRPr="00E56625" w:rsidRDefault="00C73CC7" w:rsidP="00321AFB">
            <w:pPr>
              <w:rPr>
                <w:sz w:val="19"/>
                <w:szCs w:val="19"/>
                <w:lang w:val="en-US"/>
              </w:rPr>
            </w:pPr>
            <w:r w:rsidRPr="00E56625">
              <w:rPr>
                <w:sz w:val="19"/>
                <w:szCs w:val="19"/>
                <w:lang w:val="en-US"/>
              </w:rPr>
              <w:t xml:space="preserve">  Ages 65 and above</w:t>
            </w:r>
          </w:p>
        </w:tc>
        <w:tc>
          <w:tcPr>
            <w:tcW w:w="456" w:type="pct"/>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646</w:t>
            </w:r>
          </w:p>
          <w:p w:rsidR="00C73CC7" w:rsidRPr="00E56625" w:rsidRDefault="00C73CC7" w:rsidP="00321AFB">
            <w:pPr>
              <w:jc w:val="center"/>
              <w:rPr>
                <w:sz w:val="19"/>
                <w:szCs w:val="19"/>
                <w:lang w:val="en-US"/>
              </w:rPr>
            </w:pPr>
            <w:r w:rsidRPr="00E56625">
              <w:rPr>
                <w:sz w:val="19"/>
                <w:szCs w:val="19"/>
                <w:lang w:val="en-US"/>
              </w:rPr>
              <w:t>46.8%</w:t>
            </w:r>
          </w:p>
          <w:p w:rsidR="00C73CC7" w:rsidRPr="00E56625" w:rsidRDefault="00C73CC7" w:rsidP="00321AFB">
            <w:pPr>
              <w:jc w:val="center"/>
              <w:rPr>
                <w:sz w:val="19"/>
                <w:szCs w:val="19"/>
                <w:lang w:val="en-US"/>
              </w:rPr>
            </w:pPr>
            <w:r w:rsidRPr="00E56625">
              <w:rPr>
                <w:sz w:val="19"/>
                <w:szCs w:val="19"/>
                <w:lang w:val="en-US"/>
              </w:rPr>
              <w:t>48.9%</w:t>
            </w:r>
          </w:p>
          <w:p w:rsidR="00C73CC7" w:rsidRPr="00E56625" w:rsidRDefault="00C73CC7" w:rsidP="00321AFB">
            <w:pPr>
              <w:jc w:val="center"/>
              <w:rPr>
                <w:b/>
                <w:sz w:val="19"/>
                <w:szCs w:val="19"/>
                <w:lang w:val="en-US"/>
              </w:rPr>
            </w:pPr>
            <w:r w:rsidRPr="00E56625">
              <w:rPr>
                <w:sz w:val="19"/>
                <w:szCs w:val="19"/>
                <w:lang w:val="en-US"/>
              </w:rPr>
              <w:t>4.3%</w:t>
            </w:r>
          </w:p>
        </w:tc>
        <w:tc>
          <w:tcPr>
            <w:tcW w:w="498" w:type="pct"/>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4,902</w:t>
            </w:r>
          </w:p>
          <w:p w:rsidR="00C73CC7" w:rsidRPr="00E56625" w:rsidRDefault="00C73CC7" w:rsidP="00321AFB">
            <w:pPr>
              <w:jc w:val="center"/>
              <w:rPr>
                <w:sz w:val="19"/>
                <w:szCs w:val="19"/>
                <w:lang w:val="en-US"/>
              </w:rPr>
            </w:pPr>
            <w:r w:rsidRPr="00E56625">
              <w:rPr>
                <w:sz w:val="19"/>
                <w:szCs w:val="19"/>
                <w:lang w:val="en-US"/>
              </w:rPr>
              <w:t>47.9%</w:t>
            </w:r>
          </w:p>
          <w:p w:rsidR="00C73CC7" w:rsidRPr="00E56625" w:rsidRDefault="00C73CC7" w:rsidP="00321AFB">
            <w:pPr>
              <w:jc w:val="center"/>
              <w:rPr>
                <w:sz w:val="19"/>
                <w:szCs w:val="19"/>
                <w:lang w:val="en-US"/>
              </w:rPr>
            </w:pPr>
            <w:r w:rsidRPr="00E56625">
              <w:rPr>
                <w:sz w:val="19"/>
                <w:szCs w:val="19"/>
                <w:lang w:val="en-US"/>
              </w:rPr>
              <w:t>48.2%</w:t>
            </w:r>
          </w:p>
          <w:p w:rsidR="00C73CC7" w:rsidRPr="00E56625" w:rsidRDefault="00C73CC7" w:rsidP="00321AFB">
            <w:pPr>
              <w:jc w:val="center"/>
              <w:rPr>
                <w:b/>
                <w:sz w:val="19"/>
                <w:szCs w:val="19"/>
                <w:lang w:val="en-US"/>
              </w:rPr>
            </w:pPr>
            <w:r w:rsidRPr="00E56625">
              <w:rPr>
                <w:sz w:val="19"/>
                <w:szCs w:val="19"/>
                <w:lang w:val="en-US"/>
              </w:rPr>
              <w:t>3.9%</w:t>
            </w:r>
          </w:p>
        </w:tc>
        <w:tc>
          <w:tcPr>
            <w:tcW w:w="502" w:type="pct"/>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7,564</w:t>
            </w:r>
          </w:p>
          <w:p w:rsidR="00C73CC7" w:rsidRPr="00E56625" w:rsidRDefault="00C73CC7" w:rsidP="00321AFB">
            <w:pPr>
              <w:jc w:val="center"/>
              <w:rPr>
                <w:sz w:val="19"/>
                <w:szCs w:val="19"/>
                <w:lang w:val="en-US"/>
              </w:rPr>
            </w:pPr>
            <w:r w:rsidRPr="00E56625">
              <w:rPr>
                <w:sz w:val="19"/>
                <w:szCs w:val="19"/>
                <w:lang w:val="en-US"/>
              </w:rPr>
              <w:t>45.7%</w:t>
            </w:r>
          </w:p>
          <w:p w:rsidR="00C73CC7" w:rsidRPr="00E56625" w:rsidRDefault="00C73CC7" w:rsidP="00321AFB">
            <w:pPr>
              <w:jc w:val="center"/>
              <w:rPr>
                <w:sz w:val="19"/>
                <w:szCs w:val="19"/>
                <w:lang w:val="en-US"/>
              </w:rPr>
            </w:pPr>
            <w:r w:rsidRPr="00E56625">
              <w:rPr>
                <w:sz w:val="19"/>
                <w:szCs w:val="19"/>
                <w:lang w:val="en-US"/>
              </w:rPr>
              <w:t>50.0%</w:t>
            </w:r>
          </w:p>
          <w:p w:rsidR="00C73CC7" w:rsidRPr="00E56625" w:rsidRDefault="00C73CC7" w:rsidP="00321AFB">
            <w:pPr>
              <w:jc w:val="center"/>
              <w:rPr>
                <w:b/>
                <w:sz w:val="19"/>
                <w:szCs w:val="19"/>
                <w:lang w:val="en-US"/>
              </w:rPr>
            </w:pPr>
            <w:r w:rsidRPr="00E56625">
              <w:rPr>
                <w:sz w:val="19"/>
                <w:szCs w:val="19"/>
                <w:lang w:val="en-US"/>
              </w:rPr>
              <w:t>4.2%</w:t>
            </w:r>
          </w:p>
        </w:tc>
        <w:tc>
          <w:tcPr>
            <w:tcW w:w="502" w:type="pct"/>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36,746</w:t>
            </w:r>
          </w:p>
          <w:p w:rsidR="00C73CC7" w:rsidRPr="00E56625" w:rsidRDefault="00C73CC7" w:rsidP="00321AFB">
            <w:pPr>
              <w:jc w:val="center"/>
              <w:rPr>
                <w:sz w:val="19"/>
                <w:szCs w:val="19"/>
                <w:lang w:val="en-US"/>
              </w:rPr>
            </w:pPr>
            <w:r w:rsidRPr="00E56625">
              <w:rPr>
                <w:sz w:val="19"/>
                <w:szCs w:val="19"/>
                <w:lang w:val="en-US"/>
              </w:rPr>
              <w:t>43.4%</w:t>
            </w:r>
          </w:p>
          <w:p w:rsidR="00C73CC7" w:rsidRPr="00E56625" w:rsidRDefault="00C73CC7" w:rsidP="00321AFB">
            <w:pPr>
              <w:jc w:val="center"/>
              <w:rPr>
                <w:sz w:val="19"/>
                <w:szCs w:val="19"/>
                <w:lang w:val="en-US"/>
              </w:rPr>
            </w:pPr>
            <w:r w:rsidRPr="00E56625">
              <w:rPr>
                <w:sz w:val="19"/>
                <w:szCs w:val="19"/>
                <w:lang w:val="en-US"/>
              </w:rPr>
              <w:t>52.9%</w:t>
            </w:r>
          </w:p>
          <w:p w:rsidR="00C73CC7" w:rsidRPr="00E56625" w:rsidRDefault="00C73CC7" w:rsidP="00321AFB">
            <w:pPr>
              <w:jc w:val="center"/>
              <w:rPr>
                <w:b/>
                <w:sz w:val="19"/>
                <w:szCs w:val="19"/>
                <w:lang w:val="en-US"/>
              </w:rPr>
            </w:pPr>
            <w:r w:rsidRPr="00E56625">
              <w:rPr>
                <w:sz w:val="19"/>
                <w:szCs w:val="19"/>
                <w:lang w:val="en-US"/>
              </w:rPr>
              <w:t>3.7%</w:t>
            </w:r>
          </w:p>
        </w:tc>
        <w:tc>
          <w:tcPr>
            <w:tcW w:w="315" w:type="pct"/>
            <w:gridSpan w:val="2"/>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71,897</w:t>
            </w:r>
          </w:p>
          <w:p w:rsidR="00C73CC7" w:rsidRPr="00E56625" w:rsidRDefault="00C73CC7" w:rsidP="00321AFB">
            <w:pPr>
              <w:jc w:val="center"/>
              <w:rPr>
                <w:sz w:val="19"/>
                <w:szCs w:val="19"/>
                <w:lang w:val="en-US"/>
              </w:rPr>
            </w:pPr>
            <w:r w:rsidRPr="00E56625">
              <w:rPr>
                <w:sz w:val="19"/>
                <w:szCs w:val="19"/>
                <w:lang w:val="en-US"/>
              </w:rPr>
              <w:t>41.0%</w:t>
            </w:r>
          </w:p>
          <w:p w:rsidR="00C73CC7" w:rsidRPr="00E56625" w:rsidRDefault="00C73CC7" w:rsidP="00321AFB">
            <w:pPr>
              <w:jc w:val="center"/>
              <w:rPr>
                <w:sz w:val="19"/>
                <w:szCs w:val="19"/>
                <w:lang w:val="en-US"/>
              </w:rPr>
            </w:pPr>
            <w:r w:rsidRPr="00E56625">
              <w:rPr>
                <w:sz w:val="19"/>
                <w:szCs w:val="19"/>
                <w:lang w:val="en-US"/>
              </w:rPr>
              <w:t>54.6%</w:t>
            </w:r>
          </w:p>
          <w:p w:rsidR="00C73CC7" w:rsidRPr="00E56625" w:rsidRDefault="00C73CC7" w:rsidP="00321AFB">
            <w:pPr>
              <w:jc w:val="center"/>
              <w:rPr>
                <w:sz w:val="19"/>
                <w:szCs w:val="19"/>
                <w:lang w:val="en-US"/>
              </w:rPr>
            </w:pPr>
            <w:r w:rsidRPr="00E56625">
              <w:rPr>
                <w:sz w:val="19"/>
                <w:szCs w:val="19"/>
                <w:lang w:val="en-US"/>
              </w:rPr>
              <w:t>4.4%</w:t>
            </w:r>
          </w:p>
        </w:tc>
        <w:tc>
          <w:tcPr>
            <w:tcW w:w="354" w:type="pct"/>
            <w:gridSpan w:val="2"/>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109,570</w:t>
            </w:r>
          </w:p>
          <w:p w:rsidR="00C73CC7" w:rsidRPr="00E56625" w:rsidRDefault="00C73CC7" w:rsidP="00321AFB">
            <w:pPr>
              <w:jc w:val="center"/>
              <w:rPr>
                <w:sz w:val="19"/>
                <w:szCs w:val="19"/>
                <w:lang w:val="en-US"/>
              </w:rPr>
            </w:pPr>
            <w:r w:rsidRPr="00E56625">
              <w:rPr>
                <w:sz w:val="19"/>
                <w:szCs w:val="19"/>
                <w:lang w:val="en-US"/>
              </w:rPr>
              <w:t>42.6%</w:t>
            </w:r>
          </w:p>
          <w:p w:rsidR="00C73CC7" w:rsidRPr="00E56625" w:rsidRDefault="00C73CC7" w:rsidP="00321AFB">
            <w:pPr>
              <w:jc w:val="center"/>
              <w:rPr>
                <w:sz w:val="19"/>
                <w:szCs w:val="19"/>
                <w:lang w:val="en-US"/>
              </w:rPr>
            </w:pPr>
            <w:r w:rsidRPr="00E56625">
              <w:rPr>
                <w:sz w:val="19"/>
                <w:szCs w:val="19"/>
                <w:lang w:val="en-US"/>
              </w:rPr>
              <w:t>54.8%</w:t>
            </w:r>
          </w:p>
          <w:p w:rsidR="00C73CC7" w:rsidRPr="00E56625" w:rsidRDefault="00C73CC7" w:rsidP="00321AFB">
            <w:pPr>
              <w:jc w:val="center"/>
              <w:rPr>
                <w:b/>
                <w:sz w:val="19"/>
                <w:szCs w:val="19"/>
                <w:lang w:val="en-US"/>
              </w:rPr>
            </w:pPr>
            <w:r w:rsidRPr="00E56625">
              <w:rPr>
                <w:sz w:val="19"/>
                <w:szCs w:val="19"/>
                <w:lang w:val="en-US"/>
              </w:rPr>
              <w:t>2.6%</w:t>
            </w:r>
          </w:p>
        </w:tc>
        <w:tc>
          <w:tcPr>
            <w:tcW w:w="311" w:type="pct"/>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91,882</w:t>
            </w:r>
          </w:p>
          <w:p w:rsidR="00C73CC7" w:rsidRPr="00E56625" w:rsidRDefault="00C73CC7" w:rsidP="00321AFB">
            <w:pPr>
              <w:jc w:val="center"/>
              <w:rPr>
                <w:sz w:val="19"/>
                <w:szCs w:val="19"/>
                <w:lang w:val="en-US"/>
              </w:rPr>
            </w:pPr>
            <w:r w:rsidRPr="00E56625">
              <w:rPr>
                <w:sz w:val="19"/>
                <w:szCs w:val="19"/>
                <w:lang w:val="en-US"/>
              </w:rPr>
              <w:t>39.7%</w:t>
            </w:r>
          </w:p>
          <w:p w:rsidR="00C73CC7" w:rsidRPr="00E56625" w:rsidRDefault="00C73CC7" w:rsidP="00321AFB">
            <w:pPr>
              <w:jc w:val="center"/>
              <w:rPr>
                <w:sz w:val="19"/>
                <w:szCs w:val="19"/>
                <w:lang w:val="en-US"/>
              </w:rPr>
            </w:pPr>
            <w:r w:rsidRPr="00E56625">
              <w:rPr>
                <w:sz w:val="19"/>
                <w:szCs w:val="19"/>
                <w:lang w:val="en-US"/>
              </w:rPr>
              <w:t>56.5%</w:t>
            </w:r>
          </w:p>
          <w:p w:rsidR="00C73CC7" w:rsidRPr="00E56625" w:rsidRDefault="00C73CC7" w:rsidP="00321AFB">
            <w:pPr>
              <w:jc w:val="center"/>
              <w:rPr>
                <w:sz w:val="19"/>
                <w:szCs w:val="19"/>
                <w:lang w:val="en-US"/>
              </w:rPr>
            </w:pPr>
            <w:r w:rsidRPr="00E56625">
              <w:rPr>
                <w:sz w:val="19"/>
                <w:szCs w:val="19"/>
                <w:lang w:val="en-US"/>
              </w:rPr>
              <w:t>3.8%</w:t>
            </w:r>
          </w:p>
        </w:tc>
        <w:tc>
          <w:tcPr>
            <w:tcW w:w="415" w:type="pct"/>
            <w:tcBorders>
              <w:top w:val="single" w:sz="4" w:space="0" w:color="auto"/>
              <w:bottom w:val="single" w:sz="4" w:space="0" w:color="auto"/>
            </w:tcBorders>
            <w:noWrap/>
          </w:tcPr>
          <w:p w:rsidR="00C73CC7" w:rsidRPr="00E56625" w:rsidRDefault="00C73CC7" w:rsidP="00321AFB">
            <w:pPr>
              <w:jc w:val="center"/>
              <w:rPr>
                <w:sz w:val="19"/>
                <w:szCs w:val="19"/>
                <w:lang w:val="en-US"/>
              </w:rPr>
            </w:pPr>
            <w:r w:rsidRPr="00E56625">
              <w:rPr>
                <w:sz w:val="19"/>
                <w:szCs w:val="19"/>
                <w:lang w:val="en-US"/>
              </w:rPr>
              <w:t>1,132,886</w:t>
            </w:r>
          </w:p>
          <w:p w:rsidR="00C73CC7" w:rsidRPr="00E56625" w:rsidRDefault="00C73CC7" w:rsidP="00321AFB">
            <w:pPr>
              <w:jc w:val="center"/>
              <w:rPr>
                <w:sz w:val="19"/>
                <w:szCs w:val="19"/>
                <w:lang w:val="en-US"/>
              </w:rPr>
            </w:pPr>
            <w:r w:rsidRPr="00E56625">
              <w:rPr>
                <w:sz w:val="19"/>
                <w:szCs w:val="19"/>
                <w:lang w:val="en-US"/>
              </w:rPr>
              <w:t>39.7%</w:t>
            </w:r>
          </w:p>
          <w:p w:rsidR="00C73CC7" w:rsidRPr="00E56625" w:rsidRDefault="00C73CC7" w:rsidP="00321AFB">
            <w:pPr>
              <w:jc w:val="center"/>
              <w:rPr>
                <w:sz w:val="19"/>
                <w:szCs w:val="19"/>
                <w:lang w:val="en-US"/>
              </w:rPr>
            </w:pPr>
            <w:r w:rsidRPr="00E56625">
              <w:rPr>
                <w:sz w:val="19"/>
                <w:szCs w:val="19"/>
                <w:lang w:val="en-US"/>
              </w:rPr>
              <w:t>57.4%</w:t>
            </w:r>
          </w:p>
          <w:p w:rsidR="00C73CC7" w:rsidRPr="00E56625" w:rsidRDefault="00C73CC7" w:rsidP="00321AFB">
            <w:pPr>
              <w:jc w:val="center"/>
              <w:rPr>
                <w:b/>
                <w:sz w:val="19"/>
                <w:szCs w:val="19"/>
                <w:lang w:val="en-US"/>
              </w:rPr>
            </w:pPr>
            <w:r w:rsidRPr="00E56625">
              <w:rPr>
                <w:sz w:val="19"/>
                <w:szCs w:val="19"/>
                <w:lang w:val="en-US"/>
              </w:rPr>
              <w:t>2.9%</w:t>
            </w:r>
          </w:p>
        </w:tc>
      </w:tr>
      <w:tr w:rsidR="00C73CC7" w:rsidRPr="008F3531" w:rsidTr="00321AFB">
        <w:trPr>
          <w:trHeight w:val="107"/>
        </w:trPr>
        <w:tc>
          <w:tcPr>
            <w:tcW w:w="5000" w:type="pct"/>
            <w:gridSpan w:val="11"/>
            <w:tcBorders>
              <w:top w:val="single" w:sz="4" w:space="0" w:color="auto"/>
              <w:left w:val="single" w:sz="4" w:space="0" w:color="auto"/>
              <w:bottom w:val="single" w:sz="4" w:space="0" w:color="auto"/>
              <w:right w:val="single" w:sz="4" w:space="0" w:color="auto"/>
            </w:tcBorders>
            <w:noWrap/>
            <w:hideMark/>
          </w:tcPr>
          <w:p w:rsidR="00C73CC7" w:rsidRPr="00E56625" w:rsidRDefault="00C73CC7" w:rsidP="00321AFB">
            <w:pPr>
              <w:rPr>
                <w:sz w:val="19"/>
                <w:szCs w:val="19"/>
                <w:lang w:val="en-US"/>
              </w:rPr>
            </w:pPr>
            <w:r w:rsidRPr="00E56625">
              <w:rPr>
                <w:b/>
                <w:bCs/>
                <w:sz w:val="19"/>
                <w:szCs w:val="19"/>
                <w:lang w:val="en-US"/>
              </w:rPr>
              <w:t>Origin of population</w:t>
            </w:r>
          </w:p>
        </w:tc>
      </w:tr>
      <w:tr w:rsidR="00C73CC7" w:rsidRPr="008F3531" w:rsidTr="00321AFB">
        <w:trPr>
          <w:trHeight w:val="728"/>
        </w:trPr>
        <w:tc>
          <w:tcPr>
            <w:tcW w:w="1647" w:type="pct"/>
            <w:tcBorders>
              <w:top w:val="single" w:sz="4" w:space="0" w:color="auto"/>
            </w:tcBorders>
            <w:noWrap/>
            <w:hideMark/>
          </w:tcPr>
          <w:p w:rsidR="00C73CC7" w:rsidRPr="00E56625" w:rsidRDefault="00C73CC7" w:rsidP="00321AFB">
            <w:pPr>
              <w:rPr>
                <w:sz w:val="19"/>
                <w:szCs w:val="19"/>
                <w:lang w:val="en-US"/>
              </w:rPr>
            </w:pPr>
            <w:r w:rsidRPr="00E56625">
              <w:rPr>
                <w:sz w:val="19"/>
                <w:szCs w:val="19"/>
                <w:lang w:val="en-US"/>
              </w:rPr>
              <w:t xml:space="preserve">  Born in same region</w:t>
            </w:r>
          </w:p>
          <w:p w:rsidR="00C73CC7" w:rsidRPr="00E56625" w:rsidRDefault="00C73CC7" w:rsidP="00321AFB">
            <w:pPr>
              <w:rPr>
                <w:sz w:val="19"/>
                <w:szCs w:val="19"/>
                <w:lang w:val="en-US"/>
              </w:rPr>
            </w:pPr>
            <w:r w:rsidRPr="00E56625">
              <w:rPr>
                <w:sz w:val="19"/>
                <w:szCs w:val="19"/>
                <w:lang w:val="en-US"/>
              </w:rPr>
              <w:t xml:space="preserve">  Born in other region</w:t>
            </w:r>
          </w:p>
          <w:p w:rsidR="00C73CC7" w:rsidRPr="00E56625" w:rsidRDefault="00C73CC7" w:rsidP="00321AFB">
            <w:pPr>
              <w:rPr>
                <w:sz w:val="19"/>
                <w:szCs w:val="19"/>
                <w:lang w:val="en-US"/>
              </w:rPr>
            </w:pPr>
            <w:r w:rsidRPr="00E56625">
              <w:rPr>
                <w:sz w:val="19"/>
                <w:szCs w:val="19"/>
                <w:lang w:val="en-US"/>
              </w:rPr>
              <w:t xml:space="preserve">  Born in foreign country</w:t>
            </w:r>
          </w:p>
        </w:tc>
        <w:tc>
          <w:tcPr>
            <w:tcW w:w="456" w:type="pct"/>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96.7%</w:t>
            </w:r>
          </w:p>
          <w:p w:rsidR="00C73CC7" w:rsidRPr="00E56625" w:rsidRDefault="00C73CC7" w:rsidP="00321AFB">
            <w:pPr>
              <w:jc w:val="center"/>
              <w:rPr>
                <w:sz w:val="19"/>
                <w:szCs w:val="19"/>
                <w:lang w:val="en-US"/>
              </w:rPr>
            </w:pPr>
            <w:r w:rsidRPr="00E56625">
              <w:rPr>
                <w:sz w:val="19"/>
                <w:szCs w:val="19"/>
                <w:lang w:val="en-US"/>
              </w:rPr>
              <w:t>2.5%</w:t>
            </w:r>
          </w:p>
          <w:p w:rsidR="00C73CC7" w:rsidRPr="00E56625" w:rsidRDefault="00C73CC7" w:rsidP="00321AFB">
            <w:pPr>
              <w:jc w:val="center"/>
              <w:rPr>
                <w:sz w:val="19"/>
                <w:szCs w:val="19"/>
                <w:lang w:val="en-US"/>
              </w:rPr>
            </w:pPr>
            <w:r w:rsidRPr="00E56625">
              <w:rPr>
                <w:sz w:val="19"/>
                <w:szCs w:val="19"/>
                <w:lang w:val="en-US"/>
              </w:rPr>
              <w:t>0.8%</w:t>
            </w:r>
          </w:p>
        </w:tc>
        <w:tc>
          <w:tcPr>
            <w:tcW w:w="498" w:type="pct"/>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91.3%</w:t>
            </w:r>
          </w:p>
          <w:p w:rsidR="00C73CC7" w:rsidRPr="00E56625" w:rsidRDefault="00C73CC7" w:rsidP="00321AFB">
            <w:pPr>
              <w:jc w:val="center"/>
              <w:rPr>
                <w:sz w:val="19"/>
                <w:szCs w:val="19"/>
                <w:lang w:val="en-US"/>
              </w:rPr>
            </w:pPr>
            <w:r w:rsidRPr="00E56625">
              <w:rPr>
                <w:sz w:val="19"/>
                <w:szCs w:val="19"/>
                <w:lang w:val="en-US"/>
              </w:rPr>
              <w:t>6.7%</w:t>
            </w:r>
          </w:p>
          <w:p w:rsidR="00C73CC7" w:rsidRPr="00E56625" w:rsidRDefault="00C73CC7" w:rsidP="00321AFB">
            <w:pPr>
              <w:jc w:val="center"/>
              <w:rPr>
                <w:sz w:val="19"/>
                <w:szCs w:val="19"/>
                <w:lang w:val="en-US"/>
              </w:rPr>
            </w:pPr>
            <w:r w:rsidRPr="00E56625">
              <w:rPr>
                <w:sz w:val="19"/>
                <w:szCs w:val="19"/>
                <w:lang w:val="en-US"/>
              </w:rPr>
              <w:t>2.0%</w:t>
            </w:r>
          </w:p>
        </w:tc>
        <w:tc>
          <w:tcPr>
            <w:tcW w:w="502" w:type="pct"/>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86.1%</w:t>
            </w:r>
          </w:p>
          <w:p w:rsidR="00C73CC7" w:rsidRPr="00E56625" w:rsidRDefault="00C73CC7" w:rsidP="00321AFB">
            <w:pPr>
              <w:jc w:val="center"/>
              <w:rPr>
                <w:sz w:val="19"/>
                <w:szCs w:val="19"/>
                <w:lang w:val="en-US"/>
              </w:rPr>
            </w:pPr>
            <w:r w:rsidRPr="00E56625">
              <w:rPr>
                <w:sz w:val="19"/>
                <w:szCs w:val="19"/>
                <w:lang w:val="en-US"/>
              </w:rPr>
              <w:t>11.4%</w:t>
            </w:r>
          </w:p>
          <w:p w:rsidR="00C73CC7" w:rsidRPr="00E56625" w:rsidRDefault="00C73CC7" w:rsidP="00321AFB">
            <w:pPr>
              <w:jc w:val="center"/>
              <w:rPr>
                <w:sz w:val="19"/>
                <w:szCs w:val="19"/>
                <w:lang w:val="en-US"/>
              </w:rPr>
            </w:pPr>
            <w:r w:rsidRPr="00E56625">
              <w:rPr>
                <w:sz w:val="19"/>
                <w:szCs w:val="19"/>
                <w:lang w:val="en-US"/>
              </w:rPr>
              <w:t>2.5%</w:t>
            </w:r>
          </w:p>
        </w:tc>
        <w:tc>
          <w:tcPr>
            <w:tcW w:w="502" w:type="pct"/>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79.4%</w:t>
            </w:r>
          </w:p>
          <w:p w:rsidR="00C73CC7" w:rsidRPr="00E56625" w:rsidRDefault="00C73CC7" w:rsidP="00321AFB">
            <w:pPr>
              <w:jc w:val="center"/>
              <w:rPr>
                <w:sz w:val="19"/>
                <w:szCs w:val="19"/>
                <w:lang w:val="en-US"/>
              </w:rPr>
            </w:pPr>
            <w:r w:rsidRPr="00E56625">
              <w:rPr>
                <w:sz w:val="19"/>
                <w:szCs w:val="19"/>
                <w:lang w:val="en-US"/>
              </w:rPr>
              <w:t>18.0%</w:t>
            </w:r>
          </w:p>
          <w:p w:rsidR="00C73CC7" w:rsidRPr="00E56625" w:rsidRDefault="00C73CC7" w:rsidP="00321AFB">
            <w:pPr>
              <w:jc w:val="center"/>
              <w:rPr>
                <w:sz w:val="19"/>
                <w:szCs w:val="19"/>
                <w:lang w:val="en-US"/>
              </w:rPr>
            </w:pPr>
            <w:r w:rsidRPr="00E56625">
              <w:rPr>
                <w:sz w:val="19"/>
                <w:szCs w:val="19"/>
                <w:lang w:val="en-US"/>
              </w:rPr>
              <w:t>2.6%</w:t>
            </w:r>
          </w:p>
        </w:tc>
        <w:tc>
          <w:tcPr>
            <w:tcW w:w="287" w:type="pct"/>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88.5%</w:t>
            </w:r>
          </w:p>
          <w:p w:rsidR="00C73CC7" w:rsidRPr="00E56625" w:rsidRDefault="00C73CC7" w:rsidP="00321AFB">
            <w:pPr>
              <w:jc w:val="center"/>
              <w:rPr>
                <w:sz w:val="19"/>
                <w:szCs w:val="19"/>
                <w:lang w:val="en-US"/>
              </w:rPr>
            </w:pPr>
            <w:r w:rsidRPr="00E56625">
              <w:rPr>
                <w:sz w:val="19"/>
                <w:szCs w:val="19"/>
                <w:lang w:val="en-US"/>
              </w:rPr>
              <w:t>9.1%</w:t>
            </w:r>
          </w:p>
          <w:p w:rsidR="00C73CC7" w:rsidRPr="00E56625" w:rsidRDefault="00C73CC7" w:rsidP="00321AFB">
            <w:pPr>
              <w:jc w:val="center"/>
              <w:rPr>
                <w:sz w:val="19"/>
                <w:szCs w:val="19"/>
                <w:lang w:val="en-US"/>
              </w:rPr>
            </w:pPr>
            <w:r w:rsidRPr="00E56625">
              <w:rPr>
                <w:sz w:val="19"/>
                <w:szCs w:val="19"/>
                <w:lang w:val="en-US"/>
              </w:rPr>
              <w:t>2.4%</w:t>
            </w:r>
          </w:p>
        </w:tc>
        <w:tc>
          <w:tcPr>
            <w:tcW w:w="359" w:type="pct"/>
            <w:gridSpan w:val="2"/>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79.0%</w:t>
            </w:r>
          </w:p>
          <w:p w:rsidR="00C73CC7" w:rsidRPr="00E56625" w:rsidRDefault="00C73CC7" w:rsidP="00321AFB">
            <w:pPr>
              <w:jc w:val="center"/>
              <w:rPr>
                <w:sz w:val="19"/>
                <w:szCs w:val="19"/>
                <w:lang w:val="en-US"/>
              </w:rPr>
            </w:pPr>
            <w:r w:rsidRPr="00E56625">
              <w:rPr>
                <w:sz w:val="19"/>
                <w:szCs w:val="19"/>
                <w:lang w:val="en-US"/>
              </w:rPr>
              <w:t>16.5%</w:t>
            </w:r>
          </w:p>
          <w:p w:rsidR="00C73CC7" w:rsidRPr="00E56625" w:rsidRDefault="00C73CC7" w:rsidP="00321AFB">
            <w:pPr>
              <w:jc w:val="center"/>
              <w:rPr>
                <w:sz w:val="19"/>
                <w:szCs w:val="19"/>
                <w:lang w:val="en-US"/>
              </w:rPr>
            </w:pPr>
            <w:r w:rsidRPr="00E56625">
              <w:rPr>
                <w:sz w:val="19"/>
                <w:szCs w:val="19"/>
                <w:lang w:val="en-US"/>
              </w:rPr>
              <w:t>4.5%</w:t>
            </w:r>
          </w:p>
        </w:tc>
        <w:tc>
          <w:tcPr>
            <w:tcW w:w="334" w:type="pct"/>
            <w:gridSpan w:val="2"/>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82.1%</w:t>
            </w:r>
          </w:p>
          <w:p w:rsidR="00C73CC7" w:rsidRPr="00E56625" w:rsidRDefault="00C73CC7" w:rsidP="00321AFB">
            <w:pPr>
              <w:jc w:val="center"/>
              <w:rPr>
                <w:sz w:val="19"/>
                <w:szCs w:val="19"/>
                <w:lang w:val="en-US"/>
              </w:rPr>
            </w:pPr>
            <w:r w:rsidRPr="00E56625">
              <w:rPr>
                <w:sz w:val="19"/>
                <w:szCs w:val="19"/>
                <w:lang w:val="en-US"/>
              </w:rPr>
              <w:t>14.8%</w:t>
            </w:r>
          </w:p>
          <w:p w:rsidR="00C73CC7" w:rsidRPr="00E56625" w:rsidRDefault="00C73CC7" w:rsidP="00321AFB">
            <w:pPr>
              <w:jc w:val="center"/>
              <w:rPr>
                <w:sz w:val="19"/>
                <w:szCs w:val="19"/>
                <w:lang w:val="en-US"/>
              </w:rPr>
            </w:pPr>
            <w:r w:rsidRPr="00E56625">
              <w:rPr>
                <w:sz w:val="19"/>
                <w:szCs w:val="19"/>
                <w:lang w:val="en-US"/>
              </w:rPr>
              <w:t>3.1%</w:t>
            </w:r>
          </w:p>
        </w:tc>
        <w:tc>
          <w:tcPr>
            <w:tcW w:w="415" w:type="pct"/>
            <w:tcBorders>
              <w:top w:val="single" w:sz="4" w:space="0" w:color="auto"/>
            </w:tcBorders>
            <w:noWrap/>
          </w:tcPr>
          <w:p w:rsidR="00C73CC7" w:rsidRPr="00E56625" w:rsidRDefault="00C73CC7" w:rsidP="00321AFB">
            <w:pPr>
              <w:jc w:val="center"/>
              <w:rPr>
                <w:sz w:val="19"/>
                <w:szCs w:val="19"/>
                <w:lang w:val="en-US"/>
              </w:rPr>
            </w:pPr>
            <w:r w:rsidRPr="00E56625">
              <w:rPr>
                <w:sz w:val="19"/>
                <w:szCs w:val="19"/>
                <w:lang w:val="en-US"/>
              </w:rPr>
              <w:t>62.3%</w:t>
            </w:r>
          </w:p>
          <w:p w:rsidR="00C73CC7" w:rsidRPr="00E56625" w:rsidRDefault="00C73CC7" w:rsidP="00321AFB">
            <w:pPr>
              <w:jc w:val="center"/>
              <w:rPr>
                <w:sz w:val="19"/>
                <w:szCs w:val="19"/>
                <w:lang w:val="en-US"/>
              </w:rPr>
            </w:pPr>
            <w:r w:rsidRPr="00E56625">
              <w:rPr>
                <w:sz w:val="19"/>
                <w:szCs w:val="19"/>
                <w:lang w:val="en-US"/>
              </w:rPr>
              <w:t>33.1%</w:t>
            </w:r>
          </w:p>
          <w:p w:rsidR="00C73CC7" w:rsidRPr="00E56625" w:rsidRDefault="00C73CC7" w:rsidP="00321AFB">
            <w:pPr>
              <w:jc w:val="center"/>
              <w:rPr>
                <w:sz w:val="19"/>
                <w:szCs w:val="19"/>
                <w:lang w:val="en-US"/>
              </w:rPr>
            </w:pPr>
            <w:r w:rsidRPr="00E56625">
              <w:rPr>
                <w:sz w:val="19"/>
                <w:szCs w:val="19"/>
                <w:lang w:val="en-US"/>
              </w:rPr>
              <w:t>4.6%</w:t>
            </w:r>
          </w:p>
        </w:tc>
      </w:tr>
      <w:tr w:rsidR="00C73CC7" w:rsidRPr="008F3531" w:rsidTr="00321AFB">
        <w:trPr>
          <w:trHeight w:val="188"/>
        </w:trPr>
        <w:tc>
          <w:tcPr>
            <w:tcW w:w="5000" w:type="pct"/>
            <w:gridSpan w:val="11"/>
            <w:noWrap/>
            <w:hideMark/>
          </w:tcPr>
          <w:p w:rsidR="00C73CC7" w:rsidRPr="00E56625" w:rsidRDefault="00C73CC7" w:rsidP="00321AFB">
            <w:pPr>
              <w:rPr>
                <w:sz w:val="19"/>
                <w:szCs w:val="19"/>
                <w:lang w:val="en-US"/>
              </w:rPr>
            </w:pPr>
            <w:r w:rsidRPr="00E56625">
              <w:rPr>
                <w:b/>
                <w:bCs/>
                <w:sz w:val="19"/>
                <w:szCs w:val="19"/>
                <w:lang w:val="en-US"/>
              </w:rPr>
              <w:t>Education of working-age population (ages 15-64)</w:t>
            </w:r>
          </w:p>
        </w:tc>
      </w:tr>
      <w:tr w:rsidR="00C73CC7" w:rsidRPr="008F3531" w:rsidTr="00321AFB">
        <w:trPr>
          <w:trHeight w:val="1160"/>
        </w:trPr>
        <w:tc>
          <w:tcPr>
            <w:tcW w:w="1647" w:type="pct"/>
            <w:noWrap/>
            <w:hideMark/>
          </w:tcPr>
          <w:p w:rsidR="00C73CC7" w:rsidRPr="00E56625" w:rsidRDefault="00C73CC7" w:rsidP="00321AFB">
            <w:pPr>
              <w:rPr>
                <w:sz w:val="19"/>
                <w:szCs w:val="19"/>
                <w:lang w:val="en-US"/>
              </w:rPr>
            </w:pPr>
            <w:r w:rsidRPr="00E56625">
              <w:rPr>
                <w:sz w:val="19"/>
                <w:szCs w:val="19"/>
                <w:lang w:val="en-US"/>
              </w:rPr>
              <w:t xml:space="preserve">  No school</w:t>
            </w:r>
          </w:p>
          <w:p w:rsidR="00C73CC7" w:rsidRPr="00E56625" w:rsidRDefault="00C73CC7" w:rsidP="00321AFB">
            <w:pPr>
              <w:rPr>
                <w:sz w:val="19"/>
                <w:szCs w:val="19"/>
                <w:lang w:val="en-US"/>
              </w:rPr>
            </w:pPr>
            <w:r w:rsidRPr="00E56625">
              <w:rPr>
                <w:sz w:val="19"/>
                <w:szCs w:val="19"/>
                <w:lang w:val="en-US"/>
              </w:rPr>
              <w:t xml:space="preserve">  Primary level ("primaire")</w:t>
            </w:r>
          </w:p>
          <w:p w:rsidR="00C73CC7" w:rsidRPr="00E56625" w:rsidRDefault="00C73CC7" w:rsidP="00321AFB">
            <w:pPr>
              <w:rPr>
                <w:sz w:val="19"/>
                <w:szCs w:val="19"/>
                <w:lang w:val="en-US"/>
              </w:rPr>
            </w:pPr>
            <w:r w:rsidRPr="00E56625">
              <w:rPr>
                <w:sz w:val="19"/>
                <w:szCs w:val="19"/>
                <w:lang w:val="en-US"/>
              </w:rPr>
              <w:t xml:space="preserve">  Secondary 1 level ("collège")</w:t>
            </w:r>
          </w:p>
          <w:p w:rsidR="00C73CC7" w:rsidRPr="00E56625" w:rsidRDefault="00C73CC7" w:rsidP="00321AFB">
            <w:pPr>
              <w:rPr>
                <w:sz w:val="19"/>
                <w:szCs w:val="19"/>
                <w:lang w:val="en-US"/>
              </w:rPr>
            </w:pPr>
            <w:r w:rsidRPr="00E56625">
              <w:rPr>
                <w:sz w:val="19"/>
                <w:szCs w:val="19"/>
                <w:lang w:val="en-US"/>
              </w:rPr>
              <w:t xml:space="preserve">  Secondary 2 level ("lycée")</w:t>
            </w:r>
          </w:p>
          <w:p w:rsidR="00C73CC7" w:rsidRPr="00E56625" w:rsidRDefault="00C73CC7" w:rsidP="00321AFB">
            <w:pPr>
              <w:rPr>
                <w:sz w:val="19"/>
                <w:szCs w:val="19"/>
                <w:lang w:val="en-US"/>
              </w:rPr>
            </w:pPr>
            <w:r w:rsidRPr="00E56625">
              <w:rPr>
                <w:sz w:val="19"/>
                <w:szCs w:val="19"/>
                <w:lang w:val="en-US"/>
              </w:rPr>
              <w:t xml:space="preserve">  Tertiary level ("supérieur")</w:t>
            </w:r>
          </w:p>
        </w:tc>
        <w:tc>
          <w:tcPr>
            <w:tcW w:w="456" w:type="pct"/>
            <w:noWrap/>
          </w:tcPr>
          <w:p w:rsidR="00C73CC7" w:rsidRPr="00E56625" w:rsidRDefault="00C73CC7" w:rsidP="00321AFB">
            <w:pPr>
              <w:jc w:val="center"/>
              <w:rPr>
                <w:sz w:val="19"/>
                <w:szCs w:val="19"/>
                <w:lang w:val="en-US"/>
              </w:rPr>
            </w:pPr>
            <w:r w:rsidRPr="00E56625">
              <w:rPr>
                <w:sz w:val="19"/>
                <w:szCs w:val="19"/>
                <w:lang w:val="en-US"/>
              </w:rPr>
              <w:t>94.3%</w:t>
            </w:r>
          </w:p>
          <w:p w:rsidR="00C73CC7" w:rsidRPr="00E56625" w:rsidRDefault="00C73CC7" w:rsidP="00321AFB">
            <w:pPr>
              <w:jc w:val="center"/>
              <w:rPr>
                <w:sz w:val="19"/>
                <w:szCs w:val="19"/>
                <w:lang w:val="en-US"/>
              </w:rPr>
            </w:pPr>
            <w:r w:rsidRPr="00E56625">
              <w:rPr>
                <w:sz w:val="19"/>
                <w:szCs w:val="19"/>
                <w:lang w:val="en-US"/>
              </w:rPr>
              <w:t>4.1%</w:t>
            </w:r>
          </w:p>
          <w:p w:rsidR="00C73CC7" w:rsidRPr="00E56625" w:rsidRDefault="00C73CC7" w:rsidP="00321AFB">
            <w:pPr>
              <w:jc w:val="center"/>
              <w:rPr>
                <w:sz w:val="19"/>
                <w:szCs w:val="19"/>
                <w:lang w:val="en-US"/>
              </w:rPr>
            </w:pPr>
            <w:r w:rsidRPr="00E56625">
              <w:rPr>
                <w:sz w:val="19"/>
                <w:szCs w:val="19"/>
                <w:lang w:val="en-US"/>
              </w:rPr>
              <w:t>1.0%</w:t>
            </w:r>
          </w:p>
          <w:p w:rsidR="00C73CC7" w:rsidRPr="00E56625" w:rsidRDefault="00C73CC7" w:rsidP="00321AFB">
            <w:pPr>
              <w:jc w:val="center"/>
              <w:rPr>
                <w:sz w:val="19"/>
                <w:szCs w:val="19"/>
                <w:lang w:val="en-US"/>
              </w:rPr>
            </w:pPr>
            <w:r w:rsidRPr="00E56625">
              <w:rPr>
                <w:sz w:val="19"/>
                <w:szCs w:val="19"/>
                <w:lang w:val="en-US"/>
              </w:rPr>
              <w:t>0.3%</w:t>
            </w:r>
          </w:p>
          <w:p w:rsidR="00C73CC7" w:rsidRPr="00E56625" w:rsidRDefault="00C73CC7" w:rsidP="00321AFB">
            <w:pPr>
              <w:jc w:val="center"/>
              <w:rPr>
                <w:sz w:val="19"/>
                <w:szCs w:val="19"/>
                <w:lang w:val="en-US"/>
              </w:rPr>
            </w:pPr>
            <w:r w:rsidRPr="00E56625">
              <w:rPr>
                <w:sz w:val="19"/>
                <w:szCs w:val="19"/>
                <w:lang w:val="en-US"/>
              </w:rPr>
              <w:t>0.3%</w:t>
            </w:r>
          </w:p>
        </w:tc>
        <w:tc>
          <w:tcPr>
            <w:tcW w:w="498" w:type="pct"/>
            <w:noWrap/>
          </w:tcPr>
          <w:p w:rsidR="00C73CC7" w:rsidRPr="00E56625" w:rsidRDefault="00C73CC7" w:rsidP="00321AFB">
            <w:pPr>
              <w:jc w:val="center"/>
              <w:rPr>
                <w:sz w:val="19"/>
                <w:szCs w:val="19"/>
                <w:lang w:val="en-US"/>
              </w:rPr>
            </w:pPr>
            <w:r w:rsidRPr="00E56625">
              <w:rPr>
                <w:sz w:val="19"/>
                <w:szCs w:val="19"/>
                <w:lang w:val="en-US"/>
              </w:rPr>
              <w:t>84.2%</w:t>
            </w:r>
          </w:p>
          <w:p w:rsidR="00C73CC7" w:rsidRPr="00E56625" w:rsidRDefault="00C73CC7" w:rsidP="00321AFB">
            <w:pPr>
              <w:jc w:val="center"/>
              <w:rPr>
                <w:sz w:val="19"/>
                <w:szCs w:val="19"/>
                <w:lang w:val="en-US"/>
              </w:rPr>
            </w:pPr>
            <w:r w:rsidRPr="00E56625">
              <w:rPr>
                <w:sz w:val="19"/>
                <w:szCs w:val="19"/>
                <w:lang w:val="en-US"/>
              </w:rPr>
              <w:t>9.1%</w:t>
            </w:r>
          </w:p>
          <w:p w:rsidR="00C73CC7" w:rsidRPr="00E56625" w:rsidRDefault="00C73CC7" w:rsidP="00321AFB">
            <w:pPr>
              <w:jc w:val="center"/>
              <w:rPr>
                <w:sz w:val="19"/>
                <w:szCs w:val="19"/>
                <w:lang w:val="en-US"/>
              </w:rPr>
            </w:pPr>
            <w:r w:rsidRPr="00E56625">
              <w:rPr>
                <w:sz w:val="19"/>
                <w:szCs w:val="19"/>
                <w:lang w:val="en-US"/>
              </w:rPr>
              <w:t>4.4%</w:t>
            </w:r>
          </w:p>
          <w:p w:rsidR="00C73CC7" w:rsidRPr="00E56625" w:rsidRDefault="00C73CC7" w:rsidP="00321AFB">
            <w:pPr>
              <w:jc w:val="center"/>
              <w:rPr>
                <w:sz w:val="19"/>
                <w:szCs w:val="19"/>
                <w:lang w:val="en-US"/>
              </w:rPr>
            </w:pPr>
            <w:r w:rsidRPr="00E56625">
              <w:rPr>
                <w:sz w:val="19"/>
                <w:szCs w:val="19"/>
                <w:lang w:val="en-US"/>
              </w:rPr>
              <w:t>1.7%</w:t>
            </w:r>
          </w:p>
          <w:p w:rsidR="00C73CC7" w:rsidRPr="00E56625" w:rsidRDefault="00C73CC7" w:rsidP="00321AFB">
            <w:pPr>
              <w:jc w:val="center"/>
              <w:rPr>
                <w:sz w:val="19"/>
                <w:szCs w:val="19"/>
                <w:lang w:val="en-US"/>
              </w:rPr>
            </w:pPr>
            <w:r w:rsidRPr="00E56625">
              <w:rPr>
                <w:sz w:val="19"/>
                <w:szCs w:val="19"/>
                <w:lang w:val="en-US"/>
              </w:rPr>
              <w:t>0.6%</w:t>
            </w:r>
          </w:p>
        </w:tc>
        <w:tc>
          <w:tcPr>
            <w:tcW w:w="502" w:type="pct"/>
            <w:noWrap/>
          </w:tcPr>
          <w:p w:rsidR="00C73CC7" w:rsidRPr="00E56625" w:rsidRDefault="00C73CC7" w:rsidP="00321AFB">
            <w:pPr>
              <w:jc w:val="center"/>
              <w:rPr>
                <w:sz w:val="19"/>
                <w:szCs w:val="19"/>
                <w:lang w:val="en-US"/>
              </w:rPr>
            </w:pPr>
            <w:r w:rsidRPr="00E56625">
              <w:rPr>
                <w:sz w:val="19"/>
                <w:szCs w:val="19"/>
                <w:lang w:val="en-US"/>
              </w:rPr>
              <w:t>76.9%</w:t>
            </w:r>
          </w:p>
          <w:p w:rsidR="00C73CC7" w:rsidRPr="00E56625" w:rsidRDefault="00C73CC7" w:rsidP="00321AFB">
            <w:pPr>
              <w:jc w:val="center"/>
              <w:rPr>
                <w:sz w:val="19"/>
                <w:szCs w:val="19"/>
                <w:lang w:val="en-US"/>
              </w:rPr>
            </w:pPr>
            <w:r w:rsidRPr="00E56625">
              <w:rPr>
                <w:sz w:val="19"/>
                <w:szCs w:val="19"/>
                <w:lang w:val="en-US"/>
              </w:rPr>
              <w:t>11.0%</w:t>
            </w:r>
          </w:p>
          <w:p w:rsidR="00C73CC7" w:rsidRPr="00E56625" w:rsidRDefault="00C73CC7" w:rsidP="00321AFB">
            <w:pPr>
              <w:jc w:val="center"/>
              <w:rPr>
                <w:sz w:val="19"/>
                <w:szCs w:val="19"/>
                <w:lang w:val="en-US"/>
              </w:rPr>
            </w:pPr>
            <w:r w:rsidRPr="00E56625">
              <w:rPr>
                <w:sz w:val="19"/>
                <w:szCs w:val="19"/>
                <w:lang w:val="en-US"/>
              </w:rPr>
              <w:t>8.0%</w:t>
            </w:r>
          </w:p>
          <w:p w:rsidR="00C73CC7" w:rsidRPr="00E56625" w:rsidRDefault="00C73CC7" w:rsidP="00321AFB">
            <w:pPr>
              <w:jc w:val="center"/>
              <w:rPr>
                <w:sz w:val="19"/>
                <w:szCs w:val="19"/>
                <w:lang w:val="en-US"/>
              </w:rPr>
            </w:pPr>
            <w:r w:rsidRPr="00E56625">
              <w:rPr>
                <w:sz w:val="19"/>
                <w:szCs w:val="19"/>
                <w:lang w:val="en-US"/>
              </w:rPr>
              <w:t>3.1%</w:t>
            </w:r>
          </w:p>
          <w:p w:rsidR="00C73CC7" w:rsidRPr="00E56625" w:rsidRDefault="00C73CC7" w:rsidP="00321AFB">
            <w:pPr>
              <w:jc w:val="center"/>
              <w:rPr>
                <w:sz w:val="19"/>
                <w:szCs w:val="19"/>
                <w:lang w:val="en-US"/>
              </w:rPr>
            </w:pPr>
            <w:r w:rsidRPr="00E56625">
              <w:rPr>
                <w:sz w:val="19"/>
                <w:szCs w:val="19"/>
                <w:lang w:val="en-US"/>
              </w:rPr>
              <w:t>1.0%</w:t>
            </w:r>
          </w:p>
        </w:tc>
        <w:tc>
          <w:tcPr>
            <w:tcW w:w="502" w:type="pct"/>
            <w:noWrap/>
          </w:tcPr>
          <w:p w:rsidR="00C73CC7" w:rsidRPr="00E56625" w:rsidRDefault="00C73CC7" w:rsidP="00321AFB">
            <w:pPr>
              <w:jc w:val="center"/>
              <w:rPr>
                <w:sz w:val="19"/>
                <w:szCs w:val="19"/>
                <w:lang w:val="en-US"/>
              </w:rPr>
            </w:pPr>
            <w:r w:rsidRPr="00E56625">
              <w:rPr>
                <w:sz w:val="19"/>
                <w:szCs w:val="19"/>
                <w:lang w:val="en-US"/>
              </w:rPr>
              <w:t>65.5%</w:t>
            </w:r>
          </w:p>
          <w:p w:rsidR="00C73CC7" w:rsidRPr="00E56625" w:rsidRDefault="00C73CC7" w:rsidP="00321AFB">
            <w:pPr>
              <w:jc w:val="center"/>
              <w:rPr>
                <w:sz w:val="19"/>
                <w:szCs w:val="19"/>
                <w:lang w:val="en-US"/>
              </w:rPr>
            </w:pPr>
            <w:r w:rsidRPr="00E56625">
              <w:rPr>
                <w:sz w:val="19"/>
                <w:szCs w:val="19"/>
                <w:lang w:val="en-US"/>
              </w:rPr>
              <w:t>14.7%</w:t>
            </w:r>
          </w:p>
          <w:p w:rsidR="00C73CC7" w:rsidRPr="00E56625" w:rsidRDefault="00C73CC7" w:rsidP="00321AFB">
            <w:pPr>
              <w:jc w:val="center"/>
              <w:rPr>
                <w:sz w:val="19"/>
                <w:szCs w:val="19"/>
                <w:lang w:val="en-US"/>
              </w:rPr>
            </w:pPr>
            <w:r w:rsidRPr="00E56625">
              <w:rPr>
                <w:sz w:val="19"/>
                <w:szCs w:val="19"/>
                <w:lang w:val="en-US"/>
              </w:rPr>
              <w:t>12.3%</w:t>
            </w:r>
          </w:p>
          <w:p w:rsidR="00C73CC7" w:rsidRPr="00E56625" w:rsidRDefault="00C73CC7" w:rsidP="00321AFB">
            <w:pPr>
              <w:jc w:val="center"/>
              <w:rPr>
                <w:sz w:val="19"/>
                <w:szCs w:val="19"/>
                <w:lang w:val="en-US"/>
              </w:rPr>
            </w:pPr>
            <w:r w:rsidRPr="00E56625">
              <w:rPr>
                <w:sz w:val="19"/>
                <w:szCs w:val="19"/>
                <w:lang w:val="en-US"/>
              </w:rPr>
              <w:t>6.1%</w:t>
            </w:r>
          </w:p>
          <w:p w:rsidR="00C73CC7" w:rsidRPr="00E56625" w:rsidRDefault="00C73CC7" w:rsidP="00321AFB">
            <w:pPr>
              <w:jc w:val="center"/>
              <w:rPr>
                <w:sz w:val="19"/>
                <w:szCs w:val="19"/>
                <w:lang w:val="en-US"/>
              </w:rPr>
            </w:pPr>
            <w:r w:rsidRPr="00E56625">
              <w:rPr>
                <w:sz w:val="19"/>
                <w:szCs w:val="19"/>
                <w:lang w:val="en-US"/>
              </w:rPr>
              <w:t>1.4%</w:t>
            </w:r>
          </w:p>
        </w:tc>
        <w:tc>
          <w:tcPr>
            <w:tcW w:w="287" w:type="pct"/>
            <w:noWrap/>
          </w:tcPr>
          <w:p w:rsidR="00C73CC7" w:rsidRPr="00E56625" w:rsidRDefault="00C73CC7" w:rsidP="00321AFB">
            <w:pPr>
              <w:jc w:val="center"/>
              <w:rPr>
                <w:sz w:val="19"/>
                <w:szCs w:val="19"/>
                <w:lang w:val="en-US"/>
              </w:rPr>
            </w:pPr>
            <w:r w:rsidRPr="00E56625">
              <w:rPr>
                <w:sz w:val="19"/>
                <w:szCs w:val="19"/>
                <w:lang w:val="en-US"/>
              </w:rPr>
              <w:t>58.8%</w:t>
            </w:r>
          </w:p>
          <w:p w:rsidR="00C73CC7" w:rsidRPr="00E56625" w:rsidRDefault="00C73CC7" w:rsidP="00321AFB">
            <w:pPr>
              <w:jc w:val="center"/>
              <w:rPr>
                <w:sz w:val="19"/>
                <w:szCs w:val="19"/>
                <w:lang w:val="en-US"/>
              </w:rPr>
            </w:pPr>
            <w:r w:rsidRPr="00E56625">
              <w:rPr>
                <w:sz w:val="19"/>
                <w:szCs w:val="19"/>
                <w:lang w:val="en-US"/>
              </w:rPr>
              <w:t>19.1%</w:t>
            </w:r>
          </w:p>
          <w:p w:rsidR="00C73CC7" w:rsidRPr="00E56625" w:rsidRDefault="00C73CC7" w:rsidP="00321AFB">
            <w:pPr>
              <w:jc w:val="center"/>
              <w:rPr>
                <w:sz w:val="19"/>
                <w:szCs w:val="19"/>
                <w:lang w:val="en-US"/>
              </w:rPr>
            </w:pPr>
            <w:r w:rsidRPr="00E56625">
              <w:rPr>
                <w:sz w:val="19"/>
                <w:szCs w:val="19"/>
                <w:lang w:val="en-US"/>
              </w:rPr>
              <w:t>13.7%</w:t>
            </w:r>
          </w:p>
          <w:p w:rsidR="00C73CC7" w:rsidRPr="00E56625" w:rsidRDefault="00C73CC7" w:rsidP="00321AFB">
            <w:pPr>
              <w:jc w:val="center"/>
              <w:rPr>
                <w:sz w:val="19"/>
                <w:szCs w:val="19"/>
                <w:lang w:val="en-US"/>
              </w:rPr>
            </w:pPr>
            <w:r w:rsidRPr="00E56625">
              <w:rPr>
                <w:sz w:val="19"/>
                <w:szCs w:val="19"/>
                <w:lang w:val="en-US"/>
              </w:rPr>
              <w:t>7.1%</w:t>
            </w:r>
          </w:p>
          <w:p w:rsidR="00C73CC7" w:rsidRPr="00E56625" w:rsidRDefault="00C73CC7" w:rsidP="00321AFB">
            <w:pPr>
              <w:jc w:val="center"/>
              <w:rPr>
                <w:sz w:val="19"/>
                <w:szCs w:val="19"/>
                <w:lang w:val="en-US"/>
              </w:rPr>
            </w:pPr>
            <w:r w:rsidRPr="00E56625">
              <w:rPr>
                <w:sz w:val="19"/>
                <w:szCs w:val="19"/>
                <w:lang w:val="en-US"/>
              </w:rPr>
              <w:t>1.3%</w:t>
            </w:r>
          </w:p>
        </w:tc>
        <w:tc>
          <w:tcPr>
            <w:tcW w:w="359" w:type="pct"/>
            <w:gridSpan w:val="2"/>
            <w:noWrap/>
          </w:tcPr>
          <w:p w:rsidR="00C73CC7" w:rsidRPr="00E56625" w:rsidRDefault="00C73CC7" w:rsidP="00321AFB">
            <w:pPr>
              <w:jc w:val="center"/>
              <w:rPr>
                <w:sz w:val="19"/>
                <w:szCs w:val="19"/>
                <w:lang w:val="en-US"/>
              </w:rPr>
            </w:pPr>
            <w:r w:rsidRPr="00E56625">
              <w:rPr>
                <w:sz w:val="19"/>
                <w:szCs w:val="19"/>
                <w:lang w:val="en-US"/>
              </w:rPr>
              <w:t>58.1%</w:t>
            </w:r>
          </w:p>
          <w:p w:rsidR="00C73CC7" w:rsidRPr="00E56625" w:rsidRDefault="00C73CC7" w:rsidP="00321AFB">
            <w:pPr>
              <w:jc w:val="center"/>
              <w:rPr>
                <w:sz w:val="19"/>
                <w:szCs w:val="19"/>
                <w:lang w:val="en-US"/>
              </w:rPr>
            </w:pPr>
            <w:r w:rsidRPr="00E56625">
              <w:rPr>
                <w:sz w:val="19"/>
                <w:szCs w:val="19"/>
                <w:lang w:val="en-US"/>
              </w:rPr>
              <w:t>18.3%</w:t>
            </w:r>
          </w:p>
          <w:p w:rsidR="00C73CC7" w:rsidRPr="00E56625" w:rsidRDefault="00C73CC7" w:rsidP="00321AFB">
            <w:pPr>
              <w:jc w:val="center"/>
              <w:rPr>
                <w:sz w:val="19"/>
                <w:szCs w:val="19"/>
                <w:lang w:val="en-US"/>
              </w:rPr>
            </w:pPr>
            <w:r w:rsidRPr="00E56625">
              <w:rPr>
                <w:sz w:val="19"/>
                <w:szCs w:val="19"/>
                <w:lang w:val="en-US"/>
              </w:rPr>
              <w:t>13.5%</w:t>
            </w:r>
          </w:p>
          <w:p w:rsidR="00C73CC7" w:rsidRPr="00E56625" w:rsidRDefault="00C73CC7" w:rsidP="00321AFB">
            <w:pPr>
              <w:jc w:val="center"/>
              <w:rPr>
                <w:sz w:val="19"/>
                <w:szCs w:val="19"/>
                <w:lang w:val="en-US"/>
              </w:rPr>
            </w:pPr>
            <w:r w:rsidRPr="00E56625">
              <w:rPr>
                <w:sz w:val="19"/>
                <w:szCs w:val="19"/>
                <w:lang w:val="en-US"/>
              </w:rPr>
              <w:t>8.6%</w:t>
            </w:r>
          </w:p>
          <w:p w:rsidR="00C73CC7" w:rsidRPr="00E56625" w:rsidRDefault="00C73CC7" w:rsidP="00321AFB">
            <w:pPr>
              <w:jc w:val="center"/>
              <w:rPr>
                <w:sz w:val="19"/>
                <w:szCs w:val="19"/>
                <w:lang w:val="en-US"/>
              </w:rPr>
            </w:pPr>
            <w:r w:rsidRPr="00E56625">
              <w:rPr>
                <w:sz w:val="19"/>
                <w:szCs w:val="19"/>
                <w:lang w:val="en-US"/>
              </w:rPr>
              <w:t>1.5%</w:t>
            </w:r>
          </w:p>
        </w:tc>
        <w:tc>
          <w:tcPr>
            <w:tcW w:w="334" w:type="pct"/>
            <w:gridSpan w:val="2"/>
            <w:noWrap/>
          </w:tcPr>
          <w:p w:rsidR="00C73CC7" w:rsidRPr="00E56625" w:rsidRDefault="00C73CC7" w:rsidP="00321AFB">
            <w:pPr>
              <w:jc w:val="center"/>
              <w:rPr>
                <w:sz w:val="19"/>
                <w:szCs w:val="19"/>
                <w:lang w:val="en-US"/>
              </w:rPr>
            </w:pPr>
            <w:r w:rsidRPr="00E56625">
              <w:rPr>
                <w:sz w:val="19"/>
                <w:szCs w:val="19"/>
                <w:lang w:val="en-US"/>
              </w:rPr>
              <w:t>58.2%</w:t>
            </w:r>
          </w:p>
          <w:p w:rsidR="00C73CC7" w:rsidRPr="00E56625" w:rsidRDefault="00C73CC7" w:rsidP="00321AFB">
            <w:pPr>
              <w:jc w:val="center"/>
              <w:rPr>
                <w:sz w:val="19"/>
                <w:szCs w:val="19"/>
                <w:lang w:val="en-US"/>
              </w:rPr>
            </w:pPr>
            <w:r w:rsidRPr="00E56625">
              <w:rPr>
                <w:sz w:val="19"/>
                <w:szCs w:val="19"/>
                <w:lang w:val="en-US"/>
              </w:rPr>
              <w:t>16.1%</w:t>
            </w:r>
          </w:p>
          <w:p w:rsidR="00C73CC7" w:rsidRPr="00E56625" w:rsidRDefault="00C73CC7" w:rsidP="00321AFB">
            <w:pPr>
              <w:jc w:val="center"/>
              <w:rPr>
                <w:sz w:val="19"/>
                <w:szCs w:val="19"/>
                <w:lang w:val="en-US"/>
              </w:rPr>
            </w:pPr>
            <w:r w:rsidRPr="00E56625">
              <w:rPr>
                <w:sz w:val="19"/>
                <w:szCs w:val="19"/>
                <w:lang w:val="en-US"/>
              </w:rPr>
              <w:t>17.0%</w:t>
            </w:r>
          </w:p>
          <w:p w:rsidR="00C73CC7" w:rsidRPr="00E56625" w:rsidRDefault="00C73CC7" w:rsidP="00321AFB">
            <w:pPr>
              <w:jc w:val="center"/>
              <w:rPr>
                <w:sz w:val="19"/>
                <w:szCs w:val="19"/>
                <w:lang w:val="en-US"/>
              </w:rPr>
            </w:pPr>
            <w:r w:rsidRPr="00E56625">
              <w:rPr>
                <w:sz w:val="19"/>
                <w:szCs w:val="19"/>
                <w:lang w:val="en-US"/>
              </w:rPr>
              <w:t>7.2%</w:t>
            </w:r>
          </w:p>
          <w:p w:rsidR="00C73CC7" w:rsidRPr="00E56625" w:rsidRDefault="00C73CC7" w:rsidP="00321AFB">
            <w:pPr>
              <w:jc w:val="center"/>
              <w:rPr>
                <w:sz w:val="19"/>
                <w:szCs w:val="19"/>
                <w:lang w:val="en-US"/>
              </w:rPr>
            </w:pPr>
            <w:r w:rsidRPr="00E56625">
              <w:rPr>
                <w:sz w:val="19"/>
                <w:szCs w:val="19"/>
                <w:lang w:val="en-US"/>
              </w:rPr>
              <w:t>1.4%</w:t>
            </w:r>
          </w:p>
        </w:tc>
        <w:tc>
          <w:tcPr>
            <w:tcW w:w="415" w:type="pct"/>
            <w:noWrap/>
          </w:tcPr>
          <w:p w:rsidR="00C73CC7" w:rsidRPr="00E56625" w:rsidRDefault="00C73CC7" w:rsidP="00321AFB">
            <w:pPr>
              <w:jc w:val="center"/>
              <w:rPr>
                <w:sz w:val="19"/>
                <w:szCs w:val="19"/>
                <w:lang w:val="en-US"/>
              </w:rPr>
            </w:pPr>
            <w:r w:rsidRPr="00E56625">
              <w:rPr>
                <w:sz w:val="19"/>
                <w:szCs w:val="19"/>
                <w:lang w:val="en-US"/>
              </w:rPr>
              <w:t>54.1%</w:t>
            </w:r>
          </w:p>
          <w:p w:rsidR="00C73CC7" w:rsidRPr="00E56625" w:rsidRDefault="00C73CC7" w:rsidP="00321AFB">
            <w:pPr>
              <w:jc w:val="center"/>
              <w:rPr>
                <w:sz w:val="19"/>
                <w:szCs w:val="19"/>
                <w:lang w:val="en-US"/>
              </w:rPr>
            </w:pPr>
            <w:r w:rsidRPr="00E56625">
              <w:rPr>
                <w:sz w:val="19"/>
                <w:szCs w:val="19"/>
                <w:lang w:val="en-US"/>
              </w:rPr>
              <w:t>16.6%</w:t>
            </w:r>
          </w:p>
          <w:p w:rsidR="00C73CC7" w:rsidRPr="00E56625" w:rsidRDefault="00C73CC7" w:rsidP="00321AFB">
            <w:pPr>
              <w:jc w:val="center"/>
              <w:rPr>
                <w:sz w:val="19"/>
                <w:szCs w:val="19"/>
                <w:lang w:val="en-US"/>
              </w:rPr>
            </w:pPr>
            <w:r w:rsidRPr="00E56625">
              <w:rPr>
                <w:sz w:val="19"/>
                <w:szCs w:val="19"/>
                <w:lang w:val="en-US"/>
              </w:rPr>
              <w:t>15.3%</w:t>
            </w:r>
          </w:p>
          <w:p w:rsidR="00C73CC7" w:rsidRPr="00E56625" w:rsidRDefault="00C73CC7" w:rsidP="00321AFB">
            <w:pPr>
              <w:jc w:val="center"/>
              <w:rPr>
                <w:sz w:val="19"/>
                <w:szCs w:val="19"/>
                <w:lang w:val="en-US"/>
              </w:rPr>
            </w:pPr>
            <w:r w:rsidRPr="00E56625">
              <w:rPr>
                <w:sz w:val="19"/>
                <w:szCs w:val="19"/>
                <w:lang w:val="en-US"/>
              </w:rPr>
              <w:t>10.5%</w:t>
            </w:r>
          </w:p>
          <w:p w:rsidR="00C73CC7" w:rsidRPr="00E56625" w:rsidRDefault="00C73CC7" w:rsidP="00321AFB">
            <w:pPr>
              <w:jc w:val="center"/>
              <w:rPr>
                <w:sz w:val="19"/>
                <w:szCs w:val="19"/>
                <w:lang w:val="en-US"/>
              </w:rPr>
            </w:pPr>
            <w:r w:rsidRPr="00E56625">
              <w:rPr>
                <w:sz w:val="19"/>
                <w:szCs w:val="19"/>
                <w:lang w:val="en-US"/>
              </w:rPr>
              <w:t>3.5%</w:t>
            </w:r>
          </w:p>
        </w:tc>
      </w:tr>
      <w:tr w:rsidR="00C73CC7" w:rsidRPr="008F3531" w:rsidTr="00321AFB">
        <w:trPr>
          <w:trHeight w:val="170"/>
        </w:trPr>
        <w:tc>
          <w:tcPr>
            <w:tcW w:w="1647" w:type="pct"/>
            <w:noWrap/>
            <w:hideMark/>
          </w:tcPr>
          <w:p w:rsidR="00C73CC7" w:rsidRPr="00E56625" w:rsidRDefault="00C73CC7" w:rsidP="00321AFB">
            <w:pPr>
              <w:rPr>
                <w:b/>
                <w:bCs/>
                <w:sz w:val="19"/>
                <w:szCs w:val="19"/>
                <w:lang w:val="en-US"/>
              </w:rPr>
            </w:pPr>
            <w:r w:rsidRPr="00E56625">
              <w:rPr>
                <w:b/>
                <w:bCs/>
                <w:sz w:val="19"/>
                <w:szCs w:val="19"/>
                <w:lang w:val="en-US"/>
              </w:rPr>
              <w:t>Labor-market participation (ages 15-64)</w:t>
            </w:r>
          </w:p>
        </w:tc>
        <w:tc>
          <w:tcPr>
            <w:tcW w:w="456" w:type="pct"/>
            <w:noWrap/>
            <w:hideMark/>
          </w:tcPr>
          <w:p w:rsidR="00C73CC7" w:rsidRPr="00E56625" w:rsidRDefault="00C73CC7" w:rsidP="00321AFB">
            <w:pPr>
              <w:jc w:val="center"/>
              <w:rPr>
                <w:sz w:val="19"/>
                <w:szCs w:val="19"/>
                <w:lang w:val="en-US"/>
              </w:rPr>
            </w:pPr>
          </w:p>
        </w:tc>
        <w:tc>
          <w:tcPr>
            <w:tcW w:w="498" w:type="pct"/>
            <w:noWrap/>
            <w:hideMark/>
          </w:tcPr>
          <w:p w:rsidR="00C73CC7" w:rsidRPr="00E56625" w:rsidRDefault="00C73CC7" w:rsidP="00321AFB">
            <w:pPr>
              <w:jc w:val="center"/>
              <w:rPr>
                <w:sz w:val="19"/>
                <w:szCs w:val="19"/>
                <w:lang w:val="en-US"/>
              </w:rPr>
            </w:pPr>
          </w:p>
        </w:tc>
        <w:tc>
          <w:tcPr>
            <w:tcW w:w="502" w:type="pct"/>
            <w:noWrap/>
            <w:hideMark/>
          </w:tcPr>
          <w:p w:rsidR="00C73CC7" w:rsidRPr="00E56625" w:rsidRDefault="00C73CC7" w:rsidP="00321AFB">
            <w:pPr>
              <w:jc w:val="center"/>
              <w:rPr>
                <w:sz w:val="19"/>
                <w:szCs w:val="19"/>
                <w:lang w:val="en-US"/>
              </w:rPr>
            </w:pPr>
          </w:p>
        </w:tc>
        <w:tc>
          <w:tcPr>
            <w:tcW w:w="502" w:type="pct"/>
            <w:noWrap/>
            <w:hideMark/>
          </w:tcPr>
          <w:p w:rsidR="00C73CC7" w:rsidRPr="00E56625" w:rsidRDefault="00C73CC7" w:rsidP="00321AFB">
            <w:pPr>
              <w:jc w:val="center"/>
              <w:rPr>
                <w:sz w:val="19"/>
                <w:szCs w:val="19"/>
                <w:lang w:val="en-US"/>
              </w:rPr>
            </w:pPr>
          </w:p>
        </w:tc>
        <w:tc>
          <w:tcPr>
            <w:tcW w:w="287" w:type="pct"/>
            <w:noWrap/>
            <w:hideMark/>
          </w:tcPr>
          <w:p w:rsidR="00C73CC7" w:rsidRPr="00E56625" w:rsidRDefault="00C73CC7" w:rsidP="00321AFB">
            <w:pPr>
              <w:jc w:val="center"/>
              <w:rPr>
                <w:sz w:val="19"/>
                <w:szCs w:val="19"/>
                <w:lang w:val="en-US"/>
              </w:rPr>
            </w:pPr>
          </w:p>
        </w:tc>
        <w:tc>
          <w:tcPr>
            <w:tcW w:w="359" w:type="pct"/>
            <w:gridSpan w:val="2"/>
            <w:noWrap/>
            <w:hideMark/>
          </w:tcPr>
          <w:p w:rsidR="00C73CC7" w:rsidRPr="00E56625" w:rsidRDefault="00C73CC7" w:rsidP="00321AFB">
            <w:pPr>
              <w:jc w:val="center"/>
              <w:rPr>
                <w:sz w:val="19"/>
                <w:szCs w:val="19"/>
                <w:lang w:val="en-US"/>
              </w:rPr>
            </w:pPr>
          </w:p>
        </w:tc>
        <w:tc>
          <w:tcPr>
            <w:tcW w:w="334" w:type="pct"/>
            <w:gridSpan w:val="2"/>
            <w:noWrap/>
            <w:hideMark/>
          </w:tcPr>
          <w:p w:rsidR="00C73CC7" w:rsidRPr="00E56625" w:rsidRDefault="00C73CC7" w:rsidP="00321AFB">
            <w:pPr>
              <w:jc w:val="center"/>
              <w:rPr>
                <w:sz w:val="19"/>
                <w:szCs w:val="19"/>
                <w:lang w:val="en-US"/>
              </w:rPr>
            </w:pPr>
          </w:p>
        </w:tc>
        <w:tc>
          <w:tcPr>
            <w:tcW w:w="415" w:type="pct"/>
            <w:noWrap/>
            <w:hideMark/>
          </w:tcPr>
          <w:p w:rsidR="00C73CC7" w:rsidRPr="00E56625" w:rsidRDefault="00C73CC7" w:rsidP="00321AFB">
            <w:pPr>
              <w:jc w:val="center"/>
              <w:rPr>
                <w:sz w:val="19"/>
                <w:szCs w:val="19"/>
                <w:lang w:val="en-US"/>
              </w:rPr>
            </w:pPr>
          </w:p>
        </w:tc>
      </w:tr>
      <w:tr w:rsidR="00C73CC7" w:rsidRPr="008F3531" w:rsidTr="00321AFB">
        <w:trPr>
          <w:trHeight w:val="710"/>
        </w:trPr>
        <w:tc>
          <w:tcPr>
            <w:tcW w:w="1647" w:type="pct"/>
            <w:noWrap/>
            <w:hideMark/>
          </w:tcPr>
          <w:p w:rsidR="00C73CC7" w:rsidRPr="00E56625" w:rsidRDefault="00C73CC7" w:rsidP="00321AFB">
            <w:pPr>
              <w:rPr>
                <w:sz w:val="19"/>
                <w:szCs w:val="19"/>
                <w:lang w:val="en-US"/>
              </w:rPr>
            </w:pPr>
            <w:r w:rsidRPr="00E56625">
              <w:rPr>
                <w:sz w:val="19"/>
                <w:szCs w:val="19"/>
                <w:lang w:val="en-US"/>
              </w:rPr>
              <w:t xml:space="preserve">  Share of population in labor force</w:t>
            </w:r>
          </w:p>
          <w:p w:rsidR="00C73CC7" w:rsidRPr="00E56625" w:rsidRDefault="00C73CC7" w:rsidP="00321AFB">
            <w:pPr>
              <w:rPr>
                <w:sz w:val="19"/>
                <w:szCs w:val="19"/>
                <w:lang w:val="en-US"/>
              </w:rPr>
            </w:pPr>
            <w:r w:rsidRPr="00E56625">
              <w:rPr>
                <w:sz w:val="19"/>
                <w:szCs w:val="19"/>
                <w:lang w:val="en-US"/>
              </w:rPr>
              <w:t xml:space="preserve">  Share of population working</w:t>
            </w:r>
          </w:p>
          <w:p w:rsidR="00C73CC7" w:rsidRPr="00E56625" w:rsidRDefault="00C73CC7" w:rsidP="00321AFB">
            <w:pPr>
              <w:rPr>
                <w:sz w:val="19"/>
                <w:szCs w:val="19"/>
                <w:lang w:val="en-US"/>
              </w:rPr>
            </w:pPr>
            <w:r w:rsidRPr="00E56625">
              <w:rPr>
                <w:sz w:val="19"/>
                <w:szCs w:val="19"/>
                <w:lang w:val="en-US"/>
              </w:rPr>
              <w:t xml:space="preserve">  Student share of population</w:t>
            </w:r>
          </w:p>
        </w:tc>
        <w:tc>
          <w:tcPr>
            <w:tcW w:w="456" w:type="pct"/>
            <w:noWrap/>
          </w:tcPr>
          <w:p w:rsidR="00C73CC7" w:rsidRPr="00E56625" w:rsidRDefault="00C73CC7" w:rsidP="00321AFB">
            <w:pPr>
              <w:jc w:val="center"/>
              <w:rPr>
                <w:sz w:val="19"/>
                <w:szCs w:val="19"/>
                <w:lang w:val="en-US"/>
              </w:rPr>
            </w:pPr>
            <w:r w:rsidRPr="00E56625">
              <w:rPr>
                <w:sz w:val="19"/>
                <w:szCs w:val="19"/>
                <w:lang w:val="en-US"/>
              </w:rPr>
              <w:t>68.1%</w:t>
            </w:r>
          </w:p>
          <w:p w:rsidR="00C73CC7" w:rsidRPr="00E56625" w:rsidRDefault="00C73CC7" w:rsidP="00321AFB">
            <w:pPr>
              <w:jc w:val="center"/>
              <w:rPr>
                <w:sz w:val="19"/>
                <w:szCs w:val="19"/>
                <w:lang w:val="en-US"/>
              </w:rPr>
            </w:pPr>
            <w:r w:rsidRPr="00E56625">
              <w:rPr>
                <w:sz w:val="19"/>
                <w:szCs w:val="19"/>
                <w:lang w:val="en-US"/>
              </w:rPr>
              <w:t>67.9%</w:t>
            </w:r>
          </w:p>
          <w:p w:rsidR="00C73CC7" w:rsidRPr="00E56625" w:rsidRDefault="00C73CC7" w:rsidP="00321AFB">
            <w:pPr>
              <w:jc w:val="center"/>
              <w:rPr>
                <w:sz w:val="19"/>
                <w:szCs w:val="19"/>
                <w:lang w:val="en-US"/>
              </w:rPr>
            </w:pPr>
            <w:r w:rsidRPr="00E56625">
              <w:rPr>
                <w:sz w:val="19"/>
                <w:szCs w:val="19"/>
                <w:lang w:val="en-US"/>
              </w:rPr>
              <w:t>1.5%</w:t>
            </w:r>
          </w:p>
        </w:tc>
        <w:tc>
          <w:tcPr>
            <w:tcW w:w="498" w:type="pct"/>
            <w:noWrap/>
          </w:tcPr>
          <w:p w:rsidR="00C73CC7" w:rsidRPr="00E56625" w:rsidRDefault="00C73CC7" w:rsidP="00321AFB">
            <w:pPr>
              <w:jc w:val="center"/>
              <w:rPr>
                <w:sz w:val="19"/>
                <w:szCs w:val="19"/>
                <w:lang w:val="en-US"/>
              </w:rPr>
            </w:pPr>
            <w:r w:rsidRPr="00E56625">
              <w:rPr>
                <w:sz w:val="19"/>
                <w:szCs w:val="19"/>
                <w:lang w:val="en-US"/>
              </w:rPr>
              <w:t>56.4%</w:t>
            </w:r>
          </w:p>
          <w:p w:rsidR="00C73CC7" w:rsidRPr="00E56625" w:rsidRDefault="00C73CC7" w:rsidP="00321AFB">
            <w:pPr>
              <w:jc w:val="center"/>
              <w:rPr>
                <w:sz w:val="19"/>
                <w:szCs w:val="19"/>
                <w:lang w:val="en-US"/>
              </w:rPr>
            </w:pPr>
            <w:r w:rsidRPr="00E56625">
              <w:rPr>
                <w:sz w:val="19"/>
                <w:szCs w:val="19"/>
                <w:lang w:val="en-US"/>
              </w:rPr>
              <w:t>56.0%</w:t>
            </w:r>
          </w:p>
          <w:p w:rsidR="00C73CC7" w:rsidRPr="00E56625" w:rsidRDefault="00C73CC7" w:rsidP="00321AFB">
            <w:pPr>
              <w:jc w:val="center"/>
              <w:rPr>
                <w:sz w:val="19"/>
                <w:szCs w:val="19"/>
                <w:lang w:val="en-US"/>
              </w:rPr>
            </w:pPr>
            <w:r w:rsidRPr="00E56625">
              <w:rPr>
                <w:sz w:val="19"/>
                <w:szCs w:val="19"/>
                <w:lang w:val="en-US"/>
              </w:rPr>
              <w:t>5.4%</w:t>
            </w:r>
          </w:p>
        </w:tc>
        <w:tc>
          <w:tcPr>
            <w:tcW w:w="502" w:type="pct"/>
            <w:noWrap/>
          </w:tcPr>
          <w:p w:rsidR="00C73CC7" w:rsidRPr="00E56625" w:rsidRDefault="00C73CC7" w:rsidP="00321AFB">
            <w:pPr>
              <w:jc w:val="center"/>
              <w:rPr>
                <w:sz w:val="19"/>
                <w:szCs w:val="19"/>
                <w:lang w:val="en-US"/>
              </w:rPr>
            </w:pPr>
            <w:r w:rsidRPr="00E56625">
              <w:rPr>
                <w:sz w:val="19"/>
                <w:szCs w:val="19"/>
                <w:lang w:val="en-US"/>
              </w:rPr>
              <w:t>54.7%</w:t>
            </w:r>
          </w:p>
          <w:p w:rsidR="00C73CC7" w:rsidRPr="00E56625" w:rsidRDefault="00C73CC7" w:rsidP="00321AFB">
            <w:pPr>
              <w:jc w:val="center"/>
              <w:rPr>
                <w:sz w:val="19"/>
                <w:szCs w:val="19"/>
                <w:lang w:val="en-US"/>
              </w:rPr>
            </w:pPr>
            <w:r w:rsidRPr="00E56625">
              <w:rPr>
                <w:sz w:val="19"/>
                <w:szCs w:val="19"/>
                <w:lang w:val="en-US"/>
              </w:rPr>
              <w:t>54.1%</w:t>
            </w:r>
          </w:p>
          <w:p w:rsidR="00C73CC7" w:rsidRPr="00E56625" w:rsidRDefault="00C73CC7" w:rsidP="00321AFB">
            <w:pPr>
              <w:jc w:val="center"/>
              <w:rPr>
                <w:sz w:val="19"/>
                <w:szCs w:val="19"/>
                <w:lang w:val="en-US"/>
              </w:rPr>
            </w:pPr>
            <w:r w:rsidRPr="00E56625">
              <w:rPr>
                <w:sz w:val="19"/>
                <w:szCs w:val="19"/>
                <w:lang w:val="en-US"/>
              </w:rPr>
              <w:t>9.0%</w:t>
            </w:r>
          </w:p>
        </w:tc>
        <w:tc>
          <w:tcPr>
            <w:tcW w:w="502" w:type="pct"/>
            <w:noWrap/>
          </w:tcPr>
          <w:p w:rsidR="00C73CC7" w:rsidRPr="00E56625" w:rsidRDefault="00C73CC7" w:rsidP="00321AFB">
            <w:pPr>
              <w:jc w:val="center"/>
              <w:rPr>
                <w:sz w:val="19"/>
                <w:szCs w:val="19"/>
                <w:lang w:val="en-US"/>
              </w:rPr>
            </w:pPr>
            <w:r w:rsidRPr="00E56625">
              <w:rPr>
                <w:sz w:val="19"/>
                <w:szCs w:val="19"/>
                <w:lang w:val="en-US"/>
              </w:rPr>
              <w:t>46.7%</w:t>
            </w:r>
          </w:p>
          <w:p w:rsidR="00C73CC7" w:rsidRPr="00E56625" w:rsidRDefault="00C73CC7" w:rsidP="00321AFB">
            <w:pPr>
              <w:jc w:val="center"/>
              <w:rPr>
                <w:sz w:val="19"/>
                <w:szCs w:val="19"/>
                <w:lang w:val="en-US"/>
              </w:rPr>
            </w:pPr>
            <w:r w:rsidRPr="00E56625">
              <w:rPr>
                <w:sz w:val="19"/>
                <w:szCs w:val="19"/>
                <w:lang w:val="en-US"/>
              </w:rPr>
              <w:t>45.7%</w:t>
            </w:r>
          </w:p>
          <w:p w:rsidR="00C73CC7" w:rsidRPr="00E56625" w:rsidRDefault="00C73CC7" w:rsidP="00321AFB">
            <w:pPr>
              <w:jc w:val="center"/>
              <w:rPr>
                <w:sz w:val="19"/>
                <w:szCs w:val="19"/>
                <w:lang w:val="en-US"/>
              </w:rPr>
            </w:pPr>
            <w:r w:rsidRPr="00E56625">
              <w:rPr>
                <w:sz w:val="19"/>
                <w:szCs w:val="19"/>
                <w:lang w:val="en-US"/>
              </w:rPr>
              <w:t>13.0%</w:t>
            </w:r>
          </w:p>
        </w:tc>
        <w:tc>
          <w:tcPr>
            <w:tcW w:w="287" w:type="pct"/>
            <w:noWrap/>
          </w:tcPr>
          <w:p w:rsidR="00C73CC7" w:rsidRPr="00E56625" w:rsidRDefault="00C73CC7" w:rsidP="00321AFB">
            <w:pPr>
              <w:jc w:val="center"/>
              <w:rPr>
                <w:sz w:val="19"/>
                <w:szCs w:val="19"/>
                <w:lang w:val="en-US"/>
              </w:rPr>
            </w:pPr>
            <w:r w:rsidRPr="00E56625">
              <w:rPr>
                <w:sz w:val="19"/>
                <w:szCs w:val="19"/>
                <w:lang w:val="en-US"/>
              </w:rPr>
              <w:t>39.5%</w:t>
            </w:r>
          </w:p>
          <w:p w:rsidR="00C73CC7" w:rsidRPr="00E56625" w:rsidRDefault="00C73CC7" w:rsidP="00321AFB">
            <w:pPr>
              <w:jc w:val="center"/>
              <w:rPr>
                <w:sz w:val="19"/>
                <w:szCs w:val="19"/>
                <w:lang w:val="en-US"/>
              </w:rPr>
            </w:pPr>
            <w:r w:rsidRPr="00E56625">
              <w:rPr>
                <w:sz w:val="19"/>
                <w:szCs w:val="19"/>
                <w:lang w:val="en-US"/>
              </w:rPr>
              <w:t>37.7%</w:t>
            </w:r>
          </w:p>
          <w:p w:rsidR="00C73CC7" w:rsidRPr="00E56625" w:rsidRDefault="00C73CC7" w:rsidP="00321AFB">
            <w:pPr>
              <w:jc w:val="center"/>
              <w:rPr>
                <w:sz w:val="19"/>
                <w:szCs w:val="19"/>
                <w:lang w:val="en-US"/>
              </w:rPr>
            </w:pPr>
            <w:r w:rsidRPr="00E56625">
              <w:rPr>
                <w:sz w:val="19"/>
                <w:szCs w:val="19"/>
                <w:lang w:val="en-US"/>
              </w:rPr>
              <w:t>15.5%</w:t>
            </w:r>
          </w:p>
        </w:tc>
        <w:tc>
          <w:tcPr>
            <w:tcW w:w="359" w:type="pct"/>
            <w:gridSpan w:val="2"/>
            <w:noWrap/>
          </w:tcPr>
          <w:p w:rsidR="00C73CC7" w:rsidRPr="00E56625" w:rsidRDefault="00C73CC7" w:rsidP="00321AFB">
            <w:pPr>
              <w:jc w:val="center"/>
              <w:rPr>
                <w:sz w:val="19"/>
                <w:szCs w:val="19"/>
                <w:lang w:val="en-US"/>
              </w:rPr>
            </w:pPr>
            <w:r w:rsidRPr="00E56625">
              <w:rPr>
                <w:sz w:val="19"/>
                <w:szCs w:val="19"/>
                <w:lang w:val="en-US"/>
              </w:rPr>
              <w:t>53.3%</w:t>
            </w:r>
          </w:p>
          <w:p w:rsidR="00C73CC7" w:rsidRPr="00E56625" w:rsidRDefault="00C73CC7" w:rsidP="00321AFB">
            <w:pPr>
              <w:jc w:val="center"/>
              <w:rPr>
                <w:sz w:val="19"/>
                <w:szCs w:val="19"/>
                <w:lang w:val="en-US"/>
              </w:rPr>
            </w:pPr>
            <w:r w:rsidRPr="00E56625">
              <w:rPr>
                <w:sz w:val="19"/>
                <w:szCs w:val="19"/>
                <w:lang w:val="en-US"/>
              </w:rPr>
              <w:t>52.4%</w:t>
            </w:r>
          </w:p>
          <w:p w:rsidR="00C73CC7" w:rsidRPr="00E56625" w:rsidRDefault="00C73CC7" w:rsidP="00321AFB">
            <w:pPr>
              <w:jc w:val="center"/>
              <w:rPr>
                <w:sz w:val="19"/>
                <w:szCs w:val="19"/>
                <w:lang w:val="en-US"/>
              </w:rPr>
            </w:pPr>
            <w:r w:rsidRPr="00E56625">
              <w:rPr>
                <w:sz w:val="19"/>
                <w:szCs w:val="19"/>
                <w:lang w:val="en-US"/>
              </w:rPr>
              <w:t>16.3%</w:t>
            </w:r>
          </w:p>
        </w:tc>
        <w:tc>
          <w:tcPr>
            <w:tcW w:w="334" w:type="pct"/>
            <w:gridSpan w:val="2"/>
            <w:noWrap/>
          </w:tcPr>
          <w:p w:rsidR="00C73CC7" w:rsidRPr="00E56625" w:rsidRDefault="00C73CC7" w:rsidP="00321AFB">
            <w:pPr>
              <w:jc w:val="center"/>
              <w:rPr>
                <w:sz w:val="19"/>
                <w:szCs w:val="19"/>
                <w:lang w:val="en-US"/>
              </w:rPr>
            </w:pPr>
            <w:r w:rsidRPr="00E56625">
              <w:rPr>
                <w:sz w:val="19"/>
                <w:szCs w:val="19"/>
                <w:lang w:val="en-US"/>
              </w:rPr>
              <w:t>40.2%</w:t>
            </w:r>
          </w:p>
          <w:p w:rsidR="00C73CC7" w:rsidRPr="00E56625" w:rsidRDefault="00C73CC7" w:rsidP="00321AFB">
            <w:pPr>
              <w:jc w:val="center"/>
              <w:rPr>
                <w:sz w:val="19"/>
                <w:szCs w:val="19"/>
                <w:lang w:val="en-US"/>
              </w:rPr>
            </w:pPr>
            <w:r w:rsidRPr="00E56625">
              <w:rPr>
                <w:sz w:val="19"/>
                <w:szCs w:val="19"/>
                <w:lang w:val="en-US"/>
              </w:rPr>
              <w:t>38.8%</w:t>
            </w:r>
          </w:p>
          <w:p w:rsidR="00C73CC7" w:rsidRPr="00E56625" w:rsidRDefault="00C73CC7" w:rsidP="00321AFB">
            <w:pPr>
              <w:jc w:val="center"/>
              <w:rPr>
                <w:sz w:val="19"/>
                <w:szCs w:val="19"/>
                <w:lang w:val="en-US"/>
              </w:rPr>
            </w:pPr>
            <w:r w:rsidRPr="00E56625">
              <w:rPr>
                <w:sz w:val="19"/>
                <w:szCs w:val="19"/>
                <w:lang w:val="en-US"/>
              </w:rPr>
              <w:t>19.3%</w:t>
            </w:r>
          </w:p>
        </w:tc>
        <w:tc>
          <w:tcPr>
            <w:tcW w:w="415" w:type="pct"/>
            <w:noWrap/>
          </w:tcPr>
          <w:p w:rsidR="00C73CC7" w:rsidRPr="00E56625" w:rsidRDefault="00C73CC7" w:rsidP="00321AFB">
            <w:pPr>
              <w:jc w:val="center"/>
              <w:rPr>
                <w:sz w:val="19"/>
                <w:szCs w:val="19"/>
                <w:lang w:val="en-US"/>
              </w:rPr>
            </w:pPr>
            <w:r w:rsidRPr="00E56625">
              <w:rPr>
                <w:sz w:val="19"/>
                <w:szCs w:val="19"/>
                <w:lang w:val="en-US"/>
              </w:rPr>
              <w:t>45.9%</w:t>
            </w:r>
          </w:p>
          <w:p w:rsidR="00C73CC7" w:rsidRPr="00E56625" w:rsidRDefault="00C73CC7" w:rsidP="00321AFB">
            <w:pPr>
              <w:jc w:val="center"/>
              <w:rPr>
                <w:sz w:val="19"/>
                <w:szCs w:val="19"/>
                <w:lang w:val="en-US"/>
              </w:rPr>
            </w:pPr>
            <w:r w:rsidRPr="00E56625">
              <w:rPr>
                <w:sz w:val="19"/>
                <w:szCs w:val="19"/>
                <w:lang w:val="en-US"/>
              </w:rPr>
              <w:t>44.4%</w:t>
            </w:r>
          </w:p>
          <w:p w:rsidR="00C73CC7" w:rsidRPr="00E56625" w:rsidRDefault="00C73CC7" w:rsidP="00321AFB">
            <w:pPr>
              <w:jc w:val="center"/>
              <w:rPr>
                <w:sz w:val="19"/>
                <w:szCs w:val="19"/>
                <w:lang w:val="en-US"/>
              </w:rPr>
            </w:pPr>
            <w:r w:rsidRPr="00E56625">
              <w:rPr>
                <w:sz w:val="19"/>
                <w:szCs w:val="19"/>
                <w:lang w:val="en-US"/>
              </w:rPr>
              <w:t>17.6%</w:t>
            </w:r>
          </w:p>
        </w:tc>
      </w:tr>
      <w:tr w:rsidR="00C73CC7" w:rsidRPr="008F3531" w:rsidTr="00321AFB">
        <w:trPr>
          <w:trHeight w:val="152"/>
        </w:trPr>
        <w:tc>
          <w:tcPr>
            <w:tcW w:w="5000" w:type="pct"/>
            <w:gridSpan w:val="11"/>
            <w:noWrap/>
            <w:hideMark/>
          </w:tcPr>
          <w:p w:rsidR="00C73CC7" w:rsidRPr="00E56625" w:rsidRDefault="00C73CC7" w:rsidP="00321AFB">
            <w:pPr>
              <w:rPr>
                <w:sz w:val="19"/>
                <w:szCs w:val="19"/>
                <w:lang w:val="en-US"/>
              </w:rPr>
            </w:pPr>
            <w:r w:rsidRPr="00E56625">
              <w:rPr>
                <w:b/>
                <w:bCs/>
                <w:sz w:val="19"/>
                <w:szCs w:val="19"/>
                <w:lang w:val="en-US"/>
              </w:rPr>
              <w:t>Economic sector (occupied workers, ages 15-64)</w:t>
            </w:r>
          </w:p>
        </w:tc>
      </w:tr>
      <w:tr w:rsidR="00C73CC7" w:rsidRPr="008F3531" w:rsidTr="00321AFB">
        <w:trPr>
          <w:trHeight w:val="2645"/>
        </w:trPr>
        <w:tc>
          <w:tcPr>
            <w:tcW w:w="1647" w:type="pct"/>
            <w:noWrap/>
            <w:hideMark/>
          </w:tcPr>
          <w:p w:rsidR="00C73CC7" w:rsidRPr="00E56625" w:rsidRDefault="00C73CC7" w:rsidP="00321AFB">
            <w:pPr>
              <w:rPr>
                <w:sz w:val="19"/>
                <w:szCs w:val="19"/>
                <w:lang w:val="en-US"/>
              </w:rPr>
            </w:pPr>
            <w:r w:rsidRPr="00E56625">
              <w:rPr>
                <w:sz w:val="19"/>
                <w:szCs w:val="19"/>
                <w:lang w:val="en-US"/>
              </w:rPr>
              <w:t xml:space="preserve">  Agriculture</w:t>
            </w:r>
          </w:p>
          <w:p w:rsidR="00C73CC7" w:rsidRPr="00E56625" w:rsidRDefault="00C73CC7" w:rsidP="00321AFB">
            <w:pPr>
              <w:rPr>
                <w:sz w:val="19"/>
                <w:szCs w:val="19"/>
                <w:lang w:val="en-US"/>
              </w:rPr>
            </w:pPr>
            <w:r w:rsidRPr="00E56625">
              <w:rPr>
                <w:sz w:val="19"/>
                <w:szCs w:val="19"/>
                <w:lang w:val="en-US"/>
              </w:rPr>
              <w:t xml:space="preserve">  Extractive industry</w:t>
            </w:r>
          </w:p>
          <w:p w:rsidR="00C73CC7" w:rsidRPr="00E56625" w:rsidRDefault="00C73CC7" w:rsidP="00321AFB">
            <w:pPr>
              <w:rPr>
                <w:sz w:val="19"/>
                <w:szCs w:val="19"/>
                <w:lang w:val="en-US"/>
              </w:rPr>
            </w:pPr>
            <w:r w:rsidRPr="00E56625">
              <w:rPr>
                <w:sz w:val="19"/>
                <w:szCs w:val="19"/>
                <w:lang w:val="en-US"/>
              </w:rPr>
              <w:t xml:space="preserve">  Manufacturing and craft</w:t>
            </w:r>
          </w:p>
          <w:p w:rsidR="00C73CC7" w:rsidRPr="00E56625" w:rsidRDefault="00C73CC7" w:rsidP="00321AFB">
            <w:pPr>
              <w:rPr>
                <w:sz w:val="19"/>
                <w:szCs w:val="19"/>
                <w:lang w:val="en-US"/>
              </w:rPr>
            </w:pPr>
            <w:r w:rsidRPr="00E56625">
              <w:rPr>
                <w:sz w:val="19"/>
                <w:szCs w:val="19"/>
                <w:lang w:val="en-US"/>
              </w:rPr>
              <w:t xml:space="preserve">  Trade</w:t>
            </w:r>
          </w:p>
          <w:p w:rsidR="00C73CC7" w:rsidRPr="00E56625" w:rsidRDefault="00C73CC7" w:rsidP="00321AFB">
            <w:pPr>
              <w:rPr>
                <w:sz w:val="19"/>
                <w:szCs w:val="19"/>
                <w:lang w:val="en-US"/>
              </w:rPr>
            </w:pPr>
            <w:r w:rsidRPr="00E56625">
              <w:rPr>
                <w:sz w:val="19"/>
                <w:szCs w:val="19"/>
                <w:lang w:val="en-US"/>
              </w:rPr>
              <w:t xml:space="preserve">  Bank / insurance</w:t>
            </w:r>
          </w:p>
          <w:p w:rsidR="00C73CC7" w:rsidRPr="00E56625" w:rsidRDefault="00C73CC7" w:rsidP="00321AFB">
            <w:pPr>
              <w:rPr>
                <w:sz w:val="19"/>
                <w:szCs w:val="19"/>
                <w:lang w:val="en-US"/>
              </w:rPr>
            </w:pPr>
            <w:r w:rsidRPr="00E56625">
              <w:rPr>
                <w:sz w:val="19"/>
                <w:szCs w:val="19"/>
                <w:lang w:val="en-US"/>
              </w:rPr>
              <w:t xml:space="preserve">  Public or private administration</w:t>
            </w:r>
          </w:p>
          <w:p w:rsidR="00C73CC7" w:rsidRPr="00E56625" w:rsidRDefault="00C73CC7" w:rsidP="00321AFB">
            <w:pPr>
              <w:rPr>
                <w:sz w:val="19"/>
                <w:szCs w:val="19"/>
                <w:lang w:val="en-US"/>
              </w:rPr>
            </w:pPr>
            <w:r w:rsidRPr="00E56625">
              <w:rPr>
                <w:sz w:val="19"/>
                <w:szCs w:val="19"/>
                <w:lang w:val="en-US"/>
              </w:rPr>
              <w:t xml:space="preserve"> Transport and communication</w:t>
            </w:r>
          </w:p>
          <w:p w:rsidR="00C73CC7" w:rsidRPr="00E56625" w:rsidRDefault="00C73CC7" w:rsidP="00321AFB">
            <w:pPr>
              <w:rPr>
                <w:sz w:val="19"/>
                <w:szCs w:val="19"/>
                <w:lang w:val="en-US"/>
              </w:rPr>
            </w:pPr>
            <w:r w:rsidRPr="00E56625">
              <w:rPr>
                <w:sz w:val="19"/>
                <w:szCs w:val="19"/>
                <w:lang w:val="en-US"/>
              </w:rPr>
              <w:t xml:space="preserve">  Construction</w:t>
            </w:r>
          </w:p>
          <w:p w:rsidR="00C73CC7" w:rsidRPr="00E56625" w:rsidRDefault="00C73CC7" w:rsidP="00321AFB">
            <w:pPr>
              <w:rPr>
                <w:sz w:val="19"/>
                <w:szCs w:val="19"/>
                <w:lang w:val="en-US"/>
              </w:rPr>
            </w:pPr>
            <w:r w:rsidRPr="00E56625">
              <w:rPr>
                <w:sz w:val="19"/>
                <w:szCs w:val="19"/>
                <w:lang w:val="en-US"/>
              </w:rPr>
              <w:t xml:space="preserve">  Services</w:t>
            </w:r>
          </w:p>
          <w:p w:rsidR="00C73CC7" w:rsidRPr="00E56625" w:rsidRDefault="00C73CC7" w:rsidP="00321AFB">
            <w:pPr>
              <w:rPr>
                <w:sz w:val="19"/>
                <w:szCs w:val="19"/>
                <w:lang w:val="en-US"/>
              </w:rPr>
            </w:pPr>
            <w:r w:rsidRPr="00E56625">
              <w:rPr>
                <w:sz w:val="19"/>
                <w:szCs w:val="19"/>
                <w:lang w:val="en-US"/>
              </w:rPr>
              <w:t xml:space="preserve">  Electricity, water and gas</w:t>
            </w:r>
          </w:p>
          <w:p w:rsidR="00C73CC7" w:rsidRPr="00E56625" w:rsidRDefault="00C73CC7" w:rsidP="00321AFB">
            <w:pPr>
              <w:rPr>
                <w:sz w:val="19"/>
                <w:szCs w:val="19"/>
                <w:lang w:val="en-US"/>
              </w:rPr>
            </w:pPr>
            <w:r w:rsidRPr="00E56625">
              <w:rPr>
                <w:sz w:val="19"/>
                <w:szCs w:val="19"/>
                <w:lang w:val="en-US"/>
              </w:rPr>
              <w:t xml:space="preserve">  no response / missing </w:t>
            </w:r>
          </w:p>
        </w:tc>
        <w:tc>
          <w:tcPr>
            <w:tcW w:w="456" w:type="pct"/>
            <w:noWrap/>
          </w:tcPr>
          <w:p w:rsidR="00C73CC7" w:rsidRPr="00E56625" w:rsidRDefault="00C73CC7" w:rsidP="00321AFB">
            <w:pPr>
              <w:jc w:val="center"/>
              <w:rPr>
                <w:sz w:val="19"/>
                <w:szCs w:val="19"/>
                <w:lang w:val="en-US"/>
              </w:rPr>
            </w:pPr>
            <w:r w:rsidRPr="00E56625">
              <w:rPr>
                <w:sz w:val="19"/>
                <w:szCs w:val="19"/>
                <w:lang w:val="en-US"/>
              </w:rPr>
              <w:t>91.9%</w:t>
            </w:r>
          </w:p>
          <w:p w:rsidR="00C73CC7" w:rsidRPr="00E56625" w:rsidRDefault="00C73CC7" w:rsidP="00321AFB">
            <w:pPr>
              <w:jc w:val="center"/>
              <w:rPr>
                <w:sz w:val="19"/>
                <w:szCs w:val="19"/>
                <w:lang w:val="en-US"/>
              </w:rPr>
            </w:pPr>
            <w:r w:rsidRPr="00E56625">
              <w:rPr>
                <w:sz w:val="19"/>
                <w:szCs w:val="19"/>
                <w:lang w:val="en-US"/>
              </w:rPr>
              <w:t>0.1%</w:t>
            </w:r>
          </w:p>
          <w:p w:rsidR="00C73CC7" w:rsidRPr="00E56625" w:rsidRDefault="00C73CC7" w:rsidP="00321AFB">
            <w:pPr>
              <w:jc w:val="center"/>
              <w:rPr>
                <w:sz w:val="19"/>
                <w:szCs w:val="19"/>
                <w:lang w:val="en-US"/>
              </w:rPr>
            </w:pPr>
            <w:r w:rsidRPr="00E56625">
              <w:rPr>
                <w:sz w:val="19"/>
                <w:szCs w:val="19"/>
                <w:lang w:val="en-US"/>
              </w:rPr>
              <w:t>2.4%</w:t>
            </w:r>
          </w:p>
          <w:p w:rsidR="00C73CC7" w:rsidRPr="00E56625" w:rsidRDefault="00C73CC7" w:rsidP="00321AFB">
            <w:pPr>
              <w:jc w:val="center"/>
              <w:rPr>
                <w:sz w:val="19"/>
                <w:szCs w:val="19"/>
                <w:lang w:val="en-US"/>
              </w:rPr>
            </w:pPr>
            <w:r w:rsidRPr="00E56625">
              <w:rPr>
                <w:sz w:val="19"/>
                <w:szCs w:val="19"/>
                <w:lang w:val="en-US"/>
              </w:rPr>
              <w:t>2.3%</w:t>
            </w:r>
          </w:p>
          <w:p w:rsidR="00C73CC7" w:rsidRPr="00E56625" w:rsidRDefault="00C73CC7" w:rsidP="00321AFB">
            <w:pPr>
              <w:jc w:val="center"/>
              <w:rPr>
                <w:sz w:val="19"/>
                <w:szCs w:val="19"/>
                <w:lang w:val="en-US"/>
              </w:rPr>
            </w:pPr>
            <w:r w:rsidRPr="00E56625">
              <w:rPr>
                <w:sz w:val="19"/>
                <w:szCs w:val="19"/>
                <w:lang w:val="en-US"/>
              </w:rPr>
              <w:t>0.0%</w:t>
            </w:r>
          </w:p>
          <w:p w:rsidR="00C73CC7" w:rsidRPr="00E56625" w:rsidRDefault="00C73CC7" w:rsidP="00321AFB">
            <w:pPr>
              <w:jc w:val="center"/>
              <w:rPr>
                <w:sz w:val="19"/>
                <w:szCs w:val="19"/>
                <w:lang w:val="en-US"/>
              </w:rPr>
            </w:pPr>
            <w:r w:rsidRPr="00E56625">
              <w:rPr>
                <w:sz w:val="19"/>
                <w:szCs w:val="19"/>
                <w:lang w:val="en-US"/>
              </w:rPr>
              <w:t>0.5%</w:t>
            </w:r>
          </w:p>
          <w:p w:rsidR="00C73CC7" w:rsidRPr="00E56625" w:rsidRDefault="00C73CC7" w:rsidP="00321AFB">
            <w:pPr>
              <w:jc w:val="center"/>
              <w:rPr>
                <w:sz w:val="19"/>
                <w:szCs w:val="19"/>
                <w:lang w:val="en-US"/>
              </w:rPr>
            </w:pPr>
            <w:r w:rsidRPr="00E56625">
              <w:rPr>
                <w:sz w:val="19"/>
                <w:szCs w:val="19"/>
                <w:lang w:val="en-US"/>
              </w:rPr>
              <w:t>0.1%</w:t>
            </w:r>
          </w:p>
          <w:p w:rsidR="00C73CC7" w:rsidRPr="00E56625" w:rsidRDefault="00C73CC7" w:rsidP="00321AFB">
            <w:pPr>
              <w:jc w:val="center"/>
              <w:rPr>
                <w:sz w:val="19"/>
                <w:szCs w:val="19"/>
                <w:lang w:val="en-US"/>
              </w:rPr>
            </w:pPr>
            <w:r w:rsidRPr="00E56625">
              <w:rPr>
                <w:sz w:val="19"/>
                <w:szCs w:val="19"/>
                <w:lang w:val="en-US"/>
              </w:rPr>
              <w:t>0.3%</w:t>
            </w:r>
          </w:p>
          <w:p w:rsidR="00C73CC7" w:rsidRPr="00E56625" w:rsidRDefault="00C73CC7" w:rsidP="00321AFB">
            <w:pPr>
              <w:jc w:val="center"/>
              <w:rPr>
                <w:sz w:val="19"/>
                <w:szCs w:val="19"/>
                <w:lang w:val="en-US"/>
              </w:rPr>
            </w:pPr>
            <w:r w:rsidRPr="00E56625">
              <w:rPr>
                <w:sz w:val="19"/>
                <w:szCs w:val="19"/>
                <w:lang w:val="en-US"/>
              </w:rPr>
              <w:t>0.9%</w:t>
            </w:r>
          </w:p>
          <w:p w:rsidR="00C73CC7" w:rsidRPr="00E56625" w:rsidRDefault="00C73CC7" w:rsidP="00321AFB">
            <w:pPr>
              <w:jc w:val="center"/>
              <w:rPr>
                <w:sz w:val="19"/>
                <w:szCs w:val="19"/>
                <w:lang w:val="en-US"/>
              </w:rPr>
            </w:pPr>
            <w:r w:rsidRPr="00E56625">
              <w:rPr>
                <w:sz w:val="19"/>
                <w:szCs w:val="19"/>
                <w:lang w:val="en-US"/>
              </w:rPr>
              <w:t>0.0%</w:t>
            </w:r>
          </w:p>
          <w:p w:rsidR="00C73CC7" w:rsidRPr="00E56625" w:rsidRDefault="00C73CC7" w:rsidP="00321AFB">
            <w:pPr>
              <w:jc w:val="center"/>
              <w:rPr>
                <w:sz w:val="19"/>
                <w:szCs w:val="19"/>
                <w:lang w:val="en-US"/>
              </w:rPr>
            </w:pPr>
            <w:r w:rsidRPr="00E56625">
              <w:rPr>
                <w:sz w:val="19"/>
                <w:szCs w:val="19"/>
                <w:lang w:val="en-US"/>
              </w:rPr>
              <w:t>1.4%</w:t>
            </w:r>
          </w:p>
        </w:tc>
        <w:tc>
          <w:tcPr>
            <w:tcW w:w="498" w:type="pct"/>
            <w:noWrap/>
          </w:tcPr>
          <w:p w:rsidR="00C73CC7" w:rsidRPr="00E56625" w:rsidRDefault="00C73CC7" w:rsidP="00321AFB">
            <w:pPr>
              <w:jc w:val="center"/>
              <w:rPr>
                <w:sz w:val="19"/>
                <w:szCs w:val="19"/>
                <w:lang w:val="en-US"/>
              </w:rPr>
            </w:pPr>
            <w:r w:rsidRPr="00E56625">
              <w:rPr>
                <w:sz w:val="19"/>
                <w:szCs w:val="19"/>
                <w:lang w:val="en-US"/>
              </w:rPr>
              <w:t>78.5%</w:t>
            </w:r>
          </w:p>
          <w:p w:rsidR="00C73CC7" w:rsidRPr="00E56625" w:rsidRDefault="00C73CC7" w:rsidP="00321AFB">
            <w:pPr>
              <w:jc w:val="center"/>
              <w:rPr>
                <w:sz w:val="19"/>
                <w:szCs w:val="19"/>
                <w:lang w:val="en-US"/>
              </w:rPr>
            </w:pPr>
            <w:r w:rsidRPr="00E56625">
              <w:rPr>
                <w:sz w:val="19"/>
                <w:szCs w:val="19"/>
                <w:lang w:val="en-US"/>
              </w:rPr>
              <w:t>0.3%</w:t>
            </w:r>
          </w:p>
          <w:p w:rsidR="00C73CC7" w:rsidRPr="00E56625" w:rsidRDefault="00C73CC7" w:rsidP="00321AFB">
            <w:pPr>
              <w:jc w:val="center"/>
              <w:rPr>
                <w:sz w:val="19"/>
                <w:szCs w:val="19"/>
                <w:lang w:val="en-US"/>
              </w:rPr>
            </w:pPr>
            <w:r w:rsidRPr="00E56625">
              <w:rPr>
                <w:sz w:val="19"/>
                <w:szCs w:val="19"/>
                <w:lang w:val="en-US"/>
              </w:rPr>
              <w:t>3.2%</w:t>
            </w:r>
          </w:p>
          <w:p w:rsidR="00C73CC7" w:rsidRPr="00E56625" w:rsidRDefault="00C73CC7" w:rsidP="00321AFB">
            <w:pPr>
              <w:jc w:val="center"/>
              <w:rPr>
                <w:sz w:val="19"/>
                <w:szCs w:val="19"/>
                <w:lang w:val="en-US"/>
              </w:rPr>
            </w:pPr>
            <w:r w:rsidRPr="00E56625">
              <w:rPr>
                <w:sz w:val="19"/>
                <w:szCs w:val="19"/>
                <w:lang w:val="en-US"/>
              </w:rPr>
              <w:t>6.7%</w:t>
            </w:r>
          </w:p>
          <w:p w:rsidR="00C73CC7" w:rsidRPr="00E56625" w:rsidRDefault="00C73CC7" w:rsidP="00321AFB">
            <w:pPr>
              <w:jc w:val="center"/>
              <w:rPr>
                <w:sz w:val="19"/>
                <w:szCs w:val="19"/>
                <w:lang w:val="en-US"/>
              </w:rPr>
            </w:pPr>
            <w:r w:rsidRPr="00E56625">
              <w:rPr>
                <w:sz w:val="19"/>
                <w:szCs w:val="19"/>
                <w:lang w:val="en-US"/>
              </w:rPr>
              <w:t>0.0%</w:t>
            </w:r>
          </w:p>
          <w:p w:rsidR="00C73CC7" w:rsidRPr="00E56625" w:rsidRDefault="00C73CC7" w:rsidP="00321AFB">
            <w:pPr>
              <w:jc w:val="center"/>
              <w:rPr>
                <w:sz w:val="19"/>
                <w:szCs w:val="19"/>
                <w:lang w:val="en-US"/>
              </w:rPr>
            </w:pPr>
            <w:r w:rsidRPr="00E56625">
              <w:rPr>
                <w:sz w:val="19"/>
                <w:szCs w:val="19"/>
                <w:lang w:val="en-US"/>
              </w:rPr>
              <w:t>3.2%</w:t>
            </w:r>
          </w:p>
          <w:p w:rsidR="00C73CC7" w:rsidRPr="00E56625" w:rsidRDefault="00C73CC7" w:rsidP="00321AFB">
            <w:pPr>
              <w:jc w:val="center"/>
              <w:rPr>
                <w:sz w:val="19"/>
                <w:szCs w:val="19"/>
                <w:lang w:val="en-US"/>
              </w:rPr>
            </w:pPr>
            <w:r w:rsidRPr="00E56625">
              <w:rPr>
                <w:sz w:val="19"/>
                <w:szCs w:val="19"/>
                <w:lang w:val="en-US"/>
              </w:rPr>
              <w:t>1.0%</w:t>
            </w:r>
          </w:p>
          <w:p w:rsidR="00C73CC7" w:rsidRPr="00E56625" w:rsidRDefault="00C73CC7" w:rsidP="00321AFB">
            <w:pPr>
              <w:jc w:val="center"/>
              <w:rPr>
                <w:sz w:val="19"/>
                <w:szCs w:val="19"/>
                <w:lang w:val="en-US"/>
              </w:rPr>
            </w:pPr>
            <w:r w:rsidRPr="00E56625">
              <w:rPr>
                <w:sz w:val="19"/>
                <w:szCs w:val="19"/>
                <w:lang w:val="en-US"/>
              </w:rPr>
              <w:t>1.0%</w:t>
            </w:r>
          </w:p>
          <w:p w:rsidR="00C73CC7" w:rsidRPr="00E56625" w:rsidRDefault="00C73CC7" w:rsidP="00321AFB">
            <w:pPr>
              <w:jc w:val="center"/>
              <w:rPr>
                <w:sz w:val="19"/>
                <w:szCs w:val="19"/>
                <w:lang w:val="en-US"/>
              </w:rPr>
            </w:pPr>
            <w:r w:rsidRPr="00E56625">
              <w:rPr>
                <w:sz w:val="19"/>
                <w:szCs w:val="19"/>
                <w:lang w:val="en-US"/>
              </w:rPr>
              <w:t>3.6%</w:t>
            </w:r>
          </w:p>
          <w:p w:rsidR="00C73CC7" w:rsidRPr="00E56625" w:rsidRDefault="00C73CC7" w:rsidP="00321AFB">
            <w:pPr>
              <w:jc w:val="center"/>
              <w:rPr>
                <w:sz w:val="19"/>
                <w:szCs w:val="19"/>
                <w:lang w:val="en-US"/>
              </w:rPr>
            </w:pPr>
            <w:r w:rsidRPr="00E56625">
              <w:rPr>
                <w:sz w:val="19"/>
                <w:szCs w:val="19"/>
                <w:lang w:val="en-US"/>
              </w:rPr>
              <w:t>0.1%</w:t>
            </w:r>
          </w:p>
          <w:p w:rsidR="00C73CC7" w:rsidRPr="00E56625" w:rsidRDefault="00C73CC7" w:rsidP="00321AFB">
            <w:pPr>
              <w:jc w:val="center"/>
              <w:rPr>
                <w:sz w:val="19"/>
                <w:szCs w:val="19"/>
                <w:lang w:val="en-US"/>
              </w:rPr>
            </w:pPr>
            <w:r w:rsidRPr="00E56625">
              <w:rPr>
                <w:sz w:val="19"/>
                <w:szCs w:val="19"/>
                <w:lang w:val="en-US"/>
              </w:rPr>
              <w:t>2.3%</w:t>
            </w:r>
          </w:p>
        </w:tc>
        <w:tc>
          <w:tcPr>
            <w:tcW w:w="502" w:type="pct"/>
            <w:noWrap/>
          </w:tcPr>
          <w:p w:rsidR="00C73CC7" w:rsidRPr="00E56625" w:rsidRDefault="00C73CC7" w:rsidP="00321AFB">
            <w:pPr>
              <w:jc w:val="center"/>
              <w:rPr>
                <w:sz w:val="19"/>
                <w:szCs w:val="19"/>
                <w:lang w:val="en-US"/>
              </w:rPr>
            </w:pPr>
            <w:r w:rsidRPr="00E56625">
              <w:rPr>
                <w:sz w:val="19"/>
                <w:szCs w:val="19"/>
                <w:lang w:val="en-US"/>
              </w:rPr>
              <w:t>59.8%</w:t>
            </w:r>
          </w:p>
          <w:p w:rsidR="00C73CC7" w:rsidRPr="00E56625" w:rsidRDefault="00C73CC7" w:rsidP="00321AFB">
            <w:pPr>
              <w:jc w:val="center"/>
              <w:rPr>
                <w:sz w:val="19"/>
                <w:szCs w:val="19"/>
                <w:lang w:val="en-US"/>
              </w:rPr>
            </w:pPr>
            <w:r w:rsidRPr="00E56625">
              <w:rPr>
                <w:sz w:val="19"/>
                <w:szCs w:val="19"/>
                <w:lang w:val="en-US"/>
              </w:rPr>
              <w:t>0.6%</w:t>
            </w:r>
          </w:p>
          <w:p w:rsidR="00C73CC7" w:rsidRPr="00E56625" w:rsidRDefault="00C73CC7" w:rsidP="00321AFB">
            <w:pPr>
              <w:jc w:val="center"/>
              <w:rPr>
                <w:sz w:val="19"/>
                <w:szCs w:val="19"/>
                <w:lang w:val="en-US"/>
              </w:rPr>
            </w:pPr>
            <w:r w:rsidRPr="00E56625">
              <w:rPr>
                <w:sz w:val="19"/>
                <w:szCs w:val="19"/>
                <w:lang w:val="en-US"/>
              </w:rPr>
              <w:t>5.7%</w:t>
            </w:r>
          </w:p>
          <w:p w:rsidR="00C73CC7" w:rsidRPr="00E56625" w:rsidRDefault="00C73CC7" w:rsidP="00321AFB">
            <w:pPr>
              <w:jc w:val="center"/>
              <w:rPr>
                <w:sz w:val="19"/>
                <w:szCs w:val="19"/>
                <w:lang w:val="en-US"/>
              </w:rPr>
            </w:pPr>
            <w:r w:rsidRPr="00E56625">
              <w:rPr>
                <w:sz w:val="19"/>
                <w:szCs w:val="19"/>
                <w:lang w:val="en-US"/>
              </w:rPr>
              <w:t>15.6%</w:t>
            </w:r>
          </w:p>
          <w:p w:rsidR="00C73CC7" w:rsidRPr="00E56625" w:rsidRDefault="00C73CC7" w:rsidP="00321AFB">
            <w:pPr>
              <w:jc w:val="center"/>
              <w:rPr>
                <w:sz w:val="19"/>
                <w:szCs w:val="19"/>
                <w:lang w:val="en-US"/>
              </w:rPr>
            </w:pPr>
            <w:r w:rsidRPr="00E56625">
              <w:rPr>
                <w:sz w:val="19"/>
                <w:szCs w:val="19"/>
                <w:lang w:val="en-US"/>
              </w:rPr>
              <w:t>0.1%</w:t>
            </w:r>
          </w:p>
          <w:p w:rsidR="00C73CC7" w:rsidRPr="00E56625" w:rsidRDefault="00C73CC7" w:rsidP="00321AFB">
            <w:pPr>
              <w:jc w:val="center"/>
              <w:rPr>
                <w:sz w:val="19"/>
                <w:szCs w:val="19"/>
                <w:lang w:val="en-US"/>
              </w:rPr>
            </w:pPr>
            <w:r w:rsidRPr="00E56625">
              <w:rPr>
                <w:sz w:val="19"/>
                <w:szCs w:val="19"/>
                <w:lang w:val="en-US"/>
              </w:rPr>
              <w:t>5.7%</w:t>
            </w:r>
          </w:p>
          <w:p w:rsidR="00C73CC7" w:rsidRPr="00E56625" w:rsidRDefault="00C73CC7" w:rsidP="00321AFB">
            <w:pPr>
              <w:jc w:val="center"/>
              <w:rPr>
                <w:sz w:val="19"/>
                <w:szCs w:val="19"/>
                <w:lang w:val="en-US"/>
              </w:rPr>
            </w:pPr>
            <w:r w:rsidRPr="00E56625">
              <w:rPr>
                <w:sz w:val="19"/>
                <w:szCs w:val="19"/>
                <w:lang w:val="en-US"/>
              </w:rPr>
              <w:t>2.2%</w:t>
            </w:r>
          </w:p>
          <w:p w:rsidR="00C73CC7" w:rsidRPr="00E56625" w:rsidRDefault="00C73CC7" w:rsidP="00321AFB">
            <w:pPr>
              <w:jc w:val="center"/>
              <w:rPr>
                <w:sz w:val="19"/>
                <w:szCs w:val="19"/>
                <w:lang w:val="en-US"/>
              </w:rPr>
            </w:pPr>
            <w:r w:rsidRPr="00E56625">
              <w:rPr>
                <w:sz w:val="19"/>
                <w:szCs w:val="19"/>
                <w:lang w:val="en-US"/>
              </w:rPr>
              <w:t>1.3%</w:t>
            </w:r>
          </w:p>
          <w:p w:rsidR="00C73CC7" w:rsidRPr="00E56625" w:rsidRDefault="00C73CC7" w:rsidP="00321AFB">
            <w:pPr>
              <w:jc w:val="center"/>
              <w:rPr>
                <w:sz w:val="19"/>
                <w:szCs w:val="19"/>
                <w:lang w:val="en-US"/>
              </w:rPr>
            </w:pPr>
            <w:r w:rsidRPr="00E56625">
              <w:rPr>
                <w:sz w:val="19"/>
                <w:szCs w:val="19"/>
                <w:lang w:val="en-US"/>
              </w:rPr>
              <w:t>6.2%</w:t>
            </w:r>
          </w:p>
          <w:p w:rsidR="00C73CC7" w:rsidRPr="00E56625" w:rsidRDefault="00C73CC7" w:rsidP="00321AFB">
            <w:pPr>
              <w:jc w:val="center"/>
              <w:rPr>
                <w:sz w:val="19"/>
                <w:szCs w:val="19"/>
                <w:lang w:val="en-US"/>
              </w:rPr>
            </w:pPr>
            <w:r w:rsidRPr="00E56625">
              <w:rPr>
                <w:sz w:val="19"/>
                <w:szCs w:val="19"/>
                <w:lang w:val="en-US"/>
              </w:rPr>
              <w:t>0.2%</w:t>
            </w:r>
          </w:p>
          <w:p w:rsidR="00C73CC7" w:rsidRPr="00E56625" w:rsidRDefault="00C73CC7" w:rsidP="00321AFB">
            <w:pPr>
              <w:jc w:val="center"/>
              <w:rPr>
                <w:sz w:val="19"/>
                <w:szCs w:val="19"/>
                <w:lang w:val="en-US"/>
              </w:rPr>
            </w:pPr>
            <w:r w:rsidRPr="00E56625">
              <w:rPr>
                <w:sz w:val="19"/>
                <w:szCs w:val="19"/>
                <w:lang w:val="en-US"/>
              </w:rPr>
              <w:t>2.7%</w:t>
            </w:r>
          </w:p>
        </w:tc>
        <w:tc>
          <w:tcPr>
            <w:tcW w:w="502" w:type="pct"/>
            <w:noWrap/>
          </w:tcPr>
          <w:p w:rsidR="00C73CC7" w:rsidRPr="00E56625" w:rsidRDefault="00C73CC7" w:rsidP="00321AFB">
            <w:pPr>
              <w:jc w:val="center"/>
              <w:rPr>
                <w:sz w:val="19"/>
                <w:szCs w:val="19"/>
                <w:lang w:val="en-US"/>
              </w:rPr>
            </w:pPr>
            <w:r w:rsidRPr="00E56625">
              <w:rPr>
                <w:sz w:val="19"/>
                <w:szCs w:val="19"/>
                <w:lang w:val="en-US"/>
              </w:rPr>
              <w:t>32.4%</w:t>
            </w:r>
          </w:p>
          <w:p w:rsidR="00C73CC7" w:rsidRPr="00E56625" w:rsidRDefault="00C73CC7" w:rsidP="00321AFB">
            <w:pPr>
              <w:jc w:val="center"/>
              <w:rPr>
                <w:sz w:val="19"/>
                <w:szCs w:val="19"/>
                <w:lang w:val="en-US"/>
              </w:rPr>
            </w:pPr>
            <w:r w:rsidRPr="00E56625">
              <w:rPr>
                <w:sz w:val="19"/>
                <w:szCs w:val="19"/>
                <w:lang w:val="en-US"/>
              </w:rPr>
              <w:t>0.6%</w:t>
            </w:r>
          </w:p>
          <w:p w:rsidR="00C73CC7" w:rsidRPr="00E56625" w:rsidRDefault="00C73CC7" w:rsidP="00321AFB">
            <w:pPr>
              <w:jc w:val="center"/>
              <w:rPr>
                <w:sz w:val="19"/>
                <w:szCs w:val="19"/>
                <w:lang w:val="en-US"/>
              </w:rPr>
            </w:pPr>
            <w:r w:rsidRPr="00E56625">
              <w:rPr>
                <w:sz w:val="19"/>
                <w:szCs w:val="19"/>
                <w:lang w:val="en-US"/>
              </w:rPr>
              <w:t>7.2%</w:t>
            </w:r>
          </w:p>
          <w:p w:rsidR="00C73CC7" w:rsidRPr="00E56625" w:rsidRDefault="00C73CC7" w:rsidP="00321AFB">
            <w:pPr>
              <w:jc w:val="center"/>
              <w:rPr>
                <w:sz w:val="19"/>
                <w:szCs w:val="19"/>
                <w:lang w:val="en-US"/>
              </w:rPr>
            </w:pPr>
            <w:r w:rsidRPr="00E56625">
              <w:rPr>
                <w:sz w:val="19"/>
                <w:szCs w:val="19"/>
                <w:lang w:val="en-US"/>
              </w:rPr>
              <w:t>23.7%</w:t>
            </w:r>
          </w:p>
          <w:p w:rsidR="00C73CC7" w:rsidRPr="00E56625" w:rsidRDefault="00C73CC7" w:rsidP="00321AFB">
            <w:pPr>
              <w:jc w:val="center"/>
              <w:rPr>
                <w:sz w:val="19"/>
                <w:szCs w:val="19"/>
                <w:lang w:val="en-US"/>
              </w:rPr>
            </w:pPr>
            <w:r w:rsidRPr="00E56625">
              <w:rPr>
                <w:sz w:val="19"/>
                <w:szCs w:val="19"/>
                <w:lang w:val="en-US"/>
              </w:rPr>
              <w:t>0.1%</w:t>
            </w:r>
          </w:p>
          <w:p w:rsidR="00C73CC7" w:rsidRPr="00E56625" w:rsidRDefault="00C73CC7" w:rsidP="00321AFB">
            <w:pPr>
              <w:jc w:val="center"/>
              <w:rPr>
                <w:sz w:val="19"/>
                <w:szCs w:val="19"/>
                <w:lang w:val="en-US"/>
              </w:rPr>
            </w:pPr>
            <w:r w:rsidRPr="00E56625">
              <w:rPr>
                <w:sz w:val="19"/>
                <w:szCs w:val="19"/>
                <w:lang w:val="en-US"/>
              </w:rPr>
              <w:t>11.4%</w:t>
            </w:r>
          </w:p>
          <w:p w:rsidR="00C73CC7" w:rsidRPr="00E56625" w:rsidRDefault="00C73CC7" w:rsidP="00321AFB">
            <w:pPr>
              <w:jc w:val="center"/>
              <w:rPr>
                <w:sz w:val="19"/>
                <w:szCs w:val="19"/>
                <w:lang w:val="en-US"/>
              </w:rPr>
            </w:pPr>
            <w:r w:rsidRPr="00E56625">
              <w:rPr>
                <w:sz w:val="19"/>
                <w:szCs w:val="19"/>
                <w:lang w:val="en-US"/>
              </w:rPr>
              <w:t>5.0%</w:t>
            </w:r>
          </w:p>
          <w:p w:rsidR="00C73CC7" w:rsidRPr="00E56625" w:rsidRDefault="00C73CC7" w:rsidP="00321AFB">
            <w:pPr>
              <w:jc w:val="center"/>
              <w:rPr>
                <w:sz w:val="19"/>
                <w:szCs w:val="19"/>
                <w:lang w:val="en-US"/>
              </w:rPr>
            </w:pPr>
            <w:r w:rsidRPr="00E56625">
              <w:rPr>
                <w:sz w:val="19"/>
                <w:szCs w:val="19"/>
                <w:lang w:val="en-US"/>
              </w:rPr>
              <w:t>2.5%</w:t>
            </w:r>
          </w:p>
          <w:p w:rsidR="00C73CC7" w:rsidRPr="00E56625" w:rsidRDefault="00C73CC7" w:rsidP="00321AFB">
            <w:pPr>
              <w:jc w:val="center"/>
              <w:rPr>
                <w:sz w:val="19"/>
                <w:szCs w:val="19"/>
                <w:lang w:val="en-US"/>
              </w:rPr>
            </w:pPr>
            <w:r w:rsidRPr="00E56625">
              <w:rPr>
                <w:sz w:val="19"/>
                <w:szCs w:val="19"/>
                <w:lang w:val="en-US"/>
              </w:rPr>
              <w:t>12.4%</w:t>
            </w:r>
          </w:p>
          <w:p w:rsidR="00C73CC7" w:rsidRPr="00E56625" w:rsidRDefault="00C73CC7" w:rsidP="00321AFB">
            <w:pPr>
              <w:jc w:val="center"/>
              <w:rPr>
                <w:sz w:val="19"/>
                <w:szCs w:val="19"/>
                <w:lang w:val="en-US"/>
              </w:rPr>
            </w:pPr>
            <w:r w:rsidRPr="00E56625">
              <w:rPr>
                <w:sz w:val="19"/>
                <w:szCs w:val="19"/>
                <w:lang w:val="en-US"/>
              </w:rPr>
              <w:t>0.5%</w:t>
            </w:r>
          </w:p>
          <w:p w:rsidR="00C73CC7" w:rsidRPr="00E56625" w:rsidRDefault="00C73CC7" w:rsidP="00321AFB">
            <w:pPr>
              <w:jc w:val="center"/>
              <w:rPr>
                <w:sz w:val="19"/>
                <w:szCs w:val="19"/>
                <w:lang w:val="en-US"/>
              </w:rPr>
            </w:pPr>
            <w:r w:rsidRPr="00E56625">
              <w:rPr>
                <w:sz w:val="19"/>
                <w:szCs w:val="19"/>
                <w:lang w:val="en-US"/>
              </w:rPr>
              <w:t>4.2%</w:t>
            </w:r>
          </w:p>
        </w:tc>
        <w:tc>
          <w:tcPr>
            <w:tcW w:w="287" w:type="pct"/>
            <w:noWrap/>
          </w:tcPr>
          <w:p w:rsidR="00C73CC7" w:rsidRPr="00E56625" w:rsidRDefault="00C73CC7" w:rsidP="00321AFB">
            <w:pPr>
              <w:jc w:val="center"/>
              <w:rPr>
                <w:sz w:val="19"/>
                <w:szCs w:val="19"/>
                <w:lang w:val="en-US"/>
              </w:rPr>
            </w:pPr>
            <w:r w:rsidRPr="00E56625">
              <w:rPr>
                <w:sz w:val="19"/>
                <w:szCs w:val="19"/>
                <w:lang w:val="en-US"/>
              </w:rPr>
              <w:t>20.3%</w:t>
            </w:r>
          </w:p>
          <w:p w:rsidR="00C73CC7" w:rsidRPr="00E56625" w:rsidRDefault="00C73CC7" w:rsidP="00321AFB">
            <w:pPr>
              <w:jc w:val="center"/>
              <w:rPr>
                <w:sz w:val="19"/>
                <w:szCs w:val="19"/>
                <w:lang w:val="en-US"/>
              </w:rPr>
            </w:pPr>
            <w:r w:rsidRPr="00E56625">
              <w:rPr>
                <w:sz w:val="19"/>
                <w:szCs w:val="19"/>
                <w:lang w:val="en-US"/>
              </w:rPr>
              <w:t>0.3%</w:t>
            </w:r>
          </w:p>
          <w:p w:rsidR="00C73CC7" w:rsidRPr="00E56625" w:rsidRDefault="00C73CC7" w:rsidP="00321AFB">
            <w:pPr>
              <w:jc w:val="center"/>
              <w:rPr>
                <w:sz w:val="19"/>
                <w:szCs w:val="19"/>
                <w:lang w:val="en-US"/>
              </w:rPr>
            </w:pPr>
            <w:r w:rsidRPr="00E56625">
              <w:rPr>
                <w:sz w:val="19"/>
                <w:szCs w:val="19"/>
                <w:lang w:val="en-US"/>
              </w:rPr>
              <w:t>10.9%</w:t>
            </w:r>
          </w:p>
          <w:p w:rsidR="00C73CC7" w:rsidRPr="00E56625" w:rsidRDefault="00C73CC7" w:rsidP="00321AFB">
            <w:pPr>
              <w:jc w:val="center"/>
              <w:rPr>
                <w:sz w:val="19"/>
                <w:szCs w:val="19"/>
                <w:lang w:val="en-US"/>
              </w:rPr>
            </w:pPr>
            <w:r w:rsidRPr="00E56625">
              <w:rPr>
                <w:sz w:val="19"/>
                <w:szCs w:val="19"/>
                <w:lang w:val="en-US"/>
              </w:rPr>
              <w:t>24.8%</w:t>
            </w:r>
          </w:p>
          <w:p w:rsidR="00C73CC7" w:rsidRPr="00E56625" w:rsidRDefault="00C73CC7" w:rsidP="00321AFB">
            <w:pPr>
              <w:jc w:val="center"/>
              <w:rPr>
                <w:sz w:val="19"/>
                <w:szCs w:val="19"/>
                <w:lang w:val="en-US"/>
              </w:rPr>
            </w:pPr>
            <w:r w:rsidRPr="00E56625">
              <w:rPr>
                <w:sz w:val="19"/>
                <w:szCs w:val="19"/>
                <w:lang w:val="en-US"/>
              </w:rPr>
              <w:t>0.3%</w:t>
            </w:r>
          </w:p>
          <w:p w:rsidR="00C73CC7" w:rsidRPr="00E56625" w:rsidRDefault="00C73CC7" w:rsidP="00321AFB">
            <w:pPr>
              <w:jc w:val="center"/>
              <w:rPr>
                <w:sz w:val="19"/>
                <w:szCs w:val="19"/>
                <w:lang w:val="en-US"/>
              </w:rPr>
            </w:pPr>
            <w:r w:rsidRPr="00E56625">
              <w:rPr>
                <w:sz w:val="19"/>
                <w:szCs w:val="19"/>
                <w:lang w:val="en-US"/>
              </w:rPr>
              <w:t>12.2%</w:t>
            </w:r>
          </w:p>
          <w:p w:rsidR="00C73CC7" w:rsidRPr="00E56625" w:rsidRDefault="00C73CC7" w:rsidP="00321AFB">
            <w:pPr>
              <w:jc w:val="center"/>
              <w:rPr>
                <w:sz w:val="19"/>
                <w:szCs w:val="19"/>
                <w:lang w:val="en-US"/>
              </w:rPr>
            </w:pPr>
            <w:r w:rsidRPr="00E56625">
              <w:rPr>
                <w:sz w:val="19"/>
                <w:szCs w:val="19"/>
                <w:lang w:val="en-US"/>
              </w:rPr>
              <w:t>7.0%</w:t>
            </w:r>
          </w:p>
          <w:p w:rsidR="00C73CC7" w:rsidRPr="00E56625" w:rsidRDefault="00C73CC7" w:rsidP="00321AFB">
            <w:pPr>
              <w:jc w:val="center"/>
              <w:rPr>
                <w:sz w:val="19"/>
                <w:szCs w:val="19"/>
                <w:lang w:val="en-US"/>
              </w:rPr>
            </w:pPr>
            <w:r w:rsidRPr="00E56625">
              <w:rPr>
                <w:sz w:val="19"/>
                <w:szCs w:val="19"/>
                <w:lang w:val="en-US"/>
              </w:rPr>
              <w:t>3.6%</w:t>
            </w:r>
          </w:p>
          <w:p w:rsidR="00C73CC7" w:rsidRPr="00E56625" w:rsidRDefault="00C73CC7" w:rsidP="00321AFB">
            <w:pPr>
              <w:jc w:val="center"/>
              <w:rPr>
                <w:sz w:val="19"/>
                <w:szCs w:val="19"/>
                <w:lang w:val="en-US"/>
              </w:rPr>
            </w:pPr>
            <w:r w:rsidRPr="00E56625">
              <w:rPr>
                <w:sz w:val="19"/>
                <w:szCs w:val="19"/>
                <w:lang w:val="en-US"/>
              </w:rPr>
              <w:t>12.9%</w:t>
            </w:r>
          </w:p>
          <w:p w:rsidR="00C73CC7" w:rsidRPr="00E56625" w:rsidRDefault="00C73CC7" w:rsidP="00321AFB">
            <w:pPr>
              <w:jc w:val="center"/>
              <w:rPr>
                <w:sz w:val="19"/>
                <w:szCs w:val="19"/>
                <w:lang w:val="en-US"/>
              </w:rPr>
            </w:pPr>
            <w:r w:rsidRPr="00E56625">
              <w:rPr>
                <w:sz w:val="19"/>
                <w:szCs w:val="19"/>
                <w:lang w:val="en-US"/>
              </w:rPr>
              <w:t>0.6%</w:t>
            </w:r>
          </w:p>
          <w:p w:rsidR="00C73CC7" w:rsidRPr="00E56625" w:rsidRDefault="00C73CC7" w:rsidP="00321AFB">
            <w:pPr>
              <w:jc w:val="center"/>
              <w:rPr>
                <w:sz w:val="19"/>
                <w:szCs w:val="19"/>
                <w:lang w:val="en-US"/>
              </w:rPr>
            </w:pPr>
            <w:r w:rsidRPr="00E56625">
              <w:rPr>
                <w:sz w:val="19"/>
                <w:szCs w:val="19"/>
                <w:lang w:val="en-US"/>
              </w:rPr>
              <w:t>7.3%</w:t>
            </w:r>
          </w:p>
        </w:tc>
        <w:tc>
          <w:tcPr>
            <w:tcW w:w="359" w:type="pct"/>
            <w:gridSpan w:val="2"/>
            <w:noWrap/>
          </w:tcPr>
          <w:p w:rsidR="00C73CC7" w:rsidRPr="00E56625" w:rsidRDefault="00C73CC7" w:rsidP="00321AFB">
            <w:pPr>
              <w:jc w:val="center"/>
              <w:rPr>
                <w:sz w:val="19"/>
                <w:szCs w:val="19"/>
                <w:lang w:val="en-US"/>
              </w:rPr>
            </w:pPr>
            <w:r w:rsidRPr="00E56625">
              <w:rPr>
                <w:sz w:val="19"/>
                <w:szCs w:val="19"/>
                <w:lang w:val="en-US"/>
              </w:rPr>
              <w:t>17.6%</w:t>
            </w:r>
          </w:p>
          <w:p w:rsidR="00C73CC7" w:rsidRPr="00E56625" w:rsidRDefault="00C73CC7" w:rsidP="00321AFB">
            <w:pPr>
              <w:jc w:val="center"/>
              <w:rPr>
                <w:sz w:val="19"/>
                <w:szCs w:val="19"/>
                <w:lang w:val="en-US"/>
              </w:rPr>
            </w:pPr>
            <w:r w:rsidRPr="00E56625">
              <w:rPr>
                <w:sz w:val="19"/>
                <w:szCs w:val="19"/>
                <w:lang w:val="en-US"/>
              </w:rPr>
              <w:t>0.2%</w:t>
            </w:r>
          </w:p>
          <w:p w:rsidR="00C73CC7" w:rsidRPr="00E56625" w:rsidRDefault="00C73CC7" w:rsidP="00321AFB">
            <w:pPr>
              <w:jc w:val="center"/>
              <w:rPr>
                <w:sz w:val="19"/>
                <w:szCs w:val="19"/>
                <w:lang w:val="en-US"/>
              </w:rPr>
            </w:pPr>
            <w:r w:rsidRPr="00E56625">
              <w:rPr>
                <w:sz w:val="19"/>
                <w:szCs w:val="19"/>
                <w:lang w:val="en-US"/>
              </w:rPr>
              <w:t>8.9%</w:t>
            </w:r>
          </w:p>
          <w:p w:rsidR="00C73CC7" w:rsidRPr="00E56625" w:rsidRDefault="00C73CC7" w:rsidP="00321AFB">
            <w:pPr>
              <w:jc w:val="center"/>
              <w:rPr>
                <w:sz w:val="19"/>
                <w:szCs w:val="19"/>
                <w:lang w:val="en-US"/>
              </w:rPr>
            </w:pPr>
            <w:r w:rsidRPr="00E56625">
              <w:rPr>
                <w:sz w:val="19"/>
                <w:szCs w:val="19"/>
                <w:lang w:val="en-US"/>
              </w:rPr>
              <w:t>34.5%</w:t>
            </w:r>
          </w:p>
          <w:p w:rsidR="00C73CC7" w:rsidRPr="00E56625" w:rsidRDefault="00C73CC7" w:rsidP="00321AFB">
            <w:pPr>
              <w:jc w:val="center"/>
              <w:rPr>
                <w:sz w:val="19"/>
                <w:szCs w:val="19"/>
                <w:lang w:val="en-US"/>
              </w:rPr>
            </w:pPr>
            <w:r w:rsidRPr="00E56625">
              <w:rPr>
                <w:sz w:val="19"/>
                <w:szCs w:val="19"/>
                <w:lang w:val="en-US"/>
              </w:rPr>
              <w:t>0.1%</w:t>
            </w:r>
          </w:p>
          <w:p w:rsidR="00C73CC7" w:rsidRPr="00E56625" w:rsidRDefault="00C73CC7" w:rsidP="00321AFB">
            <w:pPr>
              <w:jc w:val="center"/>
              <w:rPr>
                <w:sz w:val="19"/>
                <w:szCs w:val="19"/>
                <w:lang w:val="en-US"/>
              </w:rPr>
            </w:pPr>
            <w:r w:rsidRPr="00E56625">
              <w:rPr>
                <w:sz w:val="19"/>
                <w:szCs w:val="19"/>
                <w:lang w:val="en-US"/>
              </w:rPr>
              <w:t>9.4%</w:t>
            </w:r>
          </w:p>
          <w:p w:rsidR="00C73CC7" w:rsidRPr="00E56625" w:rsidRDefault="00C73CC7" w:rsidP="00321AFB">
            <w:pPr>
              <w:jc w:val="center"/>
              <w:rPr>
                <w:sz w:val="19"/>
                <w:szCs w:val="19"/>
                <w:lang w:val="en-US"/>
              </w:rPr>
            </w:pPr>
            <w:r w:rsidRPr="00E56625">
              <w:rPr>
                <w:sz w:val="19"/>
                <w:szCs w:val="19"/>
                <w:lang w:val="en-US"/>
              </w:rPr>
              <w:t>8.8%</w:t>
            </w:r>
          </w:p>
          <w:p w:rsidR="00C73CC7" w:rsidRPr="00E56625" w:rsidRDefault="00C73CC7" w:rsidP="00321AFB">
            <w:pPr>
              <w:jc w:val="center"/>
              <w:rPr>
                <w:sz w:val="19"/>
                <w:szCs w:val="19"/>
                <w:lang w:val="en-US"/>
              </w:rPr>
            </w:pPr>
            <w:r w:rsidRPr="00E56625">
              <w:rPr>
                <w:sz w:val="19"/>
                <w:szCs w:val="19"/>
                <w:lang w:val="en-US"/>
              </w:rPr>
              <w:t>2.4%</w:t>
            </w:r>
          </w:p>
          <w:p w:rsidR="00C73CC7" w:rsidRPr="00E56625" w:rsidRDefault="00C73CC7" w:rsidP="00321AFB">
            <w:pPr>
              <w:jc w:val="center"/>
              <w:rPr>
                <w:sz w:val="19"/>
                <w:szCs w:val="19"/>
                <w:lang w:val="en-US"/>
              </w:rPr>
            </w:pPr>
            <w:r w:rsidRPr="00E56625">
              <w:rPr>
                <w:sz w:val="19"/>
                <w:szCs w:val="19"/>
                <w:lang w:val="en-US"/>
              </w:rPr>
              <w:t>13.2%</w:t>
            </w:r>
          </w:p>
          <w:p w:rsidR="00C73CC7" w:rsidRPr="00E56625" w:rsidRDefault="00C73CC7" w:rsidP="00321AFB">
            <w:pPr>
              <w:jc w:val="center"/>
              <w:rPr>
                <w:sz w:val="19"/>
                <w:szCs w:val="19"/>
                <w:lang w:val="en-US"/>
              </w:rPr>
            </w:pPr>
            <w:r w:rsidRPr="00E56625">
              <w:rPr>
                <w:sz w:val="19"/>
                <w:szCs w:val="19"/>
                <w:lang w:val="en-US"/>
              </w:rPr>
              <w:t>0.5%</w:t>
            </w:r>
          </w:p>
          <w:p w:rsidR="00C73CC7" w:rsidRPr="00E56625" w:rsidRDefault="00C73CC7" w:rsidP="00321AFB">
            <w:pPr>
              <w:jc w:val="center"/>
              <w:rPr>
                <w:sz w:val="19"/>
                <w:szCs w:val="19"/>
                <w:lang w:val="en-US"/>
              </w:rPr>
            </w:pPr>
            <w:r w:rsidRPr="00E56625">
              <w:rPr>
                <w:sz w:val="19"/>
                <w:szCs w:val="19"/>
                <w:lang w:val="en-US"/>
              </w:rPr>
              <w:t>4.5%</w:t>
            </w:r>
          </w:p>
        </w:tc>
        <w:tc>
          <w:tcPr>
            <w:tcW w:w="334" w:type="pct"/>
            <w:gridSpan w:val="2"/>
            <w:noWrap/>
          </w:tcPr>
          <w:p w:rsidR="00C73CC7" w:rsidRPr="00E56625" w:rsidRDefault="00C73CC7" w:rsidP="00321AFB">
            <w:pPr>
              <w:jc w:val="center"/>
              <w:rPr>
                <w:sz w:val="19"/>
                <w:szCs w:val="19"/>
                <w:lang w:val="en-US"/>
              </w:rPr>
            </w:pPr>
            <w:r w:rsidRPr="00E56625">
              <w:rPr>
                <w:sz w:val="19"/>
                <w:szCs w:val="19"/>
                <w:lang w:val="en-US"/>
              </w:rPr>
              <w:t>17.0%</w:t>
            </w:r>
          </w:p>
          <w:p w:rsidR="00C73CC7" w:rsidRPr="00E56625" w:rsidRDefault="00C73CC7" w:rsidP="00321AFB">
            <w:pPr>
              <w:jc w:val="center"/>
              <w:rPr>
                <w:sz w:val="19"/>
                <w:szCs w:val="19"/>
                <w:lang w:val="en-US"/>
              </w:rPr>
            </w:pPr>
            <w:r w:rsidRPr="00E56625">
              <w:rPr>
                <w:sz w:val="19"/>
                <w:szCs w:val="19"/>
                <w:lang w:val="en-US"/>
              </w:rPr>
              <w:t>0.3%</w:t>
            </w:r>
          </w:p>
          <w:p w:rsidR="00C73CC7" w:rsidRPr="00E56625" w:rsidRDefault="00C73CC7" w:rsidP="00321AFB">
            <w:pPr>
              <w:jc w:val="center"/>
              <w:rPr>
                <w:sz w:val="19"/>
                <w:szCs w:val="19"/>
                <w:lang w:val="en-US"/>
              </w:rPr>
            </w:pPr>
            <w:r w:rsidRPr="00E56625">
              <w:rPr>
                <w:sz w:val="19"/>
                <w:szCs w:val="19"/>
                <w:lang w:val="en-US"/>
              </w:rPr>
              <w:t>11.7%</w:t>
            </w:r>
          </w:p>
          <w:p w:rsidR="00C73CC7" w:rsidRPr="00E56625" w:rsidRDefault="00C73CC7" w:rsidP="00321AFB">
            <w:pPr>
              <w:jc w:val="center"/>
              <w:rPr>
                <w:sz w:val="19"/>
                <w:szCs w:val="19"/>
                <w:lang w:val="en-US"/>
              </w:rPr>
            </w:pPr>
            <w:r w:rsidRPr="00E56625">
              <w:rPr>
                <w:sz w:val="19"/>
                <w:szCs w:val="19"/>
                <w:lang w:val="en-US"/>
              </w:rPr>
              <w:t>25.7%</w:t>
            </w:r>
          </w:p>
          <w:p w:rsidR="00C73CC7" w:rsidRPr="00E56625" w:rsidRDefault="00C73CC7" w:rsidP="00321AFB">
            <w:pPr>
              <w:jc w:val="center"/>
              <w:rPr>
                <w:sz w:val="19"/>
                <w:szCs w:val="19"/>
                <w:lang w:val="en-US"/>
              </w:rPr>
            </w:pPr>
            <w:r w:rsidRPr="00E56625">
              <w:rPr>
                <w:sz w:val="19"/>
                <w:szCs w:val="19"/>
                <w:lang w:val="en-US"/>
              </w:rPr>
              <w:t>0.1%</w:t>
            </w:r>
          </w:p>
          <w:p w:rsidR="00C73CC7" w:rsidRPr="00E56625" w:rsidRDefault="00C73CC7" w:rsidP="00321AFB">
            <w:pPr>
              <w:jc w:val="center"/>
              <w:rPr>
                <w:sz w:val="19"/>
                <w:szCs w:val="19"/>
                <w:lang w:val="en-US"/>
              </w:rPr>
            </w:pPr>
            <w:r w:rsidRPr="00E56625">
              <w:rPr>
                <w:sz w:val="19"/>
                <w:szCs w:val="19"/>
                <w:lang w:val="en-US"/>
              </w:rPr>
              <w:t>14.0%</w:t>
            </w:r>
          </w:p>
          <w:p w:rsidR="00C73CC7" w:rsidRPr="00E56625" w:rsidRDefault="00C73CC7" w:rsidP="00321AFB">
            <w:pPr>
              <w:jc w:val="center"/>
              <w:rPr>
                <w:sz w:val="19"/>
                <w:szCs w:val="19"/>
                <w:lang w:val="en-US"/>
              </w:rPr>
            </w:pPr>
            <w:r w:rsidRPr="00E56625">
              <w:rPr>
                <w:sz w:val="19"/>
                <w:szCs w:val="19"/>
                <w:lang w:val="en-US"/>
              </w:rPr>
              <w:t>6.0%</w:t>
            </w:r>
          </w:p>
          <w:p w:rsidR="00C73CC7" w:rsidRPr="00E56625" w:rsidRDefault="00C73CC7" w:rsidP="00321AFB">
            <w:pPr>
              <w:jc w:val="center"/>
              <w:rPr>
                <w:sz w:val="19"/>
                <w:szCs w:val="19"/>
                <w:lang w:val="en-US"/>
              </w:rPr>
            </w:pPr>
            <w:r w:rsidRPr="00E56625">
              <w:rPr>
                <w:sz w:val="19"/>
                <w:szCs w:val="19"/>
                <w:lang w:val="en-US"/>
              </w:rPr>
              <w:t>2.2%</w:t>
            </w:r>
          </w:p>
          <w:p w:rsidR="00C73CC7" w:rsidRPr="00E56625" w:rsidRDefault="00C73CC7" w:rsidP="00321AFB">
            <w:pPr>
              <w:jc w:val="center"/>
              <w:rPr>
                <w:sz w:val="19"/>
                <w:szCs w:val="19"/>
                <w:lang w:val="en-US"/>
              </w:rPr>
            </w:pPr>
            <w:r w:rsidRPr="00E56625">
              <w:rPr>
                <w:sz w:val="19"/>
                <w:szCs w:val="19"/>
                <w:lang w:val="en-US"/>
              </w:rPr>
              <w:t>15.4%</w:t>
            </w:r>
          </w:p>
          <w:p w:rsidR="00C73CC7" w:rsidRPr="00E56625" w:rsidRDefault="00C73CC7" w:rsidP="00321AFB">
            <w:pPr>
              <w:jc w:val="center"/>
              <w:rPr>
                <w:sz w:val="19"/>
                <w:szCs w:val="19"/>
                <w:lang w:val="en-US"/>
              </w:rPr>
            </w:pPr>
            <w:r w:rsidRPr="00E56625">
              <w:rPr>
                <w:sz w:val="19"/>
                <w:szCs w:val="19"/>
                <w:lang w:val="en-US"/>
              </w:rPr>
              <w:t>0.9%</w:t>
            </w:r>
          </w:p>
          <w:p w:rsidR="00C73CC7" w:rsidRPr="00E56625" w:rsidRDefault="00C73CC7" w:rsidP="00321AFB">
            <w:pPr>
              <w:jc w:val="center"/>
              <w:rPr>
                <w:sz w:val="19"/>
                <w:szCs w:val="19"/>
                <w:lang w:val="en-US"/>
              </w:rPr>
            </w:pPr>
            <w:r w:rsidRPr="00E56625">
              <w:rPr>
                <w:sz w:val="19"/>
                <w:szCs w:val="19"/>
                <w:lang w:val="en-US"/>
              </w:rPr>
              <w:t>6.6%</w:t>
            </w:r>
          </w:p>
        </w:tc>
        <w:tc>
          <w:tcPr>
            <w:tcW w:w="415" w:type="pct"/>
            <w:noWrap/>
          </w:tcPr>
          <w:p w:rsidR="00C73CC7" w:rsidRPr="00E56625" w:rsidRDefault="00C73CC7" w:rsidP="00321AFB">
            <w:pPr>
              <w:jc w:val="center"/>
              <w:rPr>
                <w:sz w:val="19"/>
                <w:szCs w:val="19"/>
                <w:lang w:val="en-US"/>
              </w:rPr>
            </w:pPr>
            <w:r w:rsidRPr="00E56625">
              <w:rPr>
                <w:sz w:val="19"/>
                <w:szCs w:val="19"/>
                <w:lang w:val="en-US"/>
              </w:rPr>
              <w:t>13.4%</w:t>
            </w:r>
          </w:p>
          <w:p w:rsidR="00C73CC7" w:rsidRPr="00E56625" w:rsidRDefault="00C73CC7" w:rsidP="00321AFB">
            <w:pPr>
              <w:jc w:val="center"/>
              <w:rPr>
                <w:sz w:val="19"/>
                <w:szCs w:val="19"/>
                <w:lang w:val="en-US"/>
              </w:rPr>
            </w:pPr>
            <w:r w:rsidRPr="00E56625">
              <w:rPr>
                <w:sz w:val="19"/>
                <w:szCs w:val="19"/>
                <w:lang w:val="en-US"/>
              </w:rPr>
              <w:t>0.3%</w:t>
            </w:r>
          </w:p>
          <w:p w:rsidR="00C73CC7" w:rsidRPr="00E56625" w:rsidRDefault="00C73CC7" w:rsidP="00321AFB">
            <w:pPr>
              <w:jc w:val="center"/>
              <w:rPr>
                <w:sz w:val="19"/>
                <w:szCs w:val="19"/>
                <w:lang w:val="en-US"/>
              </w:rPr>
            </w:pPr>
            <w:r w:rsidRPr="00E56625">
              <w:rPr>
                <w:sz w:val="19"/>
                <w:szCs w:val="19"/>
                <w:lang w:val="en-US"/>
              </w:rPr>
              <w:t>9.0%</w:t>
            </w:r>
          </w:p>
          <w:p w:rsidR="00C73CC7" w:rsidRPr="00E56625" w:rsidRDefault="00C73CC7" w:rsidP="00321AFB">
            <w:pPr>
              <w:jc w:val="center"/>
              <w:rPr>
                <w:sz w:val="19"/>
                <w:szCs w:val="19"/>
                <w:lang w:val="en-US"/>
              </w:rPr>
            </w:pPr>
            <w:r w:rsidRPr="00E56625">
              <w:rPr>
                <w:sz w:val="19"/>
                <w:szCs w:val="19"/>
                <w:lang w:val="en-US"/>
              </w:rPr>
              <w:t>27.0%</w:t>
            </w:r>
          </w:p>
          <w:p w:rsidR="00C73CC7" w:rsidRPr="00E56625" w:rsidRDefault="00C73CC7" w:rsidP="00321AFB">
            <w:pPr>
              <w:jc w:val="center"/>
              <w:rPr>
                <w:sz w:val="19"/>
                <w:szCs w:val="19"/>
                <w:lang w:val="en-US"/>
              </w:rPr>
            </w:pPr>
            <w:r w:rsidRPr="00E56625">
              <w:rPr>
                <w:sz w:val="19"/>
                <w:szCs w:val="19"/>
                <w:lang w:val="en-US"/>
              </w:rPr>
              <w:t>0.2%</w:t>
            </w:r>
          </w:p>
          <w:p w:rsidR="00C73CC7" w:rsidRPr="00E56625" w:rsidRDefault="00C73CC7" w:rsidP="00321AFB">
            <w:pPr>
              <w:jc w:val="center"/>
              <w:rPr>
                <w:sz w:val="19"/>
                <w:szCs w:val="19"/>
                <w:lang w:val="en-US"/>
              </w:rPr>
            </w:pPr>
            <w:r w:rsidRPr="00E56625">
              <w:rPr>
                <w:sz w:val="19"/>
                <w:szCs w:val="19"/>
                <w:lang w:val="en-US"/>
              </w:rPr>
              <w:t>14.8%</w:t>
            </w:r>
          </w:p>
          <w:p w:rsidR="00C73CC7" w:rsidRPr="00E56625" w:rsidRDefault="00C73CC7" w:rsidP="00321AFB">
            <w:pPr>
              <w:jc w:val="center"/>
              <w:rPr>
                <w:sz w:val="19"/>
                <w:szCs w:val="19"/>
                <w:lang w:val="en-US"/>
              </w:rPr>
            </w:pPr>
            <w:r w:rsidRPr="00E56625">
              <w:rPr>
                <w:sz w:val="19"/>
                <w:szCs w:val="19"/>
                <w:lang w:val="en-US"/>
              </w:rPr>
              <w:t>6.1%</w:t>
            </w:r>
          </w:p>
          <w:p w:rsidR="00C73CC7" w:rsidRPr="00E56625" w:rsidRDefault="00C73CC7" w:rsidP="00321AFB">
            <w:pPr>
              <w:jc w:val="center"/>
              <w:rPr>
                <w:sz w:val="19"/>
                <w:szCs w:val="19"/>
                <w:lang w:val="en-US"/>
              </w:rPr>
            </w:pPr>
            <w:r w:rsidRPr="00E56625">
              <w:rPr>
                <w:sz w:val="19"/>
                <w:szCs w:val="19"/>
                <w:lang w:val="en-US"/>
              </w:rPr>
              <w:t>3.9%</w:t>
            </w:r>
          </w:p>
          <w:p w:rsidR="00C73CC7" w:rsidRPr="00E56625" w:rsidRDefault="00C73CC7" w:rsidP="00321AFB">
            <w:pPr>
              <w:jc w:val="center"/>
              <w:rPr>
                <w:sz w:val="19"/>
                <w:szCs w:val="19"/>
                <w:lang w:val="en-US"/>
              </w:rPr>
            </w:pPr>
            <w:r w:rsidRPr="00E56625">
              <w:rPr>
                <w:sz w:val="19"/>
                <w:szCs w:val="19"/>
                <w:lang w:val="en-US"/>
              </w:rPr>
              <w:t>18.5%</w:t>
            </w:r>
          </w:p>
          <w:p w:rsidR="00C73CC7" w:rsidRPr="00E56625" w:rsidRDefault="00C73CC7" w:rsidP="00321AFB">
            <w:pPr>
              <w:jc w:val="center"/>
              <w:rPr>
                <w:sz w:val="19"/>
                <w:szCs w:val="19"/>
                <w:lang w:val="en-US"/>
              </w:rPr>
            </w:pPr>
            <w:r w:rsidRPr="00E56625">
              <w:rPr>
                <w:sz w:val="19"/>
                <w:szCs w:val="19"/>
                <w:lang w:val="en-US"/>
              </w:rPr>
              <w:t>1.0%</w:t>
            </w:r>
          </w:p>
          <w:p w:rsidR="00C73CC7" w:rsidRPr="00E56625" w:rsidRDefault="00C73CC7" w:rsidP="00321AFB">
            <w:pPr>
              <w:jc w:val="center"/>
              <w:rPr>
                <w:sz w:val="19"/>
                <w:szCs w:val="19"/>
                <w:lang w:val="en-US"/>
              </w:rPr>
            </w:pPr>
            <w:r w:rsidRPr="00E56625">
              <w:rPr>
                <w:sz w:val="19"/>
                <w:szCs w:val="19"/>
                <w:lang w:val="en-US"/>
              </w:rPr>
              <w:t>5.6%</w:t>
            </w:r>
          </w:p>
        </w:tc>
      </w:tr>
      <w:tr w:rsidR="00C73CC7" w:rsidRPr="008F3531" w:rsidTr="00321AFB">
        <w:trPr>
          <w:trHeight w:val="152"/>
        </w:trPr>
        <w:tc>
          <w:tcPr>
            <w:tcW w:w="5000" w:type="pct"/>
            <w:gridSpan w:val="11"/>
            <w:noWrap/>
            <w:hideMark/>
          </w:tcPr>
          <w:p w:rsidR="00C73CC7" w:rsidRPr="00E56625" w:rsidRDefault="00C73CC7" w:rsidP="00321AFB">
            <w:pPr>
              <w:rPr>
                <w:sz w:val="19"/>
                <w:szCs w:val="19"/>
                <w:lang w:val="en-US"/>
              </w:rPr>
            </w:pPr>
            <w:r w:rsidRPr="00E56625">
              <w:rPr>
                <w:b/>
                <w:bCs/>
                <w:sz w:val="19"/>
                <w:szCs w:val="19"/>
                <w:lang w:val="en-US"/>
              </w:rPr>
              <w:t>Occupational status (occupied workers, ages 15-64)</w:t>
            </w:r>
          </w:p>
        </w:tc>
      </w:tr>
      <w:tr w:rsidR="00C73CC7" w:rsidRPr="008F3531" w:rsidTr="00321AFB">
        <w:trPr>
          <w:trHeight w:val="300"/>
        </w:trPr>
        <w:tc>
          <w:tcPr>
            <w:tcW w:w="1647" w:type="pct"/>
            <w:noWrap/>
            <w:hideMark/>
          </w:tcPr>
          <w:p w:rsidR="00C73CC7" w:rsidRPr="00E56625" w:rsidRDefault="00C73CC7" w:rsidP="00321AFB">
            <w:pPr>
              <w:rPr>
                <w:sz w:val="19"/>
                <w:szCs w:val="19"/>
                <w:lang w:val="en-US"/>
              </w:rPr>
            </w:pPr>
            <w:r w:rsidRPr="00E56625">
              <w:rPr>
                <w:sz w:val="19"/>
                <w:szCs w:val="19"/>
                <w:lang w:val="en-US"/>
              </w:rPr>
              <w:t xml:space="preserve">  Wage labor</w:t>
            </w:r>
          </w:p>
        </w:tc>
        <w:tc>
          <w:tcPr>
            <w:tcW w:w="456" w:type="pct"/>
            <w:noWrap/>
          </w:tcPr>
          <w:p w:rsidR="00C73CC7" w:rsidRPr="00E56625" w:rsidRDefault="00C73CC7" w:rsidP="00321AFB">
            <w:pPr>
              <w:jc w:val="center"/>
              <w:rPr>
                <w:sz w:val="19"/>
                <w:szCs w:val="19"/>
                <w:lang w:val="en-US"/>
              </w:rPr>
            </w:pPr>
            <w:r w:rsidRPr="00E56625">
              <w:rPr>
                <w:sz w:val="19"/>
                <w:szCs w:val="19"/>
                <w:lang w:val="en-US"/>
              </w:rPr>
              <w:t>1.1%</w:t>
            </w:r>
          </w:p>
        </w:tc>
        <w:tc>
          <w:tcPr>
            <w:tcW w:w="498" w:type="pct"/>
            <w:noWrap/>
          </w:tcPr>
          <w:p w:rsidR="00C73CC7" w:rsidRPr="00E56625" w:rsidRDefault="00C73CC7" w:rsidP="00321AFB">
            <w:pPr>
              <w:jc w:val="center"/>
              <w:rPr>
                <w:sz w:val="19"/>
                <w:szCs w:val="19"/>
                <w:lang w:val="en-US"/>
              </w:rPr>
            </w:pPr>
            <w:r w:rsidRPr="00E56625">
              <w:rPr>
                <w:sz w:val="19"/>
                <w:szCs w:val="19"/>
                <w:lang w:val="en-US"/>
              </w:rPr>
              <w:t>5.2%</w:t>
            </w:r>
          </w:p>
        </w:tc>
        <w:tc>
          <w:tcPr>
            <w:tcW w:w="502" w:type="pct"/>
            <w:noWrap/>
          </w:tcPr>
          <w:p w:rsidR="00C73CC7" w:rsidRPr="00E56625" w:rsidRDefault="00C73CC7" w:rsidP="00321AFB">
            <w:pPr>
              <w:jc w:val="center"/>
              <w:rPr>
                <w:sz w:val="19"/>
                <w:szCs w:val="19"/>
                <w:lang w:val="en-US"/>
              </w:rPr>
            </w:pPr>
            <w:r w:rsidRPr="00E56625">
              <w:rPr>
                <w:sz w:val="19"/>
                <w:szCs w:val="19"/>
                <w:lang w:val="en-US"/>
              </w:rPr>
              <w:t>9.7%</w:t>
            </w:r>
          </w:p>
        </w:tc>
        <w:tc>
          <w:tcPr>
            <w:tcW w:w="502" w:type="pct"/>
            <w:noWrap/>
          </w:tcPr>
          <w:p w:rsidR="00C73CC7" w:rsidRPr="00E56625" w:rsidRDefault="00C73CC7" w:rsidP="00321AFB">
            <w:pPr>
              <w:jc w:val="center"/>
              <w:rPr>
                <w:sz w:val="19"/>
                <w:szCs w:val="19"/>
                <w:lang w:val="en-US"/>
              </w:rPr>
            </w:pPr>
            <w:r w:rsidRPr="00E56625">
              <w:rPr>
                <w:sz w:val="19"/>
                <w:szCs w:val="19"/>
                <w:lang w:val="en-US"/>
              </w:rPr>
              <w:t>18.2%</w:t>
            </w:r>
          </w:p>
        </w:tc>
        <w:tc>
          <w:tcPr>
            <w:tcW w:w="287" w:type="pct"/>
            <w:noWrap/>
          </w:tcPr>
          <w:p w:rsidR="00C73CC7" w:rsidRPr="00E56625" w:rsidRDefault="00C73CC7" w:rsidP="00321AFB">
            <w:pPr>
              <w:jc w:val="center"/>
              <w:rPr>
                <w:sz w:val="19"/>
                <w:szCs w:val="19"/>
                <w:lang w:val="en-US"/>
              </w:rPr>
            </w:pPr>
            <w:r w:rsidRPr="00E56625">
              <w:rPr>
                <w:sz w:val="19"/>
                <w:szCs w:val="19"/>
                <w:lang w:val="en-US"/>
              </w:rPr>
              <w:t>16.0%</w:t>
            </w:r>
          </w:p>
        </w:tc>
        <w:tc>
          <w:tcPr>
            <w:tcW w:w="359" w:type="pct"/>
            <w:gridSpan w:val="2"/>
            <w:noWrap/>
          </w:tcPr>
          <w:p w:rsidR="00C73CC7" w:rsidRPr="00E56625" w:rsidRDefault="00C73CC7" w:rsidP="00321AFB">
            <w:pPr>
              <w:jc w:val="center"/>
              <w:rPr>
                <w:sz w:val="19"/>
                <w:szCs w:val="19"/>
                <w:lang w:val="en-US"/>
              </w:rPr>
            </w:pPr>
            <w:r w:rsidRPr="00E56625">
              <w:rPr>
                <w:sz w:val="19"/>
                <w:szCs w:val="19"/>
                <w:lang w:val="en-US"/>
              </w:rPr>
              <w:t>15.9%</w:t>
            </w:r>
          </w:p>
        </w:tc>
        <w:tc>
          <w:tcPr>
            <w:tcW w:w="334" w:type="pct"/>
            <w:gridSpan w:val="2"/>
            <w:noWrap/>
          </w:tcPr>
          <w:p w:rsidR="00C73CC7" w:rsidRPr="00E56625" w:rsidRDefault="00C73CC7" w:rsidP="00321AFB">
            <w:pPr>
              <w:jc w:val="center"/>
              <w:rPr>
                <w:sz w:val="19"/>
                <w:szCs w:val="19"/>
                <w:lang w:val="en-US"/>
              </w:rPr>
            </w:pPr>
            <w:r w:rsidRPr="00E56625">
              <w:rPr>
                <w:sz w:val="19"/>
                <w:szCs w:val="19"/>
                <w:lang w:val="en-US"/>
              </w:rPr>
              <w:t>23.7%</w:t>
            </w:r>
          </w:p>
        </w:tc>
        <w:tc>
          <w:tcPr>
            <w:tcW w:w="415" w:type="pct"/>
            <w:noWrap/>
          </w:tcPr>
          <w:p w:rsidR="00C73CC7" w:rsidRPr="00E56625" w:rsidRDefault="00C73CC7" w:rsidP="00321AFB">
            <w:pPr>
              <w:jc w:val="center"/>
              <w:rPr>
                <w:sz w:val="19"/>
                <w:szCs w:val="19"/>
                <w:lang w:val="en-US"/>
              </w:rPr>
            </w:pPr>
            <w:r w:rsidRPr="00E56625">
              <w:rPr>
                <w:sz w:val="19"/>
                <w:szCs w:val="19"/>
                <w:lang w:val="en-US"/>
              </w:rPr>
              <w:t>26.0%</w:t>
            </w:r>
          </w:p>
        </w:tc>
      </w:tr>
    </w:tbl>
    <w:p w:rsidR="00C73CC7" w:rsidRPr="00E56625" w:rsidRDefault="004E246E" w:rsidP="00070C1C">
      <w:pPr>
        <w:spacing w:after="0"/>
        <w:jc w:val="center"/>
        <w:rPr>
          <w:b/>
          <w:lang w:val="en-US"/>
        </w:rPr>
      </w:pPr>
      <w:r w:rsidRPr="00E56625">
        <w:rPr>
          <w:b/>
          <w:lang w:val="en-US"/>
        </w:rPr>
        <w:t xml:space="preserve">Annex </w:t>
      </w:r>
      <w:r w:rsidR="00C73CC7" w:rsidRPr="00E56625">
        <w:rPr>
          <w:b/>
          <w:lang w:val="en-US"/>
        </w:rPr>
        <w:t>3</w:t>
      </w:r>
      <w:r w:rsidR="00DF293B" w:rsidRPr="00E56625">
        <w:rPr>
          <w:b/>
          <w:lang w:val="en-US"/>
        </w:rPr>
        <w:t>:</w:t>
      </w:r>
      <w:r w:rsidR="00C73CC7" w:rsidRPr="00E56625">
        <w:rPr>
          <w:b/>
          <w:lang w:val="en-US"/>
        </w:rPr>
        <w:t xml:space="preserve"> Population characteristics by place type (2009)</w:t>
      </w:r>
    </w:p>
    <w:tbl>
      <w:tblPr>
        <w:tblStyle w:val="TableGrid"/>
        <w:tblW w:w="5000" w:type="pct"/>
        <w:tblLook w:val="04A0" w:firstRow="1" w:lastRow="0" w:firstColumn="1" w:lastColumn="0" w:noHBand="0" w:noVBand="1"/>
      </w:tblPr>
      <w:tblGrid>
        <w:gridCol w:w="4002"/>
        <w:gridCol w:w="1328"/>
        <w:gridCol w:w="1585"/>
        <w:gridCol w:w="1336"/>
        <w:gridCol w:w="1336"/>
        <w:gridCol w:w="855"/>
        <w:gridCol w:w="92"/>
        <w:gridCol w:w="885"/>
        <w:gridCol w:w="62"/>
        <w:gridCol w:w="941"/>
        <w:gridCol w:w="1104"/>
      </w:tblGrid>
      <w:tr w:rsidR="007E16D5" w:rsidRPr="008F3531" w:rsidTr="007E16D5">
        <w:trPr>
          <w:trHeight w:val="1376"/>
        </w:trPr>
        <w:tc>
          <w:tcPr>
            <w:tcW w:w="1479" w:type="pct"/>
            <w:tcBorders>
              <w:top w:val="single" w:sz="4" w:space="0" w:color="auto"/>
              <w:left w:val="single" w:sz="4" w:space="0" w:color="auto"/>
              <w:bottom w:val="single" w:sz="4" w:space="0" w:color="auto"/>
              <w:right w:val="single" w:sz="4" w:space="0" w:color="auto"/>
            </w:tcBorders>
            <w:noWrap/>
            <w:hideMark/>
          </w:tcPr>
          <w:p w:rsidR="007E16D5" w:rsidRPr="00E56625" w:rsidRDefault="007E16D5" w:rsidP="00A11E63">
            <w:pPr>
              <w:rPr>
                <w:b/>
                <w:bCs/>
                <w:sz w:val="19"/>
                <w:szCs w:val="19"/>
                <w:lang w:val="en-US"/>
              </w:rPr>
            </w:pPr>
          </w:p>
        </w:tc>
        <w:tc>
          <w:tcPr>
            <w:tcW w:w="491" w:type="pct"/>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Village</w:t>
            </w:r>
          </w:p>
          <w:p w:rsidR="007E16D5" w:rsidRPr="00E56625" w:rsidRDefault="007E16D5" w:rsidP="00A11E63">
            <w:pPr>
              <w:jc w:val="center"/>
              <w:rPr>
                <w:b/>
                <w:bCs/>
                <w:sz w:val="19"/>
                <w:szCs w:val="19"/>
                <w:lang w:val="en-US"/>
              </w:rPr>
            </w:pPr>
            <w:r w:rsidRPr="00E56625">
              <w:rPr>
                <w:b/>
                <w:bCs/>
                <w:sz w:val="19"/>
                <w:szCs w:val="19"/>
                <w:lang w:val="en-US"/>
              </w:rPr>
              <w:t>Population &lt;5,000</w:t>
            </w:r>
          </w:p>
        </w:tc>
        <w:tc>
          <w:tcPr>
            <w:tcW w:w="586" w:type="pct"/>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Rural Town</w:t>
            </w:r>
          </w:p>
          <w:p w:rsidR="007E16D5" w:rsidRPr="00E56625" w:rsidRDefault="007E16D5" w:rsidP="00A11E63">
            <w:pPr>
              <w:jc w:val="center"/>
              <w:rPr>
                <w:b/>
                <w:bCs/>
                <w:sz w:val="19"/>
                <w:szCs w:val="19"/>
                <w:lang w:val="en-US"/>
              </w:rPr>
            </w:pPr>
            <w:r w:rsidRPr="00E56625">
              <w:rPr>
                <w:b/>
                <w:bCs/>
                <w:sz w:val="19"/>
                <w:szCs w:val="19"/>
                <w:lang w:val="en-US"/>
              </w:rPr>
              <w:t xml:space="preserve">Population </w:t>
            </w:r>
            <w:r w:rsidRPr="00E56625">
              <w:rPr>
                <w:b/>
                <w:bCs/>
                <w:sz w:val="19"/>
                <w:szCs w:val="19"/>
                <w:lang w:val="en-US"/>
              </w:rPr>
              <w:sym w:font="Symbol" w:char="F0B3"/>
            </w:r>
            <w:r w:rsidRPr="00E56625">
              <w:rPr>
                <w:b/>
                <w:bCs/>
                <w:sz w:val="19"/>
                <w:szCs w:val="19"/>
                <w:lang w:val="en-US"/>
              </w:rPr>
              <w:t>5,000</w:t>
            </w:r>
          </w:p>
          <w:p w:rsidR="007E16D5" w:rsidRPr="00E56625" w:rsidRDefault="007E16D5" w:rsidP="00A11E63">
            <w:pPr>
              <w:jc w:val="center"/>
              <w:rPr>
                <w:b/>
                <w:bCs/>
                <w:sz w:val="19"/>
                <w:szCs w:val="19"/>
                <w:lang w:val="en-US"/>
              </w:rPr>
            </w:pPr>
            <w:r w:rsidRPr="00E56625">
              <w:rPr>
                <w:b/>
                <w:bCs/>
                <w:sz w:val="19"/>
                <w:szCs w:val="19"/>
                <w:lang w:val="en-US"/>
              </w:rPr>
              <w:t>&lt;30,000 density&lt;250 people/</w:t>
            </w:r>
            <w:r w:rsidR="00C8297A" w:rsidRPr="00C8297A">
              <w:rPr>
                <w:b/>
                <w:bCs/>
                <w:sz w:val="19"/>
                <w:szCs w:val="19"/>
                <w:lang w:val="en-US"/>
              </w:rPr>
              <w:t>km2</w:t>
            </w:r>
          </w:p>
        </w:tc>
        <w:tc>
          <w:tcPr>
            <w:tcW w:w="494" w:type="pct"/>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Town</w:t>
            </w:r>
          </w:p>
          <w:p w:rsidR="007E16D5" w:rsidRPr="00E56625" w:rsidRDefault="007E16D5" w:rsidP="00A11E63">
            <w:pPr>
              <w:jc w:val="center"/>
              <w:rPr>
                <w:b/>
                <w:bCs/>
                <w:sz w:val="19"/>
                <w:szCs w:val="19"/>
                <w:lang w:val="en-US"/>
              </w:rPr>
            </w:pPr>
            <w:r w:rsidRPr="00E56625">
              <w:rPr>
                <w:b/>
                <w:bCs/>
                <w:sz w:val="19"/>
                <w:szCs w:val="19"/>
                <w:lang w:val="en-US"/>
              </w:rPr>
              <w:t xml:space="preserve">Population </w:t>
            </w:r>
            <w:r w:rsidRPr="00E56625">
              <w:rPr>
                <w:b/>
                <w:bCs/>
                <w:sz w:val="19"/>
                <w:szCs w:val="19"/>
                <w:lang w:val="en-US"/>
              </w:rPr>
              <w:sym w:font="Symbol" w:char="F0B3"/>
            </w:r>
            <w:r w:rsidRPr="00E56625">
              <w:rPr>
                <w:b/>
                <w:bCs/>
                <w:sz w:val="19"/>
                <w:szCs w:val="19"/>
                <w:lang w:val="en-US"/>
              </w:rPr>
              <w:t>5,000</w:t>
            </w:r>
          </w:p>
          <w:p w:rsidR="007E16D5" w:rsidRPr="00E56625" w:rsidRDefault="007E16D5" w:rsidP="00A11E63">
            <w:pPr>
              <w:jc w:val="center"/>
              <w:rPr>
                <w:b/>
                <w:bCs/>
                <w:sz w:val="19"/>
                <w:szCs w:val="19"/>
                <w:lang w:val="en-US"/>
              </w:rPr>
            </w:pPr>
            <w:r w:rsidRPr="00E56625">
              <w:rPr>
                <w:b/>
                <w:bCs/>
                <w:sz w:val="19"/>
                <w:szCs w:val="19"/>
                <w:lang w:val="en-US"/>
              </w:rPr>
              <w:t>&lt;30,000 density</w:t>
            </w:r>
            <w:r w:rsidRPr="00E56625">
              <w:rPr>
                <w:b/>
                <w:bCs/>
                <w:sz w:val="19"/>
                <w:szCs w:val="19"/>
                <w:lang w:val="en-US"/>
              </w:rPr>
              <w:sym w:font="Symbol" w:char="F0B3"/>
            </w:r>
            <w:r w:rsidRPr="00E56625">
              <w:rPr>
                <w:b/>
                <w:bCs/>
                <w:sz w:val="19"/>
                <w:szCs w:val="19"/>
                <w:lang w:val="en-US"/>
              </w:rPr>
              <w:t>250 people/</w:t>
            </w:r>
            <w:r w:rsidR="00C8297A" w:rsidRPr="00C8297A">
              <w:rPr>
                <w:b/>
                <w:bCs/>
                <w:sz w:val="19"/>
                <w:szCs w:val="19"/>
                <w:lang w:val="en-US"/>
              </w:rPr>
              <w:t>km2</w:t>
            </w:r>
          </w:p>
        </w:tc>
        <w:tc>
          <w:tcPr>
            <w:tcW w:w="494" w:type="pct"/>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City</w:t>
            </w:r>
          </w:p>
          <w:p w:rsidR="007E16D5" w:rsidRPr="00E56625" w:rsidRDefault="007E16D5" w:rsidP="00A11E63">
            <w:pPr>
              <w:jc w:val="center"/>
              <w:rPr>
                <w:b/>
                <w:bCs/>
                <w:sz w:val="19"/>
                <w:szCs w:val="19"/>
                <w:lang w:val="en-US"/>
              </w:rPr>
            </w:pPr>
            <w:r w:rsidRPr="00E56625">
              <w:rPr>
                <w:b/>
                <w:bCs/>
                <w:sz w:val="19"/>
                <w:szCs w:val="19"/>
                <w:lang w:val="en-US"/>
              </w:rPr>
              <w:t xml:space="preserve">Population </w:t>
            </w:r>
            <w:r w:rsidRPr="00E56625">
              <w:rPr>
                <w:b/>
                <w:bCs/>
                <w:sz w:val="19"/>
                <w:szCs w:val="19"/>
                <w:lang w:val="en-US"/>
              </w:rPr>
              <w:sym w:font="Symbol" w:char="F0B3"/>
            </w:r>
            <w:r w:rsidRPr="00E56625">
              <w:rPr>
                <w:b/>
                <w:bCs/>
                <w:sz w:val="19"/>
                <w:szCs w:val="19"/>
                <w:lang w:val="en-US"/>
              </w:rPr>
              <w:t>30,000 density</w:t>
            </w:r>
            <w:r w:rsidRPr="00E56625">
              <w:rPr>
                <w:b/>
                <w:bCs/>
                <w:sz w:val="19"/>
                <w:szCs w:val="19"/>
                <w:lang w:val="en-US"/>
              </w:rPr>
              <w:sym w:font="Symbol" w:char="F0B3"/>
            </w:r>
            <w:r w:rsidRPr="00E56625">
              <w:rPr>
                <w:b/>
                <w:bCs/>
                <w:sz w:val="19"/>
                <w:szCs w:val="19"/>
                <w:lang w:val="en-US"/>
              </w:rPr>
              <w:t>250 people/</w:t>
            </w:r>
            <w:r w:rsidR="00C8297A" w:rsidRPr="00C8297A">
              <w:rPr>
                <w:b/>
                <w:bCs/>
                <w:sz w:val="19"/>
                <w:szCs w:val="19"/>
                <w:lang w:val="en-US"/>
              </w:rPr>
              <w:t>km2</w:t>
            </w:r>
          </w:p>
        </w:tc>
        <w:tc>
          <w:tcPr>
            <w:tcW w:w="316" w:type="pct"/>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Kayes</w:t>
            </w:r>
          </w:p>
        </w:tc>
        <w:tc>
          <w:tcPr>
            <w:tcW w:w="361" w:type="pct"/>
            <w:gridSpan w:val="2"/>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Sikasso</w:t>
            </w:r>
          </w:p>
        </w:tc>
        <w:tc>
          <w:tcPr>
            <w:tcW w:w="371" w:type="pct"/>
            <w:gridSpan w:val="2"/>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Ségou</w:t>
            </w:r>
          </w:p>
        </w:tc>
        <w:tc>
          <w:tcPr>
            <w:tcW w:w="408" w:type="pct"/>
            <w:tcBorders>
              <w:top w:val="single" w:sz="4" w:space="0" w:color="auto"/>
              <w:left w:val="single" w:sz="4" w:space="0" w:color="auto"/>
              <w:bottom w:val="single" w:sz="4" w:space="0" w:color="auto"/>
              <w:right w:val="single" w:sz="4" w:space="0" w:color="auto"/>
            </w:tcBorders>
            <w:hideMark/>
          </w:tcPr>
          <w:p w:rsidR="007E16D5" w:rsidRPr="00E56625" w:rsidRDefault="007E16D5" w:rsidP="00A11E63">
            <w:pPr>
              <w:jc w:val="center"/>
              <w:rPr>
                <w:b/>
                <w:bCs/>
                <w:sz w:val="19"/>
                <w:szCs w:val="19"/>
                <w:lang w:val="en-US"/>
              </w:rPr>
            </w:pPr>
            <w:r w:rsidRPr="00E56625">
              <w:rPr>
                <w:b/>
                <w:bCs/>
                <w:sz w:val="19"/>
                <w:szCs w:val="19"/>
                <w:lang w:val="en-US"/>
              </w:rPr>
              <w:t>Bamako</w:t>
            </w:r>
          </w:p>
        </w:tc>
      </w:tr>
      <w:tr w:rsidR="007E16D5" w:rsidRPr="008F3531" w:rsidTr="007E16D5">
        <w:trPr>
          <w:trHeight w:val="80"/>
        </w:trPr>
        <w:tc>
          <w:tcPr>
            <w:tcW w:w="1479" w:type="pct"/>
            <w:tcBorders>
              <w:top w:val="single" w:sz="4" w:space="0" w:color="auto"/>
              <w:left w:val="single" w:sz="4" w:space="0" w:color="auto"/>
              <w:bottom w:val="single" w:sz="4" w:space="0" w:color="auto"/>
              <w:right w:val="single" w:sz="4" w:space="0" w:color="auto"/>
            </w:tcBorders>
            <w:noWrap/>
            <w:vAlign w:val="center"/>
            <w:hideMark/>
          </w:tcPr>
          <w:p w:rsidR="007E16D5" w:rsidRPr="00E56625" w:rsidRDefault="007E16D5" w:rsidP="00A11E63">
            <w:pPr>
              <w:rPr>
                <w:b/>
                <w:bCs/>
                <w:sz w:val="19"/>
                <w:szCs w:val="19"/>
                <w:lang w:val="en-US"/>
              </w:rPr>
            </w:pPr>
            <w:r w:rsidRPr="00E56625">
              <w:rPr>
                <w:b/>
                <w:bCs/>
                <w:sz w:val="19"/>
                <w:szCs w:val="19"/>
                <w:lang w:val="en-US"/>
              </w:rPr>
              <w:t>Number of places (agglomerations or villages)</w:t>
            </w:r>
          </w:p>
        </w:tc>
        <w:tc>
          <w:tcPr>
            <w:tcW w:w="491" w:type="pct"/>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10,713</w:t>
            </w:r>
          </w:p>
        </w:tc>
        <w:tc>
          <w:tcPr>
            <w:tcW w:w="586" w:type="pct"/>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128</w:t>
            </w:r>
          </w:p>
        </w:tc>
        <w:tc>
          <w:tcPr>
            <w:tcW w:w="494" w:type="pct"/>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60</w:t>
            </w:r>
          </w:p>
        </w:tc>
        <w:tc>
          <w:tcPr>
            <w:tcW w:w="494" w:type="pct"/>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11</w:t>
            </w:r>
          </w:p>
        </w:tc>
        <w:tc>
          <w:tcPr>
            <w:tcW w:w="316" w:type="pct"/>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1</w:t>
            </w:r>
          </w:p>
        </w:tc>
        <w:tc>
          <w:tcPr>
            <w:tcW w:w="361" w:type="pct"/>
            <w:gridSpan w:val="2"/>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1</w:t>
            </w:r>
          </w:p>
        </w:tc>
        <w:tc>
          <w:tcPr>
            <w:tcW w:w="371" w:type="pct"/>
            <w:gridSpan w:val="2"/>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1</w:t>
            </w:r>
          </w:p>
        </w:tc>
        <w:tc>
          <w:tcPr>
            <w:tcW w:w="408" w:type="pct"/>
            <w:tcBorders>
              <w:top w:val="single" w:sz="4" w:space="0" w:color="auto"/>
              <w:left w:val="single" w:sz="4" w:space="0" w:color="auto"/>
              <w:bottom w:val="single" w:sz="4" w:space="0" w:color="auto"/>
              <w:right w:val="single" w:sz="4" w:space="0" w:color="auto"/>
            </w:tcBorders>
          </w:tcPr>
          <w:p w:rsidR="007E16D5" w:rsidRPr="00E56625" w:rsidRDefault="007E16D5" w:rsidP="00A11E63">
            <w:pPr>
              <w:jc w:val="center"/>
              <w:rPr>
                <w:sz w:val="19"/>
                <w:szCs w:val="19"/>
                <w:lang w:val="en-US"/>
              </w:rPr>
            </w:pPr>
            <w:r w:rsidRPr="00E56625">
              <w:rPr>
                <w:sz w:val="19"/>
                <w:szCs w:val="19"/>
                <w:lang w:val="en-US"/>
              </w:rPr>
              <w:t>1</w:t>
            </w:r>
          </w:p>
        </w:tc>
      </w:tr>
      <w:tr w:rsidR="007E16D5" w:rsidRPr="008F3531" w:rsidTr="00A11E63">
        <w:trPr>
          <w:trHeight w:val="215"/>
        </w:trPr>
        <w:tc>
          <w:tcPr>
            <w:tcW w:w="5000" w:type="pct"/>
            <w:gridSpan w:val="11"/>
            <w:tcBorders>
              <w:top w:val="single" w:sz="4" w:space="0" w:color="auto"/>
              <w:left w:val="single" w:sz="4" w:space="0" w:color="auto"/>
              <w:bottom w:val="single" w:sz="4" w:space="0" w:color="auto"/>
              <w:right w:val="single" w:sz="4" w:space="0" w:color="auto"/>
            </w:tcBorders>
            <w:noWrap/>
            <w:hideMark/>
          </w:tcPr>
          <w:p w:rsidR="007E16D5" w:rsidRPr="00E56625" w:rsidRDefault="007E16D5" w:rsidP="00A11E63">
            <w:pPr>
              <w:rPr>
                <w:b/>
                <w:bCs/>
                <w:sz w:val="19"/>
                <w:szCs w:val="19"/>
                <w:lang w:val="en-US"/>
              </w:rPr>
            </w:pPr>
            <w:r w:rsidRPr="00E56625">
              <w:rPr>
                <w:b/>
                <w:bCs/>
                <w:sz w:val="19"/>
                <w:szCs w:val="19"/>
                <w:lang w:val="en-US"/>
              </w:rPr>
              <w:t>Average demographic characteristics of place</w:t>
            </w:r>
          </w:p>
        </w:tc>
      </w:tr>
      <w:tr w:rsidR="007E16D5" w:rsidRPr="008F3531" w:rsidTr="007E16D5">
        <w:trPr>
          <w:trHeight w:val="917"/>
        </w:trPr>
        <w:tc>
          <w:tcPr>
            <w:tcW w:w="1479" w:type="pct"/>
            <w:tcBorders>
              <w:top w:val="single" w:sz="4" w:space="0" w:color="auto"/>
              <w:bottom w:val="single" w:sz="4" w:space="0" w:color="auto"/>
            </w:tcBorders>
            <w:noWrap/>
            <w:hideMark/>
          </w:tcPr>
          <w:p w:rsidR="007E16D5" w:rsidRPr="00E56625" w:rsidRDefault="007E16D5" w:rsidP="00A11E63">
            <w:pPr>
              <w:rPr>
                <w:sz w:val="19"/>
                <w:szCs w:val="19"/>
                <w:lang w:val="en-US"/>
              </w:rPr>
            </w:pPr>
            <w:r w:rsidRPr="00E56625">
              <w:rPr>
                <w:sz w:val="19"/>
                <w:szCs w:val="19"/>
                <w:lang w:val="en-US"/>
              </w:rPr>
              <w:t xml:space="preserve">  Population size</w:t>
            </w:r>
          </w:p>
          <w:p w:rsidR="007E16D5" w:rsidRPr="00E56625" w:rsidRDefault="007E16D5" w:rsidP="00A11E63">
            <w:pPr>
              <w:rPr>
                <w:sz w:val="19"/>
                <w:szCs w:val="19"/>
                <w:lang w:val="en-US"/>
              </w:rPr>
            </w:pPr>
            <w:r w:rsidRPr="00E56625">
              <w:rPr>
                <w:sz w:val="19"/>
                <w:szCs w:val="19"/>
                <w:lang w:val="en-US"/>
              </w:rPr>
              <w:t xml:space="preserve">  Ages 0-14</w:t>
            </w:r>
          </w:p>
          <w:p w:rsidR="007E16D5" w:rsidRPr="00E56625" w:rsidRDefault="007E16D5" w:rsidP="00A11E63">
            <w:pPr>
              <w:rPr>
                <w:sz w:val="19"/>
                <w:szCs w:val="19"/>
                <w:lang w:val="en-US"/>
              </w:rPr>
            </w:pPr>
            <w:r w:rsidRPr="00E56625">
              <w:rPr>
                <w:sz w:val="19"/>
                <w:szCs w:val="19"/>
                <w:lang w:val="en-US"/>
              </w:rPr>
              <w:t xml:space="preserve">  Ages 15-64</w:t>
            </w:r>
          </w:p>
          <w:p w:rsidR="007E16D5" w:rsidRPr="00E56625" w:rsidRDefault="007E16D5" w:rsidP="00A11E63">
            <w:pPr>
              <w:rPr>
                <w:sz w:val="19"/>
                <w:szCs w:val="19"/>
                <w:lang w:val="en-US"/>
              </w:rPr>
            </w:pPr>
            <w:r w:rsidRPr="00E56625">
              <w:rPr>
                <w:sz w:val="19"/>
                <w:szCs w:val="19"/>
                <w:lang w:val="en-US"/>
              </w:rPr>
              <w:t xml:space="preserve">  Ages 65 and above</w:t>
            </w:r>
          </w:p>
        </w:tc>
        <w:tc>
          <w:tcPr>
            <w:tcW w:w="491" w:type="pct"/>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882</w:t>
            </w:r>
          </w:p>
          <w:p w:rsidR="007E16D5" w:rsidRPr="00E56625" w:rsidRDefault="007E16D5" w:rsidP="00A11E63">
            <w:pPr>
              <w:jc w:val="center"/>
              <w:rPr>
                <w:sz w:val="19"/>
                <w:szCs w:val="19"/>
                <w:lang w:val="en-US"/>
              </w:rPr>
            </w:pPr>
            <w:r w:rsidRPr="00E56625">
              <w:rPr>
                <w:sz w:val="19"/>
                <w:szCs w:val="19"/>
                <w:lang w:val="en-US"/>
              </w:rPr>
              <w:t>48.4%</w:t>
            </w:r>
          </w:p>
          <w:p w:rsidR="007E16D5" w:rsidRPr="00E56625" w:rsidRDefault="007E16D5" w:rsidP="00A11E63">
            <w:pPr>
              <w:jc w:val="center"/>
              <w:rPr>
                <w:sz w:val="19"/>
                <w:szCs w:val="19"/>
                <w:lang w:val="en-US"/>
              </w:rPr>
            </w:pPr>
            <w:r w:rsidRPr="00E56625">
              <w:rPr>
                <w:sz w:val="19"/>
                <w:szCs w:val="19"/>
                <w:lang w:val="en-US"/>
              </w:rPr>
              <w:t>46.1%</w:t>
            </w:r>
          </w:p>
          <w:p w:rsidR="007E16D5" w:rsidRPr="00E56625" w:rsidRDefault="007E16D5" w:rsidP="00A11E63">
            <w:pPr>
              <w:jc w:val="center"/>
              <w:rPr>
                <w:sz w:val="19"/>
                <w:szCs w:val="19"/>
                <w:lang w:val="en-US"/>
              </w:rPr>
            </w:pPr>
            <w:r w:rsidRPr="00E56625">
              <w:rPr>
                <w:sz w:val="19"/>
                <w:szCs w:val="19"/>
                <w:lang w:val="en-US"/>
              </w:rPr>
              <w:t>3.6%</w:t>
            </w:r>
          </w:p>
        </w:tc>
        <w:tc>
          <w:tcPr>
            <w:tcW w:w="586" w:type="pct"/>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7,521</w:t>
            </w:r>
          </w:p>
          <w:p w:rsidR="007E16D5" w:rsidRPr="00E56625" w:rsidRDefault="007E16D5" w:rsidP="00A11E63">
            <w:pPr>
              <w:jc w:val="center"/>
              <w:rPr>
                <w:sz w:val="19"/>
                <w:szCs w:val="19"/>
                <w:lang w:val="en-US"/>
              </w:rPr>
            </w:pPr>
            <w:r w:rsidRPr="00E56625">
              <w:rPr>
                <w:sz w:val="19"/>
                <w:szCs w:val="19"/>
                <w:lang w:val="en-US"/>
              </w:rPr>
              <w:t>48.0%</w:t>
            </w:r>
          </w:p>
          <w:p w:rsidR="007E16D5" w:rsidRPr="00E56625" w:rsidRDefault="007E16D5" w:rsidP="00A11E63">
            <w:pPr>
              <w:jc w:val="center"/>
              <w:rPr>
                <w:sz w:val="19"/>
                <w:szCs w:val="19"/>
                <w:lang w:val="en-US"/>
              </w:rPr>
            </w:pPr>
            <w:r w:rsidRPr="00E56625">
              <w:rPr>
                <w:sz w:val="19"/>
                <w:szCs w:val="19"/>
                <w:lang w:val="en-US"/>
              </w:rPr>
              <w:t>47.0%</w:t>
            </w:r>
          </w:p>
          <w:p w:rsidR="007E16D5" w:rsidRPr="00E56625" w:rsidRDefault="007E16D5" w:rsidP="00A11E63">
            <w:pPr>
              <w:jc w:val="center"/>
              <w:rPr>
                <w:sz w:val="19"/>
                <w:szCs w:val="19"/>
                <w:lang w:val="en-US"/>
              </w:rPr>
            </w:pPr>
            <w:r w:rsidRPr="00E56625">
              <w:rPr>
                <w:sz w:val="19"/>
                <w:szCs w:val="19"/>
                <w:lang w:val="en-US"/>
              </w:rPr>
              <w:t>3.0%</w:t>
            </w:r>
          </w:p>
        </w:tc>
        <w:tc>
          <w:tcPr>
            <w:tcW w:w="494" w:type="pct"/>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12,360</w:t>
            </w:r>
          </w:p>
          <w:p w:rsidR="007E16D5" w:rsidRPr="00E56625" w:rsidRDefault="007E16D5" w:rsidP="00A11E63">
            <w:pPr>
              <w:jc w:val="center"/>
              <w:rPr>
                <w:sz w:val="19"/>
                <w:szCs w:val="19"/>
                <w:lang w:val="en-US"/>
              </w:rPr>
            </w:pPr>
            <w:r w:rsidRPr="00E56625">
              <w:rPr>
                <w:sz w:val="19"/>
                <w:szCs w:val="19"/>
                <w:lang w:val="en-US"/>
              </w:rPr>
              <w:t>45.5%</w:t>
            </w:r>
          </w:p>
          <w:p w:rsidR="007E16D5" w:rsidRPr="00E56625" w:rsidRDefault="007E16D5" w:rsidP="00A11E63">
            <w:pPr>
              <w:jc w:val="center"/>
              <w:rPr>
                <w:sz w:val="19"/>
                <w:szCs w:val="19"/>
                <w:lang w:val="en-US"/>
              </w:rPr>
            </w:pPr>
            <w:r w:rsidRPr="00E56625">
              <w:rPr>
                <w:sz w:val="19"/>
                <w:szCs w:val="19"/>
                <w:lang w:val="en-US"/>
              </w:rPr>
              <w:t>49.2%</w:t>
            </w:r>
          </w:p>
          <w:p w:rsidR="007E16D5" w:rsidRPr="00E56625" w:rsidRDefault="007E16D5" w:rsidP="00A11E63">
            <w:pPr>
              <w:jc w:val="center"/>
              <w:rPr>
                <w:sz w:val="19"/>
                <w:szCs w:val="19"/>
                <w:lang w:val="en-US"/>
              </w:rPr>
            </w:pPr>
            <w:r w:rsidRPr="00E56625">
              <w:rPr>
                <w:sz w:val="19"/>
                <w:szCs w:val="19"/>
                <w:lang w:val="en-US"/>
              </w:rPr>
              <w:t>3.2%</w:t>
            </w:r>
          </w:p>
        </w:tc>
        <w:tc>
          <w:tcPr>
            <w:tcW w:w="494" w:type="pct"/>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55,148</w:t>
            </w:r>
          </w:p>
          <w:p w:rsidR="007E16D5" w:rsidRPr="00E56625" w:rsidRDefault="007E16D5" w:rsidP="00A11E63">
            <w:pPr>
              <w:jc w:val="center"/>
              <w:rPr>
                <w:sz w:val="19"/>
                <w:szCs w:val="19"/>
                <w:lang w:val="en-US"/>
              </w:rPr>
            </w:pPr>
            <w:r w:rsidRPr="00E56625">
              <w:rPr>
                <w:sz w:val="19"/>
                <w:szCs w:val="19"/>
                <w:lang w:val="en-US"/>
              </w:rPr>
              <w:t>43.6%</w:t>
            </w:r>
          </w:p>
          <w:p w:rsidR="007E16D5" w:rsidRPr="00E56625" w:rsidRDefault="007E16D5" w:rsidP="00A11E63">
            <w:pPr>
              <w:jc w:val="center"/>
              <w:rPr>
                <w:sz w:val="19"/>
                <w:szCs w:val="19"/>
                <w:lang w:val="en-US"/>
              </w:rPr>
            </w:pPr>
            <w:r w:rsidRPr="00E56625">
              <w:rPr>
                <w:sz w:val="19"/>
                <w:szCs w:val="19"/>
                <w:lang w:val="en-US"/>
              </w:rPr>
              <w:t>52.3%</w:t>
            </w:r>
          </w:p>
          <w:p w:rsidR="007E16D5" w:rsidRPr="00E56625" w:rsidRDefault="007E16D5" w:rsidP="00A11E63">
            <w:pPr>
              <w:jc w:val="center"/>
              <w:rPr>
                <w:sz w:val="19"/>
                <w:szCs w:val="19"/>
                <w:lang w:val="en-US"/>
              </w:rPr>
            </w:pPr>
            <w:r w:rsidRPr="00E56625">
              <w:rPr>
                <w:sz w:val="19"/>
                <w:szCs w:val="19"/>
                <w:lang w:val="en-US"/>
              </w:rPr>
              <w:t>2.7%</w:t>
            </w:r>
          </w:p>
        </w:tc>
        <w:tc>
          <w:tcPr>
            <w:tcW w:w="350" w:type="pct"/>
            <w:gridSpan w:val="2"/>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127,473</w:t>
            </w:r>
          </w:p>
          <w:p w:rsidR="007E16D5" w:rsidRPr="00E56625" w:rsidRDefault="007E16D5" w:rsidP="00A11E63">
            <w:pPr>
              <w:jc w:val="center"/>
              <w:rPr>
                <w:sz w:val="19"/>
                <w:szCs w:val="19"/>
                <w:lang w:val="en-US"/>
              </w:rPr>
            </w:pPr>
            <w:r w:rsidRPr="00E56625">
              <w:rPr>
                <w:sz w:val="19"/>
                <w:szCs w:val="19"/>
                <w:lang w:val="en-US"/>
              </w:rPr>
              <w:t>41.7%</w:t>
            </w:r>
          </w:p>
          <w:p w:rsidR="007E16D5" w:rsidRPr="00E56625" w:rsidRDefault="007E16D5" w:rsidP="00A11E63">
            <w:pPr>
              <w:jc w:val="center"/>
              <w:rPr>
                <w:sz w:val="19"/>
                <w:szCs w:val="19"/>
                <w:lang w:val="en-US"/>
              </w:rPr>
            </w:pPr>
            <w:r w:rsidRPr="00E56625">
              <w:rPr>
                <w:sz w:val="19"/>
                <w:szCs w:val="19"/>
                <w:lang w:val="en-US"/>
              </w:rPr>
              <w:t>54.8%</w:t>
            </w:r>
          </w:p>
          <w:p w:rsidR="007E16D5" w:rsidRPr="00E56625" w:rsidRDefault="007E16D5" w:rsidP="00A11E63">
            <w:pPr>
              <w:jc w:val="center"/>
              <w:rPr>
                <w:sz w:val="19"/>
                <w:szCs w:val="19"/>
                <w:lang w:val="en-US"/>
              </w:rPr>
            </w:pPr>
            <w:r w:rsidRPr="00E56625">
              <w:rPr>
                <w:sz w:val="19"/>
                <w:szCs w:val="19"/>
                <w:lang w:val="en-US"/>
              </w:rPr>
              <w:t>2.5%</w:t>
            </w:r>
          </w:p>
        </w:tc>
        <w:tc>
          <w:tcPr>
            <w:tcW w:w="350" w:type="pct"/>
            <w:gridSpan w:val="2"/>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143,231</w:t>
            </w:r>
          </w:p>
          <w:p w:rsidR="007E16D5" w:rsidRPr="00E56625" w:rsidRDefault="007E16D5" w:rsidP="00A11E63">
            <w:pPr>
              <w:jc w:val="center"/>
              <w:rPr>
                <w:sz w:val="19"/>
                <w:szCs w:val="19"/>
                <w:lang w:val="en-US"/>
              </w:rPr>
            </w:pPr>
            <w:r w:rsidRPr="00E56625">
              <w:rPr>
                <w:sz w:val="19"/>
                <w:szCs w:val="19"/>
                <w:lang w:val="en-US"/>
              </w:rPr>
              <w:t>42.1%</w:t>
            </w:r>
          </w:p>
          <w:p w:rsidR="007E16D5" w:rsidRPr="00E56625" w:rsidRDefault="007E16D5" w:rsidP="00A11E63">
            <w:pPr>
              <w:jc w:val="center"/>
              <w:rPr>
                <w:sz w:val="19"/>
                <w:szCs w:val="19"/>
                <w:lang w:val="en-US"/>
              </w:rPr>
            </w:pPr>
            <w:r w:rsidRPr="00E56625">
              <w:rPr>
                <w:sz w:val="19"/>
                <w:szCs w:val="19"/>
                <w:lang w:val="en-US"/>
              </w:rPr>
              <w:t>54.6%</w:t>
            </w:r>
          </w:p>
          <w:p w:rsidR="007E16D5" w:rsidRPr="00E56625" w:rsidRDefault="007E16D5" w:rsidP="00A11E63">
            <w:pPr>
              <w:jc w:val="center"/>
              <w:rPr>
                <w:sz w:val="19"/>
                <w:szCs w:val="19"/>
                <w:lang w:val="en-US"/>
              </w:rPr>
            </w:pPr>
            <w:r w:rsidRPr="00E56625">
              <w:rPr>
                <w:sz w:val="19"/>
                <w:szCs w:val="19"/>
                <w:lang w:val="en-US"/>
              </w:rPr>
              <w:t>2.1%</w:t>
            </w:r>
          </w:p>
        </w:tc>
        <w:tc>
          <w:tcPr>
            <w:tcW w:w="348" w:type="pct"/>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166,128</w:t>
            </w:r>
          </w:p>
          <w:p w:rsidR="007E16D5" w:rsidRPr="00E56625" w:rsidRDefault="007E16D5" w:rsidP="00A11E63">
            <w:pPr>
              <w:jc w:val="center"/>
              <w:rPr>
                <w:sz w:val="19"/>
                <w:szCs w:val="19"/>
                <w:lang w:val="en-US"/>
              </w:rPr>
            </w:pPr>
            <w:r w:rsidRPr="00E56625">
              <w:rPr>
                <w:sz w:val="19"/>
                <w:szCs w:val="19"/>
                <w:lang w:val="en-US"/>
              </w:rPr>
              <w:t>39.3%</w:t>
            </w:r>
          </w:p>
          <w:p w:rsidR="007E16D5" w:rsidRPr="00E56625" w:rsidRDefault="007E16D5" w:rsidP="00A11E63">
            <w:pPr>
              <w:jc w:val="center"/>
              <w:rPr>
                <w:sz w:val="19"/>
                <w:szCs w:val="19"/>
                <w:lang w:val="en-US"/>
              </w:rPr>
            </w:pPr>
            <w:r w:rsidRPr="00E56625">
              <w:rPr>
                <w:sz w:val="19"/>
                <w:szCs w:val="19"/>
                <w:lang w:val="en-US"/>
              </w:rPr>
              <w:t>57.2%</w:t>
            </w:r>
          </w:p>
          <w:p w:rsidR="007E16D5" w:rsidRPr="00E56625" w:rsidRDefault="007E16D5" w:rsidP="00A11E63">
            <w:pPr>
              <w:jc w:val="center"/>
              <w:rPr>
                <w:sz w:val="19"/>
                <w:szCs w:val="19"/>
                <w:lang w:val="en-US"/>
              </w:rPr>
            </w:pPr>
            <w:r w:rsidRPr="00E56625">
              <w:rPr>
                <w:sz w:val="19"/>
                <w:szCs w:val="19"/>
                <w:lang w:val="en-US"/>
              </w:rPr>
              <w:t>3.0%</w:t>
            </w:r>
          </w:p>
        </w:tc>
        <w:tc>
          <w:tcPr>
            <w:tcW w:w="408" w:type="pct"/>
            <w:tcBorders>
              <w:top w:val="single" w:sz="4" w:space="0" w:color="auto"/>
              <w:bottom w:val="single" w:sz="4" w:space="0" w:color="auto"/>
            </w:tcBorders>
            <w:noWrap/>
          </w:tcPr>
          <w:p w:rsidR="007E16D5" w:rsidRPr="00E56625" w:rsidRDefault="007E16D5" w:rsidP="00A11E63">
            <w:pPr>
              <w:jc w:val="center"/>
              <w:rPr>
                <w:sz w:val="19"/>
                <w:szCs w:val="19"/>
                <w:lang w:val="en-US"/>
              </w:rPr>
            </w:pPr>
            <w:r w:rsidRPr="00E56625">
              <w:rPr>
                <w:sz w:val="19"/>
                <w:szCs w:val="19"/>
                <w:lang w:val="en-US"/>
              </w:rPr>
              <w:t>2,156,177</w:t>
            </w:r>
          </w:p>
          <w:p w:rsidR="007E16D5" w:rsidRPr="00E56625" w:rsidRDefault="007E16D5" w:rsidP="00A11E63">
            <w:pPr>
              <w:jc w:val="center"/>
              <w:rPr>
                <w:sz w:val="19"/>
                <w:szCs w:val="19"/>
                <w:lang w:val="en-US"/>
              </w:rPr>
            </w:pPr>
            <w:r w:rsidRPr="00E56625">
              <w:rPr>
                <w:sz w:val="19"/>
                <w:szCs w:val="19"/>
                <w:lang w:val="en-US"/>
              </w:rPr>
              <w:t>38.9%</w:t>
            </w:r>
          </w:p>
          <w:p w:rsidR="007E16D5" w:rsidRPr="00E56625" w:rsidRDefault="007E16D5" w:rsidP="00A11E63">
            <w:pPr>
              <w:jc w:val="center"/>
              <w:rPr>
                <w:sz w:val="19"/>
                <w:szCs w:val="19"/>
                <w:lang w:val="en-US"/>
              </w:rPr>
            </w:pPr>
            <w:r w:rsidRPr="00E56625">
              <w:rPr>
                <w:sz w:val="19"/>
                <w:szCs w:val="19"/>
                <w:lang w:val="en-US"/>
              </w:rPr>
              <w:t>57.5%</w:t>
            </w:r>
          </w:p>
          <w:p w:rsidR="007E16D5" w:rsidRPr="00E56625" w:rsidRDefault="007E16D5" w:rsidP="00A11E63">
            <w:pPr>
              <w:jc w:val="center"/>
              <w:rPr>
                <w:sz w:val="19"/>
                <w:szCs w:val="19"/>
                <w:lang w:val="en-US"/>
              </w:rPr>
            </w:pPr>
            <w:r w:rsidRPr="00E56625">
              <w:rPr>
                <w:sz w:val="19"/>
                <w:szCs w:val="19"/>
                <w:lang w:val="en-US"/>
              </w:rPr>
              <w:t>2.1%</w:t>
            </w:r>
          </w:p>
        </w:tc>
      </w:tr>
      <w:tr w:rsidR="007E16D5" w:rsidRPr="008F3531" w:rsidTr="00A11E63">
        <w:trPr>
          <w:trHeight w:val="107"/>
        </w:trPr>
        <w:tc>
          <w:tcPr>
            <w:tcW w:w="5000" w:type="pct"/>
            <w:gridSpan w:val="11"/>
            <w:tcBorders>
              <w:top w:val="single" w:sz="4" w:space="0" w:color="auto"/>
              <w:left w:val="single" w:sz="4" w:space="0" w:color="auto"/>
              <w:bottom w:val="single" w:sz="4" w:space="0" w:color="auto"/>
              <w:right w:val="single" w:sz="4" w:space="0" w:color="auto"/>
            </w:tcBorders>
            <w:noWrap/>
            <w:hideMark/>
          </w:tcPr>
          <w:p w:rsidR="007E16D5" w:rsidRPr="00E56625" w:rsidRDefault="007E16D5" w:rsidP="00A11E63">
            <w:pPr>
              <w:rPr>
                <w:sz w:val="19"/>
                <w:szCs w:val="19"/>
                <w:lang w:val="en-US"/>
              </w:rPr>
            </w:pPr>
            <w:r w:rsidRPr="00E56625">
              <w:rPr>
                <w:b/>
                <w:bCs/>
                <w:sz w:val="19"/>
                <w:szCs w:val="19"/>
                <w:lang w:val="en-US"/>
              </w:rPr>
              <w:t>Origin of population</w:t>
            </w:r>
          </w:p>
        </w:tc>
      </w:tr>
      <w:tr w:rsidR="007E16D5" w:rsidRPr="008F3531" w:rsidTr="007E16D5">
        <w:trPr>
          <w:trHeight w:val="728"/>
        </w:trPr>
        <w:tc>
          <w:tcPr>
            <w:tcW w:w="1479" w:type="pct"/>
            <w:tcBorders>
              <w:top w:val="single" w:sz="4" w:space="0" w:color="auto"/>
            </w:tcBorders>
            <w:noWrap/>
            <w:hideMark/>
          </w:tcPr>
          <w:p w:rsidR="007E16D5" w:rsidRPr="00E56625" w:rsidRDefault="007E16D5" w:rsidP="00A11E63">
            <w:pPr>
              <w:rPr>
                <w:sz w:val="19"/>
                <w:szCs w:val="19"/>
                <w:lang w:val="en-US"/>
              </w:rPr>
            </w:pPr>
            <w:r w:rsidRPr="00E56625">
              <w:rPr>
                <w:sz w:val="19"/>
                <w:szCs w:val="19"/>
                <w:lang w:val="en-US"/>
              </w:rPr>
              <w:t xml:space="preserve">  Born in same region</w:t>
            </w:r>
          </w:p>
          <w:p w:rsidR="007E16D5" w:rsidRPr="00E56625" w:rsidRDefault="007E16D5" w:rsidP="00A11E63">
            <w:pPr>
              <w:rPr>
                <w:sz w:val="19"/>
                <w:szCs w:val="19"/>
                <w:lang w:val="en-US"/>
              </w:rPr>
            </w:pPr>
            <w:r w:rsidRPr="00E56625">
              <w:rPr>
                <w:sz w:val="19"/>
                <w:szCs w:val="19"/>
                <w:lang w:val="en-US"/>
              </w:rPr>
              <w:t xml:space="preserve">  Born in other region</w:t>
            </w:r>
          </w:p>
          <w:p w:rsidR="007E16D5" w:rsidRPr="00E56625" w:rsidRDefault="007E16D5" w:rsidP="00A11E63">
            <w:pPr>
              <w:rPr>
                <w:sz w:val="19"/>
                <w:szCs w:val="19"/>
                <w:lang w:val="en-US"/>
              </w:rPr>
            </w:pPr>
            <w:r w:rsidRPr="00E56625">
              <w:rPr>
                <w:sz w:val="19"/>
                <w:szCs w:val="19"/>
                <w:lang w:val="en-US"/>
              </w:rPr>
              <w:t xml:space="preserve">  Born in foreign country</w:t>
            </w:r>
          </w:p>
        </w:tc>
        <w:tc>
          <w:tcPr>
            <w:tcW w:w="491" w:type="pct"/>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95.1%</w:t>
            </w:r>
          </w:p>
          <w:p w:rsidR="007E16D5" w:rsidRPr="00E56625" w:rsidRDefault="007E16D5" w:rsidP="00A11E63">
            <w:pPr>
              <w:jc w:val="center"/>
              <w:rPr>
                <w:sz w:val="19"/>
                <w:szCs w:val="19"/>
                <w:lang w:val="en-US"/>
              </w:rPr>
            </w:pPr>
            <w:r w:rsidRPr="00E56625">
              <w:rPr>
                <w:sz w:val="19"/>
                <w:szCs w:val="19"/>
                <w:lang w:val="en-US"/>
              </w:rPr>
              <w:t>4.0%</w:t>
            </w:r>
          </w:p>
          <w:p w:rsidR="007E16D5" w:rsidRPr="00E56625" w:rsidRDefault="007E16D5" w:rsidP="00A11E63">
            <w:pPr>
              <w:jc w:val="center"/>
              <w:rPr>
                <w:sz w:val="19"/>
                <w:szCs w:val="19"/>
                <w:lang w:val="en-US"/>
              </w:rPr>
            </w:pPr>
            <w:r w:rsidRPr="00E56625">
              <w:rPr>
                <w:sz w:val="19"/>
                <w:szCs w:val="19"/>
                <w:lang w:val="en-US"/>
              </w:rPr>
              <w:t>0.9%</w:t>
            </w:r>
          </w:p>
        </w:tc>
        <w:tc>
          <w:tcPr>
            <w:tcW w:w="586" w:type="pct"/>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87.3%</w:t>
            </w:r>
          </w:p>
          <w:p w:rsidR="007E16D5" w:rsidRPr="00E56625" w:rsidRDefault="007E16D5" w:rsidP="00A11E63">
            <w:pPr>
              <w:jc w:val="center"/>
              <w:rPr>
                <w:sz w:val="19"/>
                <w:szCs w:val="19"/>
                <w:lang w:val="en-US"/>
              </w:rPr>
            </w:pPr>
            <w:r w:rsidRPr="00E56625">
              <w:rPr>
                <w:sz w:val="19"/>
                <w:szCs w:val="19"/>
                <w:lang w:val="en-US"/>
              </w:rPr>
              <w:t>10.4%</w:t>
            </w:r>
          </w:p>
          <w:p w:rsidR="007E16D5" w:rsidRPr="00E56625" w:rsidRDefault="007E16D5" w:rsidP="00A11E63">
            <w:pPr>
              <w:jc w:val="center"/>
              <w:rPr>
                <w:sz w:val="19"/>
                <w:szCs w:val="19"/>
                <w:lang w:val="en-US"/>
              </w:rPr>
            </w:pPr>
            <w:r w:rsidRPr="00E56625">
              <w:rPr>
                <w:sz w:val="19"/>
                <w:szCs w:val="19"/>
                <w:lang w:val="en-US"/>
              </w:rPr>
              <w:t>2.2%</w:t>
            </w:r>
          </w:p>
        </w:tc>
        <w:tc>
          <w:tcPr>
            <w:tcW w:w="494" w:type="pct"/>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84.9%</w:t>
            </w:r>
          </w:p>
          <w:p w:rsidR="007E16D5" w:rsidRPr="00E56625" w:rsidRDefault="007E16D5" w:rsidP="00A11E63">
            <w:pPr>
              <w:jc w:val="center"/>
              <w:rPr>
                <w:sz w:val="19"/>
                <w:szCs w:val="19"/>
                <w:lang w:val="en-US"/>
              </w:rPr>
            </w:pPr>
            <w:r w:rsidRPr="00E56625">
              <w:rPr>
                <w:sz w:val="19"/>
                <w:szCs w:val="19"/>
                <w:lang w:val="en-US"/>
              </w:rPr>
              <w:t>11.9%</w:t>
            </w:r>
          </w:p>
          <w:p w:rsidR="007E16D5" w:rsidRPr="00E56625" w:rsidRDefault="007E16D5" w:rsidP="00A11E63">
            <w:pPr>
              <w:jc w:val="center"/>
              <w:rPr>
                <w:sz w:val="19"/>
                <w:szCs w:val="19"/>
                <w:lang w:val="en-US"/>
              </w:rPr>
            </w:pPr>
            <w:r w:rsidRPr="00E56625">
              <w:rPr>
                <w:sz w:val="19"/>
                <w:szCs w:val="19"/>
                <w:lang w:val="en-US"/>
              </w:rPr>
              <w:t>3.2%</w:t>
            </w:r>
          </w:p>
        </w:tc>
        <w:tc>
          <w:tcPr>
            <w:tcW w:w="494" w:type="pct"/>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81.3%</w:t>
            </w:r>
          </w:p>
          <w:p w:rsidR="007E16D5" w:rsidRPr="00E56625" w:rsidRDefault="007E16D5" w:rsidP="00A11E63">
            <w:pPr>
              <w:jc w:val="center"/>
              <w:rPr>
                <w:sz w:val="19"/>
                <w:szCs w:val="19"/>
                <w:lang w:val="en-US"/>
              </w:rPr>
            </w:pPr>
            <w:r w:rsidRPr="00E56625">
              <w:rPr>
                <w:sz w:val="19"/>
                <w:szCs w:val="19"/>
                <w:lang w:val="en-US"/>
              </w:rPr>
              <w:t>16.0%</w:t>
            </w:r>
          </w:p>
          <w:p w:rsidR="007E16D5" w:rsidRPr="00E56625" w:rsidRDefault="007E16D5" w:rsidP="00A11E63">
            <w:pPr>
              <w:jc w:val="center"/>
              <w:rPr>
                <w:sz w:val="19"/>
                <w:szCs w:val="19"/>
                <w:lang w:val="en-US"/>
              </w:rPr>
            </w:pPr>
            <w:r w:rsidRPr="00E56625">
              <w:rPr>
                <w:sz w:val="19"/>
                <w:szCs w:val="19"/>
                <w:lang w:val="en-US"/>
              </w:rPr>
              <w:t>2.8%</w:t>
            </w:r>
          </w:p>
        </w:tc>
        <w:tc>
          <w:tcPr>
            <w:tcW w:w="316" w:type="pct"/>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78.5%</w:t>
            </w:r>
          </w:p>
          <w:p w:rsidR="007E16D5" w:rsidRPr="00E56625" w:rsidRDefault="007E16D5" w:rsidP="00A11E63">
            <w:pPr>
              <w:jc w:val="center"/>
              <w:rPr>
                <w:sz w:val="19"/>
                <w:szCs w:val="19"/>
                <w:lang w:val="en-US"/>
              </w:rPr>
            </w:pPr>
            <w:r w:rsidRPr="00E56625">
              <w:rPr>
                <w:sz w:val="19"/>
                <w:szCs w:val="19"/>
                <w:lang w:val="en-US"/>
              </w:rPr>
              <w:t>18.2%</w:t>
            </w:r>
          </w:p>
          <w:p w:rsidR="007E16D5" w:rsidRPr="00E56625" w:rsidRDefault="007E16D5" w:rsidP="00A11E63">
            <w:pPr>
              <w:jc w:val="center"/>
              <w:rPr>
                <w:sz w:val="19"/>
                <w:szCs w:val="19"/>
                <w:lang w:val="en-US"/>
              </w:rPr>
            </w:pPr>
            <w:r w:rsidRPr="00E56625">
              <w:rPr>
                <w:sz w:val="19"/>
                <w:szCs w:val="19"/>
                <w:lang w:val="en-US"/>
              </w:rPr>
              <w:t>3.3%</w:t>
            </w:r>
          </w:p>
        </w:tc>
        <w:tc>
          <w:tcPr>
            <w:tcW w:w="361" w:type="pct"/>
            <w:gridSpan w:val="2"/>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80.7%</w:t>
            </w:r>
          </w:p>
          <w:p w:rsidR="007E16D5" w:rsidRPr="00E56625" w:rsidRDefault="007E16D5" w:rsidP="00A11E63">
            <w:pPr>
              <w:jc w:val="center"/>
              <w:rPr>
                <w:sz w:val="19"/>
                <w:szCs w:val="19"/>
                <w:lang w:val="en-US"/>
              </w:rPr>
            </w:pPr>
            <w:r w:rsidRPr="00E56625">
              <w:rPr>
                <w:sz w:val="19"/>
                <w:szCs w:val="19"/>
                <w:lang w:val="en-US"/>
              </w:rPr>
              <w:t>14.9%</w:t>
            </w:r>
          </w:p>
          <w:p w:rsidR="007E16D5" w:rsidRPr="00E56625" w:rsidRDefault="007E16D5" w:rsidP="00A11E63">
            <w:pPr>
              <w:jc w:val="center"/>
              <w:rPr>
                <w:sz w:val="19"/>
                <w:szCs w:val="19"/>
                <w:lang w:val="en-US"/>
              </w:rPr>
            </w:pPr>
            <w:r w:rsidRPr="00E56625">
              <w:rPr>
                <w:sz w:val="19"/>
                <w:szCs w:val="19"/>
                <w:lang w:val="en-US"/>
              </w:rPr>
              <w:t>4.5%</w:t>
            </w:r>
          </w:p>
        </w:tc>
        <w:tc>
          <w:tcPr>
            <w:tcW w:w="371" w:type="pct"/>
            <w:gridSpan w:val="2"/>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80.0%</w:t>
            </w:r>
          </w:p>
          <w:p w:rsidR="007E16D5" w:rsidRPr="00E56625" w:rsidRDefault="007E16D5" w:rsidP="00A11E63">
            <w:pPr>
              <w:jc w:val="center"/>
              <w:rPr>
                <w:sz w:val="19"/>
                <w:szCs w:val="19"/>
                <w:lang w:val="en-US"/>
              </w:rPr>
            </w:pPr>
            <w:r w:rsidRPr="00E56625">
              <w:rPr>
                <w:sz w:val="19"/>
                <w:szCs w:val="19"/>
                <w:lang w:val="en-US"/>
              </w:rPr>
              <w:t>15.7%</w:t>
            </w:r>
          </w:p>
          <w:p w:rsidR="007E16D5" w:rsidRPr="00E56625" w:rsidRDefault="007E16D5" w:rsidP="00A11E63">
            <w:pPr>
              <w:jc w:val="center"/>
              <w:rPr>
                <w:sz w:val="19"/>
                <w:szCs w:val="19"/>
                <w:lang w:val="en-US"/>
              </w:rPr>
            </w:pPr>
            <w:r w:rsidRPr="00E56625">
              <w:rPr>
                <w:sz w:val="19"/>
                <w:szCs w:val="19"/>
                <w:lang w:val="en-US"/>
              </w:rPr>
              <w:t>4.3%</w:t>
            </w:r>
          </w:p>
        </w:tc>
        <w:tc>
          <w:tcPr>
            <w:tcW w:w="408" w:type="pct"/>
            <w:tcBorders>
              <w:top w:val="single" w:sz="4" w:space="0" w:color="auto"/>
            </w:tcBorders>
            <w:noWrap/>
          </w:tcPr>
          <w:p w:rsidR="007E16D5" w:rsidRPr="00E56625" w:rsidRDefault="007E16D5" w:rsidP="00A11E63">
            <w:pPr>
              <w:jc w:val="center"/>
              <w:rPr>
                <w:sz w:val="19"/>
                <w:szCs w:val="19"/>
                <w:lang w:val="en-US"/>
              </w:rPr>
            </w:pPr>
            <w:r w:rsidRPr="00E56625">
              <w:rPr>
                <w:sz w:val="19"/>
                <w:szCs w:val="19"/>
                <w:lang w:val="en-US"/>
              </w:rPr>
              <w:t>57.4%</w:t>
            </w:r>
          </w:p>
          <w:p w:rsidR="007E16D5" w:rsidRPr="00E56625" w:rsidRDefault="007E16D5" w:rsidP="00A11E63">
            <w:pPr>
              <w:jc w:val="center"/>
              <w:rPr>
                <w:sz w:val="19"/>
                <w:szCs w:val="19"/>
                <w:lang w:val="en-US"/>
              </w:rPr>
            </w:pPr>
            <w:r w:rsidRPr="00E56625">
              <w:rPr>
                <w:sz w:val="19"/>
                <w:szCs w:val="19"/>
                <w:lang w:val="en-US"/>
              </w:rPr>
              <w:t>37.1%</w:t>
            </w:r>
          </w:p>
          <w:p w:rsidR="007E16D5" w:rsidRPr="00E56625" w:rsidRDefault="007E16D5" w:rsidP="00A11E63">
            <w:pPr>
              <w:jc w:val="center"/>
              <w:rPr>
                <w:sz w:val="19"/>
                <w:szCs w:val="19"/>
                <w:lang w:val="en-US"/>
              </w:rPr>
            </w:pPr>
            <w:r w:rsidRPr="00E56625">
              <w:rPr>
                <w:sz w:val="19"/>
                <w:szCs w:val="19"/>
                <w:lang w:val="en-US"/>
              </w:rPr>
              <w:t>5.5%</w:t>
            </w:r>
          </w:p>
        </w:tc>
      </w:tr>
      <w:tr w:rsidR="007E16D5" w:rsidRPr="008F3531" w:rsidTr="00A11E63">
        <w:trPr>
          <w:trHeight w:val="188"/>
        </w:trPr>
        <w:tc>
          <w:tcPr>
            <w:tcW w:w="5000" w:type="pct"/>
            <w:gridSpan w:val="11"/>
            <w:noWrap/>
            <w:hideMark/>
          </w:tcPr>
          <w:p w:rsidR="007E16D5" w:rsidRPr="00E56625" w:rsidRDefault="007E16D5" w:rsidP="00A11E63">
            <w:pPr>
              <w:rPr>
                <w:sz w:val="19"/>
                <w:szCs w:val="19"/>
                <w:lang w:val="en-US"/>
              </w:rPr>
            </w:pPr>
            <w:r w:rsidRPr="00E56625">
              <w:rPr>
                <w:b/>
                <w:bCs/>
                <w:sz w:val="19"/>
                <w:szCs w:val="19"/>
                <w:lang w:val="en-US"/>
              </w:rPr>
              <w:t>Education of working-age population (ages 15-64)</w:t>
            </w:r>
          </w:p>
        </w:tc>
      </w:tr>
      <w:tr w:rsidR="007E16D5" w:rsidRPr="008F3531" w:rsidTr="007E16D5">
        <w:trPr>
          <w:trHeight w:val="1160"/>
        </w:trPr>
        <w:tc>
          <w:tcPr>
            <w:tcW w:w="1479" w:type="pct"/>
            <w:noWrap/>
            <w:hideMark/>
          </w:tcPr>
          <w:p w:rsidR="007E16D5" w:rsidRPr="00E56625" w:rsidRDefault="007E16D5" w:rsidP="00A11E63">
            <w:pPr>
              <w:rPr>
                <w:sz w:val="19"/>
                <w:szCs w:val="19"/>
                <w:lang w:val="en-US"/>
              </w:rPr>
            </w:pPr>
            <w:r w:rsidRPr="00E56625">
              <w:rPr>
                <w:sz w:val="19"/>
                <w:szCs w:val="19"/>
                <w:lang w:val="en-US"/>
              </w:rPr>
              <w:t xml:space="preserve">  No school</w:t>
            </w:r>
          </w:p>
          <w:p w:rsidR="007E16D5" w:rsidRPr="00E56625" w:rsidRDefault="007E16D5" w:rsidP="00A11E63">
            <w:pPr>
              <w:rPr>
                <w:sz w:val="19"/>
                <w:szCs w:val="19"/>
                <w:lang w:val="en-US"/>
              </w:rPr>
            </w:pPr>
            <w:r w:rsidRPr="00E56625">
              <w:rPr>
                <w:sz w:val="19"/>
                <w:szCs w:val="19"/>
                <w:lang w:val="en-US"/>
              </w:rPr>
              <w:t xml:space="preserve">  Primary level ("primaire")</w:t>
            </w:r>
          </w:p>
          <w:p w:rsidR="007E16D5" w:rsidRPr="00E56625" w:rsidRDefault="007E16D5" w:rsidP="00A11E63">
            <w:pPr>
              <w:rPr>
                <w:sz w:val="19"/>
                <w:szCs w:val="19"/>
                <w:lang w:val="en-US"/>
              </w:rPr>
            </w:pPr>
            <w:r w:rsidRPr="00E56625">
              <w:rPr>
                <w:sz w:val="19"/>
                <w:szCs w:val="19"/>
                <w:lang w:val="en-US"/>
              </w:rPr>
              <w:t xml:space="preserve">  Secondary 1 level ("collège")</w:t>
            </w:r>
          </w:p>
          <w:p w:rsidR="007E16D5" w:rsidRPr="00E56625" w:rsidRDefault="007E16D5" w:rsidP="00A11E63">
            <w:pPr>
              <w:rPr>
                <w:sz w:val="19"/>
                <w:szCs w:val="19"/>
                <w:lang w:val="en-US"/>
              </w:rPr>
            </w:pPr>
            <w:r w:rsidRPr="00E56625">
              <w:rPr>
                <w:sz w:val="19"/>
                <w:szCs w:val="19"/>
                <w:lang w:val="en-US"/>
              </w:rPr>
              <w:t xml:space="preserve">  Secondary 2 level ("lycée")</w:t>
            </w:r>
          </w:p>
          <w:p w:rsidR="007E16D5" w:rsidRPr="00E56625" w:rsidRDefault="007E16D5" w:rsidP="00A11E63">
            <w:pPr>
              <w:rPr>
                <w:sz w:val="19"/>
                <w:szCs w:val="19"/>
                <w:lang w:val="en-US"/>
              </w:rPr>
            </w:pPr>
            <w:r w:rsidRPr="00E56625">
              <w:rPr>
                <w:sz w:val="19"/>
                <w:szCs w:val="19"/>
                <w:lang w:val="en-US"/>
              </w:rPr>
              <w:t xml:space="preserve">  Tertiary level ("supérieur")</w:t>
            </w:r>
          </w:p>
        </w:tc>
        <w:tc>
          <w:tcPr>
            <w:tcW w:w="491" w:type="pct"/>
            <w:noWrap/>
          </w:tcPr>
          <w:p w:rsidR="007E16D5" w:rsidRPr="00E56625" w:rsidRDefault="007E16D5" w:rsidP="00A11E63">
            <w:pPr>
              <w:jc w:val="center"/>
              <w:rPr>
                <w:sz w:val="19"/>
                <w:szCs w:val="19"/>
                <w:lang w:val="en-US"/>
              </w:rPr>
            </w:pPr>
            <w:r w:rsidRPr="00E56625">
              <w:rPr>
                <w:sz w:val="19"/>
                <w:szCs w:val="19"/>
                <w:lang w:val="en-US"/>
              </w:rPr>
              <w:t>85.9%</w:t>
            </w:r>
          </w:p>
          <w:p w:rsidR="007E16D5" w:rsidRPr="00E56625" w:rsidRDefault="007E16D5" w:rsidP="00A11E63">
            <w:pPr>
              <w:jc w:val="center"/>
              <w:rPr>
                <w:sz w:val="19"/>
                <w:szCs w:val="19"/>
                <w:lang w:val="en-US"/>
              </w:rPr>
            </w:pPr>
            <w:r w:rsidRPr="00E56625">
              <w:rPr>
                <w:sz w:val="19"/>
                <w:szCs w:val="19"/>
                <w:lang w:val="en-US"/>
              </w:rPr>
              <w:t>7.8%</w:t>
            </w:r>
          </w:p>
          <w:p w:rsidR="007E16D5" w:rsidRPr="00E56625" w:rsidRDefault="007E16D5" w:rsidP="00A11E63">
            <w:pPr>
              <w:jc w:val="center"/>
              <w:rPr>
                <w:sz w:val="19"/>
                <w:szCs w:val="19"/>
                <w:lang w:val="en-US"/>
              </w:rPr>
            </w:pPr>
            <w:r w:rsidRPr="00E56625">
              <w:rPr>
                <w:sz w:val="19"/>
                <w:szCs w:val="19"/>
                <w:lang w:val="en-US"/>
              </w:rPr>
              <w:t>4.3%</w:t>
            </w:r>
          </w:p>
          <w:p w:rsidR="007E16D5" w:rsidRPr="00E56625" w:rsidRDefault="007E16D5" w:rsidP="00A11E63">
            <w:pPr>
              <w:jc w:val="center"/>
              <w:rPr>
                <w:sz w:val="19"/>
                <w:szCs w:val="19"/>
                <w:lang w:val="en-US"/>
              </w:rPr>
            </w:pPr>
            <w:r w:rsidRPr="00E56625">
              <w:rPr>
                <w:sz w:val="19"/>
                <w:szCs w:val="19"/>
                <w:lang w:val="en-US"/>
              </w:rPr>
              <w:t>1.6%</w:t>
            </w:r>
          </w:p>
          <w:p w:rsidR="007E16D5" w:rsidRPr="00E56625" w:rsidRDefault="007E16D5" w:rsidP="00A11E63">
            <w:pPr>
              <w:jc w:val="center"/>
              <w:rPr>
                <w:sz w:val="19"/>
                <w:szCs w:val="19"/>
                <w:lang w:val="en-US"/>
              </w:rPr>
            </w:pPr>
            <w:r w:rsidRPr="00E56625">
              <w:rPr>
                <w:sz w:val="19"/>
                <w:szCs w:val="19"/>
                <w:lang w:val="en-US"/>
              </w:rPr>
              <w:t>0.4%</w:t>
            </w:r>
          </w:p>
        </w:tc>
        <w:tc>
          <w:tcPr>
            <w:tcW w:w="586" w:type="pct"/>
            <w:noWrap/>
          </w:tcPr>
          <w:p w:rsidR="007E16D5" w:rsidRPr="00E56625" w:rsidRDefault="007E16D5" w:rsidP="00A11E63">
            <w:pPr>
              <w:jc w:val="center"/>
              <w:rPr>
                <w:sz w:val="19"/>
                <w:szCs w:val="19"/>
                <w:lang w:val="en-US"/>
              </w:rPr>
            </w:pPr>
            <w:r w:rsidRPr="00E56625">
              <w:rPr>
                <w:sz w:val="19"/>
                <w:szCs w:val="19"/>
                <w:lang w:val="en-US"/>
              </w:rPr>
              <w:t>70.2%</w:t>
            </w:r>
          </w:p>
          <w:p w:rsidR="007E16D5" w:rsidRPr="00E56625" w:rsidRDefault="007E16D5" w:rsidP="00A11E63">
            <w:pPr>
              <w:jc w:val="center"/>
              <w:rPr>
                <w:sz w:val="19"/>
                <w:szCs w:val="19"/>
                <w:lang w:val="en-US"/>
              </w:rPr>
            </w:pPr>
            <w:r w:rsidRPr="00E56625">
              <w:rPr>
                <w:sz w:val="19"/>
                <w:szCs w:val="19"/>
                <w:lang w:val="en-US"/>
              </w:rPr>
              <w:t>13.5%</w:t>
            </w:r>
          </w:p>
          <w:p w:rsidR="007E16D5" w:rsidRPr="00E56625" w:rsidRDefault="007E16D5" w:rsidP="00A11E63">
            <w:pPr>
              <w:jc w:val="center"/>
              <w:rPr>
                <w:sz w:val="19"/>
                <w:szCs w:val="19"/>
                <w:lang w:val="en-US"/>
              </w:rPr>
            </w:pPr>
            <w:r w:rsidRPr="00E56625">
              <w:rPr>
                <w:sz w:val="19"/>
                <w:szCs w:val="19"/>
                <w:lang w:val="en-US"/>
              </w:rPr>
              <w:t>8.8%</w:t>
            </w:r>
          </w:p>
          <w:p w:rsidR="007E16D5" w:rsidRPr="00E56625" w:rsidRDefault="007E16D5" w:rsidP="00A11E63">
            <w:pPr>
              <w:jc w:val="center"/>
              <w:rPr>
                <w:sz w:val="19"/>
                <w:szCs w:val="19"/>
                <w:lang w:val="en-US"/>
              </w:rPr>
            </w:pPr>
            <w:r w:rsidRPr="00E56625">
              <w:rPr>
                <w:sz w:val="19"/>
                <w:szCs w:val="19"/>
                <w:lang w:val="en-US"/>
              </w:rPr>
              <w:t>6.0%</w:t>
            </w:r>
          </w:p>
          <w:p w:rsidR="007E16D5" w:rsidRPr="00E56625" w:rsidRDefault="007E16D5" w:rsidP="00A11E63">
            <w:pPr>
              <w:jc w:val="center"/>
              <w:rPr>
                <w:sz w:val="19"/>
                <w:szCs w:val="19"/>
                <w:lang w:val="en-US"/>
              </w:rPr>
            </w:pPr>
            <w:r w:rsidRPr="00E56625">
              <w:rPr>
                <w:sz w:val="19"/>
                <w:szCs w:val="19"/>
                <w:lang w:val="en-US"/>
              </w:rPr>
              <w:t>1.6%</w:t>
            </w:r>
          </w:p>
        </w:tc>
        <w:tc>
          <w:tcPr>
            <w:tcW w:w="494" w:type="pct"/>
            <w:noWrap/>
          </w:tcPr>
          <w:p w:rsidR="007E16D5" w:rsidRPr="00E56625" w:rsidRDefault="007E16D5" w:rsidP="00A11E63">
            <w:pPr>
              <w:jc w:val="center"/>
              <w:rPr>
                <w:sz w:val="19"/>
                <w:szCs w:val="19"/>
                <w:lang w:val="en-US"/>
              </w:rPr>
            </w:pPr>
            <w:r w:rsidRPr="00E56625">
              <w:rPr>
                <w:sz w:val="19"/>
                <w:szCs w:val="19"/>
                <w:lang w:val="en-US"/>
              </w:rPr>
              <w:t>63.3%</w:t>
            </w:r>
          </w:p>
          <w:p w:rsidR="007E16D5" w:rsidRPr="00E56625" w:rsidRDefault="007E16D5" w:rsidP="00A11E63">
            <w:pPr>
              <w:jc w:val="center"/>
              <w:rPr>
                <w:sz w:val="19"/>
                <w:szCs w:val="19"/>
                <w:lang w:val="en-US"/>
              </w:rPr>
            </w:pPr>
            <w:r w:rsidRPr="00E56625">
              <w:rPr>
                <w:sz w:val="19"/>
                <w:szCs w:val="19"/>
                <w:lang w:val="en-US"/>
              </w:rPr>
              <w:t>14.9%</w:t>
            </w:r>
          </w:p>
          <w:p w:rsidR="007E16D5" w:rsidRPr="00E56625" w:rsidRDefault="007E16D5" w:rsidP="00A11E63">
            <w:pPr>
              <w:jc w:val="center"/>
              <w:rPr>
                <w:sz w:val="19"/>
                <w:szCs w:val="19"/>
                <w:lang w:val="en-US"/>
              </w:rPr>
            </w:pPr>
            <w:r w:rsidRPr="00E56625">
              <w:rPr>
                <w:sz w:val="19"/>
                <w:szCs w:val="19"/>
                <w:lang w:val="en-US"/>
              </w:rPr>
              <w:t>11.6%</w:t>
            </w:r>
          </w:p>
          <w:p w:rsidR="007E16D5" w:rsidRPr="00E56625" w:rsidRDefault="007E16D5" w:rsidP="00A11E63">
            <w:pPr>
              <w:jc w:val="center"/>
              <w:rPr>
                <w:sz w:val="19"/>
                <w:szCs w:val="19"/>
                <w:lang w:val="en-US"/>
              </w:rPr>
            </w:pPr>
            <w:r w:rsidRPr="00E56625">
              <w:rPr>
                <w:sz w:val="19"/>
                <w:szCs w:val="19"/>
                <w:lang w:val="en-US"/>
              </w:rPr>
              <w:t>8.1%</w:t>
            </w:r>
          </w:p>
          <w:p w:rsidR="007E16D5" w:rsidRPr="00E56625" w:rsidRDefault="007E16D5" w:rsidP="00A11E63">
            <w:pPr>
              <w:jc w:val="center"/>
              <w:rPr>
                <w:sz w:val="19"/>
                <w:szCs w:val="19"/>
                <w:lang w:val="en-US"/>
              </w:rPr>
            </w:pPr>
            <w:r w:rsidRPr="00E56625">
              <w:rPr>
                <w:sz w:val="19"/>
                <w:szCs w:val="19"/>
                <w:lang w:val="en-US"/>
              </w:rPr>
              <w:t>2.1%</w:t>
            </w:r>
          </w:p>
        </w:tc>
        <w:tc>
          <w:tcPr>
            <w:tcW w:w="494" w:type="pct"/>
            <w:noWrap/>
          </w:tcPr>
          <w:p w:rsidR="007E16D5" w:rsidRPr="00E56625" w:rsidRDefault="007E16D5" w:rsidP="00A11E63">
            <w:pPr>
              <w:jc w:val="center"/>
              <w:rPr>
                <w:sz w:val="19"/>
                <w:szCs w:val="19"/>
                <w:lang w:val="en-US"/>
              </w:rPr>
            </w:pPr>
            <w:r w:rsidRPr="00E56625">
              <w:rPr>
                <w:sz w:val="19"/>
                <w:szCs w:val="19"/>
                <w:lang w:val="en-US"/>
              </w:rPr>
              <w:t>49.1%</w:t>
            </w:r>
          </w:p>
          <w:p w:rsidR="007E16D5" w:rsidRPr="00E56625" w:rsidRDefault="007E16D5" w:rsidP="00A11E63">
            <w:pPr>
              <w:jc w:val="center"/>
              <w:rPr>
                <w:sz w:val="19"/>
                <w:szCs w:val="19"/>
                <w:lang w:val="en-US"/>
              </w:rPr>
            </w:pPr>
            <w:r w:rsidRPr="00E56625">
              <w:rPr>
                <w:sz w:val="19"/>
                <w:szCs w:val="19"/>
                <w:lang w:val="en-US"/>
              </w:rPr>
              <w:t>17.0%</w:t>
            </w:r>
          </w:p>
          <w:p w:rsidR="007E16D5" w:rsidRPr="00E56625" w:rsidRDefault="007E16D5" w:rsidP="00A11E63">
            <w:pPr>
              <w:jc w:val="center"/>
              <w:rPr>
                <w:sz w:val="19"/>
                <w:szCs w:val="19"/>
                <w:lang w:val="en-US"/>
              </w:rPr>
            </w:pPr>
            <w:r w:rsidRPr="00E56625">
              <w:rPr>
                <w:sz w:val="19"/>
                <w:szCs w:val="19"/>
                <w:lang w:val="en-US"/>
              </w:rPr>
              <w:t>15.1%</w:t>
            </w:r>
          </w:p>
          <w:p w:rsidR="007E16D5" w:rsidRPr="00E56625" w:rsidRDefault="007E16D5" w:rsidP="00A11E63">
            <w:pPr>
              <w:jc w:val="center"/>
              <w:rPr>
                <w:sz w:val="19"/>
                <w:szCs w:val="19"/>
                <w:lang w:val="en-US"/>
              </w:rPr>
            </w:pPr>
            <w:r w:rsidRPr="00E56625">
              <w:rPr>
                <w:sz w:val="19"/>
                <w:szCs w:val="19"/>
                <w:lang w:val="en-US"/>
              </w:rPr>
              <w:t>15.5%</w:t>
            </w:r>
          </w:p>
          <w:p w:rsidR="007E16D5" w:rsidRPr="00E56625" w:rsidRDefault="007E16D5" w:rsidP="00A11E63">
            <w:pPr>
              <w:jc w:val="center"/>
              <w:rPr>
                <w:sz w:val="19"/>
                <w:szCs w:val="19"/>
                <w:lang w:val="en-US"/>
              </w:rPr>
            </w:pPr>
            <w:r w:rsidRPr="00E56625">
              <w:rPr>
                <w:sz w:val="19"/>
                <w:szCs w:val="19"/>
                <w:lang w:val="en-US"/>
              </w:rPr>
              <w:t>3.4%</w:t>
            </w:r>
          </w:p>
        </w:tc>
        <w:tc>
          <w:tcPr>
            <w:tcW w:w="316" w:type="pct"/>
            <w:noWrap/>
          </w:tcPr>
          <w:p w:rsidR="007E16D5" w:rsidRPr="00E56625" w:rsidRDefault="007E16D5" w:rsidP="00A11E63">
            <w:pPr>
              <w:jc w:val="center"/>
              <w:rPr>
                <w:sz w:val="19"/>
                <w:szCs w:val="19"/>
                <w:lang w:val="en-US"/>
              </w:rPr>
            </w:pPr>
            <w:r w:rsidRPr="00E56625">
              <w:rPr>
                <w:sz w:val="19"/>
                <w:szCs w:val="19"/>
                <w:lang w:val="en-US"/>
              </w:rPr>
              <w:t>44.8%</w:t>
            </w:r>
          </w:p>
          <w:p w:rsidR="007E16D5" w:rsidRPr="00E56625" w:rsidRDefault="007E16D5" w:rsidP="00A11E63">
            <w:pPr>
              <w:jc w:val="center"/>
              <w:rPr>
                <w:sz w:val="19"/>
                <w:szCs w:val="19"/>
                <w:lang w:val="en-US"/>
              </w:rPr>
            </w:pPr>
            <w:r w:rsidRPr="00E56625">
              <w:rPr>
                <w:sz w:val="19"/>
                <w:szCs w:val="19"/>
                <w:lang w:val="en-US"/>
              </w:rPr>
              <w:t>20.8%</w:t>
            </w:r>
          </w:p>
          <w:p w:rsidR="007E16D5" w:rsidRPr="00E56625" w:rsidRDefault="007E16D5" w:rsidP="00A11E63">
            <w:pPr>
              <w:jc w:val="center"/>
              <w:rPr>
                <w:sz w:val="19"/>
                <w:szCs w:val="19"/>
                <w:lang w:val="en-US"/>
              </w:rPr>
            </w:pPr>
            <w:r w:rsidRPr="00E56625">
              <w:rPr>
                <w:sz w:val="19"/>
                <w:szCs w:val="19"/>
                <w:lang w:val="en-US"/>
              </w:rPr>
              <w:t>16.0%</w:t>
            </w:r>
          </w:p>
          <w:p w:rsidR="007E16D5" w:rsidRPr="00E56625" w:rsidRDefault="007E16D5" w:rsidP="00A11E63">
            <w:pPr>
              <w:jc w:val="center"/>
              <w:rPr>
                <w:sz w:val="19"/>
                <w:szCs w:val="19"/>
                <w:lang w:val="en-US"/>
              </w:rPr>
            </w:pPr>
            <w:r w:rsidRPr="00E56625">
              <w:rPr>
                <w:sz w:val="19"/>
                <w:szCs w:val="19"/>
                <w:lang w:val="en-US"/>
              </w:rPr>
              <w:t>15.6%</w:t>
            </w:r>
          </w:p>
          <w:p w:rsidR="007E16D5" w:rsidRPr="00E56625" w:rsidRDefault="007E16D5" w:rsidP="00A11E63">
            <w:pPr>
              <w:jc w:val="center"/>
              <w:rPr>
                <w:sz w:val="19"/>
                <w:szCs w:val="19"/>
                <w:lang w:val="en-US"/>
              </w:rPr>
            </w:pPr>
            <w:r w:rsidRPr="00E56625">
              <w:rPr>
                <w:sz w:val="19"/>
                <w:szCs w:val="19"/>
                <w:lang w:val="en-US"/>
              </w:rPr>
              <w:t>2.8%</w:t>
            </w:r>
          </w:p>
        </w:tc>
        <w:tc>
          <w:tcPr>
            <w:tcW w:w="361" w:type="pct"/>
            <w:gridSpan w:val="2"/>
            <w:noWrap/>
          </w:tcPr>
          <w:p w:rsidR="007E16D5" w:rsidRPr="00E56625" w:rsidRDefault="007E16D5" w:rsidP="00A11E63">
            <w:pPr>
              <w:jc w:val="center"/>
              <w:rPr>
                <w:sz w:val="19"/>
                <w:szCs w:val="19"/>
                <w:lang w:val="en-US"/>
              </w:rPr>
            </w:pPr>
            <w:r w:rsidRPr="00E56625">
              <w:rPr>
                <w:sz w:val="19"/>
                <w:szCs w:val="19"/>
                <w:lang w:val="en-US"/>
              </w:rPr>
              <w:t>42.1%</w:t>
            </w:r>
          </w:p>
          <w:p w:rsidR="007E16D5" w:rsidRPr="00E56625" w:rsidRDefault="007E16D5" w:rsidP="00A11E63">
            <w:pPr>
              <w:jc w:val="center"/>
              <w:rPr>
                <w:sz w:val="19"/>
                <w:szCs w:val="19"/>
                <w:lang w:val="en-US"/>
              </w:rPr>
            </w:pPr>
            <w:r w:rsidRPr="00E56625">
              <w:rPr>
                <w:sz w:val="19"/>
                <w:szCs w:val="19"/>
                <w:lang w:val="en-US"/>
              </w:rPr>
              <w:t>18.9%</w:t>
            </w:r>
          </w:p>
          <w:p w:rsidR="007E16D5" w:rsidRPr="00E56625" w:rsidRDefault="007E16D5" w:rsidP="00A11E63">
            <w:pPr>
              <w:jc w:val="center"/>
              <w:rPr>
                <w:sz w:val="19"/>
                <w:szCs w:val="19"/>
                <w:lang w:val="en-US"/>
              </w:rPr>
            </w:pPr>
            <w:r w:rsidRPr="00E56625">
              <w:rPr>
                <w:sz w:val="19"/>
                <w:szCs w:val="19"/>
                <w:lang w:val="en-US"/>
              </w:rPr>
              <w:t>15.9%</w:t>
            </w:r>
          </w:p>
          <w:p w:rsidR="007E16D5" w:rsidRPr="00E56625" w:rsidRDefault="007E16D5" w:rsidP="00A11E63">
            <w:pPr>
              <w:jc w:val="center"/>
              <w:rPr>
                <w:sz w:val="19"/>
                <w:szCs w:val="19"/>
                <w:lang w:val="en-US"/>
              </w:rPr>
            </w:pPr>
            <w:r w:rsidRPr="00E56625">
              <w:rPr>
                <w:sz w:val="19"/>
                <w:szCs w:val="19"/>
                <w:lang w:val="en-US"/>
              </w:rPr>
              <w:t>19.5%</w:t>
            </w:r>
          </w:p>
          <w:p w:rsidR="007E16D5" w:rsidRPr="00E56625" w:rsidRDefault="007E16D5" w:rsidP="00A11E63">
            <w:pPr>
              <w:jc w:val="center"/>
              <w:rPr>
                <w:sz w:val="19"/>
                <w:szCs w:val="19"/>
                <w:lang w:val="en-US"/>
              </w:rPr>
            </w:pPr>
            <w:r w:rsidRPr="00E56625">
              <w:rPr>
                <w:sz w:val="19"/>
                <w:szCs w:val="19"/>
                <w:lang w:val="en-US"/>
              </w:rPr>
              <w:t>3.7%</w:t>
            </w:r>
          </w:p>
        </w:tc>
        <w:tc>
          <w:tcPr>
            <w:tcW w:w="371" w:type="pct"/>
            <w:gridSpan w:val="2"/>
            <w:noWrap/>
          </w:tcPr>
          <w:p w:rsidR="007E16D5" w:rsidRPr="00E56625" w:rsidRDefault="007E16D5" w:rsidP="00A11E63">
            <w:pPr>
              <w:jc w:val="center"/>
              <w:rPr>
                <w:sz w:val="19"/>
                <w:szCs w:val="19"/>
                <w:lang w:val="en-US"/>
              </w:rPr>
            </w:pPr>
            <w:r w:rsidRPr="00E56625">
              <w:rPr>
                <w:sz w:val="19"/>
                <w:szCs w:val="19"/>
                <w:lang w:val="en-US"/>
              </w:rPr>
              <w:t>39.3%</w:t>
            </w:r>
          </w:p>
          <w:p w:rsidR="007E16D5" w:rsidRPr="00E56625" w:rsidRDefault="007E16D5" w:rsidP="00A11E63">
            <w:pPr>
              <w:jc w:val="center"/>
              <w:rPr>
                <w:sz w:val="19"/>
                <w:szCs w:val="19"/>
                <w:lang w:val="en-US"/>
              </w:rPr>
            </w:pPr>
            <w:r w:rsidRPr="00E56625">
              <w:rPr>
                <w:sz w:val="19"/>
                <w:szCs w:val="19"/>
                <w:lang w:val="en-US"/>
              </w:rPr>
              <w:t>19.0%</w:t>
            </w:r>
          </w:p>
          <w:p w:rsidR="007E16D5" w:rsidRPr="00E56625" w:rsidRDefault="007E16D5" w:rsidP="00A11E63">
            <w:pPr>
              <w:jc w:val="center"/>
              <w:rPr>
                <w:sz w:val="19"/>
                <w:szCs w:val="19"/>
                <w:lang w:val="en-US"/>
              </w:rPr>
            </w:pPr>
            <w:r w:rsidRPr="00E56625">
              <w:rPr>
                <w:sz w:val="19"/>
                <w:szCs w:val="19"/>
                <w:lang w:val="en-US"/>
              </w:rPr>
              <w:t>19.3%</w:t>
            </w:r>
          </w:p>
          <w:p w:rsidR="007E16D5" w:rsidRPr="00E56625" w:rsidRDefault="007E16D5" w:rsidP="00A11E63">
            <w:pPr>
              <w:jc w:val="center"/>
              <w:rPr>
                <w:sz w:val="19"/>
                <w:szCs w:val="19"/>
                <w:lang w:val="en-US"/>
              </w:rPr>
            </w:pPr>
            <w:r w:rsidRPr="00E56625">
              <w:rPr>
                <w:sz w:val="19"/>
                <w:szCs w:val="19"/>
                <w:lang w:val="en-US"/>
              </w:rPr>
              <w:t>18.7%</w:t>
            </w:r>
          </w:p>
          <w:p w:rsidR="007E16D5" w:rsidRPr="00E56625" w:rsidRDefault="007E16D5" w:rsidP="00A11E63">
            <w:pPr>
              <w:jc w:val="center"/>
              <w:rPr>
                <w:sz w:val="19"/>
                <w:szCs w:val="19"/>
                <w:lang w:val="en-US"/>
              </w:rPr>
            </w:pPr>
            <w:r w:rsidRPr="00E56625">
              <w:rPr>
                <w:sz w:val="19"/>
                <w:szCs w:val="19"/>
                <w:lang w:val="en-US"/>
              </w:rPr>
              <w:t>3.8%</w:t>
            </w:r>
          </w:p>
        </w:tc>
        <w:tc>
          <w:tcPr>
            <w:tcW w:w="408" w:type="pct"/>
            <w:noWrap/>
          </w:tcPr>
          <w:p w:rsidR="007E16D5" w:rsidRPr="00E56625" w:rsidRDefault="007E16D5" w:rsidP="00A11E63">
            <w:pPr>
              <w:jc w:val="center"/>
              <w:rPr>
                <w:sz w:val="19"/>
                <w:szCs w:val="19"/>
                <w:lang w:val="en-US"/>
              </w:rPr>
            </w:pPr>
            <w:r w:rsidRPr="00E56625">
              <w:rPr>
                <w:sz w:val="19"/>
                <w:szCs w:val="19"/>
                <w:lang w:val="en-US"/>
              </w:rPr>
              <w:t>38.7%</w:t>
            </w:r>
          </w:p>
          <w:p w:rsidR="007E16D5" w:rsidRPr="00E56625" w:rsidRDefault="007E16D5" w:rsidP="00A11E63">
            <w:pPr>
              <w:jc w:val="center"/>
              <w:rPr>
                <w:sz w:val="19"/>
                <w:szCs w:val="19"/>
                <w:lang w:val="en-US"/>
              </w:rPr>
            </w:pPr>
            <w:r w:rsidRPr="00E56625">
              <w:rPr>
                <w:sz w:val="19"/>
                <w:szCs w:val="19"/>
                <w:lang w:val="en-US"/>
              </w:rPr>
              <w:t>16.6%</w:t>
            </w:r>
          </w:p>
          <w:p w:rsidR="007E16D5" w:rsidRPr="00E56625" w:rsidRDefault="007E16D5" w:rsidP="00A11E63">
            <w:pPr>
              <w:jc w:val="center"/>
              <w:rPr>
                <w:sz w:val="19"/>
                <w:szCs w:val="19"/>
                <w:lang w:val="en-US"/>
              </w:rPr>
            </w:pPr>
            <w:r w:rsidRPr="00E56625">
              <w:rPr>
                <w:sz w:val="19"/>
                <w:szCs w:val="19"/>
                <w:lang w:val="en-US"/>
              </w:rPr>
              <w:t>15.9%</w:t>
            </w:r>
          </w:p>
          <w:p w:rsidR="007E16D5" w:rsidRPr="00E56625" w:rsidRDefault="007E16D5" w:rsidP="00A11E63">
            <w:pPr>
              <w:jc w:val="center"/>
              <w:rPr>
                <w:sz w:val="19"/>
                <w:szCs w:val="19"/>
                <w:lang w:val="en-US"/>
              </w:rPr>
            </w:pPr>
            <w:r w:rsidRPr="00E56625">
              <w:rPr>
                <w:sz w:val="19"/>
                <w:szCs w:val="19"/>
                <w:lang w:val="en-US"/>
              </w:rPr>
              <w:t>18.5%</w:t>
            </w:r>
          </w:p>
          <w:p w:rsidR="007E16D5" w:rsidRPr="00E56625" w:rsidRDefault="007E16D5" w:rsidP="00A11E63">
            <w:pPr>
              <w:jc w:val="center"/>
              <w:rPr>
                <w:sz w:val="19"/>
                <w:szCs w:val="19"/>
                <w:lang w:val="en-US"/>
              </w:rPr>
            </w:pPr>
            <w:r w:rsidRPr="00E56625">
              <w:rPr>
                <w:sz w:val="19"/>
                <w:szCs w:val="19"/>
                <w:lang w:val="en-US"/>
              </w:rPr>
              <w:t>10.3%</w:t>
            </w:r>
          </w:p>
        </w:tc>
      </w:tr>
      <w:tr w:rsidR="007E16D5" w:rsidRPr="008F3531" w:rsidTr="007E16D5">
        <w:trPr>
          <w:trHeight w:val="170"/>
        </w:trPr>
        <w:tc>
          <w:tcPr>
            <w:tcW w:w="1479" w:type="pct"/>
            <w:noWrap/>
            <w:hideMark/>
          </w:tcPr>
          <w:p w:rsidR="007E16D5" w:rsidRPr="00E56625" w:rsidRDefault="007E16D5" w:rsidP="00A11E63">
            <w:pPr>
              <w:rPr>
                <w:b/>
                <w:bCs/>
                <w:sz w:val="19"/>
                <w:szCs w:val="19"/>
                <w:lang w:val="en-US"/>
              </w:rPr>
            </w:pPr>
            <w:r w:rsidRPr="00E56625">
              <w:rPr>
                <w:b/>
                <w:bCs/>
                <w:sz w:val="19"/>
                <w:szCs w:val="19"/>
                <w:lang w:val="en-US"/>
              </w:rPr>
              <w:t>Labor-market participation (ages 15-64)</w:t>
            </w:r>
          </w:p>
        </w:tc>
        <w:tc>
          <w:tcPr>
            <w:tcW w:w="491" w:type="pct"/>
            <w:noWrap/>
            <w:hideMark/>
          </w:tcPr>
          <w:p w:rsidR="007E16D5" w:rsidRPr="00E56625" w:rsidRDefault="007E16D5" w:rsidP="00A11E63">
            <w:pPr>
              <w:jc w:val="center"/>
              <w:rPr>
                <w:sz w:val="19"/>
                <w:szCs w:val="19"/>
                <w:lang w:val="en-US"/>
              </w:rPr>
            </w:pPr>
          </w:p>
        </w:tc>
        <w:tc>
          <w:tcPr>
            <w:tcW w:w="586" w:type="pct"/>
            <w:noWrap/>
            <w:hideMark/>
          </w:tcPr>
          <w:p w:rsidR="007E16D5" w:rsidRPr="00E56625" w:rsidRDefault="007E16D5" w:rsidP="00A11E63">
            <w:pPr>
              <w:jc w:val="center"/>
              <w:rPr>
                <w:sz w:val="19"/>
                <w:szCs w:val="19"/>
                <w:lang w:val="en-US"/>
              </w:rPr>
            </w:pPr>
          </w:p>
        </w:tc>
        <w:tc>
          <w:tcPr>
            <w:tcW w:w="494" w:type="pct"/>
            <w:noWrap/>
            <w:hideMark/>
          </w:tcPr>
          <w:p w:rsidR="007E16D5" w:rsidRPr="00E56625" w:rsidRDefault="007E16D5" w:rsidP="00A11E63">
            <w:pPr>
              <w:jc w:val="center"/>
              <w:rPr>
                <w:sz w:val="19"/>
                <w:szCs w:val="19"/>
                <w:lang w:val="en-US"/>
              </w:rPr>
            </w:pPr>
          </w:p>
        </w:tc>
        <w:tc>
          <w:tcPr>
            <w:tcW w:w="494" w:type="pct"/>
            <w:noWrap/>
            <w:hideMark/>
          </w:tcPr>
          <w:p w:rsidR="007E16D5" w:rsidRPr="00E56625" w:rsidRDefault="007E16D5" w:rsidP="00A11E63">
            <w:pPr>
              <w:jc w:val="center"/>
              <w:rPr>
                <w:sz w:val="19"/>
                <w:szCs w:val="19"/>
                <w:lang w:val="en-US"/>
              </w:rPr>
            </w:pPr>
          </w:p>
        </w:tc>
        <w:tc>
          <w:tcPr>
            <w:tcW w:w="316" w:type="pct"/>
            <w:noWrap/>
            <w:hideMark/>
          </w:tcPr>
          <w:p w:rsidR="007E16D5" w:rsidRPr="00E56625" w:rsidRDefault="007E16D5" w:rsidP="00A11E63">
            <w:pPr>
              <w:jc w:val="center"/>
              <w:rPr>
                <w:sz w:val="19"/>
                <w:szCs w:val="19"/>
                <w:lang w:val="en-US"/>
              </w:rPr>
            </w:pPr>
          </w:p>
        </w:tc>
        <w:tc>
          <w:tcPr>
            <w:tcW w:w="361" w:type="pct"/>
            <w:gridSpan w:val="2"/>
            <w:noWrap/>
            <w:hideMark/>
          </w:tcPr>
          <w:p w:rsidR="007E16D5" w:rsidRPr="00E56625" w:rsidRDefault="007E16D5" w:rsidP="00A11E63">
            <w:pPr>
              <w:jc w:val="center"/>
              <w:rPr>
                <w:sz w:val="19"/>
                <w:szCs w:val="19"/>
                <w:lang w:val="en-US"/>
              </w:rPr>
            </w:pPr>
          </w:p>
        </w:tc>
        <w:tc>
          <w:tcPr>
            <w:tcW w:w="371" w:type="pct"/>
            <w:gridSpan w:val="2"/>
            <w:noWrap/>
            <w:hideMark/>
          </w:tcPr>
          <w:p w:rsidR="007E16D5" w:rsidRPr="00E56625" w:rsidRDefault="007E16D5" w:rsidP="00A11E63">
            <w:pPr>
              <w:jc w:val="center"/>
              <w:rPr>
                <w:sz w:val="19"/>
                <w:szCs w:val="19"/>
                <w:lang w:val="en-US"/>
              </w:rPr>
            </w:pPr>
          </w:p>
        </w:tc>
        <w:tc>
          <w:tcPr>
            <w:tcW w:w="408" w:type="pct"/>
            <w:noWrap/>
            <w:hideMark/>
          </w:tcPr>
          <w:p w:rsidR="007E16D5" w:rsidRPr="00E56625" w:rsidRDefault="007E16D5" w:rsidP="00A11E63">
            <w:pPr>
              <w:jc w:val="center"/>
              <w:rPr>
                <w:sz w:val="19"/>
                <w:szCs w:val="19"/>
                <w:lang w:val="en-US"/>
              </w:rPr>
            </w:pPr>
          </w:p>
        </w:tc>
      </w:tr>
      <w:tr w:rsidR="007E16D5" w:rsidRPr="008F3531" w:rsidTr="007E16D5">
        <w:trPr>
          <w:trHeight w:val="710"/>
        </w:trPr>
        <w:tc>
          <w:tcPr>
            <w:tcW w:w="1479" w:type="pct"/>
            <w:noWrap/>
            <w:hideMark/>
          </w:tcPr>
          <w:p w:rsidR="007E16D5" w:rsidRPr="00E56625" w:rsidRDefault="007E16D5" w:rsidP="00A11E63">
            <w:pPr>
              <w:rPr>
                <w:sz w:val="19"/>
                <w:szCs w:val="19"/>
                <w:lang w:val="en-US"/>
              </w:rPr>
            </w:pPr>
            <w:r w:rsidRPr="00E56625">
              <w:rPr>
                <w:sz w:val="19"/>
                <w:szCs w:val="19"/>
                <w:lang w:val="en-US"/>
              </w:rPr>
              <w:t xml:space="preserve">  Share of population in labor force</w:t>
            </w:r>
          </w:p>
          <w:p w:rsidR="007E16D5" w:rsidRPr="00E56625" w:rsidRDefault="007E16D5" w:rsidP="00A11E63">
            <w:pPr>
              <w:rPr>
                <w:sz w:val="19"/>
                <w:szCs w:val="19"/>
                <w:lang w:val="en-US"/>
              </w:rPr>
            </w:pPr>
            <w:r w:rsidRPr="00E56625">
              <w:rPr>
                <w:sz w:val="19"/>
                <w:szCs w:val="19"/>
                <w:lang w:val="en-US"/>
              </w:rPr>
              <w:t xml:space="preserve">  Share of population working</w:t>
            </w:r>
          </w:p>
          <w:p w:rsidR="007E16D5" w:rsidRPr="00E56625" w:rsidRDefault="007E16D5" w:rsidP="00A11E63">
            <w:pPr>
              <w:rPr>
                <w:sz w:val="19"/>
                <w:szCs w:val="19"/>
                <w:lang w:val="en-US"/>
              </w:rPr>
            </w:pPr>
            <w:r w:rsidRPr="00E56625">
              <w:rPr>
                <w:sz w:val="19"/>
                <w:szCs w:val="19"/>
                <w:lang w:val="en-US"/>
              </w:rPr>
              <w:t xml:space="preserve">  Student share of population</w:t>
            </w:r>
          </w:p>
        </w:tc>
        <w:tc>
          <w:tcPr>
            <w:tcW w:w="491" w:type="pct"/>
            <w:noWrap/>
          </w:tcPr>
          <w:p w:rsidR="007E16D5" w:rsidRPr="00E56625" w:rsidRDefault="007E16D5" w:rsidP="00A11E63">
            <w:pPr>
              <w:jc w:val="center"/>
              <w:rPr>
                <w:sz w:val="19"/>
                <w:szCs w:val="19"/>
                <w:lang w:val="en-US"/>
              </w:rPr>
            </w:pPr>
            <w:r w:rsidRPr="00E56625">
              <w:rPr>
                <w:sz w:val="19"/>
                <w:szCs w:val="19"/>
                <w:lang w:val="en-US"/>
              </w:rPr>
              <w:t>63.5%</w:t>
            </w:r>
          </w:p>
          <w:p w:rsidR="007E16D5" w:rsidRPr="00E56625" w:rsidRDefault="007E16D5" w:rsidP="00A11E63">
            <w:pPr>
              <w:jc w:val="center"/>
              <w:rPr>
                <w:sz w:val="19"/>
                <w:szCs w:val="19"/>
                <w:lang w:val="en-US"/>
              </w:rPr>
            </w:pPr>
            <w:r w:rsidRPr="00E56625">
              <w:rPr>
                <w:sz w:val="19"/>
                <w:szCs w:val="19"/>
                <w:lang w:val="en-US"/>
              </w:rPr>
              <w:t>63.1%</w:t>
            </w:r>
          </w:p>
          <w:p w:rsidR="007E16D5" w:rsidRPr="00E56625" w:rsidRDefault="007E16D5" w:rsidP="00A11E63">
            <w:pPr>
              <w:jc w:val="center"/>
              <w:rPr>
                <w:sz w:val="19"/>
                <w:szCs w:val="19"/>
                <w:lang w:val="en-US"/>
              </w:rPr>
            </w:pPr>
            <w:r w:rsidRPr="00E56625">
              <w:rPr>
                <w:sz w:val="19"/>
                <w:szCs w:val="19"/>
                <w:lang w:val="en-US"/>
              </w:rPr>
              <w:t>3.6%</w:t>
            </w:r>
          </w:p>
        </w:tc>
        <w:tc>
          <w:tcPr>
            <w:tcW w:w="586" w:type="pct"/>
            <w:noWrap/>
          </w:tcPr>
          <w:p w:rsidR="007E16D5" w:rsidRPr="00E56625" w:rsidRDefault="007E16D5" w:rsidP="00A11E63">
            <w:pPr>
              <w:jc w:val="center"/>
              <w:rPr>
                <w:sz w:val="19"/>
                <w:szCs w:val="19"/>
                <w:lang w:val="en-US"/>
              </w:rPr>
            </w:pPr>
            <w:r w:rsidRPr="00E56625">
              <w:rPr>
                <w:sz w:val="19"/>
                <w:szCs w:val="19"/>
                <w:lang w:val="en-US"/>
              </w:rPr>
              <w:t>56.1%</w:t>
            </w:r>
          </w:p>
          <w:p w:rsidR="007E16D5" w:rsidRPr="00E56625" w:rsidRDefault="007E16D5" w:rsidP="00A11E63">
            <w:pPr>
              <w:jc w:val="center"/>
              <w:rPr>
                <w:sz w:val="19"/>
                <w:szCs w:val="19"/>
                <w:lang w:val="en-US"/>
              </w:rPr>
            </w:pPr>
            <w:r w:rsidRPr="00E56625">
              <w:rPr>
                <w:sz w:val="19"/>
                <w:szCs w:val="19"/>
                <w:lang w:val="en-US"/>
              </w:rPr>
              <w:t>55.3%</w:t>
            </w:r>
          </w:p>
          <w:p w:rsidR="007E16D5" w:rsidRPr="00E56625" w:rsidRDefault="007E16D5" w:rsidP="00A11E63">
            <w:pPr>
              <w:jc w:val="center"/>
              <w:rPr>
                <w:sz w:val="19"/>
                <w:szCs w:val="19"/>
                <w:lang w:val="en-US"/>
              </w:rPr>
            </w:pPr>
            <w:r w:rsidRPr="00E56625">
              <w:rPr>
                <w:sz w:val="19"/>
                <w:szCs w:val="19"/>
                <w:lang w:val="en-US"/>
              </w:rPr>
              <w:t>8.8%</w:t>
            </w:r>
          </w:p>
        </w:tc>
        <w:tc>
          <w:tcPr>
            <w:tcW w:w="494" w:type="pct"/>
            <w:noWrap/>
          </w:tcPr>
          <w:p w:rsidR="007E16D5" w:rsidRPr="00E56625" w:rsidRDefault="007E16D5" w:rsidP="00A11E63">
            <w:pPr>
              <w:jc w:val="center"/>
              <w:rPr>
                <w:sz w:val="19"/>
                <w:szCs w:val="19"/>
                <w:lang w:val="en-US"/>
              </w:rPr>
            </w:pPr>
            <w:r w:rsidRPr="00E56625">
              <w:rPr>
                <w:sz w:val="19"/>
                <w:szCs w:val="19"/>
                <w:lang w:val="en-US"/>
              </w:rPr>
              <w:t>53.0%</w:t>
            </w:r>
          </w:p>
          <w:p w:rsidR="007E16D5" w:rsidRPr="00E56625" w:rsidRDefault="007E16D5" w:rsidP="00A11E63">
            <w:pPr>
              <w:jc w:val="center"/>
              <w:rPr>
                <w:sz w:val="19"/>
                <w:szCs w:val="19"/>
                <w:lang w:val="en-US"/>
              </w:rPr>
            </w:pPr>
            <w:r w:rsidRPr="00E56625">
              <w:rPr>
                <w:sz w:val="19"/>
                <w:szCs w:val="19"/>
                <w:lang w:val="en-US"/>
              </w:rPr>
              <w:t>52.2%</w:t>
            </w:r>
          </w:p>
          <w:p w:rsidR="007E16D5" w:rsidRPr="00E56625" w:rsidRDefault="007E16D5" w:rsidP="00A11E63">
            <w:pPr>
              <w:jc w:val="center"/>
              <w:rPr>
                <w:sz w:val="19"/>
                <w:szCs w:val="19"/>
                <w:lang w:val="en-US"/>
              </w:rPr>
            </w:pPr>
            <w:r w:rsidRPr="00E56625">
              <w:rPr>
                <w:sz w:val="19"/>
                <w:szCs w:val="19"/>
                <w:lang w:val="en-US"/>
              </w:rPr>
              <w:t>11.4%</w:t>
            </w:r>
          </w:p>
        </w:tc>
        <w:tc>
          <w:tcPr>
            <w:tcW w:w="494" w:type="pct"/>
            <w:noWrap/>
          </w:tcPr>
          <w:p w:rsidR="007E16D5" w:rsidRPr="00E56625" w:rsidRDefault="007E16D5" w:rsidP="00A11E63">
            <w:pPr>
              <w:jc w:val="center"/>
              <w:rPr>
                <w:sz w:val="19"/>
                <w:szCs w:val="19"/>
                <w:lang w:val="en-US"/>
              </w:rPr>
            </w:pPr>
            <w:r w:rsidRPr="00E56625">
              <w:rPr>
                <w:sz w:val="19"/>
                <w:szCs w:val="19"/>
                <w:lang w:val="en-US"/>
              </w:rPr>
              <w:t>50.9%</w:t>
            </w:r>
          </w:p>
          <w:p w:rsidR="007E16D5" w:rsidRPr="00E56625" w:rsidRDefault="007E16D5" w:rsidP="00A11E63">
            <w:pPr>
              <w:jc w:val="center"/>
              <w:rPr>
                <w:sz w:val="19"/>
                <w:szCs w:val="19"/>
                <w:lang w:val="en-US"/>
              </w:rPr>
            </w:pPr>
            <w:r w:rsidRPr="00E56625">
              <w:rPr>
                <w:sz w:val="19"/>
                <w:szCs w:val="19"/>
                <w:lang w:val="en-US"/>
              </w:rPr>
              <w:t>49.4%</w:t>
            </w:r>
          </w:p>
          <w:p w:rsidR="007E16D5" w:rsidRPr="00E56625" w:rsidRDefault="007E16D5" w:rsidP="00A11E63">
            <w:pPr>
              <w:jc w:val="center"/>
              <w:rPr>
                <w:sz w:val="19"/>
                <w:szCs w:val="19"/>
                <w:lang w:val="en-US"/>
              </w:rPr>
            </w:pPr>
            <w:r w:rsidRPr="00E56625">
              <w:rPr>
                <w:sz w:val="19"/>
                <w:szCs w:val="19"/>
                <w:lang w:val="en-US"/>
              </w:rPr>
              <w:t>18.0%</w:t>
            </w:r>
          </w:p>
        </w:tc>
        <w:tc>
          <w:tcPr>
            <w:tcW w:w="316" w:type="pct"/>
            <w:noWrap/>
          </w:tcPr>
          <w:p w:rsidR="007E16D5" w:rsidRPr="00E56625" w:rsidRDefault="007E16D5" w:rsidP="00A11E63">
            <w:pPr>
              <w:jc w:val="center"/>
              <w:rPr>
                <w:sz w:val="19"/>
                <w:szCs w:val="19"/>
                <w:lang w:val="en-US"/>
              </w:rPr>
            </w:pPr>
            <w:r w:rsidRPr="00E56625">
              <w:rPr>
                <w:sz w:val="19"/>
                <w:szCs w:val="19"/>
                <w:lang w:val="en-US"/>
              </w:rPr>
              <w:t>53.4%</w:t>
            </w:r>
          </w:p>
          <w:p w:rsidR="007E16D5" w:rsidRPr="00E56625" w:rsidRDefault="007E16D5" w:rsidP="00A11E63">
            <w:pPr>
              <w:jc w:val="center"/>
              <w:rPr>
                <w:sz w:val="19"/>
                <w:szCs w:val="19"/>
                <w:lang w:val="en-US"/>
              </w:rPr>
            </w:pPr>
            <w:r w:rsidRPr="00E56625">
              <w:rPr>
                <w:sz w:val="19"/>
                <w:szCs w:val="19"/>
                <w:lang w:val="en-US"/>
              </w:rPr>
              <w:t>51.5%</w:t>
            </w:r>
          </w:p>
          <w:p w:rsidR="007E16D5" w:rsidRPr="00E56625" w:rsidRDefault="007E16D5" w:rsidP="00A11E63">
            <w:pPr>
              <w:jc w:val="center"/>
              <w:rPr>
                <w:sz w:val="19"/>
                <w:szCs w:val="19"/>
                <w:lang w:val="en-US"/>
              </w:rPr>
            </w:pPr>
            <w:r w:rsidRPr="00E56625">
              <w:rPr>
                <w:sz w:val="19"/>
                <w:szCs w:val="19"/>
                <w:lang w:val="en-US"/>
              </w:rPr>
              <w:t>14.9%</w:t>
            </w:r>
          </w:p>
        </w:tc>
        <w:tc>
          <w:tcPr>
            <w:tcW w:w="361" w:type="pct"/>
            <w:gridSpan w:val="2"/>
            <w:noWrap/>
          </w:tcPr>
          <w:p w:rsidR="007E16D5" w:rsidRPr="00E56625" w:rsidRDefault="007E16D5" w:rsidP="00A11E63">
            <w:pPr>
              <w:jc w:val="center"/>
              <w:rPr>
                <w:sz w:val="19"/>
                <w:szCs w:val="19"/>
                <w:lang w:val="en-US"/>
              </w:rPr>
            </w:pPr>
            <w:r w:rsidRPr="00E56625">
              <w:rPr>
                <w:sz w:val="19"/>
                <w:szCs w:val="19"/>
                <w:lang w:val="en-US"/>
              </w:rPr>
              <w:t>47.4%</w:t>
            </w:r>
          </w:p>
          <w:p w:rsidR="007E16D5" w:rsidRPr="00E56625" w:rsidRDefault="007E16D5" w:rsidP="00A11E63">
            <w:pPr>
              <w:jc w:val="center"/>
              <w:rPr>
                <w:sz w:val="19"/>
                <w:szCs w:val="19"/>
                <w:lang w:val="en-US"/>
              </w:rPr>
            </w:pPr>
            <w:r w:rsidRPr="00E56625">
              <w:rPr>
                <w:sz w:val="19"/>
                <w:szCs w:val="19"/>
                <w:lang w:val="en-US"/>
              </w:rPr>
              <w:t>46.2%</w:t>
            </w:r>
          </w:p>
          <w:p w:rsidR="007E16D5" w:rsidRPr="00E56625" w:rsidRDefault="007E16D5" w:rsidP="00A11E63">
            <w:pPr>
              <w:jc w:val="center"/>
              <w:rPr>
                <w:sz w:val="19"/>
                <w:szCs w:val="19"/>
                <w:lang w:val="en-US"/>
              </w:rPr>
            </w:pPr>
            <w:r w:rsidRPr="00E56625">
              <w:rPr>
                <w:sz w:val="19"/>
                <w:szCs w:val="19"/>
                <w:lang w:val="en-US"/>
              </w:rPr>
              <w:t>22.6%</w:t>
            </w:r>
          </w:p>
        </w:tc>
        <w:tc>
          <w:tcPr>
            <w:tcW w:w="371" w:type="pct"/>
            <w:gridSpan w:val="2"/>
            <w:noWrap/>
          </w:tcPr>
          <w:p w:rsidR="007E16D5" w:rsidRPr="00E56625" w:rsidRDefault="007E16D5" w:rsidP="00A11E63">
            <w:pPr>
              <w:jc w:val="center"/>
              <w:rPr>
                <w:sz w:val="19"/>
                <w:szCs w:val="19"/>
                <w:lang w:val="en-US"/>
              </w:rPr>
            </w:pPr>
            <w:r w:rsidRPr="00E56625">
              <w:rPr>
                <w:sz w:val="19"/>
                <w:szCs w:val="19"/>
                <w:lang w:val="en-US"/>
              </w:rPr>
              <w:t>49.5%</w:t>
            </w:r>
          </w:p>
          <w:p w:rsidR="007E16D5" w:rsidRPr="00E56625" w:rsidRDefault="007E16D5" w:rsidP="00A11E63">
            <w:pPr>
              <w:jc w:val="center"/>
              <w:rPr>
                <w:sz w:val="19"/>
                <w:szCs w:val="19"/>
                <w:lang w:val="en-US"/>
              </w:rPr>
            </w:pPr>
            <w:r w:rsidRPr="00E56625">
              <w:rPr>
                <w:sz w:val="19"/>
                <w:szCs w:val="19"/>
                <w:lang w:val="en-US"/>
              </w:rPr>
              <w:t>47.3%</w:t>
            </w:r>
          </w:p>
          <w:p w:rsidR="007E16D5" w:rsidRPr="00E56625" w:rsidRDefault="007E16D5" w:rsidP="00A11E63">
            <w:pPr>
              <w:jc w:val="center"/>
              <w:rPr>
                <w:sz w:val="19"/>
                <w:szCs w:val="19"/>
                <w:lang w:val="en-US"/>
              </w:rPr>
            </w:pPr>
            <w:r w:rsidRPr="00E56625">
              <w:rPr>
                <w:sz w:val="19"/>
                <w:szCs w:val="19"/>
                <w:lang w:val="en-US"/>
              </w:rPr>
              <w:t>21.1%</w:t>
            </w:r>
          </w:p>
        </w:tc>
        <w:tc>
          <w:tcPr>
            <w:tcW w:w="408" w:type="pct"/>
            <w:noWrap/>
          </w:tcPr>
          <w:p w:rsidR="007E16D5" w:rsidRPr="00E56625" w:rsidRDefault="007E16D5" w:rsidP="00A11E63">
            <w:pPr>
              <w:jc w:val="center"/>
              <w:rPr>
                <w:sz w:val="19"/>
                <w:szCs w:val="19"/>
                <w:lang w:val="en-US"/>
              </w:rPr>
            </w:pPr>
            <w:r w:rsidRPr="00E56625">
              <w:rPr>
                <w:sz w:val="19"/>
                <w:szCs w:val="19"/>
                <w:lang w:val="en-US"/>
              </w:rPr>
              <w:t>53.4%</w:t>
            </w:r>
          </w:p>
          <w:p w:rsidR="007E16D5" w:rsidRPr="00E56625" w:rsidRDefault="007E16D5" w:rsidP="00A11E63">
            <w:pPr>
              <w:jc w:val="center"/>
              <w:rPr>
                <w:sz w:val="19"/>
                <w:szCs w:val="19"/>
                <w:lang w:val="en-US"/>
              </w:rPr>
            </w:pPr>
            <w:r w:rsidRPr="00E56625">
              <w:rPr>
                <w:sz w:val="19"/>
                <w:szCs w:val="19"/>
                <w:lang w:val="en-US"/>
              </w:rPr>
              <w:t>50.4%</w:t>
            </w:r>
          </w:p>
          <w:p w:rsidR="007E16D5" w:rsidRPr="00E56625" w:rsidRDefault="007E16D5" w:rsidP="00A11E63">
            <w:pPr>
              <w:jc w:val="center"/>
              <w:rPr>
                <w:sz w:val="19"/>
                <w:szCs w:val="19"/>
                <w:lang w:val="en-US"/>
              </w:rPr>
            </w:pPr>
            <w:r w:rsidRPr="00E56625">
              <w:rPr>
                <w:sz w:val="19"/>
                <w:szCs w:val="19"/>
                <w:lang w:val="en-US"/>
              </w:rPr>
              <w:t>20.0%</w:t>
            </w:r>
          </w:p>
        </w:tc>
      </w:tr>
      <w:tr w:rsidR="007E16D5" w:rsidRPr="008F3531" w:rsidTr="00A11E63">
        <w:trPr>
          <w:trHeight w:val="152"/>
        </w:trPr>
        <w:tc>
          <w:tcPr>
            <w:tcW w:w="5000" w:type="pct"/>
            <w:gridSpan w:val="11"/>
            <w:noWrap/>
            <w:hideMark/>
          </w:tcPr>
          <w:p w:rsidR="007E16D5" w:rsidRPr="00E56625" w:rsidRDefault="007E16D5" w:rsidP="00A11E63">
            <w:pPr>
              <w:rPr>
                <w:sz w:val="19"/>
                <w:szCs w:val="19"/>
                <w:lang w:val="en-US"/>
              </w:rPr>
            </w:pPr>
            <w:r w:rsidRPr="00E56625">
              <w:rPr>
                <w:b/>
                <w:bCs/>
                <w:sz w:val="19"/>
                <w:szCs w:val="19"/>
                <w:lang w:val="en-US"/>
              </w:rPr>
              <w:t>Economic sector (occupied workers, ages 15-64)</w:t>
            </w:r>
          </w:p>
        </w:tc>
      </w:tr>
      <w:tr w:rsidR="007E16D5" w:rsidRPr="008F3531" w:rsidTr="007E16D5">
        <w:trPr>
          <w:trHeight w:val="2456"/>
        </w:trPr>
        <w:tc>
          <w:tcPr>
            <w:tcW w:w="1479" w:type="pct"/>
            <w:noWrap/>
            <w:hideMark/>
          </w:tcPr>
          <w:p w:rsidR="007E16D5" w:rsidRPr="00E56625" w:rsidRDefault="007E16D5" w:rsidP="00A11E63">
            <w:pPr>
              <w:rPr>
                <w:sz w:val="19"/>
                <w:szCs w:val="19"/>
                <w:lang w:val="en-US"/>
              </w:rPr>
            </w:pPr>
            <w:r w:rsidRPr="00E56625">
              <w:rPr>
                <w:sz w:val="19"/>
                <w:szCs w:val="19"/>
                <w:lang w:val="en-US"/>
              </w:rPr>
              <w:t xml:space="preserve">  Agriculture</w:t>
            </w:r>
          </w:p>
          <w:p w:rsidR="007E16D5" w:rsidRPr="00E56625" w:rsidRDefault="007E16D5" w:rsidP="00A11E63">
            <w:pPr>
              <w:rPr>
                <w:sz w:val="19"/>
                <w:szCs w:val="19"/>
                <w:lang w:val="en-US"/>
              </w:rPr>
            </w:pPr>
            <w:r w:rsidRPr="00E56625">
              <w:rPr>
                <w:sz w:val="19"/>
                <w:szCs w:val="19"/>
                <w:lang w:val="en-US"/>
              </w:rPr>
              <w:t xml:space="preserve">  Extractive industry</w:t>
            </w:r>
          </w:p>
          <w:p w:rsidR="007E16D5" w:rsidRPr="00E56625" w:rsidRDefault="007E16D5" w:rsidP="00A11E63">
            <w:pPr>
              <w:rPr>
                <w:sz w:val="19"/>
                <w:szCs w:val="19"/>
                <w:lang w:val="en-US"/>
              </w:rPr>
            </w:pPr>
            <w:r w:rsidRPr="00E56625">
              <w:rPr>
                <w:sz w:val="19"/>
                <w:szCs w:val="19"/>
                <w:lang w:val="en-US"/>
              </w:rPr>
              <w:t xml:space="preserve">  Manufacturing and craft</w:t>
            </w:r>
          </w:p>
          <w:p w:rsidR="007E16D5" w:rsidRPr="00E56625" w:rsidRDefault="007E16D5" w:rsidP="00A11E63">
            <w:pPr>
              <w:rPr>
                <w:sz w:val="19"/>
                <w:szCs w:val="19"/>
                <w:lang w:val="en-US"/>
              </w:rPr>
            </w:pPr>
            <w:r w:rsidRPr="00E56625">
              <w:rPr>
                <w:sz w:val="19"/>
                <w:szCs w:val="19"/>
                <w:lang w:val="en-US"/>
              </w:rPr>
              <w:t xml:space="preserve">  Trade</w:t>
            </w:r>
          </w:p>
          <w:p w:rsidR="007E16D5" w:rsidRPr="00E56625" w:rsidRDefault="007E16D5" w:rsidP="00A11E63">
            <w:pPr>
              <w:rPr>
                <w:sz w:val="19"/>
                <w:szCs w:val="19"/>
                <w:lang w:val="en-US"/>
              </w:rPr>
            </w:pPr>
            <w:r w:rsidRPr="00E56625">
              <w:rPr>
                <w:sz w:val="19"/>
                <w:szCs w:val="19"/>
                <w:lang w:val="en-US"/>
              </w:rPr>
              <w:t xml:space="preserve">  Bank / insurance</w:t>
            </w:r>
          </w:p>
          <w:p w:rsidR="007E16D5" w:rsidRPr="00E56625" w:rsidRDefault="007E16D5" w:rsidP="00A11E63">
            <w:pPr>
              <w:rPr>
                <w:sz w:val="19"/>
                <w:szCs w:val="19"/>
                <w:lang w:val="en-US"/>
              </w:rPr>
            </w:pPr>
            <w:r w:rsidRPr="00E56625">
              <w:rPr>
                <w:sz w:val="19"/>
                <w:szCs w:val="19"/>
                <w:lang w:val="en-US"/>
              </w:rPr>
              <w:t xml:space="preserve">  Public or private administration</w:t>
            </w:r>
          </w:p>
          <w:p w:rsidR="007E16D5" w:rsidRPr="00E56625" w:rsidRDefault="007E16D5" w:rsidP="00A11E63">
            <w:pPr>
              <w:rPr>
                <w:sz w:val="19"/>
                <w:szCs w:val="19"/>
                <w:lang w:val="en-US"/>
              </w:rPr>
            </w:pPr>
            <w:r w:rsidRPr="00E56625">
              <w:rPr>
                <w:sz w:val="19"/>
                <w:szCs w:val="19"/>
                <w:lang w:val="en-US"/>
              </w:rPr>
              <w:t xml:space="preserve"> Transport and communication</w:t>
            </w:r>
          </w:p>
          <w:p w:rsidR="007E16D5" w:rsidRPr="00E56625" w:rsidRDefault="007E16D5" w:rsidP="00A11E63">
            <w:pPr>
              <w:rPr>
                <w:sz w:val="19"/>
                <w:szCs w:val="19"/>
                <w:lang w:val="en-US"/>
              </w:rPr>
            </w:pPr>
            <w:r w:rsidRPr="00E56625">
              <w:rPr>
                <w:sz w:val="19"/>
                <w:szCs w:val="19"/>
                <w:lang w:val="en-US"/>
              </w:rPr>
              <w:t xml:space="preserve">  Construction</w:t>
            </w:r>
          </w:p>
          <w:p w:rsidR="007E16D5" w:rsidRPr="00E56625" w:rsidRDefault="007E16D5" w:rsidP="00A11E63">
            <w:pPr>
              <w:rPr>
                <w:sz w:val="19"/>
                <w:szCs w:val="19"/>
                <w:lang w:val="en-US"/>
              </w:rPr>
            </w:pPr>
            <w:r w:rsidRPr="00E56625">
              <w:rPr>
                <w:sz w:val="19"/>
                <w:szCs w:val="19"/>
                <w:lang w:val="en-US"/>
              </w:rPr>
              <w:t xml:space="preserve">  Services</w:t>
            </w:r>
          </w:p>
          <w:p w:rsidR="007E16D5" w:rsidRPr="00E56625" w:rsidRDefault="007E16D5" w:rsidP="00A11E63">
            <w:pPr>
              <w:rPr>
                <w:sz w:val="19"/>
                <w:szCs w:val="19"/>
                <w:lang w:val="en-US"/>
              </w:rPr>
            </w:pPr>
            <w:r w:rsidRPr="00E56625">
              <w:rPr>
                <w:sz w:val="19"/>
                <w:szCs w:val="19"/>
                <w:lang w:val="en-US"/>
              </w:rPr>
              <w:t xml:space="preserve">  Electricity, water and gas</w:t>
            </w:r>
          </w:p>
          <w:p w:rsidR="007E16D5" w:rsidRPr="00E56625" w:rsidRDefault="007E16D5" w:rsidP="00A11E63">
            <w:pPr>
              <w:rPr>
                <w:sz w:val="19"/>
                <w:szCs w:val="19"/>
                <w:lang w:val="en-US"/>
              </w:rPr>
            </w:pPr>
            <w:r w:rsidRPr="00E56625">
              <w:rPr>
                <w:sz w:val="19"/>
                <w:szCs w:val="19"/>
                <w:lang w:val="en-US"/>
              </w:rPr>
              <w:t xml:space="preserve">  no response / missing </w:t>
            </w:r>
          </w:p>
        </w:tc>
        <w:tc>
          <w:tcPr>
            <w:tcW w:w="491" w:type="pct"/>
            <w:noWrap/>
          </w:tcPr>
          <w:p w:rsidR="007E16D5" w:rsidRPr="00E56625" w:rsidRDefault="007E16D5" w:rsidP="00A11E63">
            <w:pPr>
              <w:jc w:val="center"/>
              <w:rPr>
                <w:sz w:val="19"/>
                <w:szCs w:val="19"/>
                <w:lang w:val="en-US"/>
              </w:rPr>
            </w:pPr>
            <w:r w:rsidRPr="00E56625">
              <w:rPr>
                <w:sz w:val="19"/>
                <w:szCs w:val="19"/>
                <w:lang w:val="en-US"/>
              </w:rPr>
              <w:t>85.7%</w:t>
            </w:r>
          </w:p>
          <w:p w:rsidR="007E16D5" w:rsidRPr="00E56625" w:rsidRDefault="007E16D5" w:rsidP="00A11E63">
            <w:pPr>
              <w:jc w:val="center"/>
              <w:rPr>
                <w:sz w:val="19"/>
                <w:szCs w:val="19"/>
                <w:lang w:val="en-US"/>
              </w:rPr>
            </w:pPr>
            <w:r w:rsidRPr="00E56625">
              <w:rPr>
                <w:sz w:val="19"/>
                <w:szCs w:val="19"/>
                <w:lang w:val="en-US"/>
              </w:rPr>
              <w:t>0.4%</w:t>
            </w:r>
          </w:p>
          <w:p w:rsidR="007E16D5" w:rsidRPr="00E56625" w:rsidRDefault="007E16D5" w:rsidP="00A11E63">
            <w:pPr>
              <w:jc w:val="center"/>
              <w:rPr>
                <w:sz w:val="19"/>
                <w:szCs w:val="19"/>
                <w:lang w:val="en-US"/>
              </w:rPr>
            </w:pPr>
            <w:r w:rsidRPr="00E56625">
              <w:rPr>
                <w:sz w:val="19"/>
                <w:szCs w:val="19"/>
                <w:lang w:val="en-US"/>
              </w:rPr>
              <w:t>2.1%</w:t>
            </w:r>
          </w:p>
          <w:p w:rsidR="007E16D5" w:rsidRPr="00E56625" w:rsidRDefault="007E16D5" w:rsidP="00A11E63">
            <w:pPr>
              <w:jc w:val="center"/>
              <w:rPr>
                <w:sz w:val="19"/>
                <w:szCs w:val="19"/>
                <w:lang w:val="en-US"/>
              </w:rPr>
            </w:pPr>
            <w:r w:rsidRPr="00E56625">
              <w:rPr>
                <w:sz w:val="19"/>
                <w:szCs w:val="19"/>
                <w:lang w:val="en-US"/>
              </w:rPr>
              <w:t>2.9%</w:t>
            </w:r>
          </w:p>
          <w:p w:rsidR="007E16D5" w:rsidRPr="00E56625" w:rsidRDefault="007E16D5" w:rsidP="00A11E63">
            <w:pPr>
              <w:jc w:val="center"/>
              <w:rPr>
                <w:sz w:val="19"/>
                <w:szCs w:val="19"/>
                <w:lang w:val="en-US"/>
              </w:rPr>
            </w:pPr>
            <w:r w:rsidRPr="00E56625">
              <w:rPr>
                <w:sz w:val="19"/>
                <w:szCs w:val="19"/>
                <w:lang w:val="en-US"/>
              </w:rPr>
              <w:t>0.0%</w:t>
            </w:r>
          </w:p>
          <w:p w:rsidR="007E16D5" w:rsidRPr="00E56625" w:rsidRDefault="007E16D5" w:rsidP="00A11E63">
            <w:pPr>
              <w:jc w:val="center"/>
              <w:rPr>
                <w:sz w:val="19"/>
                <w:szCs w:val="19"/>
                <w:lang w:val="en-US"/>
              </w:rPr>
            </w:pPr>
            <w:r w:rsidRPr="00E56625">
              <w:rPr>
                <w:sz w:val="19"/>
                <w:szCs w:val="19"/>
                <w:lang w:val="en-US"/>
              </w:rPr>
              <w:t>3.0%</w:t>
            </w:r>
          </w:p>
          <w:p w:rsidR="007E16D5" w:rsidRPr="00E56625" w:rsidRDefault="007E16D5" w:rsidP="00A11E63">
            <w:pPr>
              <w:jc w:val="center"/>
              <w:rPr>
                <w:sz w:val="19"/>
                <w:szCs w:val="19"/>
                <w:lang w:val="en-US"/>
              </w:rPr>
            </w:pPr>
            <w:r w:rsidRPr="00E56625">
              <w:rPr>
                <w:sz w:val="19"/>
                <w:szCs w:val="19"/>
                <w:lang w:val="en-US"/>
              </w:rPr>
              <w:t>0.9%</w:t>
            </w:r>
          </w:p>
          <w:p w:rsidR="007E16D5" w:rsidRPr="00E56625" w:rsidRDefault="007E16D5" w:rsidP="00A11E63">
            <w:pPr>
              <w:jc w:val="center"/>
              <w:rPr>
                <w:sz w:val="19"/>
                <w:szCs w:val="19"/>
                <w:lang w:val="en-US"/>
              </w:rPr>
            </w:pPr>
            <w:r w:rsidRPr="00E56625">
              <w:rPr>
                <w:sz w:val="19"/>
                <w:szCs w:val="19"/>
                <w:lang w:val="en-US"/>
              </w:rPr>
              <w:t>0.7%</w:t>
            </w:r>
          </w:p>
          <w:p w:rsidR="007E16D5" w:rsidRPr="00E56625" w:rsidRDefault="007E16D5" w:rsidP="00A11E63">
            <w:pPr>
              <w:jc w:val="center"/>
              <w:rPr>
                <w:sz w:val="19"/>
                <w:szCs w:val="19"/>
                <w:lang w:val="en-US"/>
              </w:rPr>
            </w:pPr>
            <w:r w:rsidRPr="00E56625">
              <w:rPr>
                <w:sz w:val="19"/>
                <w:szCs w:val="19"/>
                <w:lang w:val="en-US"/>
              </w:rPr>
              <w:t>1.2%</w:t>
            </w:r>
          </w:p>
          <w:p w:rsidR="007E16D5" w:rsidRPr="00E56625" w:rsidRDefault="007E16D5" w:rsidP="00A11E63">
            <w:pPr>
              <w:jc w:val="center"/>
              <w:rPr>
                <w:sz w:val="19"/>
                <w:szCs w:val="19"/>
                <w:lang w:val="en-US"/>
              </w:rPr>
            </w:pPr>
            <w:r w:rsidRPr="00E56625">
              <w:rPr>
                <w:sz w:val="19"/>
                <w:szCs w:val="19"/>
                <w:lang w:val="en-US"/>
              </w:rPr>
              <w:t>0.0%</w:t>
            </w:r>
          </w:p>
          <w:p w:rsidR="007E16D5" w:rsidRPr="00E56625" w:rsidRDefault="007E16D5" w:rsidP="00A11E63">
            <w:pPr>
              <w:jc w:val="center"/>
              <w:rPr>
                <w:sz w:val="19"/>
                <w:szCs w:val="19"/>
                <w:lang w:val="en-US"/>
              </w:rPr>
            </w:pPr>
            <w:r w:rsidRPr="00E56625">
              <w:rPr>
                <w:sz w:val="19"/>
                <w:szCs w:val="19"/>
                <w:lang w:val="en-US"/>
              </w:rPr>
              <w:t>3.1%</w:t>
            </w:r>
          </w:p>
        </w:tc>
        <w:tc>
          <w:tcPr>
            <w:tcW w:w="586" w:type="pct"/>
            <w:noWrap/>
          </w:tcPr>
          <w:p w:rsidR="007E16D5" w:rsidRPr="00E56625" w:rsidRDefault="007E16D5" w:rsidP="00A11E63">
            <w:pPr>
              <w:jc w:val="center"/>
              <w:rPr>
                <w:sz w:val="19"/>
                <w:szCs w:val="19"/>
                <w:lang w:val="en-US"/>
              </w:rPr>
            </w:pPr>
            <w:r w:rsidRPr="00E56625">
              <w:rPr>
                <w:sz w:val="19"/>
                <w:szCs w:val="19"/>
                <w:lang w:val="en-US"/>
              </w:rPr>
              <w:t>60.8%</w:t>
            </w:r>
          </w:p>
          <w:p w:rsidR="007E16D5" w:rsidRPr="00E56625" w:rsidRDefault="007E16D5" w:rsidP="00A11E63">
            <w:pPr>
              <w:jc w:val="center"/>
              <w:rPr>
                <w:sz w:val="19"/>
                <w:szCs w:val="19"/>
                <w:lang w:val="en-US"/>
              </w:rPr>
            </w:pPr>
            <w:r w:rsidRPr="00E56625">
              <w:rPr>
                <w:sz w:val="19"/>
                <w:szCs w:val="19"/>
                <w:lang w:val="en-US"/>
              </w:rPr>
              <w:t>0.8%</w:t>
            </w:r>
          </w:p>
          <w:p w:rsidR="007E16D5" w:rsidRPr="00E56625" w:rsidRDefault="007E16D5" w:rsidP="00A11E63">
            <w:pPr>
              <w:jc w:val="center"/>
              <w:rPr>
                <w:sz w:val="19"/>
                <w:szCs w:val="19"/>
                <w:lang w:val="en-US"/>
              </w:rPr>
            </w:pPr>
            <w:r w:rsidRPr="00E56625">
              <w:rPr>
                <w:sz w:val="19"/>
                <w:szCs w:val="19"/>
                <w:lang w:val="en-US"/>
              </w:rPr>
              <w:t>3.7%</w:t>
            </w:r>
          </w:p>
          <w:p w:rsidR="007E16D5" w:rsidRPr="00E56625" w:rsidRDefault="007E16D5" w:rsidP="00A11E63">
            <w:pPr>
              <w:jc w:val="center"/>
              <w:rPr>
                <w:sz w:val="19"/>
                <w:szCs w:val="19"/>
                <w:lang w:val="en-US"/>
              </w:rPr>
            </w:pPr>
            <w:r w:rsidRPr="00E56625">
              <w:rPr>
                <w:sz w:val="19"/>
                <w:szCs w:val="19"/>
                <w:lang w:val="en-US"/>
              </w:rPr>
              <w:t>11.6%</w:t>
            </w:r>
          </w:p>
          <w:p w:rsidR="007E16D5" w:rsidRPr="00E56625" w:rsidRDefault="007E16D5" w:rsidP="00A11E63">
            <w:pPr>
              <w:jc w:val="center"/>
              <w:rPr>
                <w:sz w:val="19"/>
                <w:szCs w:val="19"/>
                <w:lang w:val="en-US"/>
              </w:rPr>
            </w:pPr>
            <w:r w:rsidRPr="00E56625">
              <w:rPr>
                <w:sz w:val="19"/>
                <w:szCs w:val="19"/>
                <w:lang w:val="en-US"/>
              </w:rPr>
              <w:t>0.1%</w:t>
            </w:r>
          </w:p>
          <w:p w:rsidR="007E16D5" w:rsidRPr="00E56625" w:rsidRDefault="007E16D5" w:rsidP="00A11E63">
            <w:pPr>
              <w:jc w:val="center"/>
              <w:rPr>
                <w:sz w:val="19"/>
                <w:szCs w:val="19"/>
                <w:lang w:val="en-US"/>
              </w:rPr>
            </w:pPr>
            <w:r w:rsidRPr="00E56625">
              <w:rPr>
                <w:sz w:val="19"/>
                <w:szCs w:val="19"/>
                <w:lang w:val="en-US"/>
              </w:rPr>
              <w:t>8.4%</w:t>
            </w:r>
          </w:p>
          <w:p w:rsidR="007E16D5" w:rsidRPr="00E56625" w:rsidRDefault="007E16D5" w:rsidP="00A11E63">
            <w:pPr>
              <w:jc w:val="center"/>
              <w:rPr>
                <w:sz w:val="19"/>
                <w:szCs w:val="19"/>
                <w:lang w:val="en-US"/>
              </w:rPr>
            </w:pPr>
            <w:r w:rsidRPr="00E56625">
              <w:rPr>
                <w:sz w:val="19"/>
                <w:szCs w:val="19"/>
                <w:lang w:val="en-US"/>
              </w:rPr>
              <w:t>3.6%</w:t>
            </w:r>
          </w:p>
          <w:p w:rsidR="007E16D5" w:rsidRPr="00E56625" w:rsidRDefault="007E16D5" w:rsidP="00A11E63">
            <w:pPr>
              <w:jc w:val="center"/>
              <w:rPr>
                <w:sz w:val="19"/>
                <w:szCs w:val="19"/>
                <w:lang w:val="en-US"/>
              </w:rPr>
            </w:pPr>
            <w:r w:rsidRPr="00E56625">
              <w:rPr>
                <w:sz w:val="19"/>
                <w:szCs w:val="19"/>
                <w:lang w:val="en-US"/>
              </w:rPr>
              <w:t>2.3%</w:t>
            </w:r>
          </w:p>
          <w:p w:rsidR="007E16D5" w:rsidRPr="00E56625" w:rsidRDefault="007E16D5" w:rsidP="00A11E63">
            <w:pPr>
              <w:jc w:val="center"/>
              <w:rPr>
                <w:sz w:val="19"/>
                <w:szCs w:val="19"/>
                <w:lang w:val="en-US"/>
              </w:rPr>
            </w:pPr>
            <w:r w:rsidRPr="00E56625">
              <w:rPr>
                <w:sz w:val="19"/>
                <w:szCs w:val="19"/>
                <w:lang w:val="en-US"/>
              </w:rPr>
              <w:t>3.8%</w:t>
            </w:r>
          </w:p>
          <w:p w:rsidR="007E16D5" w:rsidRPr="00E56625" w:rsidRDefault="007E16D5" w:rsidP="00A11E63">
            <w:pPr>
              <w:jc w:val="center"/>
              <w:rPr>
                <w:sz w:val="19"/>
                <w:szCs w:val="19"/>
                <w:lang w:val="en-US"/>
              </w:rPr>
            </w:pPr>
            <w:r w:rsidRPr="00E56625">
              <w:rPr>
                <w:sz w:val="19"/>
                <w:szCs w:val="19"/>
                <w:lang w:val="en-US"/>
              </w:rPr>
              <w:t>0.3%</w:t>
            </w:r>
          </w:p>
          <w:p w:rsidR="007E16D5" w:rsidRPr="00E56625" w:rsidRDefault="007E16D5" w:rsidP="00A11E63">
            <w:pPr>
              <w:jc w:val="center"/>
              <w:rPr>
                <w:sz w:val="19"/>
                <w:szCs w:val="19"/>
                <w:lang w:val="en-US"/>
              </w:rPr>
            </w:pPr>
            <w:r w:rsidRPr="00E56625">
              <w:rPr>
                <w:sz w:val="19"/>
                <w:szCs w:val="19"/>
                <w:lang w:val="en-US"/>
              </w:rPr>
              <w:t>4.7%</w:t>
            </w:r>
          </w:p>
        </w:tc>
        <w:tc>
          <w:tcPr>
            <w:tcW w:w="494" w:type="pct"/>
            <w:noWrap/>
          </w:tcPr>
          <w:p w:rsidR="007E16D5" w:rsidRPr="00E56625" w:rsidRDefault="007E16D5" w:rsidP="00A11E63">
            <w:pPr>
              <w:jc w:val="center"/>
              <w:rPr>
                <w:sz w:val="19"/>
                <w:szCs w:val="19"/>
                <w:lang w:val="en-US"/>
              </w:rPr>
            </w:pPr>
            <w:r w:rsidRPr="00E56625">
              <w:rPr>
                <w:sz w:val="19"/>
                <w:szCs w:val="19"/>
                <w:lang w:val="en-US"/>
              </w:rPr>
              <w:t>42.9%</w:t>
            </w:r>
          </w:p>
          <w:p w:rsidR="007E16D5" w:rsidRPr="00E56625" w:rsidRDefault="007E16D5" w:rsidP="00A11E63">
            <w:pPr>
              <w:jc w:val="center"/>
              <w:rPr>
                <w:sz w:val="19"/>
                <w:szCs w:val="19"/>
                <w:lang w:val="en-US"/>
              </w:rPr>
            </w:pPr>
            <w:r w:rsidRPr="00E56625">
              <w:rPr>
                <w:sz w:val="19"/>
                <w:szCs w:val="19"/>
                <w:lang w:val="en-US"/>
              </w:rPr>
              <w:t>2.2%</w:t>
            </w:r>
          </w:p>
          <w:p w:rsidR="007E16D5" w:rsidRPr="00E56625" w:rsidRDefault="007E16D5" w:rsidP="00A11E63">
            <w:pPr>
              <w:jc w:val="center"/>
              <w:rPr>
                <w:sz w:val="19"/>
                <w:szCs w:val="19"/>
                <w:lang w:val="en-US"/>
              </w:rPr>
            </w:pPr>
            <w:r w:rsidRPr="00E56625">
              <w:rPr>
                <w:sz w:val="19"/>
                <w:szCs w:val="19"/>
                <w:lang w:val="en-US"/>
              </w:rPr>
              <w:t>6.1%</w:t>
            </w:r>
          </w:p>
          <w:p w:rsidR="007E16D5" w:rsidRPr="00E56625" w:rsidRDefault="007E16D5" w:rsidP="00A11E63">
            <w:pPr>
              <w:jc w:val="center"/>
              <w:rPr>
                <w:sz w:val="19"/>
                <w:szCs w:val="19"/>
                <w:lang w:val="en-US"/>
              </w:rPr>
            </w:pPr>
            <w:r w:rsidRPr="00E56625">
              <w:rPr>
                <w:sz w:val="19"/>
                <w:szCs w:val="19"/>
                <w:lang w:val="en-US"/>
              </w:rPr>
              <w:t>18.5%</w:t>
            </w:r>
          </w:p>
          <w:p w:rsidR="007E16D5" w:rsidRPr="00E56625" w:rsidRDefault="007E16D5" w:rsidP="00A11E63">
            <w:pPr>
              <w:jc w:val="center"/>
              <w:rPr>
                <w:sz w:val="19"/>
                <w:szCs w:val="19"/>
                <w:lang w:val="en-US"/>
              </w:rPr>
            </w:pPr>
            <w:r w:rsidRPr="00E56625">
              <w:rPr>
                <w:sz w:val="19"/>
                <w:szCs w:val="19"/>
                <w:lang w:val="en-US"/>
              </w:rPr>
              <w:t>0.1%</w:t>
            </w:r>
          </w:p>
          <w:p w:rsidR="007E16D5" w:rsidRPr="00E56625" w:rsidRDefault="007E16D5" w:rsidP="00A11E63">
            <w:pPr>
              <w:jc w:val="center"/>
              <w:rPr>
                <w:sz w:val="19"/>
                <w:szCs w:val="19"/>
                <w:lang w:val="en-US"/>
              </w:rPr>
            </w:pPr>
            <w:r w:rsidRPr="00E56625">
              <w:rPr>
                <w:sz w:val="19"/>
                <w:szCs w:val="19"/>
                <w:lang w:val="en-US"/>
              </w:rPr>
              <w:t>12.1%</w:t>
            </w:r>
          </w:p>
          <w:p w:rsidR="007E16D5" w:rsidRPr="00E56625" w:rsidRDefault="007E16D5" w:rsidP="00A11E63">
            <w:pPr>
              <w:jc w:val="center"/>
              <w:rPr>
                <w:sz w:val="19"/>
                <w:szCs w:val="19"/>
                <w:lang w:val="en-US"/>
              </w:rPr>
            </w:pPr>
            <w:r w:rsidRPr="00E56625">
              <w:rPr>
                <w:sz w:val="19"/>
                <w:szCs w:val="19"/>
                <w:lang w:val="en-US"/>
              </w:rPr>
              <w:t>5.7%</w:t>
            </w:r>
          </w:p>
          <w:p w:rsidR="007E16D5" w:rsidRPr="00E56625" w:rsidRDefault="007E16D5" w:rsidP="00A11E63">
            <w:pPr>
              <w:jc w:val="center"/>
              <w:rPr>
                <w:sz w:val="19"/>
                <w:szCs w:val="19"/>
                <w:lang w:val="en-US"/>
              </w:rPr>
            </w:pPr>
            <w:r w:rsidRPr="00E56625">
              <w:rPr>
                <w:sz w:val="19"/>
                <w:szCs w:val="19"/>
                <w:lang w:val="en-US"/>
              </w:rPr>
              <w:t>2.9%</w:t>
            </w:r>
          </w:p>
          <w:p w:rsidR="007E16D5" w:rsidRPr="00E56625" w:rsidRDefault="007E16D5" w:rsidP="00A11E63">
            <w:pPr>
              <w:jc w:val="center"/>
              <w:rPr>
                <w:sz w:val="19"/>
                <w:szCs w:val="19"/>
                <w:lang w:val="en-US"/>
              </w:rPr>
            </w:pPr>
            <w:r w:rsidRPr="00E56625">
              <w:rPr>
                <w:sz w:val="19"/>
                <w:szCs w:val="19"/>
                <w:lang w:val="en-US"/>
              </w:rPr>
              <w:t>5.3%</w:t>
            </w:r>
          </w:p>
          <w:p w:rsidR="007E16D5" w:rsidRPr="00E56625" w:rsidRDefault="007E16D5" w:rsidP="00A11E63">
            <w:pPr>
              <w:jc w:val="center"/>
              <w:rPr>
                <w:sz w:val="19"/>
                <w:szCs w:val="19"/>
                <w:lang w:val="en-US"/>
              </w:rPr>
            </w:pPr>
            <w:r w:rsidRPr="00E56625">
              <w:rPr>
                <w:sz w:val="19"/>
                <w:szCs w:val="19"/>
                <w:lang w:val="en-US"/>
              </w:rPr>
              <w:t>0.3%</w:t>
            </w:r>
          </w:p>
          <w:p w:rsidR="007E16D5" w:rsidRPr="00E56625" w:rsidRDefault="007E16D5" w:rsidP="00A11E63">
            <w:pPr>
              <w:jc w:val="center"/>
              <w:rPr>
                <w:sz w:val="19"/>
                <w:szCs w:val="19"/>
                <w:lang w:val="en-US"/>
              </w:rPr>
            </w:pPr>
            <w:r w:rsidRPr="00E56625">
              <w:rPr>
                <w:sz w:val="19"/>
                <w:szCs w:val="19"/>
                <w:lang w:val="en-US"/>
              </w:rPr>
              <w:t>4.1%</w:t>
            </w:r>
          </w:p>
        </w:tc>
        <w:tc>
          <w:tcPr>
            <w:tcW w:w="494" w:type="pct"/>
            <w:noWrap/>
          </w:tcPr>
          <w:p w:rsidR="007E16D5" w:rsidRPr="00E56625" w:rsidRDefault="007E16D5" w:rsidP="00A11E63">
            <w:pPr>
              <w:jc w:val="center"/>
              <w:rPr>
                <w:sz w:val="19"/>
                <w:szCs w:val="19"/>
                <w:lang w:val="en-US"/>
              </w:rPr>
            </w:pPr>
            <w:r w:rsidRPr="00E56625">
              <w:rPr>
                <w:sz w:val="19"/>
                <w:szCs w:val="19"/>
                <w:lang w:val="en-US"/>
              </w:rPr>
              <w:t>24.3%</w:t>
            </w:r>
          </w:p>
          <w:p w:rsidR="007E16D5" w:rsidRPr="00E56625" w:rsidRDefault="007E16D5" w:rsidP="00A11E63">
            <w:pPr>
              <w:jc w:val="center"/>
              <w:rPr>
                <w:sz w:val="19"/>
                <w:szCs w:val="19"/>
                <w:lang w:val="en-US"/>
              </w:rPr>
            </w:pPr>
            <w:r w:rsidRPr="00E56625">
              <w:rPr>
                <w:sz w:val="19"/>
                <w:szCs w:val="19"/>
                <w:lang w:val="en-US"/>
              </w:rPr>
              <w:t>1.0%</w:t>
            </w:r>
          </w:p>
          <w:p w:rsidR="007E16D5" w:rsidRPr="00E56625" w:rsidRDefault="007E16D5" w:rsidP="00A11E63">
            <w:pPr>
              <w:jc w:val="center"/>
              <w:rPr>
                <w:sz w:val="19"/>
                <w:szCs w:val="19"/>
                <w:lang w:val="en-US"/>
              </w:rPr>
            </w:pPr>
            <w:r w:rsidRPr="00E56625">
              <w:rPr>
                <w:sz w:val="19"/>
                <w:szCs w:val="19"/>
                <w:lang w:val="en-US"/>
              </w:rPr>
              <w:t>7.1%</w:t>
            </w:r>
          </w:p>
          <w:p w:rsidR="007E16D5" w:rsidRPr="00E56625" w:rsidRDefault="007E16D5" w:rsidP="00A11E63">
            <w:pPr>
              <w:jc w:val="center"/>
              <w:rPr>
                <w:sz w:val="19"/>
                <w:szCs w:val="19"/>
                <w:lang w:val="en-US"/>
              </w:rPr>
            </w:pPr>
            <w:r w:rsidRPr="00E56625">
              <w:rPr>
                <w:sz w:val="19"/>
                <w:szCs w:val="19"/>
                <w:lang w:val="en-US"/>
              </w:rPr>
              <w:t>26.4%</w:t>
            </w:r>
          </w:p>
          <w:p w:rsidR="007E16D5" w:rsidRPr="00E56625" w:rsidRDefault="007E16D5" w:rsidP="00A11E63">
            <w:pPr>
              <w:jc w:val="center"/>
              <w:rPr>
                <w:sz w:val="19"/>
                <w:szCs w:val="19"/>
                <w:lang w:val="en-US"/>
              </w:rPr>
            </w:pPr>
            <w:r w:rsidRPr="00E56625">
              <w:rPr>
                <w:sz w:val="19"/>
                <w:szCs w:val="19"/>
                <w:lang w:val="en-US"/>
              </w:rPr>
              <w:t>0.2%</w:t>
            </w:r>
          </w:p>
          <w:p w:rsidR="007E16D5" w:rsidRPr="00E56625" w:rsidRDefault="007E16D5" w:rsidP="00A11E63">
            <w:pPr>
              <w:jc w:val="center"/>
              <w:rPr>
                <w:sz w:val="19"/>
                <w:szCs w:val="19"/>
                <w:lang w:val="en-US"/>
              </w:rPr>
            </w:pPr>
            <w:r w:rsidRPr="00E56625">
              <w:rPr>
                <w:sz w:val="19"/>
                <w:szCs w:val="19"/>
                <w:lang w:val="en-US"/>
              </w:rPr>
              <w:t>15.3%</w:t>
            </w:r>
          </w:p>
          <w:p w:rsidR="007E16D5" w:rsidRPr="00E56625" w:rsidRDefault="007E16D5" w:rsidP="00A11E63">
            <w:pPr>
              <w:jc w:val="center"/>
              <w:rPr>
                <w:sz w:val="19"/>
                <w:szCs w:val="19"/>
                <w:lang w:val="en-US"/>
              </w:rPr>
            </w:pPr>
            <w:r w:rsidRPr="00E56625">
              <w:rPr>
                <w:sz w:val="19"/>
                <w:szCs w:val="19"/>
                <w:lang w:val="en-US"/>
              </w:rPr>
              <w:t>8.4%</w:t>
            </w:r>
          </w:p>
          <w:p w:rsidR="007E16D5" w:rsidRPr="00E56625" w:rsidRDefault="007E16D5" w:rsidP="00A11E63">
            <w:pPr>
              <w:jc w:val="center"/>
              <w:rPr>
                <w:sz w:val="19"/>
                <w:szCs w:val="19"/>
                <w:lang w:val="en-US"/>
              </w:rPr>
            </w:pPr>
            <w:r w:rsidRPr="00E56625">
              <w:rPr>
                <w:sz w:val="19"/>
                <w:szCs w:val="19"/>
                <w:lang w:val="en-US"/>
              </w:rPr>
              <w:t>3.5%</w:t>
            </w:r>
          </w:p>
          <w:p w:rsidR="007E16D5" w:rsidRPr="00E56625" w:rsidRDefault="007E16D5" w:rsidP="00A11E63">
            <w:pPr>
              <w:jc w:val="center"/>
              <w:rPr>
                <w:sz w:val="19"/>
                <w:szCs w:val="19"/>
                <w:lang w:val="en-US"/>
              </w:rPr>
            </w:pPr>
            <w:r w:rsidRPr="00E56625">
              <w:rPr>
                <w:sz w:val="19"/>
                <w:szCs w:val="19"/>
                <w:lang w:val="en-US"/>
              </w:rPr>
              <w:t>7.8%</w:t>
            </w:r>
          </w:p>
          <w:p w:rsidR="007E16D5" w:rsidRPr="00E56625" w:rsidRDefault="007E16D5" w:rsidP="00A11E63">
            <w:pPr>
              <w:jc w:val="center"/>
              <w:rPr>
                <w:sz w:val="19"/>
                <w:szCs w:val="19"/>
                <w:lang w:val="en-US"/>
              </w:rPr>
            </w:pPr>
            <w:r w:rsidRPr="00E56625">
              <w:rPr>
                <w:sz w:val="19"/>
                <w:szCs w:val="19"/>
                <w:lang w:val="en-US"/>
              </w:rPr>
              <w:t>0.7%</w:t>
            </w:r>
          </w:p>
          <w:p w:rsidR="007E16D5" w:rsidRPr="00E56625" w:rsidRDefault="007E16D5" w:rsidP="00A11E63">
            <w:pPr>
              <w:jc w:val="center"/>
              <w:rPr>
                <w:sz w:val="19"/>
                <w:szCs w:val="19"/>
                <w:lang w:val="en-US"/>
              </w:rPr>
            </w:pPr>
            <w:r w:rsidRPr="00E56625">
              <w:rPr>
                <w:sz w:val="19"/>
                <w:szCs w:val="19"/>
                <w:lang w:val="en-US"/>
              </w:rPr>
              <w:t>5.4%</w:t>
            </w:r>
          </w:p>
        </w:tc>
        <w:tc>
          <w:tcPr>
            <w:tcW w:w="316" w:type="pct"/>
            <w:noWrap/>
          </w:tcPr>
          <w:p w:rsidR="007E16D5" w:rsidRPr="00E56625" w:rsidRDefault="007E16D5" w:rsidP="00A11E63">
            <w:pPr>
              <w:jc w:val="center"/>
              <w:rPr>
                <w:sz w:val="19"/>
                <w:szCs w:val="19"/>
                <w:lang w:val="en-US"/>
              </w:rPr>
            </w:pPr>
            <w:r w:rsidRPr="00E56625">
              <w:rPr>
                <w:sz w:val="19"/>
                <w:szCs w:val="19"/>
                <w:lang w:val="en-US"/>
              </w:rPr>
              <w:t>7.4%</w:t>
            </w:r>
          </w:p>
          <w:p w:rsidR="007E16D5" w:rsidRPr="00E56625" w:rsidRDefault="007E16D5" w:rsidP="00A11E63">
            <w:pPr>
              <w:jc w:val="center"/>
              <w:rPr>
                <w:sz w:val="19"/>
                <w:szCs w:val="19"/>
                <w:lang w:val="en-US"/>
              </w:rPr>
            </w:pPr>
            <w:r w:rsidRPr="00E56625">
              <w:rPr>
                <w:sz w:val="19"/>
                <w:szCs w:val="19"/>
                <w:lang w:val="en-US"/>
              </w:rPr>
              <w:t>0.4%</w:t>
            </w:r>
          </w:p>
          <w:p w:rsidR="007E16D5" w:rsidRPr="00E56625" w:rsidRDefault="007E16D5" w:rsidP="00A11E63">
            <w:pPr>
              <w:jc w:val="center"/>
              <w:rPr>
                <w:sz w:val="19"/>
                <w:szCs w:val="19"/>
                <w:lang w:val="en-US"/>
              </w:rPr>
            </w:pPr>
            <w:r w:rsidRPr="00E56625">
              <w:rPr>
                <w:sz w:val="19"/>
                <w:szCs w:val="19"/>
                <w:lang w:val="en-US"/>
              </w:rPr>
              <w:t>9.8%</w:t>
            </w:r>
          </w:p>
          <w:p w:rsidR="007E16D5" w:rsidRPr="00E56625" w:rsidRDefault="007E16D5" w:rsidP="00A11E63">
            <w:pPr>
              <w:jc w:val="center"/>
              <w:rPr>
                <w:sz w:val="19"/>
                <w:szCs w:val="19"/>
                <w:lang w:val="en-US"/>
              </w:rPr>
            </w:pPr>
            <w:r w:rsidRPr="00E56625">
              <w:rPr>
                <w:sz w:val="19"/>
                <w:szCs w:val="19"/>
                <w:lang w:val="en-US"/>
              </w:rPr>
              <w:t>32.2%</w:t>
            </w:r>
          </w:p>
          <w:p w:rsidR="007E16D5" w:rsidRPr="00E56625" w:rsidRDefault="007E16D5" w:rsidP="00A11E63">
            <w:pPr>
              <w:jc w:val="center"/>
              <w:rPr>
                <w:sz w:val="19"/>
                <w:szCs w:val="19"/>
                <w:lang w:val="en-US"/>
              </w:rPr>
            </w:pPr>
            <w:r w:rsidRPr="00E56625">
              <w:rPr>
                <w:sz w:val="19"/>
                <w:szCs w:val="19"/>
                <w:lang w:val="en-US"/>
              </w:rPr>
              <w:t>0.2%</w:t>
            </w:r>
          </w:p>
          <w:p w:rsidR="007E16D5" w:rsidRPr="00E56625" w:rsidRDefault="007E16D5" w:rsidP="00A11E63">
            <w:pPr>
              <w:jc w:val="center"/>
              <w:rPr>
                <w:sz w:val="19"/>
                <w:szCs w:val="19"/>
                <w:lang w:val="en-US"/>
              </w:rPr>
            </w:pPr>
            <w:r w:rsidRPr="00E56625">
              <w:rPr>
                <w:sz w:val="19"/>
                <w:szCs w:val="19"/>
                <w:lang w:val="en-US"/>
              </w:rPr>
              <w:t>13.1%</w:t>
            </w:r>
          </w:p>
          <w:p w:rsidR="007E16D5" w:rsidRPr="00E56625" w:rsidRDefault="007E16D5" w:rsidP="00A11E63">
            <w:pPr>
              <w:jc w:val="center"/>
              <w:rPr>
                <w:sz w:val="19"/>
                <w:szCs w:val="19"/>
                <w:lang w:val="en-US"/>
              </w:rPr>
            </w:pPr>
            <w:r w:rsidRPr="00E56625">
              <w:rPr>
                <w:sz w:val="19"/>
                <w:szCs w:val="19"/>
                <w:lang w:val="en-US"/>
              </w:rPr>
              <w:t>12.6%</w:t>
            </w:r>
          </w:p>
          <w:p w:rsidR="007E16D5" w:rsidRPr="00E56625" w:rsidRDefault="007E16D5" w:rsidP="00A11E63">
            <w:pPr>
              <w:jc w:val="center"/>
              <w:rPr>
                <w:sz w:val="19"/>
                <w:szCs w:val="19"/>
                <w:lang w:val="en-US"/>
              </w:rPr>
            </w:pPr>
            <w:r w:rsidRPr="00E56625">
              <w:rPr>
                <w:sz w:val="19"/>
                <w:szCs w:val="19"/>
                <w:lang w:val="en-US"/>
              </w:rPr>
              <w:t>6.1%</w:t>
            </w:r>
          </w:p>
          <w:p w:rsidR="007E16D5" w:rsidRPr="00E56625" w:rsidRDefault="007E16D5" w:rsidP="00A11E63">
            <w:pPr>
              <w:jc w:val="center"/>
              <w:rPr>
                <w:sz w:val="19"/>
                <w:szCs w:val="19"/>
                <w:lang w:val="en-US"/>
              </w:rPr>
            </w:pPr>
            <w:r w:rsidRPr="00E56625">
              <w:rPr>
                <w:sz w:val="19"/>
                <w:szCs w:val="19"/>
                <w:lang w:val="en-US"/>
              </w:rPr>
              <w:t>11.0%</w:t>
            </w:r>
          </w:p>
          <w:p w:rsidR="007E16D5" w:rsidRPr="00E56625" w:rsidRDefault="007E16D5" w:rsidP="00A11E63">
            <w:pPr>
              <w:jc w:val="center"/>
              <w:rPr>
                <w:sz w:val="19"/>
                <w:szCs w:val="19"/>
                <w:lang w:val="en-US"/>
              </w:rPr>
            </w:pPr>
            <w:r w:rsidRPr="00E56625">
              <w:rPr>
                <w:sz w:val="19"/>
                <w:szCs w:val="19"/>
                <w:lang w:val="en-US"/>
              </w:rPr>
              <w:t>0.9%</w:t>
            </w:r>
          </w:p>
          <w:p w:rsidR="007E16D5" w:rsidRPr="00E56625" w:rsidRDefault="007E16D5" w:rsidP="00A11E63">
            <w:pPr>
              <w:jc w:val="center"/>
              <w:rPr>
                <w:sz w:val="19"/>
                <w:szCs w:val="19"/>
                <w:lang w:val="en-US"/>
              </w:rPr>
            </w:pPr>
            <w:r w:rsidRPr="00E56625">
              <w:rPr>
                <w:sz w:val="19"/>
                <w:szCs w:val="19"/>
                <w:lang w:val="en-US"/>
              </w:rPr>
              <w:t>6.4%</w:t>
            </w:r>
          </w:p>
        </w:tc>
        <w:tc>
          <w:tcPr>
            <w:tcW w:w="361" w:type="pct"/>
            <w:gridSpan w:val="2"/>
            <w:noWrap/>
          </w:tcPr>
          <w:p w:rsidR="007E16D5" w:rsidRPr="00E56625" w:rsidRDefault="007E16D5" w:rsidP="00A11E63">
            <w:pPr>
              <w:jc w:val="center"/>
              <w:rPr>
                <w:sz w:val="19"/>
                <w:szCs w:val="19"/>
                <w:lang w:val="en-US"/>
              </w:rPr>
            </w:pPr>
            <w:r w:rsidRPr="00E56625">
              <w:rPr>
                <w:sz w:val="19"/>
                <w:szCs w:val="19"/>
                <w:lang w:val="en-US"/>
              </w:rPr>
              <w:t>10.2%</w:t>
            </w:r>
          </w:p>
          <w:p w:rsidR="007E16D5" w:rsidRPr="00E56625" w:rsidRDefault="007E16D5" w:rsidP="00A11E63">
            <w:pPr>
              <w:jc w:val="center"/>
              <w:rPr>
                <w:sz w:val="19"/>
                <w:szCs w:val="19"/>
                <w:lang w:val="en-US"/>
              </w:rPr>
            </w:pPr>
            <w:r w:rsidRPr="00E56625">
              <w:rPr>
                <w:sz w:val="19"/>
                <w:szCs w:val="19"/>
                <w:lang w:val="en-US"/>
              </w:rPr>
              <w:t>0.3%</w:t>
            </w:r>
          </w:p>
          <w:p w:rsidR="007E16D5" w:rsidRPr="00E56625" w:rsidRDefault="007E16D5" w:rsidP="00A11E63">
            <w:pPr>
              <w:jc w:val="center"/>
              <w:rPr>
                <w:sz w:val="19"/>
                <w:szCs w:val="19"/>
                <w:lang w:val="en-US"/>
              </w:rPr>
            </w:pPr>
            <w:r w:rsidRPr="00E56625">
              <w:rPr>
                <w:sz w:val="19"/>
                <w:szCs w:val="19"/>
                <w:lang w:val="en-US"/>
              </w:rPr>
              <w:t>8.8%</w:t>
            </w:r>
          </w:p>
          <w:p w:rsidR="007E16D5" w:rsidRPr="00E56625" w:rsidRDefault="007E16D5" w:rsidP="00A11E63">
            <w:pPr>
              <w:jc w:val="center"/>
              <w:rPr>
                <w:sz w:val="19"/>
                <w:szCs w:val="19"/>
                <w:lang w:val="en-US"/>
              </w:rPr>
            </w:pPr>
            <w:r w:rsidRPr="00E56625">
              <w:rPr>
                <w:sz w:val="19"/>
                <w:szCs w:val="19"/>
                <w:lang w:val="en-US"/>
              </w:rPr>
              <w:t>32.2%</w:t>
            </w:r>
          </w:p>
          <w:p w:rsidR="007E16D5" w:rsidRPr="00E56625" w:rsidRDefault="007E16D5" w:rsidP="00A11E63">
            <w:pPr>
              <w:jc w:val="center"/>
              <w:rPr>
                <w:sz w:val="19"/>
                <w:szCs w:val="19"/>
                <w:lang w:val="en-US"/>
              </w:rPr>
            </w:pPr>
            <w:r w:rsidRPr="00E56625">
              <w:rPr>
                <w:sz w:val="19"/>
                <w:szCs w:val="19"/>
                <w:lang w:val="en-US"/>
              </w:rPr>
              <w:t>0.3%</w:t>
            </w:r>
          </w:p>
          <w:p w:rsidR="007E16D5" w:rsidRPr="00E56625" w:rsidRDefault="007E16D5" w:rsidP="00A11E63">
            <w:pPr>
              <w:jc w:val="center"/>
              <w:rPr>
                <w:sz w:val="19"/>
                <w:szCs w:val="19"/>
                <w:lang w:val="en-US"/>
              </w:rPr>
            </w:pPr>
            <w:r w:rsidRPr="00E56625">
              <w:rPr>
                <w:sz w:val="19"/>
                <w:szCs w:val="19"/>
                <w:lang w:val="en-US"/>
              </w:rPr>
              <w:t>16.2%</w:t>
            </w:r>
          </w:p>
          <w:p w:rsidR="007E16D5" w:rsidRPr="00E56625" w:rsidRDefault="007E16D5" w:rsidP="00A11E63">
            <w:pPr>
              <w:jc w:val="center"/>
              <w:rPr>
                <w:sz w:val="19"/>
                <w:szCs w:val="19"/>
                <w:lang w:val="en-US"/>
              </w:rPr>
            </w:pPr>
            <w:r w:rsidRPr="00E56625">
              <w:rPr>
                <w:sz w:val="19"/>
                <w:szCs w:val="19"/>
                <w:lang w:val="en-US"/>
              </w:rPr>
              <w:t>13.6%</w:t>
            </w:r>
          </w:p>
          <w:p w:rsidR="007E16D5" w:rsidRPr="00E56625" w:rsidRDefault="007E16D5" w:rsidP="00A11E63">
            <w:pPr>
              <w:jc w:val="center"/>
              <w:rPr>
                <w:sz w:val="19"/>
                <w:szCs w:val="19"/>
                <w:lang w:val="en-US"/>
              </w:rPr>
            </w:pPr>
            <w:r w:rsidRPr="00E56625">
              <w:rPr>
                <w:sz w:val="19"/>
                <w:szCs w:val="19"/>
                <w:lang w:val="en-US"/>
              </w:rPr>
              <w:t>3.8%</w:t>
            </w:r>
          </w:p>
          <w:p w:rsidR="007E16D5" w:rsidRPr="00E56625" w:rsidRDefault="007E16D5" w:rsidP="00A11E63">
            <w:pPr>
              <w:jc w:val="center"/>
              <w:rPr>
                <w:sz w:val="19"/>
                <w:szCs w:val="19"/>
                <w:lang w:val="en-US"/>
              </w:rPr>
            </w:pPr>
            <w:r w:rsidRPr="00E56625">
              <w:rPr>
                <w:sz w:val="19"/>
                <w:szCs w:val="19"/>
                <w:lang w:val="en-US"/>
              </w:rPr>
              <w:t>9.3%</w:t>
            </w:r>
          </w:p>
          <w:p w:rsidR="007E16D5" w:rsidRPr="00E56625" w:rsidRDefault="007E16D5" w:rsidP="00A11E63">
            <w:pPr>
              <w:jc w:val="center"/>
              <w:rPr>
                <w:sz w:val="19"/>
                <w:szCs w:val="19"/>
                <w:lang w:val="en-US"/>
              </w:rPr>
            </w:pPr>
            <w:r w:rsidRPr="00E56625">
              <w:rPr>
                <w:sz w:val="19"/>
                <w:szCs w:val="19"/>
                <w:lang w:val="en-US"/>
              </w:rPr>
              <w:t>0.7%</w:t>
            </w:r>
          </w:p>
          <w:p w:rsidR="007E16D5" w:rsidRPr="00E56625" w:rsidRDefault="007E16D5" w:rsidP="00A11E63">
            <w:pPr>
              <w:jc w:val="center"/>
              <w:rPr>
                <w:sz w:val="19"/>
                <w:szCs w:val="19"/>
                <w:lang w:val="en-US"/>
              </w:rPr>
            </w:pPr>
            <w:r w:rsidRPr="00E56625">
              <w:rPr>
                <w:sz w:val="19"/>
                <w:szCs w:val="19"/>
                <w:lang w:val="en-US"/>
              </w:rPr>
              <w:t>4.5%</w:t>
            </w:r>
          </w:p>
        </w:tc>
        <w:tc>
          <w:tcPr>
            <w:tcW w:w="371" w:type="pct"/>
            <w:gridSpan w:val="2"/>
            <w:noWrap/>
          </w:tcPr>
          <w:p w:rsidR="007E16D5" w:rsidRPr="00E56625" w:rsidRDefault="007E16D5" w:rsidP="00A11E63">
            <w:pPr>
              <w:jc w:val="center"/>
              <w:rPr>
                <w:sz w:val="19"/>
                <w:szCs w:val="19"/>
                <w:lang w:val="en-US"/>
              </w:rPr>
            </w:pPr>
            <w:r w:rsidRPr="00E56625">
              <w:rPr>
                <w:sz w:val="19"/>
                <w:szCs w:val="19"/>
                <w:lang w:val="en-US"/>
              </w:rPr>
              <w:t>8.4%</w:t>
            </w:r>
          </w:p>
          <w:p w:rsidR="007E16D5" w:rsidRPr="00E56625" w:rsidRDefault="007E16D5" w:rsidP="00A11E63">
            <w:pPr>
              <w:jc w:val="center"/>
              <w:rPr>
                <w:sz w:val="19"/>
                <w:szCs w:val="19"/>
                <w:lang w:val="en-US"/>
              </w:rPr>
            </w:pPr>
            <w:r w:rsidRPr="00E56625">
              <w:rPr>
                <w:sz w:val="19"/>
                <w:szCs w:val="19"/>
                <w:lang w:val="en-US"/>
              </w:rPr>
              <w:t>0.2%</w:t>
            </w:r>
          </w:p>
          <w:p w:rsidR="007E16D5" w:rsidRPr="00E56625" w:rsidRDefault="007E16D5" w:rsidP="00A11E63">
            <w:pPr>
              <w:jc w:val="center"/>
              <w:rPr>
                <w:sz w:val="19"/>
                <w:szCs w:val="19"/>
                <w:lang w:val="en-US"/>
              </w:rPr>
            </w:pPr>
            <w:r w:rsidRPr="00E56625">
              <w:rPr>
                <w:sz w:val="19"/>
                <w:szCs w:val="19"/>
                <w:lang w:val="en-US"/>
              </w:rPr>
              <w:t>10.1%</w:t>
            </w:r>
          </w:p>
          <w:p w:rsidR="007E16D5" w:rsidRPr="00E56625" w:rsidRDefault="007E16D5" w:rsidP="00A11E63">
            <w:pPr>
              <w:jc w:val="center"/>
              <w:rPr>
                <w:sz w:val="19"/>
                <w:szCs w:val="19"/>
                <w:lang w:val="en-US"/>
              </w:rPr>
            </w:pPr>
            <w:r w:rsidRPr="00E56625">
              <w:rPr>
                <w:sz w:val="19"/>
                <w:szCs w:val="19"/>
                <w:lang w:val="en-US"/>
              </w:rPr>
              <w:t>28.1%</w:t>
            </w:r>
          </w:p>
          <w:p w:rsidR="007E16D5" w:rsidRPr="00E56625" w:rsidRDefault="007E16D5" w:rsidP="00A11E63">
            <w:pPr>
              <w:jc w:val="center"/>
              <w:rPr>
                <w:sz w:val="19"/>
                <w:szCs w:val="19"/>
                <w:lang w:val="en-US"/>
              </w:rPr>
            </w:pPr>
            <w:r w:rsidRPr="00E56625">
              <w:rPr>
                <w:sz w:val="19"/>
                <w:szCs w:val="19"/>
                <w:lang w:val="en-US"/>
              </w:rPr>
              <w:t>0.3%</w:t>
            </w:r>
          </w:p>
          <w:p w:rsidR="007E16D5" w:rsidRPr="00E56625" w:rsidRDefault="007E16D5" w:rsidP="00A11E63">
            <w:pPr>
              <w:jc w:val="center"/>
              <w:rPr>
                <w:sz w:val="19"/>
                <w:szCs w:val="19"/>
                <w:lang w:val="en-US"/>
              </w:rPr>
            </w:pPr>
            <w:r w:rsidRPr="00E56625">
              <w:rPr>
                <w:sz w:val="19"/>
                <w:szCs w:val="19"/>
                <w:lang w:val="en-US"/>
              </w:rPr>
              <w:t>19.3%</w:t>
            </w:r>
          </w:p>
          <w:p w:rsidR="007E16D5" w:rsidRPr="00E56625" w:rsidRDefault="007E16D5" w:rsidP="00A11E63">
            <w:pPr>
              <w:jc w:val="center"/>
              <w:rPr>
                <w:sz w:val="19"/>
                <w:szCs w:val="19"/>
                <w:lang w:val="en-US"/>
              </w:rPr>
            </w:pPr>
            <w:r w:rsidRPr="00E56625">
              <w:rPr>
                <w:sz w:val="19"/>
                <w:szCs w:val="19"/>
                <w:lang w:val="en-US"/>
              </w:rPr>
              <w:t>9.0%</w:t>
            </w:r>
          </w:p>
          <w:p w:rsidR="007E16D5" w:rsidRPr="00E56625" w:rsidRDefault="007E16D5" w:rsidP="00A11E63">
            <w:pPr>
              <w:jc w:val="center"/>
              <w:rPr>
                <w:sz w:val="19"/>
                <w:szCs w:val="19"/>
                <w:lang w:val="en-US"/>
              </w:rPr>
            </w:pPr>
            <w:r w:rsidRPr="00E56625">
              <w:rPr>
                <w:sz w:val="19"/>
                <w:szCs w:val="19"/>
                <w:lang w:val="en-US"/>
              </w:rPr>
              <w:t>4.7%</w:t>
            </w:r>
          </w:p>
          <w:p w:rsidR="007E16D5" w:rsidRPr="00E56625" w:rsidRDefault="007E16D5" w:rsidP="00A11E63">
            <w:pPr>
              <w:jc w:val="center"/>
              <w:rPr>
                <w:sz w:val="19"/>
                <w:szCs w:val="19"/>
                <w:lang w:val="en-US"/>
              </w:rPr>
            </w:pPr>
            <w:r w:rsidRPr="00E56625">
              <w:rPr>
                <w:sz w:val="19"/>
                <w:szCs w:val="19"/>
                <w:lang w:val="en-US"/>
              </w:rPr>
              <w:t>13.4%</w:t>
            </w:r>
          </w:p>
          <w:p w:rsidR="007E16D5" w:rsidRPr="00E56625" w:rsidRDefault="007E16D5" w:rsidP="00A11E63">
            <w:pPr>
              <w:jc w:val="center"/>
              <w:rPr>
                <w:sz w:val="19"/>
                <w:szCs w:val="19"/>
                <w:lang w:val="en-US"/>
              </w:rPr>
            </w:pPr>
            <w:r w:rsidRPr="00E56625">
              <w:rPr>
                <w:sz w:val="19"/>
                <w:szCs w:val="19"/>
                <w:lang w:val="en-US"/>
              </w:rPr>
              <w:t>0.8%</w:t>
            </w:r>
          </w:p>
          <w:p w:rsidR="007E16D5" w:rsidRPr="00E56625" w:rsidRDefault="007E16D5" w:rsidP="00A11E63">
            <w:pPr>
              <w:jc w:val="center"/>
              <w:rPr>
                <w:sz w:val="19"/>
                <w:szCs w:val="19"/>
                <w:lang w:val="en-US"/>
              </w:rPr>
            </w:pPr>
            <w:r w:rsidRPr="00E56625">
              <w:rPr>
                <w:sz w:val="19"/>
                <w:szCs w:val="19"/>
                <w:lang w:val="en-US"/>
              </w:rPr>
              <w:t>5.6%</w:t>
            </w:r>
          </w:p>
        </w:tc>
        <w:tc>
          <w:tcPr>
            <w:tcW w:w="408" w:type="pct"/>
            <w:noWrap/>
          </w:tcPr>
          <w:p w:rsidR="007E16D5" w:rsidRPr="00E56625" w:rsidRDefault="007E16D5" w:rsidP="00A11E63">
            <w:pPr>
              <w:jc w:val="center"/>
              <w:rPr>
                <w:sz w:val="19"/>
                <w:szCs w:val="19"/>
                <w:lang w:val="en-US"/>
              </w:rPr>
            </w:pPr>
            <w:r w:rsidRPr="00E56625">
              <w:rPr>
                <w:sz w:val="19"/>
                <w:szCs w:val="19"/>
                <w:lang w:val="en-US"/>
              </w:rPr>
              <w:t>3.1%</w:t>
            </w:r>
          </w:p>
          <w:p w:rsidR="007E16D5" w:rsidRPr="00E56625" w:rsidRDefault="007E16D5" w:rsidP="00A11E63">
            <w:pPr>
              <w:jc w:val="center"/>
              <w:rPr>
                <w:sz w:val="19"/>
                <w:szCs w:val="19"/>
                <w:lang w:val="en-US"/>
              </w:rPr>
            </w:pPr>
            <w:r w:rsidRPr="00E56625">
              <w:rPr>
                <w:sz w:val="19"/>
                <w:szCs w:val="19"/>
                <w:lang w:val="en-US"/>
              </w:rPr>
              <w:t>0.4%</w:t>
            </w:r>
          </w:p>
          <w:p w:rsidR="007E16D5" w:rsidRPr="00E56625" w:rsidRDefault="007E16D5" w:rsidP="00A11E63">
            <w:pPr>
              <w:jc w:val="center"/>
              <w:rPr>
                <w:sz w:val="19"/>
                <w:szCs w:val="19"/>
                <w:lang w:val="en-US"/>
              </w:rPr>
            </w:pPr>
            <w:r w:rsidRPr="00E56625">
              <w:rPr>
                <w:sz w:val="19"/>
                <w:szCs w:val="19"/>
                <w:lang w:val="en-US"/>
              </w:rPr>
              <w:t>9.8%</w:t>
            </w:r>
          </w:p>
          <w:p w:rsidR="007E16D5" w:rsidRPr="00E56625" w:rsidRDefault="007E16D5" w:rsidP="00A11E63">
            <w:pPr>
              <w:jc w:val="center"/>
              <w:rPr>
                <w:sz w:val="19"/>
                <w:szCs w:val="19"/>
                <w:lang w:val="en-US"/>
              </w:rPr>
            </w:pPr>
            <w:r w:rsidRPr="00E56625">
              <w:rPr>
                <w:sz w:val="19"/>
                <w:szCs w:val="19"/>
                <w:lang w:val="en-US"/>
              </w:rPr>
              <w:t>31.6%</w:t>
            </w:r>
          </w:p>
          <w:p w:rsidR="007E16D5" w:rsidRPr="00E56625" w:rsidRDefault="007E16D5" w:rsidP="00A11E63">
            <w:pPr>
              <w:jc w:val="center"/>
              <w:rPr>
                <w:sz w:val="19"/>
                <w:szCs w:val="19"/>
                <w:lang w:val="en-US"/>
              </w:rPr>
            </w:pPr>
            <w:r w:rsidRPr="00E56625">
              <w:rPr>
                <w:sz w:val="19"/>
                <w:szCs w:val="19"/>
                <w:lang w:val="en-US"/>
              </w:rPr>
              <w:t>0.5%</w:t>
            </w:r>
          </w:p>
          <w:p w:rsidR="007E16D5" w:rsidRPr="00E56625" w:rsidRDefault="007E16D5" w:rsidP="00A11E63">
            <w:pPr>
              <w:jc w:val="center"/>
              <w:rPr>
                <w:sz w:val="19"/>
                <w:szCs w:val="19"/>
                <w:lang w:val="en-US"/>
              </w:rPr>
            </w:pPr>
            <w:r w:rsidRPr="00E56625">
              <w:rPr>
                <w:sz w:val="19"/>
                <w:szCs w:val="19"/>
                <w:lang w:val="en-US"/>
              </w:rPr>
              <w:t>14.9%</w:t>
            </w:r>
          </w:p>
          <w:p w:rsidR="007E16D5" w:rsidRPr="00E56625" w:rsidRDefault="007E16D5" w:rsidP="00A11E63">
            <w:pPr>
              <w:jc w:val="center"/>
              <w:rPr>
                <w:sz w:val="19"/>
                <w:szCs w:val="19"/>
                <w:lang w:val="en-US"/>
              </w:rPr>
            </w:pPr>
            <w:r w:rsidRPr="00E56625">
              <w:rPr>
                <w:sz w:val="19"/>
                <w:szCs w:val="19"/>
                <w:lang w:val="en-US"/>
              </w:rPr>
              <w:t>8.2%</w:t>
            </w:r>
          </w:p>
          <w:p w:rsidR="007E16D5" w:rsidRPr="00E56625" w:rsidRDefault="007E16D5" w:rsidP="00A11E63">
            <w:pPr>
              <w:jc w:val="center"/>
              <w:rPr>
                <w:sz w:val="19"/>
                <w:szCs w:val="19"/>
                <w:lang w:val="en-US"/>
              </w:rPr>
            </w:pPr>
            <w:r w:rsidRPr="00E56625">
              <w:rPr>
                <w:sz w:val="19"/>
                <w:szCs w:val="19"/>
                <w:lang w:val="en-US"/>
              </w:rPr>
              <w:t>5.7%</w:t>
            </w:r>
          </w:p>
          <w:p w:rsidR="007E16D5" w:rsidRPr="00E56625" w:rsidRDefault="007E16D5" w:rsidP="00A11E63">
            <w:pPr>
              <w:jc w:val="center"/>
              <w:rPr>
                <w:sz w:val="19"/>
                <w:szCs w:val="19"/>
                <w:lang w:val="en-US"/>
              </w:rPr>
            </w:pPr>
            <w:r w:rsidRPr="00E56625">
              <w:rPr>
                <w:sz w:val="19"/>
                <w:szCs w:val="19"/>
                <w:lang w:val="en-US"/>
              </w:rPr>
              <w:t>16.9%</w:t>
            </w:r>
          </w:p>
          <w:p w:rsidR="007E16D5" w:rsidRPr="00E56625" w:rsidRDefault="007E16D5" w:rsidP="00A11E63">
            <w:pPr>
              <w:jc w:val="center"/>
              <w:rPr>
                <w:sz w:val="19"/>
                <w:szCs w:val="19"/>
                <w:lang w:val="en-US"/>
              </w:rPr>
            </w:pPr>
            <w:r w:rsidRPr="00E56625">
              <w:rPr>
                <w:sz w:val="19"/>
                <w:szCs w:val="19"/>
                <w:lang w:val="en-US"/>
              </w:rPr>
              <w:t>1.1%</w:t>
            </w:r>
          </w:p>
          <w:p w:rsidR="007E16D5" w:rsidRPr="00E56625" w:rsidRDefault="007E16D5" w:rsidP="00A11E63">
            <w:pPr>
              <w:jc w:val="center"/>
              <w:rPr>
                <w:sz w:val="19"/>
                <w:szCs w:val="19"/>
                <w:lang w:val="en-US"/>
              </w:rPr>
            </w:pPr>
            <w:r w:rsidRPr="00E56625">
              <w:rPr>
                <w:sz w:val="19"/>
                <w:szCs w:val="19"/>
                <w:lang w:val="en-US"/>
              </w:rPr>
              <w:t>7.9%</w:t>
            </w:r>
          </w:p>
        </w:tc>
      </w:tr>
      <w:tr w:rsidR="007E16D5" w:rsidRPr="008F3531" w:rsidTr="00A11E63">
        <w:trPr>
          <w:trHeight w:val="152"/>
        </w:trPr>
        <w:tc>
          <w:tcPr>
            <w:tcW w:w="5000" w:type="pct"/>
            <w:gridSpan w:val="11"/>
            <w:noWrap/>
            <w:hideMark/>
          </w:tcPr>
          <w:p w:rsidR="007E16D5" w:rsidRPr="00E56625" w:rsidRDefault="007E16D5" w:rsidP="00A11E63">
            <w:pPr>
              <w:rPr>
                <w:sz w:val="19"/>
                <w:szCs w:val="19"/>
                <w:lang w:val="en-US"/>
              </w:rPr>
            </w:pPr>
            <w:r w:rsidRPr="00E56625">
              <w:rPr>
                <w:b/>
                <w:bCs/>
                <w:sz w:val="19"/>
                <w:szCs w:val="19"/>
                <w:lang w:val="en-US"/>
              </w:rPr>
              <w:t>Occupational status (occupied workers, ages 15-64)</w:t>
            </w:r>
          </w:p>
        </w:tc>
      </w:tr>
      <w:tr w:rsidR="007E16D5" w:rsidRPr="008F3531" w:rsidTr="007E16D5">
        <w:trPr>
          <w:trHeight w:val="206"/>
        </w:trPr>
        <w:tc>
          <w:tcPr>
            <w:tcW w:w="1479" w:type="pct"/>
            <w:noWrap/>
            <w:hideMark/>
          </w:tcPr>
          <w:p w:rsidR="007E16D5" w:rsidRPr="00E56625" w:rsidRDefault="007E16D5" w:rsidP="00A11E63">
            <w:pPr>
              <w:rPr>
                <w:sz w:val="19"/>
                <w:szCs w:val="19"/>
                <w:lang w:val="en-US"/>
              </w:rPr>
            </w:pPr>
            <w:r w:rsidRPr="00E56625">
              <w:rPr>
                <w:sz w:val="19"/>
                <w:szCs w:val="19"/>
                <w:lang w:val="en-US"/>
              </w:rPr>
              <w:t xml:space="preserve">  Wage labor</w:t>
            </w:r>
          </w:p>
        </w:tc>
        <w:tc>
          <w:tcPr>
            <w:tcW w:w="491" w:type="pct"/>
            <w:noWrap/>
          </w:tcPr>
          <w:p w:rsidR="007E16D5" w:rsidRPr="00E56625" w:rsidRDefault="007E16D5" w:rsidP="00A11E63">
            <w:pPr>
              <w:jc w:val="center"/>
              <w:rPr>
                <w:sz w:val="19"/>
                <w:szCs w:val="19"/>
                <w:lang w:val="en-US"/>
              </w:rPr>
            </w:pPr>
            <w:r w:rsidRPr="00E56625">
              <w:rPr>
                <w:sz w:val="19"/>
                <w:szCs w:val="19"/>
                <w:lang w:val="en-US"/>
              </w:rPr>
              <w:t>2.3%</w:t>
            </w:r>
          </w:p>
        </w:tc>
        <w:tc>
          <w:tcPr>
            <w:tcW w:w="586" w:type="pct"/>
            <w:noWrap/>
          </w:tcPr>
          <w:p w:rsidR="007E16D5" w:rsidRPr="00E56625" w:rsidRDefault="007E16D5" w:rsidP="00A11E63">
            <w:pPr>
              <w:jc w:val="center"/>
              <w:rPr>
                <w:sz w:val="19"/>
                <w:szCs w:val="19"/>
                <w:lang w:val="en-US"/>
              </w:rPr>
            </w:pPr>
            <w:r w:rsidRPr="00E56625">
              <w:rPr>
                <w:sz w:val="19"/>
                <w:szCs w:val="19"/>
                <w:lang w:val="en-US"/>
              </w:rPr>
              <w:t>8.9%</w:t>
            </w:r>
          </w:p>
        </w:tc>
        <w:tc>
          <w:tcPr>
            <w:tcW w:w="494" w:type="pct"/>
            <w:noWrap/>
          </w:tcPr>
          <w:p w:rsidR="007E16D5" w:rsidRPr="00E56625" w:rsidRDefault="007E16D5" w:rsidP="00A11E63">
            <w:pPr>
              <w:jc w:val="center"/>
              <w:rPr>
                <w:sz w:val="19"/>
                <w:szCs w:val="19"/>
                <w:lang w:val="en-US"/>
              </w:rPr>
            </w:pPr>
            <w:r w:rsidRPr="00E56625">
              <w:rPr>
                <w:sz w:val="19"/>
                <w:szCs w:val="19"/>
                <w:lang w:val="en-US"/>
              </w:rPr>
              <w:t>13.0%</w:t>
            </w:r>
          </w:p>
        </w:tc>
        <w:tc>
          <w:tcPr>
            <w:tcW w:w="494" w:type="pct"/>
            <w:noWrap/>
          </w:tcPr>
          <w:p w:rsidR="007E16D5" w:rsidRPr="00E56625" w:rsidRDefault="007E16D5" w:rsidP="00A11E63">
            <w:pPr>
              <w:jc w:val="center"/>
              <w:rPr>
                <w:sz w:val="19"/>
                <w:szCs w:val="19"/>
                <w:lang w:val="en-US"/>
              </w:rPr>
            </w:pPr>
            <w:r w:rsidRPr="00E56625">
              <w:rPr>
                <w:sz w:val="19"/>
                <w:szCs w:val="19"/>
                <w:lang w:val="en-US"/>
              </w:rPr>
              <w:t>17.5%</w:t>
            </w:r>
          </w:p>
        </w:tc>
        <w:tc>
          <w:tcPr>
            <w:tcW w:w="316" w:type="pct"/>
            <w:noWrap/>
          </w:tcPr>
          <w:p w:rsidR="007E16D5" w:rsidRPr="00E56625" w:rsidRDefault="007E16D5" w:rsidP="00A11E63">
            <w:pPr>
              <w:jc w:val="center"/>
              <w:rPr>
                <w:sz w:val="19"/>
                <w:szCs w:val="19"/>
                <w:lang w:val="en-US"/>
              </w:rPr>
            </w:pPr>
            <w:r w:rsidRPr="00E56625">
              <w:rPr>
                <w:sz w:val="19"/>
                <w:szCs w:val="19"/>
                <w:lang w:val="en-US"/>
              </w:rPr>
              <w:t>20.0%</w:t>
            </w:r>
          </w:p>
        </w:tc>
        <w:tc>
          <w:tcPr>
            <w:tcW w:w="361" w:type="pct"/>
            <w:gridSpan w:val="2"/>
            <w:noWrap/>
          </w:tcPr>
          <w:p w:rsidR="007E16D5" w:rsidRPr="00E56625" w:rsidRDefault="007E16D5" w:rsidP="00A11E63">
            <w:pPr>
              <w:jc w:val="center"/>
              <w:rPr>
                <w:sz w:val="19"/>
                <w:szCs w:val="19"/>
                <w:lang w:val="en-US"/>
              </w:rPr>
            </w:pPr>
            <w:r w:rsidRPr="00E56625">
              <w:rPr>
                <w:sz w:val="19"/>
                <w:szCs w:val="19"/>
                <w:lang w:val="en-US"/>
              </w:rPr>
              <w:t>20.8%</w:t>
            </w:r>
          </w:p>
        </w:tc>
        <w:tc>
          <w:tcPr>
            <w:tcW w:w="371" w:type="pct"/>
            <w:gridSpan w:val="2"/>
            <w:noWrap/>
          </w:tcPr>
          <w:p w:rsidR="007E16D5" w:rsidRPr="00E56625" w:rsidRDefault="007E16D5" w:rsidP="00A11E63">
            <w:pPr>
              <w:jc w:val="center"/>
              <w:rPr>
                <w:sz w:val="19"/>
                <w:szCs w:val="19"/>
                <w:lang w:val="en-US"/>
              </w:rPr>
            </w:pPr>
            <w:r w:rsidRPr="00E56625">
              <w:rPr>
                <w:sz w:val="19"/>
                <w:szCs w:val="19"/>
                <w:lang w:val="en-US"/>
              </w:rPr>
              <w:t>24.3%</w:t>
            </w:r>
          </w:p>
        </w:tc>
        <w:tc>
          <w:tcPr>
            <w:tcW w:w="408" w:type="pct"/>
            <w:noWrap/>
          </w:tcPr>
          <w:p w:rsidR="007E16D5" w:rsidRPr="00E56625" w:rsidRDefault="007E16D5" w:rsidP="00A11E63">
            <w:pPr>
              <w:jc w:val="center"/>
              <w:rPr>
                <w:sz w:val="19"/>
                <w:szCs w:val="19"/>
                <w:lang w:val="en-US"/>
              </w:rPr>
            </w:pPr>
            <w:r w:rsidRPr="00E56625">
              <w:rPr>
                <w:sz w:val="19"/>
                <w:szCs w:val="19"/>
                <w:lang w:val="en-US"/>
              </w:rPr>
              <w:t>25.5%</w:t>
            </w:r>
          </w:p>
        </w:tc>
      </w:tr>
    </w:tbl>
    <w:p w:rsidR="00FC7657" w:rsidRDefault="00FC7657">
      <w:pPr>
        <w:spacing w:line="276" w:lineRule="auto"/>
        <w:rPr>
          <w:b/>
          <w:sz w:val="12"/>
          <w:szCs w:val="12"/>
          <w:lang w:val="en-US"/>
        </w:rPr>
      </w:pPr>
      <w:r>
        <w:rPr>
          <w:b/>
          <w:sz w:val="12"/>
          <w:szCs w:val="12"/>
          <w:lang w:val="en-US"/>
        </w:rPr>
        <w:br w:type="page"/>
      </w:r>
    </w:p>
    <w:p w:rsidR="00C73CC7" w:rsidRDefault="00FC7657" w:rsidP="007E16D5">
      <w:pPr>
        <w:jc w:val="center"/>
        <w:rPr>
          <w:b/>
          <w:lang w:val="en-US"/>
        </w:rPr>
      </w:pPr>
      <w:r w:rsidRPr="00E56625">
        <w:rPr>
          <w:b/>
          <w:lang w:val="en-US"/>
        </w:rPr>
        <w:t>Annex 4</w:t>
      </w:r>
    </w:p>
    <w:p w:rsidR="00FC7657" w:rsidRDefault="00FC7657" w:rsidP="00E56625">
      <w:pPr>
        <w:rPr>
          <w:b/>
          <w:lang w:val="en-US"/>
        </w:rPr>
      </w:pPr>
      <w:r>
        <w:rPr>
          <w:b/>
          <w:lang w:val="en-US"/>
        </w:rPr>
        <w:t>Poverty incidence by livelihood zone (including standard errors)</w:t>
      </w:r>
    </w:p>
    <w:tbl>
      <w:tblPr>
        <w:tblW w:w="13380" w:type="dxa"/>
        <w:tblLook w:val="04A0" w:firstRow="1" w:lastRow="0" w:firstColumn="1" w:lastColumn="0" w:noHBand="0" w:noVBand="1"/>
      </w:tblPr>
      <w:tblGrid>
        <w:gridCol w:w="9260"/>
        <w:gridCol w:w="1760"/>
        <w:gridCol w:w="960"/>
        <w:gridCol w:w="1400"/>
      </w:tblGrid>
      <w:tr w:rsidR="00FC7657" w:rsidRPr="00FC7657" w:rsidTr="00E56625">
        <w:trPr>
          <w:trHeight w:val="300"/>
        </w:trPr>
        <w:tc>
          <w:tcPr>
            <w:tcW w:w="9260" w:type="dxa"/>
            <w:tcBorders>
              <w:top w:val="single" w:sz="4" w:space="0" w:color="auto"/>
              <w:left w:val="nil"/>
              <w:bottom w:val="single" w:sz="4" w:space="0" w:color="auto"/>
              <w:right w:val="nil"/>
            </w:tcBorders>
            <w:shd w:val="clear" w:color="auto" w:fill="auto"/>
            <w:noWrap/>
            <w:vAlign w:val="center"/>
            <w:hideMark/>
          </w:tcPr>
          <w:p w:rsidR="00FC7657" w:rsidRPr="00E56625" w:rsidRDefault="00FC7657" w:rsidP="00FC7657">
            <w:pPr>
              <w:spacing w:after="0"/>
              <w:rPr>
                <w:rFonts w:eastAsia="Times New Roman"/>
                <w:b/>
                <w:bCs/>
                <w:color w:val="000000"/>
                <w:lang w:val="en-US"/>
              </w:rPr>
            </w:pPr>
            <w:r w:rsidRPr="00FC7657">
              <w:rPr>
                <w:rFonts w:eastAsia="Times New Roman"/>
                <w:b/>
                <w:bCs/>
                <w:color w:val="000000"/>
                <w:lang w:val="en-US"/>
              </w:rPr>
              <w:t xml:space="preserve">Livelihood </w:t>
            </w:r>
            <w:r w:rsidRPr="00E56625">
              <w:rPr>
                <w:rFonts w:eastAsia="Times New Roman"/>
                <w:b/>
                <w:bCs/>
                <w:color w:val="000000"/>
                <w:lang w:val="en-US"/>
              </w:rPr>
              <w:t>zone</w:t>
            </w:r>
          </w:p>
        </w:tc>
        <w:tc>
          <w:tcPr>
            <w:tcW w:w="1760" w:type="dxa"/>
            <w:tcBorders>
              <w:top w:val="single" w:sz="4" w:space="0" w:color="auto"/>
              <w:left w:val="nil"/>
              <w:bottom w:val="single" w:sz="4" w:space="0" w:color="auto"/>
              <w:right w:val="nil"/>
            </w:tcBorders>
            <w:shd w:val="clear" w:color="auto" w:fill="auto"/>
            <w:vAlign w:val="bottom"/>
            <w:hideMark/>
          </w:tcPr>
          <w:p w:rsidR="00FC7657" w:rsidRPr="00E56625" w:rsidRDefault="00FC7657" w:rsidP="00E56625">
            <w:pPr>
              <w:spacing w:after="0"/>
              <w:jc w:val="center"/>
              <w:rPr>
                <w:rFonts w:eastAsia="Times New Roman"/>
                <w:b/>
                <w:color w:val="000000"/>
                <w:lang w:val="en-US"/>
              </w:rPr>
            </w:pPr>
            <w:r w:rsidRPr="00E56625">
              <w:rPr>
                <w:rFonts w:eastAsia="Times New Roman"/>
                <w:b/>
                <w:color w:val="000000"/>
                <w:lang w:val="en-US"/>
              </w:rPr>
              <w:t>2001</w:t>
            </w:r>
          </w:p>
        </w:tc>
        <w:tc>
          <w:tcPr>
            <w:tcW w:w="960" w:type="dxa"/>
            <w:tcBorders>
              <w:top w:val="single" w:sz="4" w:space="0" w:color="auto"/>
              <w:left w:val="nil"/>
              <w:bottom w:val="single" w:sz="4" w:space="0" w:color="auto"/>
              <w:right w:val="nil"/>
            </w:tcBorders>
            <w:shd w:val="clear" w:color="auto" w:fill="auto"/>
            <w:vAlign w:val="bottom"/>
            <w:hideMark/>
          </w:tcPr>
          <w:p w:rsidR="00FC7657" w:rsidRPr="00E56625" w:rsidRDefault="00FC7657" w:rsidP="00E56625">
            <w:pPr>
              <w:spacing w:after="0"/>
              <w:jc w:val="center"/>
              <w:rPr>
                <w:rFonts w:eastAsia="Times New Roman"/>
                <w:b/>
                <w:color w:val="000000"/>
                <w:lang w:val="en-US"/>
              </w:rPr>
            </w:pPr>
            <w:r w:rsidRPr="00E56625">
              <w:rPr>
                <w:rFonts w:eastAsia="Times New Roman"/>
                <w:b/>
                <w:color w:val="000000"/>
                <w:lang w:val="en-US"/>
              </w:rPr>
              <w:t>2006</w:t>
            </w:r>
          </w:p>
        </w:tc>
        <w:tc>
          <w:tcPr>
            <w:tcW w:w="1400" w:type="dxa"/>
            <w:tcBorders>
              <w:top w:val="single" w:sz="4" w:space="0" w:color="auto"/>
              <w:left w:val="nil"/>
              <w:bottom w:val="single" w:sz="4" w:space="0" w:color="auto"/>
              <w:right w:val="nil"/>
            </w:tcBorders>
            <w:shd w:val="clear" w:color="auto" w:fill="auto"/>
            <w:vAlign w:val="bottom"/>
            <w:hideMark/>
          </w:tcPr>
          <w:p w:rsidR="00FC7657" w:rsidRPr="00E56625" w:rsidRDefault="00FC7657" w:rsidP="00E56625">
            <w:pPr>
              <w:spacing w:after="0"/>
              <w:jc w:val="center"/>
              <w:rPr>
                <w:rFonts w:eastAsia="Times New Roman"/>
                <w:b/>
                <w:color w:val="000000"/>
                <w:lang w:val="en-US"/>
              </w:rPr>
            </w:pPr>
            <w:r w:rsidRPr="00E56625">
              <w:rPr>
                <w:rFonts w:eastAsia="Times New Roman"/>
                <w:b/>
                <w:color w:val="000000"/>
                <w:lang w:val="en-US"/>
              </w:rPr>
              <w:t>2010</w:t>
            </w:r>
          </w:p>
        </w:tc>
      </w:tr>
      <w:tr w:rsidR="00FC7657" w:rsidRPr="00FC7657" w:rsidTr="00E56625">
        <w:trPr>
          <w:trHeight w:val="300"/>
        </w:trPr>
        <w:tc>
          <w:tcPr>
            <w:tcW w:w="9260" w:type="dxa"/>
            <w:tcBorders>
              <w:top w:val="single" w:sz="4" w:space="0" w:color="auto"/>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1. Nomadism and trans-Saharan trade</w:t>
            </w:r>
          </w:p>
        </w:tc>
        <w:tc>
          <w:tcPr>
            <w:tcW w:w="1760" w:type="dxa"/>
            <w:tcBorders>
              <w:top w:val="single" w:sz="4" w:space="0" w:color="auto"/>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12.7</w:t>
            </w:r>
          </w:p>
        </w:tc>
        <w:tc>
          <w:tcPr>
            <w:tcW w:w="960" w:type="dxa"/>
            <w:tcBorders>
              <w:top w:val="single" w:sz="4" w:space="0" w:color="auto"/>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42.3</w:t>
            </w:r>
          </w:p>
        </w:tc>
        <w:tc>
          <w:tcPr>
            <w:tcW w:w="1400" w:type="dxa"/>
            <w:tcBorders>
              <w:top w:val="single" w:sz="4" w:space="0" w:color="auto"/>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37.5</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3.4</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10.4</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5.0</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2. Nomadic and transhumant pastoralism</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20.6</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17.1</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22.3</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7.9</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4.6</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2.3</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 xml:space="preserve">3.  Fluvial rice and transhumant livestock rearing </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46.0</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37.8</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29.7</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8.9</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9.6</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3.7</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4. Millet and transhumant livestock rearing</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68.2</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42.5</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58.2</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4.7</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4.2</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4.3</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5. Dogon plateau -- millet, shallots, wild foods, tourism</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82.4</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87.5</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40.7</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4.0</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9.9</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9.2</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 xml:space="preserve">6. Niger delta - rice and livestock rearing </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23.7</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19.5</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29.6</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4.9</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5.3</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2.9</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7. Office du Niger (irrigated rice)</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40.8</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57.0</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21.2</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8.3</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9.2</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6.3</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8. Remittances, sorghum, transhumant livestock rearing</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62.6</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30.4</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19.6</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4.4</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3.7</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3.8</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9. West and central rain</w:t>
            </w:r>
            <w:r>
              <w:rPr>
                <w:rFonts w:eastAsia="Times New Roman"/>
                <w:color w:val="000000"/>
                <w:lang w:val="en-US"/>
              </w:rPr>
              <w:t>-</w:t>
            </w:r>
            <w:r w:rsidRPr="00E56625">
              <w:rPr>
                <w:rFonts w:eastAsia="Times New Roman"/>
                <w:color w:val="000000"/>
                <w:lang w:val="en-US"/>
              </w:rPr>
              <w:t>fed millet/sorghum</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49.9</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45.7</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42.5</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3.6</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2.6</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2.9</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10. Sorghum, millet and cotton</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54.6</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70.9</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74.3</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6.7</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5.4</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3.9</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11. South maize, cotton and fruits</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71.8</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56.2</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52.0</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3.0</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2.8</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3.1</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12. South-west maize, sorghum and fruits</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80.1</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63.0</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52.7</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5.6</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6.4</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6.0</w:t>
            </w:r>
          </w:p>
        </w:tc>
      </w:tr>
      <w:tr w:rsidR="00FC7657" w:rsidRPr="00FC7657" w:rsidTr="00FC7657">
        <w:trPr>
          <w:trHeight w:val="300"/>
        </w:trPr>
        <w:tc>
          <w:tcPr>
            <w:tcW w:w="9260" w:type="dxa"/>
            <w:tcBorders>
              <w:top w:val="nil"/>
              <w:left w:val="nil"/>
              <w:bottom w:val="nil"/>
              <w:right w:val="nil"/>
            </w:tcBorders>
            <w:shd w:val="clear" w:color="auto" w:fill="auto"/>
            <w:noWrap/>
            <w:vAlign w:val="bottom"/>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13. Bamako</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14.1</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6.3</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7.6</w:t>
            </w:r>
          </w:p>
        </w:tc>
      </w:tr>
      <w:tr w:rsidR="00FC7657" w:rsidRPr="00FC7657" w:rsidTr="00FC7657">
        <w:trPr>
          <w:trHeight w:val="300"/>
        </w:trPr>
        <w:tc>
          <w:tcPr>
            <w:tcW w:w="9260" w:type="dxa"/>
            <w:tcBorders>
              <w:top w:val="nil"/>
              <w:left w:val="nil"/>
              <w:bottom w:val="nil"/>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3.4</w:t>
            </w:r>
          </w:p>
        </w:tc>
        <w:tc>
          <w:tcPr>
            <w:tcW w:w="96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2.3</w:t>
            </w:r>
          </w:p>
        </w:tc>
        <w:tc>
          <w:tcPr>
            <w:tcW w:w="1400" w:type="dxa"/>
            <w:tcBorders>
              <w:top w:val="nil"/>
              <w:left w:val="nil"/>
              <w:bottom w:val="nil"/>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1.1</w:t>
            </w:r>
          </w:p>
        </w:tc>
      </w:tr>
      <w:tr w:rsidR="00FC7657" w:rsidRPr="00FC7657" w:rsidTr="00E56625">
        <w:trPr>
          <w:trHeight w:val="300"/>
        </w:trPr>
        <w:tc>
          <w:tcPr>
            <w:tcW w:w="9260" w:type="dxa"/>
            <w:tcBorders>
              <w:top w:val="nil"/>
              <w:left w:val="nil"/>
              <w:right w:val="nil"/>
            </w:tcBorders>
            <w:shd w:val="clear" w:color="auto" w:fill="auto"/>
            <w:vAlign w:val="center"/>
            <w:hideMark/>
          </w:tcPr>
          <w:p w:rsidR="00FC7657" w:rsidRPr="00E56625" w:rsidRDefault="00FC7657" w:rsidP="00FC7657">
            <w:pPr>
              <w:spacing w:after="0"/>
              <w:rPr>
                <w:rFonts w:eastAsia="Times New Roman"/>
                <w:color w:val="000000"/>
                <w:lang w:val="en-US"/>
              </w:rPr>
            </w:pPr>
            <w:r w:rsidRPr="00E56625">
              <w:rPr>
                <w:rFonts w:eastAsia="Times New Roman"/>
                <w:color w:val="000000"/>
                <w:lang w:val="en-US"/>
              </w:rPr>
              <w:t>Mali</w:t>
            </w:r>
          </w:p>
        </w:tc>
        <w:tc>
          <w:tcPr>
            <w:tcW w:w="1760" w:type="dxa"/>
            <w:tcBorders>
              <w:top w:val="nil"/>
              <w:left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50.9</w:t>
            </w:r>
          </w:p>
        </w:tc>
        <w:tc>
          <w:tcPr>
            <w:tcW w:w="960" w:type="dxa"/>
            <w:tcBorders>
              <w:top w:val="nil"/>
              <w:left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41.7</w:t>
            </w:r>
          </w:p>
        </w:tc>
        <w:tc>
          <w:tcPr>
            <w:tcW w:w="1400" w:type="dxa"/>
            <w:tcBorders>
              <w:top w:val="nil"/>
              <w:left w:val="nil"/>
              <w:right w:val="nil"/>
            </w:tcBorders>
            <w:shd w:val="clear" w:color="auto" w:fill="auto"/>
            <w:noWrap/>
            <w:vAlign w:val="center"/>
            <w:hideMark/>
          </w:tcPr>
          <w:p w:rsidR="00FC7657" w:rsidRPr="00E56625" w:rsidRDefault="00FC7657">
            <w:pPr>
              <w:spacing w:after="0"/>
              <w:jc w:val="center"/>
              <w:rPr>
                <w:rFonts w:eastAsia="Times New Roman"/>
                <w:color w:val="000000"/>
                <w:lang w:val="en-US"/>
              </w:rPr>
            </w:pPr>
            <w:r w:rsidRPr="00E56625">
              <w:rPr>
                <w:rFonts w:eastAsia="Times New Roman"/>
                <w:color w:val="000000"/>
                <w:lang w:val="en-US"/>
              </w:rPr>
              <w:t>41.1</w:t>
            </w:r>
          </w:p>
        </w:tc>
      </w:tr>
      <w:tr w:rsidR="00FC7657" w:rsidRPr="00FC7657" w:rsidTr="00E56625">
        <w:trPr>
          <w:trHeight w:val="300"/>
        </w:trPr>
        <w:tc>
          <w:tcPr>
            <w:tcW w:w="9260" w:type="dxa"/>
            <w:tcBorders>
              <w:top w:val="nil"/>
              <w:left w:val="nil"/>
              <w:bottom w:val="single" w:sz="4" w:space="0" w:color="auto"/>
              <w:right w:val="nil"/>
            </w:tcBorders>
            <w:shd w:val="clear" w:color="auto" w:fill="auto"/>
            <w:vAlign w:val="center"/>
            <w:hideMark/>
          </w:tcPr>
          <w:p w:rsidR="00FC7657" w:rsidRPr="00E56625" w:rsidRDefault="00FC7657" w:rsidP="00FC7657">
            <w:pPr>
              <w:spacing w:after="0"/>
              <w:rPr>
                <w:rFonts w:eastAsia="Times New Roman"/>
                <w:i/>
                <w:color w:val="000000"/>
                <w:lang w:val="en-US"/>
              </w:rPr>
            </w:pPr>
            <w:r w:rsidRPr="00E56625">
              <w:rPr>
                <w:rFonts w:eastAsia="Times New Roman"/>
                <w:i/>
                <w:color w:val="000000"/>
                <w:lang w:val="en-US"/>
              </w:rPr>
              <w:t>standard error</w:t>
            </w:r>
          </w:p>
        </w:tc>
        <w:tc>
          <w:tcPr>
            <w:tcW w:w="1760" w:type="dxa"/>
            <w:tcBorders>
              <w:top w:val="nil"/>
              <w:left w:val="nil"/>
              <w:bottom w:val="single" w:sz="4" w:space="0" w:color="auto"/>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1.7</w:t>
            </w:r>
          </w:p>
        </w:tc>
        <w:tc>
          <w:tcPr>
            <w:tcW w:w="960" w:type="dxa"/>
            <w:tcBorders>
              <w:top w:val="nil"/>
              <w:left w:val="nil"/>
              <w:bottom w:val="single" w:sz="4" w:space="0" w:color="auto"/>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1.5</w:t>
            </w:r>
          </w:p>
        </w:tc>
        <w:tc>
          <w:tcPr>
            <w:tcW w:w="1400" w:type="dxa"/>
            <w:tcBorders>
              <w:top w:val="nil"/>
              <w:left w:val="nil"/>
              <w:bottom w:val="single" w:sz="4" w:space="0" w:color="auto"/>
              <w:right w:val="nil"/>
            </w:tcBorders>
            <w:shd w:val="clear" w:color="auto" w:fill="auto"/>
            <w:noWrap/>
            <w:vAlign w:val="center"/>
            <w:hideMark/>
          </w:tcPr>
          <w:p w:rsidR="00FC7657" w:rsidRPr="00E56625" w:rsidRDefault="00FC7657">
            <w:pPr>
              <w:spacing w:after="0"/>
              <w:jc w:val="center"/>
              <w:rPr>
                <w:rFonts w:eastAsia="Times New Roman"/>
                <w:i/>
                <w:color w:val="000000"/>
                <w:lang w:val="en-US"/>
              </w:rPr>
            </w:pPr>
            <w:r w:rsidRPr="00E56625">
              <w:rPr>
                <w:rFonts w:eastAsia="Times New Roman"/>
                <w:i/>
                <w:color w:val="000000"/>
                <w:lang w:val="en-US"/>
              </w:rPr>
              <w:t>1.3</w:t>
            </w:r>
          </w:p>
        </w:tc>
      </w:tr>
    </w:tbl>
    <w:p w:rsidR="00FC7657" w:rsidRPr="00E56625" w:rsidRDefault="00FC7657" w:rsidP="007E16D5">
      <w:pPr>
        <w:jc w:val="center"/>
        <w:rPr>
          <w:b/>
          <w:lang w:val="en-US"/>
        </w:rPr>
      </w:pPr>
    </w:p>
    <w:sectPr w:rsidR="00FC7657" w:rsidRPr="00E56625" w:rsidSect="00DF293B">
      <w:pgSz w:w="15840" w:h="12240" w:orient="landscape" w:code="1"/>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6C3" w:rsidRDefault="00B276C3" w:rsidP="00CF0E26">
      <w:pPr>
        <w:spacing w:after="0"/>
      </w:pPr>
      <w:r>
        <w:separator/>
      </w:r>
    </w:p>
  </w:endnote>
  <w:endnote w:type="continuationSeparator" w:id="0">
    <w:p w:rsidR="00B276C3" w:rsidRDefault="00B276C3" w:rsidP="00CF0E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6C3" w:rsidRDefault="00B276C3" w:rsidP="00A20A3A">
    <w:pPr>
      <w:pStyle w:val="Footer"/>
      <w:jc w:val="center"/>
    </w:pPr>
  </w:p>
  <w:p w:rsidR="00B276C3" w:rsidRDefault="00B276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046867"/>
      <w:docPartObj>
        <w:docPartGallery w:val="Page Numbers (Bottom of Page)"/>
        <w:docPartUnique/>
      </w:docPartObj>
    </w:sdtPr>
    <w:sdtEndPr>
      <w:rPr>
        <w:noProof/>
      </w:rPr>
    </w:sdtEndPr>
    <w:sdtContent>
      <w:p w:rsidR="00B276C3" w:rsidRDefault="00B276C3">
        <w:pPr>
          <w:pStyle w:val="Footer"/>
          <w:jc w:val="center"/>
        </w:pPr>
        <w:r>
          <w:fldChar w:fldCharType="begin"/>
        </w:r>
        <w:r>
          <w:instrText xml:space="preserve"> PAGE   \* MERGEFORMAT </w:instrText>
        </w:r>
        <w:r>
          <w:fldChar w:fldCharType="separate"/>
        </w:r>
        <w:r w:rsidR="00B250D9">
          <w:rPr>
            <w:noProof/>
          </w:rPr>
          <w:t>ii</w:t>
        </w:r>
        <w:r>
          <w:rPr>
            <w:noProof/>
          </w:rPr>
          <w:fldChar w:fldCharType="end"/>
        </w:r>
      </w:p>
    </w:sdtContent>
  </w:sdt>
  <w:p w:rsidR="00B276C3" w:rsidRDefault="00B276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704787"/>
      <w:docPartObj>
        <w:docPartGallery w:val="Page Numbers (Bottom of Page)"/>
        <w:docPartUnique/>
      </w:docPartObj>
    </w:sdtPr>
    <w:sdtEndPr>
      <w:rPr>
        <w:noProof/>
      </w:rPr>
    </w:sdtEndPr>
    <w:sdtContent>
      <w:p w:rsidR="00B276C3" w:rsidRDefault="00B276C3">
        <w:pPr>
          <w:pStyle w:val="Footer"/>
          <w:jc w:val="center"/>
        </w:pPr>
        <w:r>
          <w:fldChar w:fldCharType="begin"/>
        </w:r>
        <w:r>
          <w:instrText xml:space="preserve"> PAGE   \* MERGEFORMAT </w:instrText>
        </w:r>
        <w:r>
          <w:fldChar w:fldCharType="separate"/>
        </w:r>
        <w:r w:rsidR="002779FA">
          <w:rPr>
            <w:noProof/>
          </w:rPr>
          <w:t>10</w:t>
        </w:r>
        <w:r>
          <w:rPr>
            <w:noProof/>
          </w:rPr>
          <w:fldChar w:fldCharType="end"/>
        </w:r>
      </w:p>
    </w:sdtContent>
  </w:sdt>
  <w:p w:rsidR="00B276C3" w:rsidRDefault="00B276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801451"/>
      <w:docPartObj>
        <w:docPartGallery w:val="Page Numbers (Bottom of Page)"/>
        <w:docPartUnique/>
      </w:docPartObj>
    </w:sdtPr>
    <w:sdtEndPr>
      <w:rPr>
        <w:noProof/>
      </w:rPr>
    </w:sdtEndPr>
    <w:sdtContent>
      <w:p w:rsidR="00B276C3" w:rsidRDefault="00B276C3">
        <w:pPr>
          <w:pStyle w:val="Footer"/>
          <w:jc w:val="center"/>
        </w:pPr>
        <w:r w:rsidRPr="00D31F7D">
          <w:fldChar w:fldCharType="begin"/>
        </w:r>
        <w:r w:rsidRPr="00D31F7D">
          <w:instrText xml:space="preserve"> PAGE   \* MERGEFORMAT </w:instrText>
        </w:r>
        <w:r w:rsidRPr="00D31F7D">
          <w:fldChar w:fldCharType="separate"/>
        </w:r>
        <w:r w:rsidR="001145C5">
          <w:rPr>
            <w:noProof/>
          </w:rPr>
          <w:t>79</w:t>
        </w:r>
        <w:r w:rsidRPr="00D31F7D">
          <w:rPr>
            <w:noProof/>
          </w:rPr>
          <w:fldChar w:fldCharType="end"/>
        </w:r>
      </w:p>
    </w:sdtContent>
  </w:sdt>
  <w:p w:rsidR="00B276C3" w:rsidRDefault="00B276C3" w:rsidP="00E9612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6C3" w:rsidRDefault="00B276C3" w:rsidP="00CF0E26">
      <w:pPr>
        <w:spacing w:after="0"/>
      </w:pPr>
      <w:r>
        <w:separator/>
      </w:r>
    </w:p>
  </w:footnote>
  <w:footnote w:type="continuationSeparator" w:id="0">
    <w:p w:rsidR="00B276C3" w:rsidRPr="001103C4" w:rsidRDefault="00B276C3" w:rsidP="001103C4">
      <w:pPr>
        <w:spacing w:after="0"/>
      </w:pPr>
      <w:r>
        <w:separator/>
      </w:r>
    </w:p>
  </w:footnote>
  <w:footnote w:id="1">
    <w:p w:rsidR="00B276C3" w:rsidRPr="00E7417B" w:rsidRDefault="00B276C3" w:rsidP="00565F30">
      <w:pPr>
        <w:pStyle w:val="FootnoteText"/>
        <w:jc w:val="both"/>
        <w:rPr>
          <w:rFonts w:ascii="Times New Roman" w:hAnsi="Times New Roman" w:cs="Times New Roman"/>
        </w:rPr>
      </w:pPr>
      <w:r w:rsidRPr="00E7417B">
        <w:rPr>
          <w:rStyle w:val="FootnoteReference"/>
          <w:rFonts w:ascii="Times New Roman" w:hAnsi="Times New Roman" w:cs="Times New Roman"/>
        </w:rPr>
        <w:footnoteRef/>
      </w:r>
      <w:r w:rsidRPr="00E7417B">
        <w:rPr>
          <w:rFonts w:ascii="Times New Roman" w:hAnsi="Times New Roman" w:cs="Times New Roman"/>
        </w:rPr>
        <w:t xml:space="preserve"> The crisis in Côte d’Ivoire may have contributed to the acceleration of Bamako’s growth, as migrants who used to travel south, opted to go to Bamako</w:t>
      </w:r>
      <w:r>
        <w:rPr>
          <w:rFonts w:ascii="Times New Roman" w:hAnsi="Times New Roman" w:cs="Times New Roman"/>
        </w:rPr>
        <w:t xml:space="preserve"> instead</w:t>
      </w:r>
      <w:r w:rsidRPr="00E7417B">
        <w:rPr>
          <w:rFonts w:ascii="Times New Roman" w:hAnsi="Times New Roman" w:cs="Times New Roman"/>
        </w:rPr>
        <w:t>. If this is the case, the growth of Bamako can be expected to slow down as the economy of Côte d’Ivoire picks up.</w:t>
      </w:r>
    </w:p>
  </w:footnote>
  <w:footnote w:id="2">
    <w:p w:rsidR="00B276C3" w:rsidRPr="00E56625" w:rsidRDefault="00B276C3" w:rsidP="00075773">
      <w:pPr>
        <w:pStyle w:val="FootnoteText"/>
        <w:jc w:val="both"/>
        <w:rPr>
          <w:lang w:val="en-US"/>
        </w:rPr>
      </w:pPr>
      <w:r w:rsidRPr="00075773">
        <w:rPr>
          <w:rStyle w:val="FootnoteReference"/>
          <w:rFonts w:ascii="Times New Roman" w:hAnsi="Times New Roman" w:cs="Times New Roman"/>
        </w:rPr>
        <w:footnoteRef/>
      </w:r>
      <w:r>
        <w:t xml:space="preserve"> </w:t>
      </w:r>
      <w:r w:rsidRPr="000F1219">
        <w:rPr>
          <w:rFonts w:ascii="Times New Roman" w:hAnsi="Times New Roman" w:cs="Times New Roman"/>
        </w:rPr>
        <w:t xml:space="preserve">Data downloaded from </w:t>
      </w:r>
      <w:hyperlink r:id="rId1" w:history="1">
        <w:r w:rsidRPr="000F1219">
          <w:rPr>
            <w:rStyle w:val="Hyperlink"/>
            <w:rFonts w:ascii="Times New Roman" w:hAnsi="Times New Roman" w:cs="Times New Roman"/>
          </w:rPr>
          <w:t>www.barrolee.com</w:t>
        </w:r>
      </w:hyperlink>
      <w:r w:rsidRPr="000F1219">
        <w:rPr>
          <w:rFonts w:ascii="Times New Roman" w:hAnsi="Times New Roman" w:cs="Times New Roman"/>
        </w:rPr>
        <w:t xml:space="preserve"> (June 2014). Barro, Robert and Jong-Wha Lee, April 2010, "A New Data Set of Educational Attainment in the World, 1950-2010." </w:t>
      </w:r>
      <w:r w:rsidRPr="00E56625">
        <w:rPr>
          <w:rFonts w:ascii="Times New Roman" w:hAnsi="Times New Roman" w:cs="Times New Roman"/>
          <w:i/>
          <w:iCs/>
          <w:lang w:val="en-US"/>
        </w:rPr>
        <w:t>Journal of Development Economics</w:t>
      </w:r>
      <w:r w:rsidRPr="00E56625">
        <w:rPr>
          <w:rFonts w:ascii="Times New Roman" w:hAnsi="Times New Roman" w:cs="Times New Roman"/>
          <w:lang w:val="en-US"/>
        </w:rPr>
        <w:t>, 104(184-198).</w:t>
      </w:r>
    </w:p>
  </w:footnote>
  <w:footnote w:id="3">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See for instance East</w:t>
      </w:r>
      <w:r>
        <w:rPr>
          <w:rFonts w:ascii="Times New Roman" w:hAnsi="Times New Roman" w:cs="Times New Roman"/>
        </w:rPr>
        <w:t xml:space="preserve">erly, William and Ross Levine. </w:t>
      </w:r>
      <w:r w:rsidRPr="005C7E20">
        <w:rPr>
          <w:rFonts w:ascii="Times New Roman" w:hAnsi="Times New Roman" w:cs="Times New Roman"/>
        </w:rPr>
        <w:t xml:space="preserve">(2003) "Tropics, germs, and crops: How endowments influence economic development." </w:t>
      </w:r>
      <w:r w:rsidRPr="005C7E20">
        <w:rPr>
          <w:rFonts w:ascii="Times New Roman" w:hAnsi="Times New Roman" w:cs="Times New Roman"/>
          <w:i/>
        </w:rPr>
        <w:t>Journal of Monetary Economics</w:t>
      </w:r>
      <w:r w:rsidRPr="005C7E20">
        <w:rPr>
          <w:rFonts w:ascii="Times New Roman" w:hAnsi="Times New Roman" w:cs="Times New Roman"/>
        </w:rPr>
        <w:t xml:space="preserve"> 2003, 50: 3-39 or </w:t>
      </w:r>
      <w:r w:rsidRPr="005C7E20">
        <w:rPr>
          <w:rFonts w:ascii="Times New Roman" w:hAnsi="Times New Roman" w:cs="Times New Roman"/>
          <w:color w:val="000000"/>
        </w:rPr>
        <w:t xml:space="preserve">Sachs, Jeffrey D. 2000. ‘Tropical Underdevelopment’. </w:t>
      </w:r>
      <w:r>
        <w:rPr>
          <w:rFonts w:ascii="Times New Roman" w:hAnsi="Times New Roman" w:cs="Times New Roman"/>
          <w:color w:val="000000"/>
        </w:rPr>
        <w:t xml:space="preserve"> </w:t>
      </w:r>
      <w:r w:rsidRPr="005C7E20">
        <w:rPr>
          <w:rFonts w:ascii="Times New Roman" w:hAnsi="Times New Roman" w:cs="Times New Roman"/>
          <w:color w:val="000000"/>
        </w:rPr>
        <w:t>Center for International Development (CID) at Harvard University, Working Paper No. 57.</w:t>
      </w:r>
    </w:p>
  </w:footnote>
  <w:footnote w:id="4">
    <w:p w:rsidR="00B276C3" w:rsidRPr="005C7E20" w:rsidRDefault="00B276C3" w:rsidP="005C7E20">
      <w:pPr>
        <w:pStyle w:val="Default"/>
        <w:jc w:val="both"/>
        <w:rPr>
          <w:rFonts w:ascii="Times New Roman" w:hAnsi="Times New Roman" w:cs="Times New Roman"/>
          <w:sz w:val="20"/>
          <w:szCs w:val="20"/>
          <w:lang w:val="en-US"/>
        </w:rPr>
      </w:pPr>
      <w:r w:rsidRPr="005C7E20">
        <w:rPr>
          <w:rStyle w:val="FootnoteReference"/>
          <w:rFonts w:ascii="Times New Roman" w:hAnsi="Times New Roman" w:cs="Times New Roman"/>
          <w:sz w:val="20"/>
          <w:szCs w:val="20"/>
        </w:rPr>
        <w:footnoteRef/>
      </w:r>
      <w:r w:rsidRPr="005C7E20">
        <w:rPr>
          <w:rFonts w:ascii="Times New Roman" w:hAnsi="Times New Roman" w:cs="Times New Roman"/>
          <w:sz w:val="20"/>
          <w:szCs w:val="20"/>
          <w:lang w:val="en-US"/>
        </w:rPr>
        <w:t xml:space="preserve"> </w:t>
      </w:r>
      <w:r w:rsidRPr="005C7E20">
        <w:rPr>
          <w:rFonts w:ascii="Times New Roman" w:hAnsi="Times New Roman" w:cs="Times New Roman"/>
          <w:bCs/>
          <w:sz w:val="20"/>
          <w:szCs w:val="20"/>
          <w:lang w:val="en-US"/>
        </w:rPr>
        <w:t xml:space="preserve">Ghosh, Tilottama, Sharolyn J. Anderson, Christopher D. Elvidge and Paul C. Sutton (2013) “Using Nighttime Satellite Imagery as a Proxy Measure of Human Well-Being”, </w:t>
      </w:r>
      <w:r w:rsidRPr="005C7E20">
        <w:rPr>
          <w:rFonts w:ascii="Times New Roman" w:eastAsiaTheme="minorHAnsi" w:hAnsi="Times New Roman" w:cs="Times New Roman"/>
          <w:i/>
          <w:iCs/>
          <w:sz w:val="20"/>
          <w:szCs w:val="20"/>
          <w:lang w:val="en-US" w:eastAsia="en-US"/>
        </w:rPr>
        <w:t xml:space="preserve">Sustainability </w:t>
      </w:r>
      <w:r w:rsidRPr="005C7E20">
        <w:rPr>
          <w:rFonts w:ascii="Times New Roman" w:eastAsiaTheme="minorHAnsi" w:hAnsi="Times New Roman" w:cs="Times New Roman"/>
          <w:bCs/>
          <w:sz w:val="20"/>
          <w:szCs w:val="20"/>
          <w:lang w:val="en-US" w:eastAsia="en-US"/>
        </w:rPr>
        <w:t>2013</w:t>
      </w:r>
      <w:r w:rsidRPr="005C7E20">
        <w:rPr>
          <w:rFonts w:ascii="Times New Roman" w:eastAsiaTheme="minorHAnsi" w:hAnsi="Times New Roman" w:cs="Times New Roman"/>
          <w:sz w:val="20"/>
          <w:szCs w:val="20"/>
          <w:lang w:val="en-US" w:eastAsia="en-US"/>
        </w:rPr>
        <w:t xml:space="preserve">, </w:t>
      </w:r>
      <w:r w:rsidRPr="005C7E20">
        <w:rPr>
          <w:rFonts w:ascii="Times New Roman" w:eastAsiaTheme="minorHAnsi" w:hAnsi="Times New Roman" w:cs="Times New Roman"/>
          <w:i/>
          <w:iCs/>
          <w:sz w:val="20"/>
          <w:szCs w:val="20"/>
          <w:lang w:val="en-US" w:eastAsia="en-US"/>
        </w:rPr>
        <w:t>5</w:t>
      </w:r>
      <w:r w:rsidRPr="005C7E20">
        <w:rPr>
          <w:rFonts w:ascii="Times New Roman" w:eastAsiaTheme="minorHAnsi" w:hAnsi="Times New Roman" w:cs="Times New Roman"/>
          <w:sz w:val="20"/>
          <w:szCs w:val="20"/>
          <w:lang w:val="en-US" w:eastAsia="en-US"/>
        </w:rPr>
        <w:t>, 4988-5019</w:t>
      </w:r>
      <w:r w:rsidRPr="005C7E20">
        <w:rPr>
          <w:rFonts w:ascii="Times New Roman" w:hAnsi="Times New Roman" w:cs="Times New Roman"/>
          <w:bCs/>
          <w:sz w:val="20"/>
          <w:szCs w:val="20"/>
          <w:lang w:val="en-US"/>
        </w:rPr>
        <w:t>.</w:t>
      </w:r>
      <w:r w:rsidRPr="005C7E20">
        <w:rPr>
          <w:rFonts w:ascii="Times New Roman" w:hAnsi="Times New Roman" w:cs="Times New Roman"/>
          <w:lang w:val="en-US"/>
        </w:rPr>
        <w:t xml:space="preserve"> </w:t>
      </w:r>
    </w:p>
  </w:footnote>
  <w:footnote w:id="5">
    <w:p w:rsidR="00B276C3" w:rsidRPr="005C7E20" w:rsidRDefault="00B276C3" w:rsidP="005C7E20">
      <w:pPr>
        <w:autoSpaceDE w:val="0"/>
        <w:autoSpaceDN w:val="0"/>
        <w:adjustRightInd w:val="0"/>
        <w:spacing w:after="0"/>
        <w:jc w:val="both"/>
        <w:rPr>
          <w:sz w:val="20"/>
          <w:szCs w:val="20"/>
          <w:lang w:val="fr-FR"/>
        </w:rPr>
      </w:pPr>
      <w:r w:rsidRPr="005C7E20">
        <w:rPr>
          <w:rStyle w:val="FootnoteReference"/>
          <w:sz w:val="20"/>
          <w:szCs w:val="20"/>
        </w:rPr>
        <w:footnoteRef/>
      </w:r>
      <w:r w:rsidRPr="005C7E20">
        <w:rPr>
          <w:sz w:val="20"/>
          <w:szCs w:val="20"/>
          <w:lang w:val="fr-FR"/>
        </w:rPr>
        <w:t xml:space="preserve"> </w:t>
      </w:r>
      <w:r w:rsidRPr="005C7E20">
        <w:rPr>
          <w:iCs/>
          <w:sz w:val="20"/>
          <w:szCs w:val="20"/>
          <w:lang w:val="fr-FR"/>
        </w:rPr>
        <w:t>Note de Prospective N°6,</w:t>
      </w:r>
      <w:r w:rsidRPr="005C7E20">
        <w:rPr>
          <w:bCs/>
          <w:sz w:val="20"/>
          <w:szCs w:val="20"/>
          <w:lang w:val="fr-FR"/>
        </w:rPr>
        <w:t xml:space="preserve"> Répartition Régionale du PIB National ou Estimation des PIB Régionaux du Mali, </w:t>
      </w:r>
      <w:r w:rsidRPr="005C7E20">
        <w:rPr>
          <w:sz w:val="20"/>
          <w:szCs w:val="20"/>
          <w:lang w:val="fr-FR"/>
        </w:rPr>
        <w:t>CAP-Primature, Février 2014.</w:t>
      </w:r>
    </w:p>
  </w:footnote>
  <w:footnote w:id="6">
    <w:p w:rsidR="00B276C3" w:rsidRPr="005C7E20" w:rsidRDefault="00B276C3" w:rsidP="005C7E20">
      <w:pPr>
        <w:spacing w:after="0"/>
        <w:jc w:val="both"/>
        <w:rPr>
          <w:sz w:val="20"/>
          <w:szCs w:val="20"/>
        </w:rPr>
      </w:pPr>
      <w:r w:rsidRPr="005C7E20">
        <w:rPr>
          <w:rStyle w:val="FootnoteReference"/>
          <w:sz w:val="20"/>
          <w:szCs w:val="20"/>
        </w:rPr>
        <w:footnoteRef/>
      </w:r>
      <w:r w:rsidRPr="005C7E20">
        <w:rPr>
          <w:sz w:val="20"/>
          <w:szCs w:val="20"/>
        </w:rPr>
        <w:t xml:space="preserve"> The situation in 2011 is a considerable improvement relative to 1998 when 80 percent of the population was uneducated and less than 20 percent had gone to primary school. </w:t>
      </w:r>
    </w:p>
  </w:footnote>
  <w:footnote w:id="7">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See Michael Spence, Particia Clarke Annez and Robert (2008). M. Buckley. Urbanization and Growth (Commission on Growth and Development).</w:t>
      </w:r>
    </w:p>
  </w:footnote>
  <w:footnote w:id="8">
    <w:p w:rsidR="00B276C3" w:rsidRPr="005C7E20" w:rsidRDefault="00B276C3" w:rsidP="005C7E20">
      <w:pPr>
        <w:pStyle w:val="FootnoteText"/>
        <w:jc w:val="both"/>
        <w:rPr>
          <w:rFonts w:ascii="Times New Roman" w:hAnsi="Times New Roman" w:cs="Times New Roman"/>
          <w:lang w:val="fr-FR"/>
        </w:rPr>
      </w:pPr>
      <w:r w:rsidRPr="005C7E20">
        <w:rPr>
          <w:rStyle w:val="FootnoteReference"/>
          <w:rFonts w:ascii="Times New Roman" w:hAnsi="Times New Roman" w:cs="Times New Roman"/>
        </w:rPr>
        <w:footnoteRef/>
      </w:r>
      <w:r w:rsidRPr="005C7E20">
        <w:rPr>
          <w:rFonts w:ascii="Times New Roman" w:hAnsi="Times New Roman" w:cs="Times New Roman"/>
          <w:lang w:val="fr-FR"/>
        </w:rPr>
        <w:t xml:space="preserve"> Bernard C., S. Mesplé-Somps and G. Spielvogel (2012) Taille des villes, urbanisation et spécialisations économiques, une analyse sur micro-données exhaustives des 10 000 localités maliennes, working paper AFD n°130 and DIAL working paper n°2012/17.</w:t>
      </w:r>
    </w:p>
  </w:footnote>
  <w:footnote w:id="9">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Known as Voronoi polygons. </w:t>
      </w:r>
    </w:p>
  </w:footnote>
  <w:footnote w:id="10">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This threshold was chosen to reflect the observed density in peri-urban neighborhoods under recently initiated development.  </w:t>
      </w:r>
    </w:p>
  </w:footnote>
  <w:footnote w:id="11">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Names are only mentioned on the map for the 15 agglomerations with 30,000 inhabitants or more.</w:t>
      </w:r>
    </w:p>
  </w:footnote>
  <w:footnote w:id="12">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We define rural areas as places with less than 5,000 residents or with a population density below 250 people per km</w:t>
      </w:r>
      <w:r w:rsidRPr="005C7E20">
        <w:rPr>
          <w:rFonts w:ascii="Times New Roman" w:hAnsi="Times New Roman" w:cs="Times New Roman"/>
          <w:vertAlign w:val="superscript"/>
        </w:rPr>
        <w:t>2</w:t>
      </w:r>
      <w:r w:rsidRPr="005C7E20">
        <w:rPr>
          <w:rFonts w:ascii="Times New Roman" w:hAnsi="Times New Roman" w:cs="Times New Roman"/>
        </w:rPr>
        <w:t>.</w:t>
      </w:r>
    </w:p>
  </w:footnote>
  <w:footnote w:id="13">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World Bank 2009. </w:t>
      </w:r>
      <w:r w:rsidRPr="005C7E20">
        <w:rPr>
          <w:rFonts w:ascii="Times New Roman" w:hAnsi="Times New Roman" w:cs="Times New Roman"/>
          <w:i/>
          <w:color w:val="000000"/>
        </w:rPr>
        <w:t>World Development Report 2009: Reshaping Economic Geography.</w:t>
      </w:r>
    </w:p>
  </w:footnote>
  <w:footnote w:id="14">
    <w:p w:rsidR="00B276C3" w:rsidRPr="005C7E20" w:rsidRDefault="00B276C3" w:rsidP="005C7E20">
      <w:pPr>
        <w:tabs>
          <w:tab w:val="left" w:pos="360"/>
        </w:tabs>
        <w:spacing w:after="0"/>
        <w:ind w:left="180" w:hanging="180"/>
        <w:jc w:val="both"/>
        <w:rPr>
          <w:sz w:val="20"/>
          <w:szCs w:val="20"/>
        </w:rPr>
      </w:pPr>
      <w:r w:rsidRPr="005C7E20">
        <w:rPr>
          <w:rStyle w:val="FootnoteReference"/>
          <w:sz w:val="20"/>
          <w:szCs w:val="20"/>
        </w:rPr>
        <w:footnoteRef/>
      </w:r>
      <w:r w:rsidRPr="005C7E20">
        <w:rPr>
          <w:sz w:val="20"/>
          <w:szCs w:val="20"/>
        </w:rPr>
        <w:t xml:space="preserve"> Glaeser, E. and A. Ades (1994) Trade and Circuses: Explaining Urban Giants, </w:t>
      </w:r>
      <w:r w:rsidRPr="005C7E20">
        <w:rPr>
          <w:i/>
          <w:sz w:val="20"/>
          <w:szCs w:val="20"/>
        </w:rPr>
        <w:t>Quarterly Journal of Economics</w:t>
      </w:r>
      <w:r w:rsidRPr="005C7E20">
        <w:rPr>
          <w:sz w:val="20"/>
          <w:szCs w:val="20"/>
        </w:rPr>
        <w:t>, 110(1), 195-227.</w:t>
      </w:r>
    </w:p>
  </w:footnote>
  <w:footnote w:id="15">
    <w:p w:rsidR="00B276C3" w:rsidRPr="005C7E20" w:rsidRDefault="00B276C3" w:rsidP="005C7E20">
      <w:pPr>
        <w:spacing w:after="0"/>
        <w:ind w:left="284" w:hanging="284"/>
        <w:jc w:val="both"/>
        <w:rPr>
          <w:sz w:val="20"/>
          <w:szCs w:val="20"/>
        </w:rPr>
      </w:pPr>
      <w:r w:rsidRPr="005C7E20">
        <w:rPr>
          <w:rStyle w:val="FootnoteReference"/>
          <w:sz w:val="20"/>
          <w:szCs w:val="20"/>
        </w:rPr>
        <w:footnoteRef/>
      </w:r>
      <w:r w:rsidRPr="005C7E20">
        <w:rPr>
          <w:sz w:val="20"/>
          <w:szCs w:val="20"/>
        </w:rPr>
        <w:t xml:space="preserve"> Overman, H.G. and A.J. Venables (2005) “Cities in the Developing World”, </w:t>
      </w:r>
      <w:r w:rsidRPr="005C7E20">
        <w:rPr>
          <w:i/>
          <w:sz w:val="20"/>
          <w:szCs w:val="20"/>
        </w:rPr>
        <w:t xml:space="preserve">CEP Discussion paper </w:t>
      </w:r>
      <w:r w:rsidRPr="005C7E20">
        <w:rPr>
          <w:sz w:val="20"/>
          <w:szCs w:val="20"/>
        </w:rPr>
        <w:t>695.</w:t>
      </w:r>
    </w:p>
  </w:footnote>
  <w:footnote w:id="16">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The demographic dependency ratio, however, ranks inversely as it is much lower in urban than in rural areas. (see table 2.2). </w:t>
      </w:r>
    </w:p>
  </w:footnote>
  <w:footnote w:id="17">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The gap between Bamako and rural areas in the proportion of children (almost 10 percentage points) was actually negative (-0.7 percentage points) in 1987 and only +7 percentage point in 1998, showing that the demographic transition started very late in Mali, even in Bamako (see tables Annex 2.1 and Annex 2.2).  </w:t>
      </w:r>
    </w:p>
  </w:footnote>
  <w:footnote w:id="18">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Here we mean permanent migration in which one changes his or her main residence and not temporary labor migration.</w:t>
      </w:r>
    </w:p>
  </w:footnote>
  <w:footnote w:id="19">
    <w:p w:rsidR="00B276C3" w:rsidRPr="005C7E20" w:rsidRDefault="00B276C3" w:rsidP="001B3BE4">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Table 2 breaks down internal migration destinations by educational level for the stock of migrants in 2009.  We are not able, however, to distinguish whether migrants acquired education before or after migrating. </w:t>
      </w:r>
    </w:p>
  </w:footnote>
  <w:footnote w:id="20">
    <w:p w:rsidR="00B276C3" w:rsidRPr="005C7E20" w:rsidRDefault="00B276C3" w:rsidP="001B3BE4">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When considering the district of Bamako rather than the agglomeration, the proportion of households with electricity goes to 72.5 percent, against 68.2 percent for the whole agglomeration.</w:t>
      </w:r>
    </w:p>
  </w:footnote>
  <w:footnote w:id="21">
    <w:p w:rsidR="00B276C3" w:rsidRPr="005C7E20" w:rsidRDefault="00B276C3" w:rsidP="001B3BE4">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This proportion falls to 12.7 percent when considering the district of Bamako alone.</w:t>
      </w:r>
    </w:p>
  </w:footnote>
  <w:footnote w:id="22">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We do not report occupations due to a lot of missing values in the census.</w:t>
      </w:r>
    </w:p>
  </w:footnote>
  <w:footnote w:id="23">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Source: African Development Indicators 2012/13.</w:t>
      </w:r>
    </w:p>
  </w:footnote>
  <w:footnote w:id="24">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The histogram is available upon request.</w:t>
      </w:r>
    </w:p>
  </w:footnote>
  <w:footnote w:id="25">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Because the administrative definition of Bamako excludes peripheral areas that were progressively incorporated into the agglomeration, our measure is greater than the official population figure of only 1.8 million for the six communes that form the Bamako district (core urban area).</w:t>
      </w:r>
    </w:p>
  </w:footnote>
  <w:footnote w:id="26">
    <w:p w:rsidR="00B276C3" w:rsidRPr="005C7E20" w:rsidRDefault="00B276C3" w:rsidP="005C7E20">
      <w:pPr>
        <w:autoSpaceDE w:val="0"/>
        <w:autoSpaceDN w:val="0"/>
        <w:adjustRightInd w:val="0"/>
        <w:spacing w:after="0"/>
        <w:jc w:val="both"/>
        <w:rPr>
          <w:sz w:val="20"/>
          <w:szCs w:val="20"/>
        </w:rPr>
      </w:pPr>
      <w:r w:rsidRPr="005C7E20">
        <w:rPr>
          <w:rStyle w:val="FootnoteReference"/>
          <w:sz w:val="20"/>
          <w:szCs w:val="20"/>
        </w:rPr>
        <w:footnoteRef/>
      </w:r>
      <w:r w:rsidRPr="005C7E20">
        <w:rPr>
          <w:sz w:val="20"/>
          <w:szCs w:val="20"/>
        </w:rPr>
        <w:t xml:space="preserve"> Substantial structural population shifts without growth has been coined “pathological urbanization”, a term that seems to be applicable to Mali.</w:t>
      </w:r>
    </w:p>
  </w:footnote>
  <w:footnote w:id="27">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FEWSNET 2010: Livelihood Zoning and Profiling Report: Mali.</w:t>
      </w:r>
    </w:p>
  </w:footnote>
  <w:footnote w:id="28">
    <w:p w:rsidR="00B276C3" w:rsidRPr="005C7E20" w:rsidRDefault="00B276C3" w:rsidP="0072054F">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Binswanger, Hans P. and John McIntire. 1987. "Behavioral and Material Determinants of Production Relations in Land-abundant Tropical Agriculture." </w:t>
      </w:r>
      <w:r w:rsidRPr="005C7E20">
        <w:rPr>
          <w:rFonts w:ascii="Times New Roman" w:hAnsi="Times New Roman" w:cs="Times New Roman"/>
          <w:i/>
          <w:iCs/>
        </w:rPr>
        <w:t>Economic Development and Cultural Change</w:t>
      </w:r>
      <w:r w:rsidRPr="005C7E20">
        <w:rPr>
          <w:rFonts w:ascii="Times New Roman" w:hAnsi="Times New Roman" w:cs="Times New Roman"/>
        </w:rPr>
        <w:t>, Vol. 36, No. 1 (October): 73-99.</w:t>
      </w:r>
    </w:p>
  </w:footnote>
  <w:footnote w:id="29">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For instance DNSI 2007 shows that in 2006 poverty incidence amongst households with 1-3 members is 14.1 percent, while for households with 10 members of more it is 62.4 percent. </w:t>
      </w:r>
    </w:p>
  </w:footnote>
  <w:footnote w:id="30">
    <w:p w:rsidR="00595FAD" w:rsidRPr="00E56625" w:rsidRDefault="00595FAD">
      <w:pPr>
        <w:pStyle w:val="FootnoteText"/>
        <w:rPr>
          <w:lang w:val="en-US"/>
        </w:rPr>
      </w:pPr>
      <w:r>
        <w:rPr>
          <w:rStyle w:val="FootnoteReference"/>
        </w:rPr>
        <w:footnoteRef/>
      </w:r>
      <w:r>
        <w:t xml:space="preserve"> </w:t>
      </w:r>
      <w:r w:rsidRPr="00E56625">
        <w:rPr>
          <w:rFonts w:ascii="Times New Roman" w:hAnsi="Times New Roman" w:cs="Times New Roman"/>
        </w:rPr>
        <w:t>About 3.2 million hectares out of a total of 12 million with cultivation potential is cultivated.</w:t>
      </w:r>
    </w:p>
  </w:footnote>
  <w:footnote w:id="31">
    <w:p w:rsidR="00B276C3" w:rsidRPr="005C7E20" w:rsidRDefault="00B276C3" w:rsidP="005C7E20">
      <w:pPr>
        <w:pStyle w:val="NoSpacing"/>
        <w:jc w:val="both"/>
        <w:rPr>
          <w:rFonts w:ascii="Times New Roman" w:hAnsi="Times New Roman" w:cs="Times New Roman"/>
          <w:sz w:val="20"/>
          <w:szCs w:val="20"/>
          <w:lang w:val="fr-CA"/>
        </w:rPr>
      </w:pPr>
      <w:r w:rsidRPr="005C7E20">
        <w:rPr>
          <w:rStyle w:val="FootnoteReference"/>
          <w:rFonts w:ascii="Times New Roman" w:hAnsi="Times New Roman" w:cs="Times New Roman"/>
          <w:sz w:val="20"/>
          <w:szCs w:val="20"/>
        </w:rPr>
        <w:footnoteRef/>
      </w:r>
      <w:r w:rsidRPr="005C7E20">
        <w:rPr>
          <w:rFonts w:ascii="Times New Roman" w:hAnsi="Times New Roman" w:cs="Times New Roman"/>
          <w:sz w:val="20"/>
          <w:szCs w:val="20"/>
          <w:lang w:val="fr-CA"/>
        </w:rPr>
        <w:t xml:space="preserve"> The 2001 survey was the Enquête Malienne d’Évaluation de la Pauvreté (EMEP), the Enquête Légère Intégrée auprès des Ménages (ELIM) in 2006 and the Enquête par grappes à Indicateurs Multiples et de dépenses des ménages (MICS-ELIM) in 2009 /2010.</w:t>
      </w:r>
    </w:p>
  </w:footnote>
  <w:footnote w:id="32">
    <w:p w:rsidR="00B276C3" w:rsidRPr="005C7E20" w:rsidRDefault="00B276C3" w:rsidP="005C7E20">
      <w:pPr>
        <w:pStyle w:val="FootnoteText"/>
        <w:jc w:val="both"/>
        <w:rPr>
          <w:rFonts w:ascii="Times New Roman" w:hAnsi="Times New Roman" w:cs="Times New Roman"/>
          <w:lang w:val="fr-FR"/>
        </w:rPr>
      </w:pPr>
      <w:r w:rsidRPr="005C7E20">
        <w:rPr>
          <w:rStyle w:val="FootnoteReference"/>
          <w:rFonts w:ascii="Times New Roman" w:hAnsi="Times New Roman" w:cs="Times New Roman"/>
        </w:rPr>
        <w:footnoteRef/>
      </w:r>
      <w:r w:rsidRPr="005C7E20">
        <w:rPr>
          <w:rFonts w:ascii="Times New Roman" w:hAnsi="Times New Roman" w:cs="Times New Roman"/>
          <w:lang w:val="fr-FR"/>
        </w:rPr>
        <w:t xml:space="preserve"> Enquête Modulaire et Permanente </w:t>
      </w:r>
      <w:r w:rsidRPr="005C7E20">
        <w:rPr>
          <w:rFonts w:ascii="Times New Roman" w:hAnsi="Times New Roman" w:cs="Times New Roman"/>
          <w:lang w:val="fr-CA"/>
        </w:rPr>
        <w:t>auprès des Ménages (EMOP).</w:t>
      </w:r>
    </w:p>
  </w:footnote>
  <w:footnote w:id="33">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This is reflected in the urban poverty lines which are approximately 20 percent higher than those for rural areas.</w:t>
      </w:r>
    </w:p>
  </w:footnote>
  <w:footnote w:id="34">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In Mali the following adu</w:t>
      </w:r>
      <w:r>
        <w:rPr>
          <w:rFonts w:ascii="Times New Roman" w:hAnsi="Times New Roman" w:cs="Times New Roman"/>
        </w:rPr>
        <w:t>lt equivalence scales are used.</w:t>
      </w:r>
    </w:p>
    <w:p w:rsidR="00B276C3" w:rsidRPr="005C7E20" w:rsidRDefault="00B276C3" w:rsidP="005C7E20">
      <w:pPr>
        <w:pStyle w:val="FootnoteText"/>
        <w:jc w:val="both"/>
        <w:rPr>
          <w:rFonts w:ascii="Times New Roman" w:hAnsi="Times New Roman" w:cs="Times New Roman"/>
        </w:rPr>
      </w:pPr>
    </w:p>
    <w:tbl>
      <w:tblPr>
        <w:tblW w:w="6720" w:type="dxa"/>
        <w:tblBorders>
          <w:top w:val="single" w:sz="4" w:space="0" w:color="auto"/>
          <w:bottom w:val="single" w:sz="4" w:space="0" w:color="auto"/>
        </w:tblBorders>
        <w:tblLook w:val="04A0" w:firstRow="1" w:lastRow="0" w:firstColumn="1" w:lastColumn="0" w:noHBand="0" w:noVBand="1"/>
      </w:tblPr>
      <w:tblGrid>
        <w:gridCol w:w="1275"/>
        <w:gridCol w:w="645"/>
        <w:gridCol w:w="960"/>
        <w:gridCol w:w="960"/>
        <w:gridCol w:w="960"/>
        <w:gridCol w:w="165"/>
        <w:gridCol w:w="795"/>
        <w:gridCol w:w="960"/>
      </w:tblGrid>
      <w:tr w:rsidR="00B276C3" w:rsidRPr="005C7E20" w:rsidTr="002744E6">
        <w:trPr>
          <w:trHeight w:val="216"/>
        </w:trPr>
        <w:tc>
          <w:tcPr>
            <w:tcW w:w="1275" w:type="dxa"/>
            <w:tcBorders>
              <w:top w:val="single" w:sz="4" w:space="0" w:color="auto"/>
              <w:bottom w:val="single" w:sz="4" w:space="0" w:color="auto"/>
            </w:tcBorders>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Age range</w:t>
            </w:r>
          </w:p>
        </w:tc>
        <w:tc>
          <w:tcPr>
            <w:tcW w:w="645" w:type="dxa"/>
            <w:tcBorders>
              <w:top w:val="single" w:sz="4" w:space="0" w:color="auto"/>
              <w:bottom w:val="single" w:sz="4" w:space="0" w:color="auto"/>
            </w:tcBorders>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Male</w:t>
            </w:r>
          </w:p>
        </w:tc>
        <w:tc>
          <w:tcPr>
            <w:tcW w:w="960" w:type="dxa"/>
            <w:tcBorders>
              <w:top w:val="single" w:sz="4" w:space="0" w:color="auto"/>
              <w:bottom w:val="single" w:sz="4" w:space="0" w:color="auto"/>
            </w:tcBorders>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Female</w:t>
            </w:r>
          </w:p>
        </w:tc>
        <w:tc>
          <w:tcPr>
            <w:tcW w:w="960" w:type="dxa"/>
            <w:tcBorders>
              <w:top w:val="single" w:sz="4" w:space="0" w:color="auto"/>
              <w:bottom w:val="single" w:sz="4" w:space="0" w:color="auto"/>
            </w:tcBorders>
          </w:tcPr>
          <w:p w:rsidR="00B276C3" w:rsidRPr="005C7E20" w:rsidRDefault="00B276C3" w:rsidP="005C7E20">
            <w:pPr>
              <w:spacing w:after="0"/>
              <w:jc w:val="both"/>
              <w:rPr>
                <w:rFonts w:eastAsia="Times New Roman"/>
                <w:color w:val="000000"/>
                <w:sz w:val="20"/>
                <w:szCs w:val="20"/>
              </w:rPr>
            </w:pPr>
          </w:p>
        </w:tc>
        <w:tc>
          <w:tcPr>
            <w:tcW w:w="1125" w:type="dxa"/>
            <w:gridSpan w:val="2"/>
            <w:tcBorders>
              <w:top w:val="single" w:sz="4" w:space="0" w:color="auto"/>
              <w:bottom w:val="single" w:sz="4" w:space="0" w:color="auto"/>
            </w:tcBorders>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Age range</w:t>
            </w:r>
          </w:p>
        </w:tc>
        <w:tc>
          <w:tcPr>
            <w:tcW w:w="795" w:type="dxa"/>
            <w:tcBorders>
              <w:top w:val="single" w:sz="4" w:space="0" w:color="auto"/>
              <w:bottom w:val="single" w:sz="4" w:space="0" w:color="auto"/>
            </w:tcBorders>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Male</w:t>
            </w:r>
          </w:p>
        </w:tc>
        <w:tc>
          <w:tcPr>
            <w:tcW w:w="960" w:type="dxa"/>
            <w:tcBorders>
              <w:top w:val="single" w:sz="4" w:space="0" w:color="auto"/>
              <w:bottom w:val="single" w:sz="4" w:space="0" w:color="auto"/>
            </w:tcBorders>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Female</w:t>
            </w:r>
          </w:p>
        </w:tc>
      </w:tr>
      <w:tr w:rsidR="00B276C3" w:rsidRPr="005C7E20" w:rsidTr="002744E6">
        <w:trPr>
          <w:trHeight w:val="216"/>
        </w:trPr>
        <w:tc>
          <w:tcPr>
            <w:tcW w:w="1275" w:type="dxa"/>
            <w:tcBorders>
              <w:top w:val="single" w:sz="4" w:space="0" w:color="auto"/>
            </w:tcBorders>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0-1</w:t>
            </w:r>
          </w:p>
        </w:tc>
        <w:tc>
          <w:tcPr>
            <w:tcW w:w="645" w:type="dxa"/>
            <w:tcBorders>
              <w:top w:val="single" w:sz="4" w:space="0" w:color="auto"/>
            </w:tcBorders>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0.26</w:t>
            </w:r>
          </w:p>
        </w:tc>
        <w:tc>
          <w:tcPr>
            <w:tcW w:w="960" w:type="dxa"/>
            <w:tcBorders>
              <w:top w:val="single" w:sz="4" w:space="0" w:color="auto"/>
            </w:tcBorders>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0.26</w:t>
            </w:r>
          </w:p>
        </w:tc>
        <w:tc>
          <w:tcPr>
            <w:tcW w:w="960" w:type="dxa"/>
            <w:tcBorders>
              <w:top w:val="single" w:sz="4" w:space="0" w:color="auto"/>
            </w:tcBorders>
          </w:tcPr>
          <w:p w:rsidR="00B276C3" w:rsidRPr="005C7E20" w:rsidRDefault="00B276C3" w:rsidP="005C7E20">
            <w:pPr>
              <w:spacing w:after="0"/>
              <w:jc w:val="both"/>
              <w:rPr>
                <w:rFonts w:eastAsia="Times New Roman"/>
                <w:color w:val="000000"/>
                <w:sz w:val="20"/>
                <w:szCs w:val="20"/>
              </w:rPr>
            </w:pPr>
          </w:p>
        </w:tc>
        <w:tc>
          <w:tcPr>
            <w:tcW w:w="960" w:type="dxa"/>
            <w:tcBorders>
              <w:top w:val="single" w:sz="4" w:space="0" w:color="auto"/>
            </w:tcBorders>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15-18</w:t>
            </w:r>
          </w:p>
        </w:tc>
        <w:tc>
          <w:tcPr>
            <w:tcW w:w="960" w:type="dxa"/>
            <w:gridSpan w:val="2"/>
            <w:tcBorders>
              <w:top w:val="single" w:sz="4" w:space="0" w:color="auto"/>
            </w:tcBorders>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1.03</w:t>
            </w:r>
          </w:p>
        </w:tc>
        <w:tc>
          <w:tcPr>
            <w:tcW w:w="960" w:type="dxa"/>
            <w:tcBorders>
              <w:top w:val="single" w:sz="4" w:space="0" w:color="auto"/>
            </w:tcBorders>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0.76</w:t>
            </w:r>
          </w:p>
        </w:tc>
      </w:tr>
      <w:tr w:rsidR="00B276C3" w:rsidRPr="005C7E20" w:rsidTr="002744E6">
        <w:trPr>
          <w:trHeight w:val="216"/>
        </w:trPr>
        <w:tc>
          <w:tcPr>
            <w:tcW w:w="127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 xml:space="preserve"> 1-3</w:t>
            </w:r>
          </w:p>
        </w:tc>
        <w:tc>
          <w:tcPr>
            <w:tcW w:w="64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0.45</w:t>
            </w:r>
          </w:p>
        </w:tc>
        <w:tc>
          <w:tcPr>
            <w:tcW w:w="960"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0.45</w:t>
            </w:r>
          </w:p>
        </w:tc>
        <w:tc>
          <w:tcPr>
            <w:tcW w:w="960" w:type="dxa"/>
          </w:tcPr>
          <w:p w:rsidR="00B276C3" w:rsidRPr="005C7E20" w:rsidRDefault="00B276C3" w:rsidP="005C7E20">
            <w:pPr>
              <w:spacing w:after="0"/>
              <w:jc w:val="both"/>
              <w:rPr>
                <w:rFonts w:eastAsia="Times New Roman"/>
                <w:color w:val="000000"/>
                <w:sz w:val="20"/>
                <w:szCs w:val="20"/>
              </w:rPr>
            </w:pPr>
          </w:p>
        </w:tc>
        <w:tc>
          <w:tcPr>
            <w:tcW w:w="960" w:type="dxa"/>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 xml:space="preserve"> 19-24</w:t>
            </w:r>
          </w:p>
        </w:tc>
        <w:tc>
          <w:tcPr>
            <w:tcW w:w="960" w:type="dxa"/>
            <w:gridSpan w:val="2"/>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1</w:t>
            </w:r>
          </w:p>
        </w:tc>
        <w:tc>
          <w:tcPr>
            <w:tcW w:w="960" w:type="dxa"/>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0.76</w:t>
            </w:r>
          </w:p>
        </w:tc>
      </w:tr>
      <w:tr w:rsidR="00B276C3" w:rsidRPr="005C7E20" w:rsidTr="002744E6">
        <w:trPr>
          <w:trHeight w:val="216"/>
        </w:trPr>
        <w:tc>
          <w:tcPr>
            <w:tcW w:w="127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 xml:space="preserve"> 4-6</w:t>
            </w:r>
          </w:p>
        </w:tc>
        <w:tc>
          <w:tcPr>
            <w:tcW w:w="64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0.62</w:t>
            </w:r>
          </w:p>
        </w:tc>
        <w:tc>
          <w:tcPr>
            <w:tcW w:w="960"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0.62</w:t>
            </w:r>
          </w:p>
        </w:tc>
        <w:tc>
          <w:tcPr>
            <w:tcW w:w="960" w:type="dxa"/>
          </w:tcPr>
          <w:p w:rsidR="00B276C3" w:rsidRPr="005C7E20" w:rsidRDefault="00B276C3" w:rsidP="005C7E20">
            <w:pPr>
              <w:spacing w:after="0"/>
              <w:jc w:val="both"/>
              <w:rPr>
                <w:rFonts w:eastAsia="Times New Roman"/>
                <w:color w:val="000000"/>
                <w:sz w:val="20"/>
                <w:szCs w:val="20"/>
              </w:rPr>
            </w:pPr>
          </w:p>
        </w:tc>
        <w:tc>
          <w:tcPr>
            <w:tcW w:w="960" w:type="dxa"/>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 xml:space="preserve"> 25-50</w:t>
            </w:r>
          </w:p>
        </w:tc>
        <w:tc>
          <w:tcPr>
            <w:tcW w:w="960" w:type="dxa"/>
            <w:gridSpan w:val="2"/>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1</w:t>
            </w:r>
          </w:p>
        </w:tc>
        <w:tc>
          <w:tcPr>
            <w:tcW w:w="960" w:type="dxa"/>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0.76</w:t>
            </w:r>
          </w:p>
        </w:tc>
      </w:tr>
      <w:tr w:rsidR="00B276C3" w:rsidRPr="005C7E20" w:rsidTr="002744E6">
        <w:trPr>
          <w:trHeight w:val="216"/>
        </w:trPr>
        <w:tc>
          <w:tcPr>
            <w:tcW w:w="127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 xml:space="preserve"> 7-10</w:t>
            </w:r>
          </w:p>
        </w:tc>
        <w:tc>
          <w:tcPr>
            <w:tcW w:w="64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0.69</w:t>
            </w:r>
          </w:p>
        </w:tc>
        <w:tc>
          <w:tcPr>
            <w:tcW w:w="960"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0.69</w:t>
            </w:r>
          </w:p>
        </w:tc>
        <w:tc>
          <w:tcPr>
            <w:tcW w:w="960" w:type="dxa"/>
          </w:tcPr>
          <w:p w:rsidR="00B276C3" w:rsidRPr="005C7E20" w:rsidRDefault="00B276C3" w:rsidP="005C7E20">
            <w:pPr>
              <w:spacing w:after="0"/>
              <w:jc w:val="both"/>
              <w:rPr>
                <w:rFonts w:eastAsia="Times New Roman"/>
                <w:color w:val="000000"/>
                <w:sz w:val="20"/>
                <w:szCs w:val="20"/>
              </w:rPr>
            </w:pPr>
          </w:p>
        </w:tc>
        <w:tc>
          <w:tcPr>
            <w:tcW w:w="960" w:type="dxa"/>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 xml:space="preserve"> 51-99</w:t>
            </w:r>
          </w:p>
        </w:tc>
        <w:tc>
          <w:tcPr>
            <w:tcW w:w="960" w:type="dxa"/>
            <w:gridSpan w:val="2"/>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0.79</w:t>
            </w:r>
          </w:p>
        </w:tc>
        <w:tc>
          <w:tcPr>
            <w:tcW w:w="960" w:type="dxa"/>
            <w:vAlign w:val="bottom"/>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0.66</w:t>
            </w:r>
          </w:p>
        </w:tc>
      </w:tr>
      <w:tr w:rsidR="00B276C3" w:rsidRPr="005C7E20" w:rsidTr="002744E6">
        <w:trPr>
          <w:trHeight w:val="216"/>
        </w:trPr>
        <w:tc>
          <w:tcPr>
            <w:tcW w:w="127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 xml:space="preserve"> 11-14</w:t>
            </w:r>
          </w:p>
        </w:tc>
        <w:tc>
          <w:tcPr>
            <w:tcW w:w="645"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0.86</w:t>
            </w:r>
          </w:p>
        </w:tc>
        <w:tc>
          <w:tcPr>
            <w:tcW w:w="960" w:type="dxa"/>
            <w:shd w:val="clear" w:color="auto" w:fill="auto"/>
            <w:noWrap/>
            <w:vAlign w:val="bottom"/>
            <w:hideMark/>
          </w:tcPr>
          <w:p w:rsidR="00B276C3" w:rsidRPr="005C7E20" w:rsidRDefault="00B276C3" w:rsidP="005C7E20">
            <w:pPr>
              <w:spacing w:after="0"/>
              <w:jc w:val="both"/>
              <w:rPr>
                <w:rFonts w:eastAsia="Times New Roman"/>
                <w:color w:val="000000"/>
                <w:sz w:val="20"/>
                <w:szCs w:val="20"/>
              </w:rPr>
            </w:pPr>
            <w:r w:rsidRPr="005C7E20">
              <w:rPr>
                <w:rFonts w:eastAsia="Times New Roman"/>
                <w:color w:val="000000"/>
                <w:sz w:val="20"/>
                <w:szCs w:val="20"/>
              </w:rPr>
              <w:t>0.76</w:t>
            </w:r>
          </w:p>
        </w:tc>
        <w:tc>
          <w:tcPr>
            <w:tcW w:w="960" w:type="dxa"/>
          </w:tcPr>
          <w:p w:rsidR="00B276C3" w:rsidRPr="005C7E20" w:rsidRDefault="00B276C3" w:rsidP="005C7E20">
            <w:pPr>
              <w:spacing w:after="0"/>
              <w:jc w:val="both"/>
              <w:rPr>
                <w:rFonts w:eastAsia="Times New Roman"/>
                <w:color w:val="000000"/>
                <w:sz w:val="20"/>
                <w:szCs w:val="20"/>
              </w:rPr>
            </w:pPr>
          </w:p>
        </w:tc>
        <w:tc>
          <w:tcPr>
            <w:tcW w:w="960" w:type="dxa"/>
          </w:tcPr>
          <w:p w:rsidR="00B276C3" w:rsidRPr="005C7E20" w:rsidRDefault="00B276C3" w:rsidP="005C7E20">
            <w:pPr>
              <w:spacing w:after="0"/>
              <w:jc w:val="both"/>
              <w:rPr>
                <w:rFonts w:eastAsia="Times New Roman"/>
                <w:color w:val="000000"/>
                <w:sz w:val="20"/>
                <w:szCs w:val="20"/>
              </w:rPr>
            </w:pPr>
          </w:p>
        </w:tc>
        <w:tc>
          <w:tcPr>
            <w:tcW w:w="960" w:type="dxa"/>
            <w:gridSpan w:val="2"/>
          </w:tcPr>
          <w:p w:rsidR="00B276C3" w:rsidRPr="005C7E20" w:rsidRDefault="00B276C3" w:rsidP="005C7E20">
            <w:pPr>
              <w:spacing w:after="0"/>
              <w:jc w:val="both"/>
              <w:rPr>
                <w:rFonts w:eastAsia="Times New Roman"/>
                <w:color w:val="000000"/>
                <w:sz w:val="20"/>
                <w:szCs w:val="20"/>
              </w:rPr>
            </w:pPr>
          </w:p>
        </w:tc>
        <w:tc>
          <w:tcPr>
            <w:tcW w:w="960" w:type="dxa"/>
          </w:tcPr>
          <w:p w:rsidR="00B276C3" w:rsidRPr="005C7E20" w:rsidRDefault="00B276C3" w:rsidP="005C7E20">
            <w:pPr>
              <w:spacing w:after="0"/>
              <w:jc w:val="both"/>
              <w:rPr>
                <w:rFonts w:eastAsia="Times New Roman"/>
                <w:color w:val="000000"/>
                <w:sz w:val="20"/>
                <w:szCs w:val="20"/>
              </w:rPr>
            </w:pPr>
          </w:p>
        </w:tc>
      </w:tr>
    </w:tbl>
    <w:p w:rsidR="00B276C3" w:rsidRPr="005C7E20" w:rsidRDefault="00B276C3" w:rsidP="005C7E20">
      <w:pPr>
        <w:pStyle w:val="FootnoteText"/>
        <w:jc w:val="both"/>
        <w:rPr>
          <w:rFonts w:ascii="Times New Roman" w:hAnsi="Times New Roman" w:cs="Times New Roman"/>
        </w:rPr>
      </w:pPr>
    </w:p>
  </w:footnote>
  <w:footnote w:id="35">
    <w:p w:rsidR="00B276C3" w:rsidRPr="005C7E20" w:rsidRDefault="00B276C3" w:rsidP="005C7E20">
      <w:pPr>
        <w:autoSpaceDE w:val="0"/>
        <w:autoSpaceDN w:val="0"/>
        <w:adjustRightInd w:val="0"/>
        <w:spacing w:after="0"/>
        <w:jc w:val="both"/>
        <w:rPr>
          <w:sz w:val="20"/>
          <w:szCs w:val="20"/>
        </w:rPr>
      </w:pPr>
      <w:r w:rsidRPr="005C7E20">
        <w:rPr>
          <w:rStyle w:val="FootnoteReference"/>
          <w:sz w:val="20"/>
          <w:szCs w:val="20"/>
        </w:rPr>
        <w:footnoteRef/>
      </w:r>
      <w:r w:rsidRPr="005C7E20">
        <w:rPr>
          <w:sz w:val="20"/>
          <w:szCs w:val="20"/>
        </w:rPr>
        <w:t xml:space="preserve"> Deaton, A. and S. Zaidi (2002). </w:t>
      </w:r>
      <w:hyperlink r:id="rId2" w:history="1">
        <w:r w:rsidRPr="005C7E20">
          <w:rPr>
            <w:sz w:val="20"/>
            <w:szCs w:val="20"/>
          </w:rPr>
          <w:t>A Guide to Aggregating Consumption Expenditures, Living Standards Measurement Study</w:t>
        </w:r>
      </w:hyperlink>
      <w:r w:rsidRPr="005C7E20">
        <w:rPr>
          <w:sz w:val="20"/>
          <w:szCs w:val="20"/>
        </w:rPr>
        <w:t>, Working Paper 135.</w:t>
      </w:r>
    </w:p>
  </w:footnote>
  <w:footnote w:id="36">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See Backiny-Yetna </w:t>
      </w:r>
      <w:r w:rsidRPr="005C7E20">
        <w:rPr>
          <w:rFonts w:ascii="Times New Roman" w:hAnsi="Times New Roman" w:cs="Times New Roman"/>
          <w:i/>
        </w:rPr>
        <w:t>et al.</w:t>
      </w:r>
      <w:r w:rsidRPr="005C7E20">
        <w:rPr>
          <w:rFonts w:ascii="Times New Roman" w:hAnsi="Times New Roman" w:cs="Times New Roman"/>
        </w:rPr>
        <w:t xml:space="preserve"> (2007).</w:t>
      </w:r>
    </w:p>
  </w:footnote>
  <w:footnote w:id="37">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This explanation ignores that consumption per capita in Sikasso is amongst the lowest in the country.</w:t>
      </w:r>
    </w:p>
  </w:footnote>
  <w:footnote w:id="38">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A third channel is that poor households themselves increased their production and became less deficient in food.</w:t>
      </w:r>
    </w:p>
  </w:footnote>
  <w:footnote w:id="39">
    <w:p w:rsidR="00B276C3" w:rsidRPr="005C7E20" w:rsidRDefault="00B276C3" w:rsidP="0062371B">
      <w:pPr>
        <w:pStyle w:val="FootnoteText"/>
        <w:jc w:val="both"/>
        <w:rPr>
          <w:rFonts w:ascii="Times New Roman" w:hAnsi="Times New Roman" w:cs="Times New Roman"/>
          <w:lang w:val="fr-FR"/>
        </w:rPr>
      </w:pPr>
      <w:r w:rsidRPr="005C7E20">
        <w:rPr>
          <w:rStyle w:val="FootnoteReference"/>
          <w:rFonts w:ascii="Times New Roman" w:hAnsi="Times New Roman" w:cs="Times New Roman"/>
        </w:rPr>
        <w:footnoteRef/>
      </w:r>
      <w:r w:rsidRPr="005C7E20">
        <w:rPr>
          <w:rFonts w:ascii="Times New Roman" w:hAnsi="Times New Roman" w:cs="Times New Roman"/>
        </w:rPr>
        <w:t xml:space="preserve"> Using the EMOP for 2011 survey the following estimates for regional poverty are derived: Kayes, 40,0; Koulikoro 46.6; Sikasso 58.1; Segou 52.2; Mopti 60.7; Tombouctou 47.0; Gao 34.4, Kidal 4.4 and Bamako 10.7. Because the EMOP and ELIM surveys collected consumption in different ways, poverty estimates based on the EMOP should not be compared to those of the ELIM. </w:t>
      </w:r>
      <w:r w:rsidRPr="005C7E20">
        <w:rPr>
          <w:rFonts w:ascii="Times New Roman" w:hAnsi="Times New Roman" w:cs="Times New Roman"/>
          <w:lang w:val="fr-FR"/>
        </w:rPr>
        <w:t>Source: INSTAT 2013: Consommation, Pauvrete, Bien-etre de ménages: avril 2011-avril 2012.</w:t>
      </w:r>
    </w:p>
  </w:footnote>
  <w:footnote w:id="40">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29 percent of all migrants from Mali who live abroad come from Kayes. The fraction of the population that has migrated is 2.5 time larger in Kayes than the average for the rest of the country (1.5% for Kayes versus 0.6% for the rest of the country. Source: calculated from RGPH 2009.</w:t>
      </w:r>
    </w:p>
  </w:footnote>
  <w:footnote w:id="41">
    <w:p w:rsidR="00B276C3" w:rsidRPr="004B5F0E" w:rsidRDefault="00B276C3" w:rsidP="005D2B94">
      <w:pPr>
        <w:jc w:val="both"/>
        <w:rPr>
          <w:sz w:val="20"/>
          <w:szCs w:val="20"/>
          <w:lang w:val="en-CA"/>
        </w:rPr>
      </w:pPr>
      <w:r w:rsidRPr="004B5F0E">
        <w:rPr>
          <w:rStyle w:val="FootnoteReference"/>
        </w:rPr>
        <w:footnoteRef/>
      </w:r>
      <w:r w:rsidRPr="004B5F0E">
        <w:rPr>
          <w:sz w:val="20"/>
          <w:szCs w:val="20"/>
        </w:rPr>
        <w:t xml:space="preserve"> </w:t>
      </w:r>
      <w:r w:rsidRPr="004B5F0E">
        <w:rPr>
          <w:sz w:val="20"/>
          <w:szCs w:val="20"/>
          <w:lang w:val="en-CA"/>
        </w:rPr>
        <w:t>Asset poverty is estimated based on the Multiple Correspondence Analysis from several indicators of the ownership of durable goods (radio, television, landline phone, mobile phone, refrigerator, freezer, computer, air-conditioner, ventilator, time piece, jewelry, land, dish, bicycle, motorcycle, car, cart, canoe, stove, table, carpet, mat, chair, a</w:t>
      </w:r>
      <w:r w:rsidRPr="00267F41">
        <w:rPr>
          <w:sz w:val="20"/>
          <w:szCs w:val="20"/>
          <w:lang w:val="en-CA"/>
        </w:rPr>
        <w:t>rmchair</w:t>
      </w:r>
      <w:r w:rsidRPr="004B5F0E">
        <w:rPr>
          <w:sz w:val="20"/>
          <w:szCs w:val="20"/>
          <w:lang w:val="en-CA"/>
        </w:rPr>
        <w:t>, dressing table, sewing machine, bed, couch, sideboard, wardrobe). The asset poverty line is set such that the asset poverty is equal to monetary poverty at the national level.</w:t>
      </w:r>
    </w:p>
    <w:p w:rsidR="00B276C3" w:rsidRPr="004B5F0E" w:rsidRDefault="00B276C3" w:rsidP="005D2B94">
      <w:pPr>
        <w:pStyle w:val="FootnoteText"/>
        <w:rPr>
          <w:rFonts w:cs="Times New Roman"/>
          <w:lang w:val="en-CA"/>
        </w:rPr>
      </w:pPr>
    </w:p>
  </w:footnote>
  <w:footnote w:id="42">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To shorten the table, coefficients on commune level local controls and ethnic groups are omitted from the table.</w:t>
      </w:r>
    </w:p>
  </w:footnote>
  <w:footnote w:id="43">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Although the relation is convex, the negative effect dominates for any plausible age.</w:t>
      </w:r>
    </w:p>
  </w:footnote>
  <w:footnote w:id="44">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There is roughly 1 hospital or clinic available for every 100,000 people in Mali (source: ODHD 2008).</w:t>
      </w:r>
    </w:p>
  </w:footnote>
  <w:footnote w:id="45">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Estimated using 2009 census data.</w:t>
      </w:r>
    </w:p>
  </w:footnote>
  <w:footnote w:id="46">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250/(</w:t>
      </w:r>
      <w:r>
        <w:rPr>
          <w:rFonts w:ascii="Times New Roman" w:hAnsi="Times New Roman" w:cs="Times New Roman"/>
        </w:rPr>
        <w:t>0</w:t>
      </w:r>
      <w:r w:rsidRPr="005C7E20">
        <w:rPr>
          <w:rFonts w:ascii="Times New Roman" w:hAnsi="Times New Roman" w:cs="Times New Roman"/>
        </w:rPr>
        <w:t>.14*.3*154).</w:t>
      </w:r>
    </w:p>
  </w:footnote>
  <w:footnote w:id="47">
    <w:p w:rsidR="00B276C3" w:rsidRPr="00BC6EF4" w:rsidRDefault="00B276C3" w:rsidP="005C7E20">
      <w:pPr>
        <w:pStyle w:val="FootnoteText"/>
        <w:jc w:val="both"/>
        <w:rPr>
          <w:rFonts w:ascii="Times New Roman" w:hAnsi="Times New Roman" w:cs="Times New Roman"/>
          <w:i/>
          <w:lang w:val="fr-FR"/>
        </w:rPr>
      </w:pPr>
      <w:r w:rsidRPr="005C7E20">
        <w:rPr>
          <w:rStyle w:val="FootnoteReference"/>
          <w:rFonts w:ascii="Times New Roman" w:hAnsi="Times New Roman" w:cs="Times New Roman"/>
        </w:rPr>
        <w:footnoteRef/>
      </w:r>
      <w:r w:rsidRPr="005C7E20">
        <w:rPr>
          <w:rFonts w:ascii="Times New Roman" w:hAnsi="Times New Roman" w:cs="Times New Roman"/>
        </w:rPr>
        <w:t xml:space="preserve"> DNSI 2007. </w:t>
      </w:r>
      <w:r w:rsidRPr="00BC6EF4">
        <w:rPr>
          <w:rFonts w:ascii="Times New Roman" w:hAnsi="Times New Roman" w:cs="Times New Roman"/>
          <w:i/>
          <w:lang w:val="fr-FR"/>
        </w:rPr>
        <w:t xml:space="preserve">Pauvreté et Education au Mali: les determinants de la frequentation scolaire. </w:t>
      </w:r>
    </w:p>
  </w:footnote>
  <w:footnote w:id="48">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Calculated as (34.9/62.7)-1. </w:t>
      </w:r>
    </w:p>
  </w:footnote>
  <w:footnote w:id="49">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According to the EMOP 2011 access has increased to 34 percent. Relative to the access reported for 2009/10 based on the ELIM this increase seems very large. In this section we further use the ELIM. </w:t>
      </w:r>
    </w:p>
  </w:footnote>
  <w:footnote w:id="50">
    <w:p w:rsidR="00B276C3" w:rsidRPr="005C7E20" w:rsidRDefault="00B276C3" w:rsidP="005C7E20">
      <w:pPr>
        <w:spacing w:after="0"/>
        <w:jc w:val="both"/>
        <w:rPr>
          <w:sz w:val="20"/>
          <w:szCs w:val="20"/>
          <w:lang w:val="en-CA"/>
        </w:rPr>
      </w:pPr>
      <w:r w:rsidRPr="005C7E20">
        <w:rPr>
          <w:rStyle w:val="FootnoteReference"/>
          <w:sz w:val="20"/>
          <w:szCs w:val="20"/>
        </w:rPr>
        <w:footnoteRef/>
      </w:r>
      <w:r w:rsidRPr="005C7E20">
        <w:rPr>
          <w:sz w:val="20"/>
          <w:szCs w:val="20"/>
        </w:rPr>
        <w:t xml:space="preserve"> World Bank 2013. </w:t>
      </w:r>
      <w:r w:rsidRPr="005C7E20">
        <w:rPr>
          <w:sz w:val="20"/>
          <w:szCs w:val="20"/>
          <w:lang w:val="en-CA"/>
        </w:rPr>
        <w:t>The Effect of Electricity Tariff Increases on Poverty and Welfare Distribution in Mali.</w:t>
      </w:r>
    </w:p>
  </w:footnote>
  <w:footnote w:id="51">
    <w:p w:rsidR="00B276C3" w:rsidRPr="005C7E20" w:rsidRDefault="00B276C3" w:rsidP="005C7E20">
      <w:pPr>
        <w:spacing w:after="0"/>
        <w:jc w:val="both"/>
        <w:rPr>
          <w:sz w:val="20"/>
          <w:szCs w:val="20"/>
        </w:rPr>
      </w:pPr>
      <w:r w:rsidRPr="005C7E20">
        <w:rPr>
          <w:rStyle w:val="FootnoteReference"/>
          <w:sz w:val="20"/>
          <w:szCs w:val="20"/>
        </w:rPr>
        <w:footnoteRef/>
      </w:r>
      <w:r w:rsidRPr="005C7E20">
        <w:rPr>
          <w:sz w:val="20"/>
          <w:szCs w:val="20"/>
        </w:rPr>
        <w:t xml:space="preserve"> Clesensio Tizikara and Loro George Leju Lugor, MAFCRD Post Conflict Development of Agriculture in South Sudan, perspective on approaches to capacity strengthening. Juba 2012.</w:t>
      </w:r>
    </w:p>
  </w:footnote>
  <w:footnote w:id="52">
    <w:p w:rsidR="00B276C3" w:rsidRPr="005C7E20" w:rsidRDefault="00B276C3" w:rsidP="005C7E20">
      <w:pPr>
        <w:widowControl w:val="0"/>
        <w:autoSpaceDE w:val="0"/>
        <w:autoSpaceDN w:val="0"/>
        <w:adjustRightInd w:val="0"/>
        <w:spacing w:after="0"/>
        <w:jc w:val="both"/>
        <w:rPr>
          <w:sz w:val="20"/>
          <w:szCs w:val="20"/>
        </w:rPr>
      </w:pPr>
      <w:r w:rsidRPr="005C7E20">
        <w:rPr>
          <w:rStyle w:val="FootnoteReference"/>
          <w:sz w:val="20"/>
          <w:szCs w:val="20"/>
        </w:rPr>
        <w:footnoteRef/>
      </w:r>
      <w:r w:rsidRPr="005C7E20">
        <w:rPr>
          <w:sz w:val="20"/>
          <w:szCs w:val="20"/>
        </w:rPr>
        <w:t xml:space="preserve"> D</w:t>
      </w:r>
      <w:r w:rsidRPr="005C7E20">
        <w:rPr>
          <w:bCs/>
          <w:color w:val="000000"/>
          <w:sz w:val="20"/>
          <w:szCs w:val="20"/>
        </w:rPr>
        <w:t xml:space="preserve">eichmann, U. (1997). </w:t>
      </w:r>
      <w:r w:rsidRPr="005C7E20">
        <w:rPr>
          <w:bCs/>
          <w:sz w:val="20"/>
          <w:szCs w:val="20"/>
        </w:rPr>
        <w:t xml:space="preserve">Accessibility indicators in GIS. </w:t>
      </w:r>
      <w:r w:rsidRPr="005C7E20">
        <w:rPr>
          <w:sz w:val="20"/>
          <w:szCs w:val="20"/>
        </w:rPr>
        <w:t>United Nations Statistics Division.</w:t>
      </w:r>
    </w:p>
  </w:footnote>
  <w:footnote w:id="53">
    <w:p w:rsidR="00B276C3" w:rsidRPr="005C7E20" w:rsidRDefault="00B276C3" w:rsidP="005C7E20">
      <w:pPr>
        <w:spacing w:after="0"/>
        <w:jc w:val="both"/>
        <w:rPr>
          <w:sz w:val="20"/>
          <w:szCs w:val="20"/>
        </w:rPr>
      </w:pPr>
      <w:r w:rsidRPr="005C7E20">
        <w:rPr>
          <w:rStyle w:val="FootnoteReference"/>
          <w:sz w:val="20"/>
          <w:szCs w:val="20"/>
        </w:rPr>
        <w:footnoteRef/>
      </w:r>
      <w:r w:rsidRPr="005C7E20">
        <w:rPr>
          <w:sz w:val="20"/>
          <w:szCs w:val="20"/>
        </w:rPr>
        <w:t xml:space="preserve"> </w:t>
      </w:r>
      <w:r w:rsidRPr="005C7E20">
        <w:rPr>
          <w:bCs/>
          <w:color w:val="000000"/>
          <w:sz w:val="20"/>
          <w:szCs w:val="20"/>
        </w:rPr>
        <w:t>Nelson, A. (2008).</w:t>
      </w:r>
      <w:r w:rsidRPr="005C7E20">
        <w:rPr>
          <w:color w:val="000000"/>
          <w:sz w:val="20"/>
          <w:szCs w:val="20"/>
        </w:rPr>
        <w:t xml:space="preserve"> Travel time to major cities: A global map of Accessibility. Global Environment Monitoring Unit - Joint Research Centre of the European </w:t>
      </w:r>
      <w:r w:rsidRPr="005C7E20">
        <w:rPr>
          <w:sz w:val="20"/>
          <w:szCs w:val="20"/>
        </w:rPr>
        <w:t xml:space="preserve">Commission, Ispra Italy. Available at </w:t>
      </w:r>
      <w:hyperlink r:id="rId3" w:history="1">
        <w:r w:rsidRPr="005C7E20">
          <w:rPr>
            <w:rStyle w:val="Hyperlink"/>
            <w:sz w:val="20"/>
            <w:szCs w:val="20"/>
          </w:rPr>
          <w:t>http://gem.jrc.ec.europa.eu/</w:t>
        </w:r>
      </w:hyperlink>
    </w:p>
  </w:footnote>
  <w:footnote w:id="54">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w:t>
      </w:r>
      <w:r w:rsidRPr="005C7E20">
        <w:rPr>
          <w:rFonts w:ascii="Times New Roman" w:hAnsi="Times New Roman" w:cs="Times New Roman"/>
          <w:color w:val="000000"/>
        </w:rPr>
        <w:t>The market accessibility index is calculated with the negative exponential potential model.</w:t>
      </w:r>
      <w:r w:rsidRPr="005C7E20">
        <w:rPr>
          <w:rStyle w:val="EndnoteReference"/>
          <w:rFonts w:ascii="Times New Roman" w:hAnsi="Times New Roman" w:cs="Times New Roman"/>
          <w:b/>
        </w:rPr>
        <w:t xml:space="preserve"> </w:t>
      </w:r>
      <w:r w:rsidRPr="005C7E20">
        <w:rPr>
          <w:rFonts w:ascii="Times New Roman" w:hAnsi="Times New Roman" w:cs="Times New Roman"/>
          <w:b/>
        </w:rPr>
        <w:t xml:space="preserve"> </w:t>
      </w:r>
      <w:r w:rsidRPr="005C7E20">
        <w:rPr>
          <w:rFonts w:ascii="Times New Roman" w:hAnsi="Times New Roman" w:cs="Times New Roman"/>
        </w:rPr>
        <w:t xml:space="preserve">The following parameters are in the accessibility model: </w:t>
      </w:r>
      <w:r w:rsidRPr="005C7E20">
        <w:rPr>
          <w:rFonts w:ascii="Times New Roman" w:hAnsi="Times New Roman" w:cs="Times New Roman"/>
          <w:color w:val="000000"/>
        </w:rPr>
        <w:t xml:space="preserve">cost-distance threshold = 3 hours, cost/distance decay exponent for the negative exponential model of 1.5; and cost/distance to the point of inflection of the distance decay function at 90; and </w:t>
      </w:r>
      <w:r w:rsidRPr="005C7E20">
        <w:rPr>
          <w:rFonts w:ascii="Times New Roman" w:hAnsi="Times New Roman" w:cs="Times New Roman"/>
        </w:rPr>
        <w:t>input weights transformation – in scale a square root transformation on the input weights: 2 and choose the exponent to compute square roots: 0.5.  Nodes from the transportation network are linked to the accessibility index.  Then, the points are interpolated to a grid at 1km using IDW with 10 nearest neighbors with a power factor of 2.  Finally, the mean market accessibility is summarized by the commune level administrative unit while accounting for the distance from the road network.</w:t>
      </w:r>
    </w:p>
  </w:footnote>
  <w:footnote w:id="55">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It is beyond the scope of this document to do so, but it is clear that the analysis that was prepared about the distribution of primary and secondary schools could be complemented with an analysis of the unit cost of investment.</w:t>
      </w:r>
    </w:p>
  </w:footnote>
  <w:footnote w:id="56">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A decomposition of the change in poverty between 2001 and 2010 shows that of the decline of 9.8 percentage points, 1 percentage point can be attributed to growth and 8 to a change in inequality. The remainder is attributable to the interaction between both effects.</w:t>
      </w:r>
    </w:p>
  </w:footnote>
  <w:footnote w:id="57">
    <w:p w:rsidR="00B276C3" w:rsidRPr="005C7E20" w:rsidRDefault="00B276C3" w:rsidP="005C7E20">
      <w:pPr>
        <w:spacing w:after="0"/>
        <w:jc w:val="both"/>
        <w:rPr>
          <w:b/>
          <w:sz w:val="20"/>
          <w:szCs w:val="20"/>
        </w:rPr>
      </w:pPr>
      <w:r w:rsidRPr="005C7E20">
        <w:rPr>
          <w:rStyle w:val="FootnoteReference"/>
          <w:sz w:val="20"/>
          <w:szCs w:val="20"/>
        </w:rPr>
        <w:footnoteRef/>
      </w:r>
      <w:r w:rsidRPr="005C7E20">
        <w:rPr>
          <w:sz w:val="20"/>
          <w:szCs w:val="20"/>
        </w:rPr>
        <w:t xml:space="preserve"> On the impact of various demographic scenarios on economic growth, education and health sectors, as well as the “fiscal gains” associated with a slowdown in economic growth, see  the note on Fertility Decline and Socioeconomic Development in Mali, published as chapter 2 in the Mali: Poverty and Gender Notes (World Bank 2013).</w:t>
      </w:r>
      <w:r w:rsidRPr="005C7E20">
        <w:rPr>
          <w:b/>
          <w:sz w:val="20"/>
          <w:szCs w:val="20"/>
        </w:rPr>
        <w:t xml:space="preserve"> </w:t>
      </w:r>
    </w:p>
  </w:footnote>
  <w:footnote w:id="58">
    <w:p w:rsidR="00B276C3" w:rsidRPr="005C7E20" w:rsidRDefault="00B276C3" w:rsidP="005C7E20">
      <w:pPr>
        <w:pStyle w:val="FootnoteText"/>
        <w:jc w:val="both"/>
        <w:rPr>
          <w:rFonts w:ascii="Times New Roman" w:hAnsi="Times New Roman" w:cs="Times New Roman"/>
        </w:rPr>
      </w:pPr>
      <w:r w:rsidRPr="005C7E20">
        <w:rPr>
          <w:rStyle w:val="FootnoteReference"/>
          <w:rFonts w:ascii="Times New Roman" w:hAnsi="Times New Roman" w:cs="Times New Roman"/>
        </w:rPr>
        <w:footnoteRef/>
      </w:r>
      <w:r w:rsidRPr="005C7E20">
        <w:rPr>
          <w:rFonts w:ascii="Times New Roman" w:hAnsi="Times New Roman" w:cs="Times New Roman"/>
        </w:rPr>
        <w:t xml:space="preserve"> The consumption growth rate as calculated from the household surveys was 5.8 percent suggesting that the assumption of consumption and GDP growth rates being on par with each other may have been on too conservative. However, as incomes of the poorest households grew fastest during this period, and poor households tend to save less (consume more) a more than proportional increase in consumption can be expected. In our simulation we assume distribution neutral growth, so this effect does not occur.</w:t>
      </w:r>
    </w:p>
  </w:footnote>
  <w:footnote w:id="59">
    <w:p w:rsidR="001C7567" w:rsidRPr="00635DFA" w:rsidRDefault="001C7567" w:rsidP="001C7567">
      <w:pPr>
        <w:pStyle w:val="Default"/>
        <w:rPr>
          <w:lang w:val="en-GB"/>
        </w:rPr>
      </w:pPr>
      <w:r>
        <w:rPr>
          <w:rStyle w:val="FootnoteReference"/>
        </w:rPr>
        <w:footnoteRef/>
      </w:r>
      <w:r w:rsidRPr="00635DFA">
        <w:rPr>
          <w:lang w:val="en-US"/>
        </w:rPr>
        <w:t xml:space="preserve"> </w:t>
      </w:r>
      <w:r w:rsidRPr="00635DFA">
        <w:rPr>
          <w:rFonts w:ascii="Times New Roman" w:hAnsi="Times New Roman" w:cs="Times New Roman"/>
          <w:sz w:val="20"/>
          <w:szCs w:val="20"/>
          <w:lang w:val="en-US"/>
        </w:rPr>
        <w:t xml:space="preserve">See for instance for evidence from Niger: Quentin Stoeffler and Bradford Mills (2014): </w:t>
      </w:r>
      <w:r w:rsidRPr="00635DFA">
        <w:rPr>
          <w:rFonts w:ascii="Times New Roman" w:hAnsi="Times New Roman" w:cs="Times New Roman"/>
          <w:bCs/>
          <w:sz w:val="20"/>
          <w:szCs w:val="20"/>
          <w:lang w:val="en-US"/>
        </w:rPr>
        <w:t xml:space="preserve">Households’ investments in durable and productive assets in Niger: quasi-experimental evidences from a cash transfer project. </w:t>
      </w:r>
    </w:p>
  </w:footnote>
  <w:footnote w:id="60">
    <w:p w:rsidR="001C7567" w:rsidRDefault="001C7567" w:rsidP="001C7567">
      <w:pPr>
        <w:pStyle w:val="FootnoteText"/>
      </w:pPr>
      <w:r w:rsidRPr="00BB1BEA">
        <w:rPr>
          <w:rStyle w:val="FootnoteReference"/>
          <w:rFonts w:cs="Times New Roman"/>
        </w:rPr>
        <w:footnoteRef/>
      </w:r>
      <w:r w:rsidRPr="00BB1BEA">
        <w:rPr>
          <w:rFonts w:cs="Times New Roman"/>
        </w:rPr>
        <w:t xml:space="preserve"> Even so, for some households, depending on the context, this process can take a long time.</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A158E"/>
    <w:multiLevelType w:val="multilevel"/>
    <w:tmpl w:val="BCBC00A0"/>
    <w:lvl w:ilvl="0">
      <w:start w:val="1"/>
      <w:numFmt w:val="decimal"/>
      <w:lvlText w:val="%1."/>
      <w:lvlJc w:val="left"/>
      <w:pPr>
        <w:ind w:left="360" w:hanging="360"/>
      </w:pPr>
      <w:rPr>
        <w:b w:val="0"/>
        <w:sz w:val="24"/>
        <w:szCs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E328AC"/>
    <w:multiLevelType w:val="hybridMultilevel"/>
    <w:tmpl w:val="AFE440B8"/>
    <w:lvl w:ilvl="0" w:tplc="34809B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30308"/>
    <w:multiLevelType w:val="hybridMultilevel"/>
    <w:tmpl w:val="0696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71F2F"/>
    <w:multiLevelType w:val="hybridMultilevel"/>
    <w:tmpl w:val="91B2FEC4"/>
    <w:lvl w:ilvl="0" w:tplc="0409000F">
      <w:start w:val="1"/>
      <w:numFmt w:val="decimal"/>
      <w:pStyle w:val="ListNumber2"/>
      <w:lvlText w:val="%1."/>
      <w:lvlJc w:val="left"/>
      <w:pPr>
        <w:tabs>
          <w:tab w:val="num" w:pos="480"/>
        </w:tabs>
        <w:ind w:left="480" w:hanging="360"/>
      </w:pPr>
      <w:rPr>
        <w:rFonts w:hint="default"/>
      </w:rPr>
    </w:lvl>
    <w:lvl w:ilvl="1" w:tplc="6832E0EE">
      <w:start w:val="1"/>
      <w:numFmt w:val="lowerRoman"/>
      <w:lvlText w:val="%2."/>
      <w:lvlJc w:val="left"/>
      <w:pPr>
        <w:tabs>
          <w:tab w:val="num" w:pos="1080"/>
        </w:tabs>
        <w:ind w:left="1080" w:hanging="360"/>
      </w:pPr>
      <w:rPr>
        <w:rFonts w:hint="default"/>
      </w:rPr>
    </w:lvl>
    <w:lvl w:ilvl="2" w:tplc="04090005">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
    <w:nsid w:val="1222555A"/>
    <w:multiLevelType w:val="multilevel"/>
    <w:tmpl w:val="317CB556"/>
    <w:lvl w:ilvl="0">
      <w:start w:val="1"/>
      <w:numFmt w:val="decimal"/>
      <w:pStyle w:val="Heading1"/>
      <w:lvlText w:val="Chapter %1."/>
      <w:lvlJc w:val="left"/>
      <w:pPr>
        <w:ind w:left="0" w:firstLine="0"/>
      </w:pPr>
      <w:rPr>
        <w:rFonts w:ascii="Times New Roman Bold" w:hAnsi="Times New Roman Bold" w:hint="default"/>
        <w:b/>
        <w:i w:val="0"/>
        <w:sz w:val="32"/>
      </w:rPr>
    </w:lvl>
    <w:lvl w:ilvl="1">
      <w:start w:val="1"/>
      <w:numFmt w:val="decimal"/>
      <w:pStyle w:val="paranumb"/>
      <w:lvlText w:val="%1.%2"/>
      <w:lvlJc w:val="left"/>
      <w:pPr>
        <w:ind w:left="0" w:firstLine="0"/>
      </w:pPr>
      <w:rPr>
        <w:rFonts w:hint="default"/>
        <w:b w:val="0"/>
        <w:i w:val="0"/>
        <w:color w:val="000000" w:themeColor="tex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BF36F93"/>
    <w:multiLevelType w:val="multilevel"/>
    <w:tmpl w:val="355A271C"/>
    <w:lvl w:ilvl="0">
      <w:start w:val="1"/>
      <w:numFmt w:val="decimal"/>
      <w:lvlText w:val="%1."/>
      <w:lvlJc w:val="left"/>
      <w:pPr>
        <w:ind w:left="360" w:hanging="360"/>
      </w:pPr>
    </w:lvl>
    <w:lvl w:ilvl="1">
      <w:start w:val="1"/>
      <w:numFmt w:val="decimal"/>
      <w:lvlText w:val="%2."/>
      <w:lvlJc w:val="left"/>
      <w:pPr>
        <w:ind w:left="792"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23F7931"/>
    <w:multiLevelType w:val="hybridMultilevel"/>
    <w:tmpl w:val="A45AB944"/>
    <w:lvl w:ilvl="0" w:tplc="3F22697C">
      <w:start w:val="1"/>
      <w:numFmt w:val="upperLetter"/>
      <w:pStyle w:val="Heading2"/>
      <w:lvlText w:val="%1."/>
      <w:lvlJc w:val="left"/>
      <w:pPr>
        <w:ind w:left="21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9439E6"/>
    <w:multiLevelType w:val="multilevel"/>
    <w:tmpl w:val="EB3C0E9A"/>
    <w:lvl w:ilvl="0">
      <w:start w:val="1"/>
      <w:numFmt w:val="decimal"/>
      <w:lvlText w:val="%1."/>
      <w:lvlJc w:val="left"/>
      <w:pPr>
        <w:ind w:left="360" w:hanging="360"/>
      </w:pPr>
      <w:rPr>
        <w:rFonts w:hint="default"/>
        <w:b/>
      </w:rPr>
    </w:lvl>
    <w:lvl w:ilvl="1">
      <w:start w:val="1"/>
      <w:numFmt w:val="decimal"/>
      <w:pStyle w:val="StyleMainParawithChapterAfter6pt"/>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72DF217E"/>
    <w:multiLevelType w:val="multilevel"/>
    <w:tmpl w:val="218E9D78"/>
    <w:lvl w:ilvl="0">
      <w:start w:val="1"/>
      <w:numFmt w:val="none"/>
      <w:suff w:val="nothing"/>
      <w:lvlText w:val=""/>
      <w:lvlJc w:val="left"/>
      <w:pPr>
        <w:tabs>
          <w:tab w:val="num" w:pos="0"/>
        </w:tabs>
        <w:ind w:left="0" w:firstLine="0"/>
      </w:pPr>
    </w:lvl>
    <w:lvl w:ilvl="1">
      <w:start w:val="1"/>
      <w:numFmt w:val="decimal"/>
      <w:pStyle w:val="MainParanoChapter"/>
      <w:lvlText w:val="%2."/>
      <w:lvlJc w:val="left"/>
      <w:pPr>
        <w:tabs>
          <w:tab w:val="num" w:pos="720"/>
        </w:tabs>
        <w:ind w:left="720" w:hanging="720"/>
      </w:pPr>
    </w:lvl>
    <w:lvl w:ilvl="2">
      <w:start w:val="1"/>
      <w:numFmt w:val="lowerLetter"/>
      <w:lvlText w:val="(%3)"/>
      <w:lvlJc w:val="left"/>
      <w:pPr>
        <w:tabs>
          <w:tab w:val="num" w:pos="1080"/>
        </w:tabs>
        <w:ind w:left="720" w:hanging="360"/>
      </w:pPr>
    </w:lvl>
    <w:lvl w:ilvl="3">
      <w:start w:val="1"/>
      <w:numFmt w:val="lowerRoman"/>
      <w:lvlText w:val="(%4)"/>
      <w:lvlJc w:val="left"/>
      <w:pPr>
        <w:tabs>
          <w:tab w:val="num" w:pos="1800"/>
        </w:tabs>
        <w:ind w:left="1080" w:hanging="360"/>
      </w:pPr>
    </w:lvl>
    <w:lvl w:ilvl="4">
      <w:start w:val="1"/>
      <w:numFmt w:val="lowerLetter"/>
      <w:lvlText w:val="%5."/>
      <w:lvlJc w:val="left"/>
      <w:pPr>
        <w:tabs>
          <w:tab w:val="num" w:pos="1440"/>
        </w:tabs>
        <w:ind w:left="1440" w:hanging="360"/>
      </w:pPr>
    </w:lvl>
    <w:lvl w:ilvl="5">
      <w:start w:val="1"/>
      <w:numFmt w:val="lowerRoman"/>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
  </w:num>
  <w:num w:numId="2">
    <w:abstractNumId w:val="8"/>
  </w:num>
  <w:num w:numId="3">
    <w:abstractNumId w:val="6"/>
  </w:num>
  <w:num w:numId="4">
    <w:abstractNumId w:val="5"/>
  </w:num>
  <w:num w:numId="5">
    <w:abstractNumId w:val="4"/>
  </w:num>
  <w:num w:numId="6">
    <w:abstractNumId w:val="6"/>
    <w:lvlOverride w:ilvl="0">
      <w:startOverride w:val="1"/>
    </w:lvlOverride>
  </w:num>
  <w:num w:numId="7">
    <w:abstractNumId w:val="3"/>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num>
  <w:num w:numId="13">
    <w:abstractNumId w:val="1"/>
  </w:num>
  <w:num w:numId="14">
    <w:abstractNumId w:val="2"/>
  </w:num>
  <w:num w:numId="15">
    <w:abstractNumId w:val="0"/>
  </w:num>
  <w:num w:numId="16">
    <w:abstractNumId w:val="6"/>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E26"/>
    <w:rsid w:val="00001076"/>
    <w:rsid w:val="00006FF6"/>
    <w:rsid w:val="00007B0D"/>
    <w:rsid w:val="00007F0E"/>
    <w:rsid w:val="000115E5"/>
    <w:rsid w:val="00011C98"/>
    <w:rsid w:val="0001420C"/>
    <w:rsid w:val="000158C5"/>
    <w:rsid w:val="00017391"/>
    <w:rsid w:val="00022E29"/>
    <w:rsid w:val="00025AC6"/>
    <w:rsid w:val="00025EA9"/>
    <w:rsid w:val="000260C2"/>
    <w:rsid w:val="000279FD"/>
    <w:rsid w:val="000301C5"/>
    <w:rsid w:val="0003253A"/>
    <w:rsid w:val="000335F3"/>
    <w:rsid w:val="00034B85"/>
    <w:rsid w:val="000358BB"/>
    <w:rsid w:val="00035B96"/>
    <w:rsid w:val="000370E2"/>
    <w:rsid w:val="00037CDF"/>
    <w:rsid w:val="0004163F"/>
    <w:rsid w:val="00042697"/>
    <w:rsid w:val="0004285F"/>
    <w:rsid w:val="00042E12"/>
    <w:rsid w:val="00043402"/>
    <w:rsid w:val="00043B0A"/>
    <w:rsid w:val="00044AEF"/>
    <w:rsid w:val="00044C2D"/>
    <w:rsid w:val="000450FD"/>
    <w:rsid w:val="000467EA"/>
    <w:rsid w:val="00046944"/>
    <w:rsid w:val="0004705A"/>
    <w:rsid w:val="000471F6"/>
    <w:rsid w:val="00050A7E"/>
    <w:rsid w:val="00050DE4"/>
    <w:rsid w:val="0005722E"/>
    <w:rsid w:val="0006642D"/>
    <w:rsid w:val="000678F9"/>
    <w:rsid w:val="00070C1C"/>
    <w:rsid w:val="00072029"/>
    <w:rsid w:val="00072925"/>
    <w:rsid w:val="000739F9"/>
    <w:rsid w:val="00073B1D"/>
    <w:rsid w:val="00073C61"/>
    <w:rsid w:val="00073EFD"/>
    <w:rsid w:val="00073F59"/>
    <w:rsid w:val="00074062"/>
    <w:rsid w:val="00075773"/>
    <w:rsid w:val="000761A0"/>
    <w:rsid w:val="0008404D"/>
    <w:rsid w:val="0008436A"/>
    <w:rsid w:val="000844AF"/>
    <w:rsid w:val="000853F1"/>
    <w:rsid w:val="00086BA4"/>
    <w:rsid w:val="00090652"/>
    <w:rsid w:val="00090A7A"/>
    <w:rsid w:val="00090D43"/>
    <w:rsid w:val="00095663"/>
    <w:rsid w:val="000A0DDF"/>
    <w:rsid w:val="000A11BD"/>
    <w:rsid w:val="000A310E"/>
    <w:rsid w:val="000A3566"/>
    <w:rsid w:val="000B0078"/>
    <w:rsid w:val="000B19DB"/>
    <w:rsid w:val="000B36DD"/>
    <w:rsid w:val="000B3895"/>
    <w:rsid w:val="000B38A6"/>
    <w:rsid w:val="000B3EDE"/>
    <w:rsid w:val="000B4436"/>
    <w:rsid w:val="000B49AB"/>
    <w:rsid w:val="000B5AAF"/>
    <w:rsid w:val="000B5C17"/>
    <w:rsid w:val="000B5D90"/>
    <w:rsid w:val="000B5F74"/>
    <w:rsid w:val="000B667F"/>
    <w:rsid w:val="000B732C"/>
    <w:rsid w:val="000B78A0"/>
    <w:rsid w:val="000B7CB5"/>
    <w:rsid w:val="000C11AE"/>
    <w:rsid w:val="000C148C"/>
    <w:rsid w:val="000C207E"/>
    <w:rsid w:val="000C27AD"/>
    <w:rsid w:val="000C2945"/>
    <w:rsid w:val="000C2F6C"/>
    <w:rsid w:val="000C314A"/>
    <w:rsid w:val="000C7AC4"/>
    <w:rsid w:val="000C7B9F"/>
    <w:rsid w:val="000D1B73"/>
    <w:rsid w:val="000D3892"/>
    <w:rsid w:val="000D5305"/>
    <w:rsid w:val="000D5C36"/>
    <w:rsid w:val="000D6C7F"/>
    <w:rsid w:val="000E0D03"/>
    <w:rsid w:val="000E134B"/>
    <w:rsid w:val="000E22E0"/>
    <w:rsid w:val="000E6434"/>
    <w:rsid w:val="000E6615"/>
    <w:rsid w:val="000E7B26"/>
    <w:rsid w:val="000F06ED"/>
    <w:rsid w:val="000F1042"/>
    <w:rsid w:val="000F19C0"/>
    <w:rsid w:val="000F1C46"/>
    <w:rsid w:val="000F5281"/>
    <w:rsid w:val="000F76DE"/>
    <w:rsid w:val="00101263"/>
    <w:rsid w:val="00102EF9"/>
    <w:rsid w:val="00103309"/>
    <w:rsid w:val="0010396A"/>
    <w:rsid w:val="001044D8"/>
    <w:rsid w:val="001103C4"/>
    <w:rsid w:val="0011075F"/>
    <w:rsid w:val="00112018"/>
    <w:rsid w:val="00112613"/>
    <w:rsid w:val="001145C5"/>
    <w:rsid w:val="00115567"/>
    <w:rsid w:val="001158E5"/>
    <w:rsid w:val="00121F4D"/>
    <w:rsid w:val="00122129"/>
    <w:rsid w:val="001254A6"/>
    <w:rsid w:val="001259F3"/>
    <w:rsid w:val="00126E9C"/>
    <w:rsid w:val="00130668"/>
    <w:rsid w:val="001310A5"/>
    <w:rsid w:val="0013189C"/>
    <w:rsid w:val="00131A2A"/>
    <w:rsid w:val="001328D8"/>
    <w:rsid w:val="00132DC7"/>
    <w:rsid w:val="0013616C"/>
    <w:rsid w:val="00140B5A"/>
    <w:rsid w:val="001414FB"/>
    <w:rsid w:val="00143787"/>
    <w:rsid w:val="00144D6E"/>
    <w:rsid w:val="00146D7F"/>
    <w:rsid w:val="001476F0"/>
    <w:rsid w:val="00152172"/>
    <w:rsid w:val="00152527"/>
    <w:rsid w:val="001550CF"/>
    <w:rsid w:val="001554F8"/>
    <w:rsid w:val="00156E9C"/>
    <w:rsid w:val="001657CA"/>
    <w:rsid w:val="001662B4"/>
    <w:rsid w:val="00172369"/>
    <w:rsid w:val="00173239"/>
    <w:rsid w:val="00173E12"/>
    <w:rsid w:val="00174773"/>
    <w:rsid w:val="001760FE"/>
    <w:rsid w:val="00176698"/>
    <w:rsid w:val="00176E5E"/>
    <w:rsid w:val="0017758C"/>
    <w:rsid w:val="00180499"/>
    <w:rsid w:val="00181945"/>
    <w:rsid w:val="00184C4E"/>
    <w:rsid w:val="00185734"/>
    <w:rsid w:val="001906F4"/>
    <w:rsid w:val="001922E9"/>
    <w:rsid w:val="001930A3"/>
    <w:rsid w:val="00194F9C"/>
    <w:rsid w:val="0019522F"/>
    <w:rsid w:val="00195256"/>
    <w:rsid w:val="00195DD9"/>
    <w:rsid w:val="00195FA7"/>
    <w:rsid w:val="00196CC6"/>
    <w:rsid w:val="00197EAC"/>
    <w:rsid w:val="001A1EEB"/>
    <w:rsid w:val="001A2C05"/>
    <w:rsid w:val="001A3AE9"/>
    <w:rsid w:val="001A3EA7"/>
    <w:rsid w:val="001A43C7"/>
    <w:rsid w:val="001A4D78"/>
    <w:rsid w:val="001A5368"/>
    <w:rsid w:val="001A73F3"/>
    <w:rsid w:val="001B0645"/>
    <w:rsid w:val="001B101F"/>
    <w:rsid w:val="001B1B91"/>
    <w:rsid w:val="001B3BE4"/>
    <w:rsid w:val="001B42E4"/>
    <w:rsid w:val="001B6BCC"/>
    <w:rsid w:val="001C01C0"/>
    <w:rsid w:val="001C3C01"/>
    <w:rsid w:val="001C5E62"/>
    <w:rsid w:val="001C6500"/>
    <w:rsid w:val="001C7567"/>
    <w:rsid w:val="001C774F"/>
    <w:rsid w:val="001C7C14"/>
    <w:rsid w:val="001D0178"/>
    <w:rsid w:val="001D115C"/>
    <w:rsid w:val="001D26A0"/>
    <w:rsid w:val="001D378E"/>
    <w:rsid w:val="001D6379"/>
    <w:rsid w:val="001D6799"/>
    <w:rsid w:val="001D7534"/>
    <w:rsid w:val="001E06E8"/>
    <w:rsid w:val="001E3802"/>
    <w:rsid w:val="001E58F3"/>
    <w:rsid w:val="001E62D1"/>
    <w:rsid w:val="001E66AF"/>
    <w:rsid w:val="001E7FA1"/>
    <w:rsid w:val="001F02ED"/>
    <w:rsid w:val="001F1326"/>
    <w:rsid w:val="001F435C"/>
    <w:rsid w:val="001F4CBB"/>
    <w:rsid w:val="00201CF9"/>
    <w:rsid w:val="00202608"/>
    <w:rsid w:val="0020413A"/>
    <w:rsid w:val="002041B2"/>
    <w:rsid w:val="00210525"/>
    <w:rsid w:val="00217168"/>
    <w:rsid w:val="0022020B"/>
    <w:rsid w:val="002211EC"/>
    <w:rsid w:val="00221D97"/>
    <w:rsid w:val="00222387"/>
    <w:rsid w:val="00223B76"/>
    <w:rsid w:val="002243C6"/>
    <w:rsid w:val="002256D8"/>
    <w:rsid w:val="00226A42"/>
    <w:rsid w:val="00227498"/>
    <w:rsid w:val="002306D2"/>
    <w:rsid w:val="002315D2"/>
    <w:rsid w:val="00235D25"/>
    <w:rsid w:val="00236387"/>
    <w:rsid w:val="00240831"/>
    <w:rsid w:val="00240D24"/>
    <w:rsid w:val="00241124"/>
    <w:rsid w:val="00243AF0"/>
    <w:rsid w:val="002457B7"/>
    <w:rsid w:val="00252974"/>
    <w:rsid w:val="002540C1"/>
    <w:rsid w:val="002600C7"/>
    <w:rsid w:val="00261A26"/>
    <w:rsid w:val="00263097"/>
    <w:rsid w:val="0026404E"/>
    <w:rsid w:val="00264215"/>
    <w:rsid w:val="00265765"/>
    <w:rsid w:val="00266D74"/>
    <w:rsid w:val="002700DC"/>
    <w:rsid w:val="002707FD"/>
    <w:rsid w:val="00270A9A"/>
    <w:rsid w:val="00271887"/>
    <w:rsid w:val="002721C4"/>
    <w:rsid w:val="00272251"/>
    <w:rsid w:val="002744E6"/>
    <w:rsid w:val="002754D1"/>
    <w:rsid w:val="00276163"/>
    <w:rsid w:val="002779FA"/>
    <w:rsid w:val="00280214"/>
    <w:rsid w:val="00281B1A"/>
    <w:rsid w:val="002838B6"/>
    <w:rsid w:val="00283AD0"/>
    <w:rsid w:val="00284242"/>
    <w:rsid w:val="0028509D"/>
    <w:rsid w:val="00285CF2"/>
    <w:rsid w:val="00287670"/>
    <w:rsid w:val="00292C6F"/>
    <w:rsid w:val="002935DB"/>
    <w:rsid w:val="002955E5"/>
    <w:rsid w:val="00295B43"/>
    <w:rsid w:val="00296279"/>
    <w:rsid w:val="00296341"/>
    <w:rsid w:val="002970A6"/>
    <w:rsid w:val="002A0708"/>
    <w:rsid w:val="002A19C8"/>
    <w:rsid w:val="002A3AEB"/>
    <w:rsid w:val="002A43C4"/>
    <w:rsid w:val="002A5187"/>
    <w:rsid w:val="002A5436"/>
    <w:rsid w:val="002B0376"/>
    <w:rsid w:val="002B1D87"/>
    <w:rsid w:val="002B4BB8"/>
    <w:rsid w:val="002B5E63"/>
    <w:rsid w:val="002C2355"/>
    <w:rsid w:val="002C3D83"/>
    <w:rsid w:val="002C482E"/>
    <w:rsid w:val="002C5361"/>
    <w:rsid w:val="002C5AFC"/>
    <w:rsid w:val="002C5DD2"/>
    <w:rsid w:val="002C5F73"/>
    <w:rsid w:val="002C75B7"/>
    <w:rsid w:val="002D0845"/>
    <w:rsid w:val="002D2762"/>
    <w:rsid w:val="002D456B"/>
    <w:rsid w:val="002D5095"/>
    <w:rsid w:val="002E1B3D"/>
    <w:rsid w:val="002E1D6A"/>
    <w:rsid w:val="002E2248"/>
    <w:rsid w:val="002E3FE3"/>
    <w:rsid w:val="002E4B19"/>
    <w:rsid w:val="002E6B92"/>
    <w:rsid w:val="002F0497"/>
    <w:rsid w:val="002F09B3"/>
    <w:rsid w:val="002F0F8D"/>
    <w:rsid w:val="002F11EC"/>
    <w:rsid w:val="002F18FA"/>
    <w:rsid w:val="002F1D92"/>
    <w:rsid w:val="002F3D8F"/>
    <w:rsid w:val="002F43C2"/>
    <w:rsid w:val="002F4821"/>
    <w:rsid w:val="002F4A1D"/>
    <w:rsid w:val="002F4FB4"/>
    <w:rsid w:val="002F571C"/>
    <w:rsid w:val="002F5D48"/>
    <w:rsid w:val="002F74AE"/>
    <w:rsid w:val="002F7C96"/>
    <w:rsid w:val="002F7D10"/>
    <w:rsid w:val="00300234"/>
    <w:rsid w:val="00301344"/>
    <w:rsid w:val="003014DE"/>
    <w:rsid w:val="00303B62"/>
    <w:rsid w:val="00303BB2"/>
    <w:rsid w:val="00304F6E"/>
    <w:rsid w:val="00305B97"/>
    <w:rsid w:val="00306487"/>
    <w:rsid w:val="003107DA"/>
    <w:rsid w:val="003126B6"/>
    <w:rsid w:val="00313666"/>
    <w:rsid w:val="00314BBC"/>
    <w:rsid w:val="00315B31"/>
    <w:rsid w:val="00320F43"/>
    <w:rsid w:val="00321101"/>
    <w:rsid w:val="003218BB"/>
    <w:rsid w:val="00321A0E"/>
    <w:rsid w:val="00321AFB"/>
    <w:rsid w:val="00321F74"/>
    <w:rsid w:val="00322101"/>
    <w:rsid w:val="003235C3"/>
    <w:rsid w:val="00323C81"/>
    <w:rsid w:val="00323F59"/>
    <w:rsid w:val="00326B00"/>
    <w:rsid w:val="00330064"/>
    <w:rsid w:val="0033038C"/>
    <w:rsid w:val="0033088D"/>
    <w:rsid w:val="003312D4"/>
    <w:rsid w:val="00331C92"/>
    <w:rsid w:val="00332CE9"/>
    <w:rsid w:val="00336403"/>
    <w:rsid w:val="00340265"/>
    <w:rsid w:val="0034162E"/>
    <w:rsid w:val="00341A03"/>
    <w:rsid w:val="0034254B"/>
    <w:rsid w:val="00343698"/>
    <w:rsid w:val="00343CE1"/>
    <w:rsid w:val="0034745F"/>
    <w:rsid w:val="00347DD8"/>
    <w:rsid w:val="0035032E"/>
    <w:rsid w:val="00350B2D"/>
    <w:rsid w:val="00355990"/>
    <w:rsid w:val="003562F9"/>
    <w:rsid w:val="003606E5"/>
    <w:rsid w:val="003615A0"/>
    <w:rsid w:val="00361873"/>
    <w:rsid w:val="003648D2"/>
    <w:rsid w:val="00364EE2"/>
    <w:rsid w:val="00365B69"/>
    <w:rsid w:val="00366E1C"/>
    <w:rsid w:val="003700C8"/>
    <w:rsid w:val="00372887"/>
    <w:rsid w:val="003752F4"/>
    <w:rsid w:val="003816B7"/>
    <w:rsid w:val="00382DE6"/>
    <w:rsid w:val="00383517"/>
    <w:rsid w:val="00385B1C"/>
    <w:rsid w:val="0038797B"/>
    <w:rsid w:val="00391826"/>
    <w:rsid w:val="0039183B"/>
    <w:rsid w:val="00393056"/>
    <w:rsid w:val="00393CF4"/>
    <w:rsid w:val="0039469F"/>
    <w:rsid w:val="00396DCB"/>
    <w:rsid w:val="003A003B"/>
    <w:rsid w:val="003A2331"/>
    <w:rsid w:val="003A3439"/>
    <w:rsid w:val="003A58D1"/>
    <w:rsid w:val="003A6A65"/>
    <w:rsid w:val="003A6B31"/>
    <w:rsid w:val="003A7F60"/>
    <w:rsid w:val="003B139C"/>
    <w:rsid w:val="003B354F"/>
    <w:rsid w:val="003B3BF3"/>
    <w:rsid w:val="003B5818"/>
    <w:rsid w:val="003B679B"/>
    <w:rsid w:val="003B6AFC"/>
    <w:rsid w:val="003C283B"/>
    <w:rsid w:val="003C38FC"/>
    <w:rsid w:val="003C49A2"/>
    <w:rsid w:val="003C6204"/>
    <w:rsid w:val="003C7828"/>
    <w:rsid w:val="003C79D8"/>
    <w:rsid w:val="003D0B34"/>
    <w:rsid w:val="003D134C"/>
    <w:rsid w:val="003D13C4"/>
    <w:rsid w:val="003D1FF1"/>
    <w:rsid w:val="003D20DD"/>
    <w:rsid w:val="003D4270"/>
    <w:rsid w:val="003D533E"/>
    <w:rsid w:val="003D6F1D"/>
    <w:rsid w:val="003D7687"/>
    <w:rsid w:val="003E01BD"/>
    <w:rsid w:val="003E0523"/>
    <w:rsid w:val="003E09CF"/>
    <w:rsid w:val="003E1207"/>
    <w:rsid w:val="003E1622"/>
    <w:rsid w:val="003E2F51"/>
    <w:rsid w:val="003E39DB"/>
    <w:rsid w:val="003E4FD3"/>
    <w:rsid w:val="003E62FB"/>
    <w:rsid w:val="003E708E"/>
    <w:rsid w:val="003F04AA"/>
    <w:rsid w:val="003F2A0E"/>
    <w:rsid w:val="003F304D"/>
    <w:rsid w:val="003F4D65"/>
    <w:rsid w:val="003F6033"/>
    <w:rsid w:val="003F6BE8"/>
    <w:rsid w:val="003F7D96"/>
    <w:rsid w:val="003F7F58"/>
    <w:rsid w:val="00407779"/>
    <w:rsid w:val="00411378"/>
    <w:rsid w:val="00413267"/>
    <w:rsid w:val="004136D1"/>
    <w:rsid w:val="00415414"/>
    <w:rsid w:val="00415574"/>
    <w:rsid w:val="0041733F"/>
    <w:rsid w:val="00420EDA"/>
    <w:rsid w:val="0042223E"/>
    <w:rsid w:val="00422559"/>
    <w:rsid w:val="004229ED"/>
    <w:rsid w:val="004239BA"/>
    <w:rsid w:val="00425C9E"/>
    <w:rsid w:val="0043044E"/>
    <w:rsid w:val="004305A5"/>
    <w:rsid w:val="00430DD1"/>
    <w:rsid w:val="00431FDD"/>
    <w:rsid w:val="00432488"/>
    <w:rsid w:val="00434277"/>
    <w:rsid w:val="00434AB0"/>
    <w:rsid w:val="00434AC1"/>
    <w:rsid w:val="00434C40"/>
    <w:rsid w:val="00437002"/>
    <w:rsid w:val="004372D4"/>
    <w:rsid w:val="0043756D"/>
    <w:rsid w:val="0044068D"/>
    <w:rsid w:val="0044159B"/>
    <w:rsid w:val="00441C32"/>
    <w:rsid w:val="00445BA5"/>
    <w:rsid w:val="00445CFA"/>
    <w:rsid w:val="00446D6E"/>
    <w:rsid w:val="00446F28"/>
    <w:rsid w:val="0045078C"/>
    <w:rsid w:val="0045185C"/>
    <w:rsid w:val="00454862"/>
    <w:rsid w:val="0045545D"/>
    <w:rsid w:val="0045663B"/>
    <w:rsid w:val="004566B9"/>
    <w:rsid w:val="00457AA9"/>
    <w:rsid w:val="004649AA"/>
    <w:rsid w:val="0046660D"/>
    <w:rsid w:val="004700C0"/>
    <w:rsid w:val="00473B76"/>
    <w:rsid w:val="004750C4"/>
    <w:rsid w:val="004760DE"/>
    <w:rsid w:val="00480CD2"/>
    <w:rsid w:val="004837F6"/>
    <w:rsid w:val="00483EAD"/>
    <w:rsid w:val="00484A50"/>
    <w:rsid w:val="00485BFD"/>
    <w:rsid w:val="00486862"/>
    <w:rsid w:val="00490637"/>
    <w:rsid w:val="00491528"/>
    <w:rsid w:val="00495D4A"/>
    <w:rsid w:val="004A19BD"/>
    <w:rsid w:val="004A234A"/>
    <w:rsid w:val="004A2554"/>
    <w:rsid w:val="004A281C"/>
    <w:rsid w:val="004A3894"/>
    <w:rsid w:val="004A3AC6"/>
    <w:rsid w:val="004A3C80"/>
    <w:rsid w:val="004A743B"/>
    <w:rsid w:val="004A7DB8"/>
    <w:rsid w:val="004B03E3"/>
    <w:rsid w:val="004B16FD"/>
    <w:rsid w:val="004B1AE9"/>
    <w:rsid w:val="004B3E07"/>
    <w:rsid w:val="004B4FEE"/>
    <w:rsid w:val="004B56B5"/>
    <w:rsid w:val="004B6094"/>
    <w:rsid w:val="004C0998"/>
    <w:rsid w:val="004C1AC1"/>
    <w:rsid w:val="004C1F38"/>
    <w:rsid w:val="004C2D03"/>
    <w:rsid w:val="004C3676"/>
    <w:rsid w:val="004C4A40"/>
    <w:rsid w:val="004C570E"/>
    <w:rsid w:val="004C73E8"/>
    <w:rsid w:val="004C76C5"/>
    <w:rsid w:val="004D049B"/>
    <w:rsid w:val="004D0D63"/>
    <w:rsid w:val="004D3C91"/>
    <w:rsid w:val="004D40F9"/>
    <w:rsid w:val="004D4EE6"/>
    <w:rsid w:val="004D50A3"/>
    <w:rsid w:val="004D59A7"/>
    <w:rsid w:val="004D7298"/>
    <w:rsid w:val="004D7F17"/>
    <w:rsid w:val="004E06C8"/>
    <w:rsid w:val="004E194E"/>
    <w:rsid w:val="004E246E"/>
    <w:rsid w:val="004E2752"/>
    <w:rsid w:val="004E39A4"/>
    <w:rsid w:val="004E457B"/>
    <w:rsid w:val="004E540B"/>
    <w:rsid w:val="004E7602"/>
    <w:rsid w:val="004F0856"/>
    <w:rsid w:val="004F114F"/>
    <w:rsid w:val="004F396A"/>
    <w:rsid w:val="004F4D13"/>
    <w:rsid w:val="004F73C6"/>
    <w:rsid w:val="004F7446"/>
    <w:rsid w:val="0050245D"/>
    <w:rsid w:val="005024CA"/>
    <w:rsid w:val="005026B6"/>
    <w:rsid w:val="00505565"/>
    <w:rsid w:val="005078D7"/>
    <w:rsid w:val="00511A0D"/>
    <w:rsid w:val="00512442"/>
    <w:rsid w:val="00512B3C"/>
    <w:rsid w:val="005130F1"/>
    <w:rsid w:val="00513C66"/>
    <w:rsid w:val="005142B6"/>
    <w:rsid w:val="005147B4"/>
    <w:rsid w:val="005148E6"/>
    <w:rsid w:val="00521247"/>
    <w:rsid w:val="0052236F"/>
    <w:rsid w:val="0052303E"/>
    <w:rsid w:val="005238C9"/>
    <w:rsid w:val="005261AF"/>
    <w:rsid w:val="0053009D"/>
    <w:rsid w:val="00530334"/>
    <w:rsid w:val="00531E49"/>
    <w:rsid w:val="005325B8"/>
    <w:rsid w:val="00533018"/>
    <w:rsid w:val="00533E56"/>
    <w:rsid w:val="005363F3"/>
    <w:rsid w:val="005367D7"/>
    <w:rsid w:val="005372C2"/>
    <w:rsid w:val="00537ABE"/>
    <w:rsid w:val="00540F0C"/>
    <w:rsid w:val="00541BB0"/>
    <w:rsid w:val="005431C5"/>
    <w:rsid w:val="00545943"/>
    <w:rsid w:val="00546EE1"/>
    <w:rsid w:val="00547818"/>
    <w:rsid w:val="005508D9"/>
    <w:rsid w:val="00550FF3"/>
    <w:rsid w:val="00551591"/>
    <w:rsid w:val="005522C0"/>
    <w:rsid w:val="00554892"/>
    <w:rsid w:val="00554B3B"/>
    <w:rsid w:val="005551FA"/>
    <w:rsid w:val="00557784"/>
    <w:rsid w:val="0056282E"/>
    <w:rsid w:val="00563661"/>
    <w:rsid w:val="005641A9"/>
    <w:rsid w:val="00565AEC"/>
    <w:rsid w:val="00565F30"/>
    <w:rsid w:val="005664E9"/>
    <w:rsid w:val="00566B0F"/>
    <w:rsid w:val="0056785B"/>
    <w:rsid w:val="005678C9"/>
    <w:rsid w:val="0057302F"/>
    <w:rsid w:val="00573F51"/>
    <w:rsid w:val="00574363"/>
    <w:rsid w:val="005757D1"/>
    <w:rsid w:val="0057664D"/>
    <w:rsid w:val="00580244"/>
    <w:rsid w:val="00581DFB"/>
    <w:rsid w:val="00582894"/>
    <w:rsid w:val="00583214"/>
    <w:rsid w:val="0058322F"/>
    <w:rsid w:val="0058356D"/>
    <w:rsid w:val="0058388F"/>
    <w:rsid w:val="00583E69"/>
    <w:rsid w:val="0058420E"/>
    <w:rsid w:val="00584D79"/>
    <w:rsid w:val="00586F0A"/>
    <w:rsid w:val="0059094D"/>
    <w:rsid w:val="00590B08"/>
    <w:rsid w:val="00590E46"/>
    <w:rsid w:val="005914D6"/>
    <w:rsid w:val="00591871"/>
    <w:rsid w:val="00593105"/>
    <w:rsid w:val="00594BAD"/>
    <w:rsid w:val="00594FF1"/>
    <w:rsid w:val="0059541F"/>
    <w:rsid w:val="005955EF"/>
    <w:rsid w:val="00595FAD"/>
    <w:rsid w:val="005962B6"/>
    <w:rsid w:val="005979C8"/>
    <w:rsid w:val="005A0433"/>
    <w:rsid w:val="005A1D56"/>
    <w:rsid w:val="005A4A68"/>
    <w:rsid w:val="005A4B25"/>
    <w:rsid w:val="005B0209"/>
    <w:rsid w:val="005B2E4B"/>
    <w:rsid w:val="005B2F63"/>
    <w:rsid w:val="005B3613"/>
    <w:rsid w:val="005B3621"/>
    <w:rsid w:val="005B3E62"/>
    <w:rsid w:val="005B4C00"/>
    <w:rsid w:val="005B4D4D"/>
    <w:rsid w:val="005B5CD1"/>
    <w:rsid w:val="005B6381"/>
    <w:rsid w:val="005B7070"/>
    <w:rsid w:val="005B7F1B"/>
    <w:rsid w:val="005C068E"/>
    <w:rsid w:val="005C0896"/>
    <w:rsid w:val="005C0CCA"/>
    <w:rsid w:val="005C323F"/>
    <w:rsid w:val="005C42AE"/>
    <w:rsid w:val="005C47CC"/>
    <w:rsid w:val="005C5688"/>
    <w:rsid w:val="005C61E9"/>
    <w:rsid w:val="005C7E20"/>
    <w:rsid w:val="005D1104"/>
    <w:rsid w:val="005D2B94"/>
    <w:rsid w:val="005D5040"/>
    <w:rsid w:val="005D5440"/>
    <w:rsid w:val="005D6232"/>
    <w:rsid w:val="005D63D5"/>
    <w:rsid w:val="005D7FCD"/>
    <w:rsid w:val="005E0063"/>
    <w:rsid w:val="005E0F1C"/>
    <w:rsid w:val="005E2DA6"/>
    <w:rsid w:val="005E3C94"/>
    <w:rsid w:val="005E449E"/>
    <w:rsid w:val="005E4D84"/>
    <w:rsid w:val="005F067B"/>
    <w:rsid w:val="005F5D19"/>
    <w:rsid w:val="005F7BA1"/>
    <w:rsid w:val="0060023D"/>
    <w:rsid w:val="00600501"/>
    <w:rsid w:val="00600838"/>
    <w:rsid w:val="00600B4A"/>
    <w:rsid w:val="006011F6"/>
    <w:rsid w:val="006035A8"/>
    <w:rsid w:val="006037A4"/>
    <w:rsid w:val="006105DA"/>
    <w:rsid w:val="00613145"/>
    <w:rsid w:val="006158DA"/>
    <w:rsid w:val="00617C94"/>
    <w:rsid w:val="00617DB4"/>
    <w:rsid w:val="00620F32"/>
    <w:rsid w:val="00623110"/>
    <w:rsid w:val="0062371B"/>
    <w:rsid w:val="00623DE1"/>
    <w:rsid w:val="00625BC2"/>
    <w:rsid w:val="00626C9B"/>
    <w:rsid w:val="00630A8B"/>
    <w:rsid w:val="006334AA"/>
    <w:rsid w:val="006338B6"/>
    <w:rsid w:val="006357F8"/>
    <w:rsid w:val="00635C32"/>
    <w:rsid w:val="00636F8D"/>
    <w:rsid w:val="0063707F"/>
    <w:rsid w:val="0064295E"/>
    <w:rsid w:val="00643C23"/>
    <w:rsid w:val="00643FE6"/>
    <w:rsid w:val="00646382"/>
    <w:rsid w:val="006470F7"/>
    <w:rsid w:val="006507A8"/>
    <w:rsid w:val="00650BC0"/>
    <w:rsid w:val="006528BE"/>
    <w:rsid w:val="00652936"/>
    <w:rsid w:val="00656763"/>
    <w:rsid w:val="00657BC3"/>
    <w:rsid w:val="00657C3B"/>
    <w:rsid w:val="006615BA"/>
    <w:rsid w:val="00661B33"/>
    <w:rsid w:val="00662ECB"/>
    <w:rsid w:val="006659E5"/>
    <w:rsid w:val="006739E2"/>
    <w:rsid w:val="0068107F"/>
    <w:rsid w:val="00682F91"/>
    <w:rsid w:val="0068344B"/>
    <w:rsid w:val="006838B7"/>
    <w:rsid w:val="00684FD0"/>
    <w:rsid w:val="00686571"/>
    <w:rsid w:val="00691789"/>
    <w:rsid w:val="006939D3"/>
    <w:rsid w:val="006A32B7"/>
    <w:rsid w:val="006B1CB1"/>
    <w:rsid w:val="006B22B9"/>
    <w:rsid w:val="006B2485"/>
    <w:rsid w:val="006B2A46"/>
    <w:rsid w:val="006B35A3"/>
    <w:rsid w:val="006B3B7F"/>
    <w:rsid w:val="006B4127"/>
    <w:rsid w:val="006B73EA"/>
    <w:rsid w:val="006C124E"/>
    <w:rsid w:val="006C4C0F"/>
    <w:rsid w:val="006C4E9D"/>
    <w:rsid w:val="006C69A5"/>
    <w:rsid w:val="006D13DA"/>
    <w:rsid w:val="006D2F80"/>
    <w:rsid w:val="006D5081"/>
    <w:rsid w:val="006D5468"/>
    <w:rsid w:val="006D7BE1"/>
    <w:rsid w:val="006E1F93"/>
    <w:rsid w:val="006E299E"/>
    <w:rsid w:val="006E2AF5"/>
    <w:rsid w:val="006E3457"/>
    <w:rsid w:val="006E4D0E"/>
    <w:rsid w:val="006F0371"/>
    <w:rsid w:val="006F4822"/>
    <w:rsid w:val="006F55F2"/>
    <w:rsid w:val="006F5890"/>
    <w:rsid w:val="006F7811"/>
    <w:rsid w:val="00700775"/>
    <w:rsid w:val="007007C3"/>
    <w:rsid w:val="0070394A"/>
    <w:rsid w:val="00705E4F"/>
    <w:rsid w:val="00706FBB"/>
    <w:rsid w:val="00710927"/>
    <w:rsid w:val="00710C9D"/>
    <w:rsid w:val="00712503"/>
    <w:rsid w:val="00714A1E"/>
    <w:rsid w:val="0072054F"/>
    <w:rsid w:val="00722FB0"/>
    <w:rsid w:val="00723A99"/>
    <w:rsid w:val="00725275"/>
    <w:rsid w:val="00725F73"/>
    <w:rsid w:val="00725F82"/>
    <w:rsid w:val="00727A4C"/>
    <w:rsid w:val="0073250B"/>
    <w:rsid w:val="00735144"/>
    <w:rsid w:val="007361E3"/>
    <w:rsid w:val="007407B6"/>
    <w:rsid w:val="00742457"/>
    <w:rsid w:val="00742F8E"/>
    <w:rsid w:val="007444A9"/>
    <w:rsid w:val="00747B1D"/>
    <w:rsid w:val="00751FAA"/>
    <w:rsid w:val="007524D0"/>
    <w:rsid w:val="0075412C"/>
    <w:rsid w:val="00754F25"/>
    <w:rsid w:val="00755F22"/>
    <w:rsid w:val="0076058E"/>
    <w:rsid w:val="00761909"/>
    <w:rsid w:val="007619AA"/>
    <w:rsid w:val="00762C81"/>
    <w:rsid w:val="0076388B"/>
    <w:rsid w:val="00763DC3"/>
    <w:rsid w:val="00764E5F"/>
    <w:rsid w:val="007651EB"/>
    <w:rsid w:val="00765DF8"/>
    <w:rsid w:val="00766673"/>
    <w:rsid w:val="007666BA"/>
    <w:rsid w:val="00766ED4"/>
    <w:rsid w:val="00772748"/>
    <w:rsid w:val="00775EC7"/>
    <w:rsid w:val="00782B0C"/>
    <w:rsid w:val="00786D5A"/>
    <w:rsid w:val="0078708E"/>
    <w:rsid w:val="0079212C"/>
    <w:rsid w:val="00792B3B"/>
    <w:rsid w:val="007A1A95"/>
    <w:rsid w:val="007A21A3"/>
    <w:rsid w:val="007A32F4"/>
    <w:rsid w:val="007A38E3"/>
    <w:rsid w:val="007A5169"/>
    <w:rsid w:val="007A52CE"/>
    <w:rsid w:val="007B00F3"/>
    <w:rsid w:val="007B0C0A"/>
    <w:rsid w:val="007B0CCA"/>
    <w:rsid w:val="007B217A"/>
    <w:rsid w:val="007B2472"/>
    <w:rsid w:val="007B349C"/>
    <w:rsid w:val="007B35F1"/>
    <w:rsid w:val="007B4909"/>
    <w:rsid w:val="007B51B6"/>
    <w:rsid w:val="007B64B2"/>
    <w:rsid w:val="007B74D0"/>
    <w:rsid w:val="007C07C3"/>
    <w:rsid w:val="007C0884"/>
    <w:rsid w:val="007C0B2B"/>
    <w:rsid w:val="007C27C9"/>
    <w:rsid w:val="007C27E6"/>
    <w:rsid w:val="007C2EF3"/>
    <w:rsid w:val="007C43BF"/>
    <w:rsid w:val="007C6FAE"/>
    <w:rsid w:val="007C7814"/>
    <w:rsid w:val="007D1857"/>
    <w:rsid w:val="007D3E7D"/>
    <w:rsid w:val="007D5F5B"/>
    <w:rsid w:val="007E16D5"/>
    <w:rsid w:val="007E1C97"/>
    <w:rsid w:val="007E1ED1"/>
    <w:rsid w:val="007E21C9"/>
    <w:rsid w:val="007E3E79"/>
    <w:rsid w:val="007E665B"/>
    <w:rsid w:val="007E7C6C"/>
    <w:rsid w:val="007F07EF"/>
    <w:rsid w:val="007F242A"/>
    <w:rsid w:val="007F688C"/>
    <w:rsid w:val="00803DE7"/>
    <w:rsid w:val="00805999"/>
    <w:rsid w:val="008120D1"/>
    <w:rsid w:val="00812FB5"/>
    <w:rsid w:val="008161C1"/>
    <w:rsid w:val="00820578"/>
    <w:rsid w:val="008212D3"/>
    <w:rsid w:val="00821618"/>
    <w:rsid w:val="00822484"/>
    <w:rsid w:val="0082365D"/>
    <w:rsid w:val="00825283"/>
    <w:rsid w:val="00826EA3"/>
    <w:rsid w:val="00826FF3"/>
    <w:rsid w:val="00833538"/>
    <w:rsid w:val="008345BD"/>
    <w:rsid w:val="008464CE"/>
    <w:rsid w:val="008502D9"/>
    <w:rsid w:val="00850C70"/>
    <w:rsid w:val="00852473"/>
    <w:rsid w:val="00852A3E"/>
    <w:rsid w:val="0085342F"/>
    <w:rsid w:val="00855B7F"/>
    <w:rsid w:val="008615DF"/>
    <w:rsid w:val="0086266C"/>
    <w:rsid w:val="008629F5"/>
    <w:rsid w:val="00863F15"/>
    <w:rsid w:val="00865260"/>
    <w:rsid w:val="00867670"/>
    <w:rsid w:val="008700AB"/>
    <w:rsid w:val="00874483"/>
    <w:rsid w:val="00874790"/>
    <w:rsid w:val="0087587B"/>
    <w:rsid w:val="00875B27"/>
    <w:rsid w:val="00875CC7"/>
    <w:rsid w:val="00876841"/>
    <w:rsid w:val="00881677"/>
    <w:rsid w:val="008823A7"/>
    <w:rsid w:val="00884796"/>
    <w:rsid w:val="008847DB"/>
    <w:rsid w:val="0088602D"/>
    <w:rsid w:val="008864A4"/>
    <w:rsid w:val="008870F2"/>
    <w:rsid w:val="00887382"/>
    <w:rsid w:val="00891958"/>
    <w:rsid w:val="00891BF5"/>
    <w:rsid w:val="0089225D"/>
    <w:rsid w:val="00892A42"/>
    <w:rsid w:val="00892CBB"/>
    <w:rsid w:val="00893EFC"/>
    <w:rsid w:val="00894994"/>
    <w:rsid w:val="00896EBB"/>
    <w:rsid w:val="008A1F70"/>
    <w:rsid w:val="008A4C35"/>
    <w:rsid w:val="008A6928"/>
    <w:rsid w:val="008A70EC"/>
    <w:rsid w:val="008B127F"/>
    <w:rsid w:val="008B139F"/>
    <w:rsid w:val="008B241C"/>
    <w:rsid w:val="008B314D"/>
    <w:rsid w:val="008B4522"/>
    <w:rsid w:val="008B461F"/>
    <w:rsid w:val="008B62E1"/>
    <w:rsid w:val="008B644F"/>
    <w:rsid w:val="008B650F"/>
    <w:rsid w:val="008C0160"/>
    <w:rsid w:val="008C300F"/>
    <w:rsid w:val="008C4167"/>
    <w:rsid w:val="008C56AD"/>
    <w:rsid w:val="008C5FDF"/>
    <w:rsid w:val="008C67B0"/>
    <w:rsid w:val="008C7CF4"/>
    <w:rsid w:val="008D14BF"/>
    <w:rsid w:val="008D20E6"/>
    <w:rsid w:val="008D325C"/>
    <w:rsid w:val="008D4C07"/>
    <w:rsid w:val="008D646F"/>
    <w:rsid w:val="008D6896"/>
    <w:rsid w:val="008E19B4"/>
    <w:rsid w:val="008E3EA0"/>
    <w:rsid w:val="008E49BF"/>
    <w:rsid w:val="008E557D"/>
    <w:rsid w:val="008E58C4"/>
    <w:rsid w:val="008E7895"/>
    <w:rsid w:val="008E7B91"/>
    <w:rsid w:val="008F0D59"/>
    <w:rsid w:val="008F1592"/>
    <w:rsid w:val="008F3531"/>
    <w:rsid w:val="008F3D10"/>
    <w:rsid w:val="008F520A"/>
    <w:rsid w:val="008F52E5"/>
    <w:rsid w:val="008F5685"/>
    <w:rsid w:val="008F62E3"/>
    <w:rsid w:val="008F69B6"/>
    <w:rsid w:val="008F766E"/>
    <w:rsid w:val="00901A78"/>
    <w:rsid w:val="0090220F"/>
    <w:rsid w:val="00905CD0"/>
    <w:rsid w:val="00910DED"/>
    <w:rsid w:val="0091184D"/>
    <w:rsid w:val="0091296C"/>
    <w:rsid w:val="00913032"/>
    <w:rsid w:val="00913482"/>
    <w:rsid w:val="00917BBD"/>
    <w:rsid w:val="00923E41"/>
    <w:rsid w:val="00924B5A"/>
    <w:rsid w:val="009304EA"/>
    <w:rsid w:val="00931403"/>
    <w:rsid w:val="0093379F"/>
    <w:rsid w:val="00934DC4"/>
    <w:rsid w:val="00936DE5"/>
    <w:rsid w:val="00941BE8"/>
    <w:rsid w:val="00942B32"/>
    <w:rsid w:val="00943E46"/>
    <w:rsid w:val="00944878"/>
    <w:rsid w:val="00944D5D"/>
    <w:rsid w:val="0094569C"/>
    <w:rsid w:val="00945CC6"/>
    <w:rsid w:val="00947684"/>
    <w:rsid w:val="00947838"/>
    <w:rsid w:val="009532E7"/>
    <w:rsid w:val="00953D33"/>
    <w:rsid w:val="009553AD"/>
    <w:rsid w:val="0095644E"/>
    <w:rsid w:val="00957492"/>
    <w:rsid w:val="0095793C"/>
    <w:rsid w:val="0096023E"/>
    <w:rsid w:val="00962A7C"/>
    <w:rsid w:val="00963657"/>
    <w:rsid w:val="00967B3C"/>
    <w:rsid w:val="00967E5D"/>
    <w:rsid w:val="00971B84"/>
    <w:rsid w:val="009756B3"/>
    <w:rsid w:val="00975836"/>
    <w:rsid w:val="00975964"/>
    <w:rsid w:val="00975E15"/>
    <w:rsid w:val="0098601E"/>
    <w:rsid w:val="00987CA0"/>
    <w:rsid w:val="00991B62"/>
    <w:rsid w:val="00992775"/>
    <w:rsid w:val="00993514"/>
    <w:rsid w:val="00994407"/>
    <w:rsid w:val="00994F29"/>
    <w:rsid w:val="0099582B"/>
    <w:rsid w:val="0099595B"/>
    <w:rsid w:val="00995BCF"/>
    <w:rsid w:val="009A0100"/>
    <w:rsid w:val="009A27A9"/>
    <w:rsid w:val="009A31A5"/>
    <w:rsid w:val="009A7FB0"/>
    <w:rsid w:val="009B1563"/>
    <w:rsid w:val="009B6C9D"/>
    <w:rsid w:val="009B737A"/>
    <w:rsid w:val="009C02C8"/>
    <w:rsid w:val="009C0A7F"/>
    <w:rsid w:val="009C46CA"/>
    <w:rsid w:val="009C50B1"/>
    <w:rsid w:val="009C56B0"/>
    <w:rsid w:val="009C690E"/>
    <w:rsid w:val="009D0D2C"/>
    <w:rsid w:val="009D495A"/>
    <w:rsid w:val="009D6DE8"/>
    <w:rsid w:val="009E0AC0"/>
    <w:rsid w:val="009E385F"/>
    <w:rsid w:val="009E62CA"/>
    <w:rsid w:val="009E6CF6"/>
    <w:rsid w:val="009F2BC3"/>
    <w:rsid w:val="009F5A33"/>
    <w:rsid w:val="009F7CAB"/>
    <w:rsid w:val="00A0031D"/>
    <w:rsid w:val="00A00A05"/>
    <w:rsid w:val="00A0205A"/>
    <w:rsid w:val="00A034B6"/>
    <w:rsid w:val="00A0441F"/>
    <w:rsid w:val="00A063FE"/>
    <w:rsid w:val="00A07945"/>
    <w:rsid w:val="00A07B11"/>
    <w:rsid w:val="00A101AA"/>
    <w:rsid w:val="00A10840"/>
    <w:rsid w:val="00A10BD1"/>
    <w:rsid w:val="00A11E63"/>
    <w:rsid w:val="00A13CC8"/>
    <w:rsid w:val="00A15496"/>
    <w:rsid w:val="00A170BA"/>
    <w:rsid w:val="00A171A8"/>
    <w:rsid w:val="00A201D6"/>
    <w:rsid w:val="00A20A3A"/>
    <w:rsid w:val="00A23A31"/>
    <w:rsid w:val="00A2492A"/>
    <w:rsid w:val="00A257C8"/>
    <w:rsid w:val="00A2630B"/>
    <w:rsid w:val="00A27E37"/>
    <w:rsid w:val="00A31A64"/>
    <w:rsid w:val="00A31E81"/>
    <w:rsid w:val="00A323F7"/>
    <w:rsid w:val="00A3259C"/>
    <w:rsid w:val="00A33CC4"/>
    <w:rsid w:val="00A41B43"/>
    <w:rsid w:val="00A44068"/>
    <w:rsid w:val="00A44BF5"/>
    <w:rsid w:val="00A52254"/>
    <w:rsid w:val="00A53FDC"/>
    <w:rsid w:val="00A5436C"/>
    <w:rsid w:val="00A5482A"/>
    <w:rsid w:val="00A56DC7"/>
    <w:rsid w:val="00A61341"/>
    <w:rsid w:val="00A6261C"/>
    <w:rsid w:val="00A62A50"/>
    <w:rsid w:val="00A62D3E"/>
    <w:rsid w:val="00A6340B"/>
    <w:rsid w:val="00A63608"/>
    <w:rsid w:val="00A6606D"/>
    <w:rsid w:val="00A66582"/>
    <w:rsid w:val="00A70217"/>
    <w:rsid w:val="00A71658"/>
    <w:rsid w:val="00A72AC9"/>
    <w:rsid w:val="00A760F9"/>
    <w:rsid w:val="00A76B2F"/>
    <w:rsid w:val="00A76BC8"/>
    <w:rsid w:val="00A8398F"/>
    <w:rsid w:val="00A83C00"/>
    <w:rsid w:val="00A84F4C"/>
    <w:rsid w:val="00A9235A"/>
    <w:rsid w:val="00A9272E"/>
    <w:rsid w:val="00A93F7B"/>
    <w:rsid w:val="00A94752"/>
    <w:rsid w:val="00A9572D"/>
    <w:rsid w:val="00A9591F"/>
    <w:rsid w:val="00A95CDB"/>
    <w:rsid w:val="00A9612B"/>
    <w:rsid w:val="00A96892"/>
    <w:rsid w:val="00AA24B3"/>
    <w:rsid w:val="00AA2582"/>
    <w:rsid w:val="00AA58C8"/>
    <w:rsid w:val="00AA6436"/>
    <w:rsid w:val="00AA7A4E"/>
    <w:rsid w:val="00AA7D52"/>
    <w:rsid w:val="00AB375A"/>
    <w:rsid w:val="00AB4E65"/>
    <w:rsid w:val="00AB522A"/>
    <w:rsid w:val="00AB54CD"/>
    <w:rsid w:val="00AB5FC0"/>
    <w:rsid w:val="00AB7F67"/>
    <w:rsid w:val="00AC1BED"/>
    <w:rsid w:val="00AC416A"/>
    <w:rsid w:val="00AC669E"/>
    <w:rsid w:val="00AC6D78"/>
    <w:rsid w:val="00AC7A8F"/>
    <w:rsid w:val="00AD2275"/>
    <w:rsid w:val="00AD2A7F"/>
    <w:rsid w:val="00AD49C5"/>
    <w:rsid w:val="00AD68F8"/>
    <w:rsid w:val="00AD74DF"/>
    <w:rsid w:val="00AE086B"/>
    <w:rsid w:val="00AE0C0F"/>
    <w:rsid w:val="00AE1EBE"/>
    <w:rsid w:val="00AE3953"/>
    <w:rsid w:val="00AE4FD5"/>
    <w:rsid w:val="00AE51EC"/>
    <w:rsid w:val="00AE5216"/>
    <w:rsid w:val="00AE668E"/>
    <w:rsid w:val="00AE6866"/>
    <w:rsid w:val="00AE73FA"/>
    <w:rsid w:val="00AF3180"/>
    <w:rsid w:val="00AF3418"/>
    <w:rsid w:val="00AF6002"/>
    <w:rsid w:val="00B02D9B"/>
    <w:rsid w:val="00B10455"/>
    <w:rsid w:val="00B10467"/>
    <w:rsid w:val="00B10C6B"/>
    <w:rsid w:val="00B13A95"/>
    <w:rsid w:val="00B14491"/>
    <w:rsid w:val="00B15BF9"/>
    <w:rsid w:val="00B15CD3"/>
    <w:rsid w:val="00B15F42"/>
    <w:rsid w:val="00B202B6"/>
    <w:rsid w:val="00B205B4"/>
    <w:rsid w:val="00B22316"/>
    <w:rsid w:val="00B22695"/>
    <w:rsid w:val="00B24561"/>
    <w:rsid w:val="00B250D9"/>
    <w:rsid w:val="00B26F88"/>
    <w:rsid w:val="00B276C3"/>
    <w:rsid w:val="00B31A67"/>
    <w:rsid w:val="00B3325F"/>
    <w:rsid w:val="00B339AC"/>
    <w:rsid w:val="00B33E7F"/>
    <w:rsid w:val="00B36297"/>
    <w:rsid w:val="00B36925"/>
    <w:rsid w:val="00B36ECD"/>
    <w:rsid w:val="00B372DD"/>
    <w:rsid w:val="00B40CAC"/>
    <w:rsid w:val="00B44277"/>
    <w:rsid w:val="00B447D7"/>
    <w:rsid w:val="00B45F8B"/>
    <w:rsid w:val="00B469E8"/>
    <w:rsid w:val="00B50B18"/>
    <w:rsid w:val="00B51235"/>
    <w:rsid w:val="00B5173B"/>
    <w:rsid w:val="00B52428"/>
    <w:rsid w:val="00B53148"/>
    <w:rsid w:val="00B53D18"/>
    <w:rsid w:val="00B53E8A"/>
    <w:rsid w:val="00B54141"/>
    <w:rsid w:val="00B54C79"/>
    <w:rsid w:val="00B5755E"/>
    <w:rsid w:val="00B603D6"/>
    <w:rsid w:val="00B612C1"/>
    <w:rsid w:val="00B62948"/>
    <w:rsid w:val="00B67A83"/>
    <w:rsid w:val="00B67F0A"/>
    <w:rsid w:val="00B70A16"/>
    <w:rsid w:val="00B71618"/>
    <w:rsid w:val="00B72196"/>
    <w:rsid w:val="00B72765"/>
    <w:rsid w:val="00B72976"/>
    <w:rsid w:val="00B73666"/>
    <w:rsid w:val="00B738C6"/>
    <w:rsid w:val="00B746DD"/>
    <w:rsid w:val="00B74A4F"/>
    <w:rsid w:val="00B76F4B"/>
    <w:rsid w:val="00B803AA"/>
    <w:rsid w:val="00B805DA"/>
    <w:rsid w:val="00B809E4"/>
    <w:rsid w:val="00B81726"/>
    <w:rsid w:val="00B820DA"/>
    <w:rsid w:val="00B82AE4"/>
    <w:rsid w:val="00B83790"/>
    <w:rsid w:val="00B83D46"/>
    <w:rsid w:val="00B851AE"/>
    <w:rsid w:val="00B85673"/>
    <w:rsid w:val="00B857AC"/>
    <w:rsid w:val="00B85F70"/>
    <w:rsid w:val="00B87EBB"/>
    <w:rsid w:val="00B95919"/>
    <w:rsid w:val="00B95FCE"/>
    <w:rsid w:val="00B9767A"/>
    <w:rsid w:val="00BA06AC"/>
    <w:rsid w:val="00BA23D5"/>
    <w:rsid w:val="00BA25C0"/>
    <w:rsid w:val="00BA393B"/>
    <w:rsid w:val="00BA568C"/>
    <w:rsid w:val="00BA5AEB"/>
    <w:rsid w:val="00BA681F"/>
    <w:rsid w:val="00BB0F9B"/>
    <w:rsid w:val="00BB285C"/>
    <w:rsid w:val="00BB2FC6"/>
    <w:rsid w:val="00BB4D3F"/>
    <w:rsid w:val="00BB4F71"/>
    <w:rsid w:val="00BB4FAE"/>
    <w:rsid w:val="00BB56AB"/>
    <w:rsid w:val="00BC54BF"/>
    <w:rsid w:val="00BC55B2"/>
    <w:rsid w:val="00BC5CCF"/>
    <w:rsid w:val="00BC6549"/>
    <w:rsid w:val="00BC655F"/>
    <w:rsid w:val="00BC6EF4"/>
    <w:rsid w:val="00BC7036"/>
    <w:rsid w:val="00BC70D8"/>
    <w:rsid w:val="00BD008B"/>
    <w:rsid w:val="00BD06DB"/>
    <w:rsid w:val="00BD0828"/>
    <w:rsid w:val="00BD0B92"/>
    <w:rsid w:val="00BD14B2"/>
    <w:rsid w:val="00BD3E33"/>
    <w:rsid w:val="00BD534A"/>
    <w:rsid w:val="00BD5CA5"/>
    <w:rsid w:val="00BD5DFE"/>
    <w:rsid w:val="00BE2D34"/>
    <w:rsid w:val="00BE3308"/>
    <w:rsid w:val="00BE4FD4"/>
    <w:rsid w:val="00BE700F"/>
    <w:rsid w:val="00BE7A53"/>
    <w:rsid w:val="00BE7EE5"/>
    <w:rsid w:val="00BF0986"/>
    <w:rsid w:val="00BF2516"/>
    <w:rsid w:val="00BF536D"/>
    <w:rsid w:val="00BF60C9"/>
    <w:rsid w:val="00C0024B"/>
    <w:rsid w:val="00C01DC8"/>
    <w:rsid w:val="00C04365"/>
    <w:rsid w:val="00C07554"/>
    <w:rsid w:val="00C107D0"/>
    <w:rsid w:val="00C10D8C"/>
    <w:rsid w:val="00C15E46"/>
    <w:rsid w:val="00C16EE9"/>
    <w:rsid w:val="00C17CF5"/>
    <w:rsid w:val="00C23619"/>
    <w:rsid w:val="00C24AF9"/>
    <w:rsid w:val="00C2622E"/>
    <w:rsid w:val="00C32893"/>
    <w:rsid w:val="00C3485D"/>
    <w:rsid w:val="00C354D2"/>
    <w:rsid w:val="00C36075"/>
    <w:rsid w:val="00C365B2"/>
    <w:rsid w:val="00C40CB4"/>
    <w:rsid w:val="00C4118F"/>
    <w:rsid w:val="00C41FEC"/>
    <w:rsid w:val="00C44C7A"/>
    <w:rsid w:val="00C505B5"/>
    <w:rsid w:val="00C51A70"/>
    <w:rsid w:val="00C52AE5"/>
    <w:rsid w:val="00C53213"/>
    <w:rsid w:val="00C54E41"/>
    <w:rsid w:val="00C61163"/>
    <w:rsid w:val="00C6322B"/>
    <w:rsid w:val="00C72351"/>
    <w:rsid w:val="00C733D6"/>
    <w:rsid w:val="00C73CC7"/>
    <w:rsid w:val="00C82361"/>
    <w:rsid w:val="00C8297A"/>
    <w:rsid w:val="00C8345D"/>
    <w:rsid w:val="00C84DF0"/>
    <w:rsid w:val="00C9062E"/>
    <w:rsid w:val="00C91E8F"/>
    <w:rsid w:val="00C92DEE"/>
    <w:rsid w:val="00C936D4"/>
    <w:rsid w:val="00C93CA6"/>
    <w:rsid w:val="00C97CE1"/>
    <w:rsid w:val="00CA1BB0"/>
    <w:rsid w:val="00CA1C71"/>
    <w:rsid w:val="00CA4883"/>
    <w:rsid w:val="00CB0884"/>
    <w:rsid w:val="00CB0F01"/>
    <w:rsid w:val="00CB2B88"/>
    <w:rsid w:val="00CB503D"/>
    <w:rsid w:val="00CB61C3"/>
    <w:rsid w:val="00CB788C"/>
    <w:rsid w:val="00CC17BD"/>
    <w:rsid w:val="00CC2A65"/>
    <w:rsid w:val="00CC3BA9"/>
    <w:rsid w:val="00CC40CE"/>
    <w:rsid w:val="00CC5891"/>
    <w:rsid w:val="00CC7C91"/>
    <w:rsid w:val="00CC7DF4"/>
    <w:rsid w:val="00CD00E5"/>
    <w:rsid w:val="00CD02D8"/>
    <w:rsid w:val="00CD06A2"/>
    <w:rsid w:val="00CD3DA9"/>
    <w:rsid w:val="00CD750F"/>
    <w:rsid w:val="00CE1446"/>
    <w:rsid w:val="00CE1DBA"/>
    <w:rsid w:val="00CE32B0"/>
    <w:rsid w:val="00CE6ECF"/>
    <w:rsid w:val="00CE7984"/>
    <w:rsid w:val="00CF0E26"/>
    <w:rsid w:val="00CF37B9"/>
    <w:rsid w:val="00CF5C24"/>
    <w:rsid w:val="00CF5EEB"/>
    <w:rsid w:val="00D015CE"/>
    <w:rsid w:val="00D02563"/>
    <w:rsid w:val="00D03077"/>
    <w:rsid w:val="00D03ED3"/>
    <w:rsid w:val="00D040C8"/>
    <w:rsid w:val="00D0432A"/>
    <w:rsid w:val="00D04478"/>
    <w:rsid w:val="00D04567"/>
    <w:rsid w:val="00D049C2"/>
    <w:rsid w:val="00D04D41"/>
    <w:rsid w:val="00D059FC"/>
    <w:rsid w:val="00D07556"/>
    <w:rsid w:val="00D1090F"/>
    <w:rsid w:val="00D115B1"/>
    <w:rsid w:val="00D118D8"/>
    <w:rsid w:val="00D11EEE"/>
    <w:rsid w:val="00D13EE9"/>
    <w:rsid w:val="00D13FAF"/>
    <w:rsid w:val="00D14E75"/>
    <w:rsid w:val="00D1523E"/>
    <w:rsid w:val="00D15597"/>
    <w:rsid w:val="00D1731F"/>
    <w:rsid w:val="00D17889"/>
    <w:rsid w:val="00D17976"/>
    <w:rsid w:val="00D24B25"/>
    <w:rsid w:val="00D25012"/>
    <w:rsid w:val="00D25AFD"/>
    <w:rsid w:val="00D26F24"/>
    <w:rsid w:val="00D2798F"/>
    <w:rsid w:val="00D320AD"/>
    <w:rsid w:val="00D33058"/>
    <w:rsid w:val="00D33658"/>
    <w:rsid w:val="00D363C8"/>
    <w:rsid w:val="00D36845"/>
    <w:rsid w:val="00D37408"/>
    <w:rsid w:val="00D37591"/>
    <w:rsid w:val="00D4431A"/>
    <w:rsid w:val="00D45123"/>
    <w:rsid w:val="00D45375"/>
    <w:rsid w:val="00D45640"/>
    <w:rsid w:val="00D46EA2"/>
    <w:rsid w:val="00D51102"/>
    <w:rsid w:val="00D51A6E"/>
    <w:rsid w:val="00D534E4"/>
    <w:rsid w:val="00D5435B"/>
    <w:rsid w:val="00D55546"/>
    <w:rsid w:val="00D56241"/>
    <w:rsid w:val="00D57F44"/>
    <w:rsid w:val="00D60226"/>
    <w:rsid w:val="00D61D5A"/>
    <w:rsid w:val="00D61FD5"/>
    <w:rsid w:val="00D62D5B"/>
    <w:rsid w:val="00D64757"/>
    <w:rsid w:val="00D65816"/>
    <w:rsid w:val="00D666E4"/>
    <w:rsid w:val="00D70C8A"/>
    <w:rsid w:val="00D72397"/>
    <w:rsid w:val="00D73CC7"/>
    <w:rsid w:val="00D76CD0"/>
    <w:rsid w:val="00D7706B"/>
    <w:rsid w:val="00D80067"/>
    <w:rsid w:val="00D81505"/>
    <w:rsid w:val="00D816CE"/>
    <w:rsid w:val="00D818E6"/>
    <w:rsid w:val="00D8410F"/>
    <w:rsid w:val="00D8532F"/>
    <w:rsid w:val="00D85C7F"/>
    <w:rsid w:val="00D85E65"/>
    <w:rsid w:val="00D86E9B"/>
    <w:rsid w:val="00D87258"/>
    <w:rsid w:val="00D87C61"/>
    <w:rsid w:val="00D90D43"/>
    <w:rsid w:val="00D915DE"/>
    <w:rsid w:val="00D956B9"/>
    <w:rsid w:val="00DA21D5"/>
    <w:rsid w:val="00DA2982"/>
    <w:rsid w:val="00DA2D27"/>
    <w:rsid w:val="00DA7460"/>
    <w:rsid w:val="00DB02DE"/>
    <w:rsid w:val="00DB044D"/>
    <w:rsid w:val="00DB1929"/>
    <w:rsid w:val="00DB24FC"/>
    <w:rsid w:val="00DB2E07"/>
    <w:rsid w:val="00DB476B"/>
    <w:rsid w:val="00DB4E4A"/>
    <w:rsid w:val="00DB6412"/>
    <w:rsid w:val="00DB64F4"/>
    <w:rsid w:val="00DB66D3"/>
    <w:rsid w:val="00DB6D44"/>
    <w:rsid w:val="00DB7FA0"/>
    <w:rsid w:val="00DC0AE4"/>
    <w:rsid w:val="00DC187B"/>
    <w:rsid w:val="00DC1AB7"/>
    <w:rsid w:val="00DC2ACB"/>
    <w:rsid w:val="00DC3C83"/>
    <w:rsid w:val="00DC6E74"/>
    <w:rsid w:val="00DC74C2"/>
    <w:rsid w:val="00DD09B1"/>
    <w:rsid w:val="00DD1125"/>
    <w:rsid w:val="00DD1F4F"/>
    <w:rsid w:val="00DD34F2"/>
    <w:rsid w:val="00DD474E"/>
    <w:rsid w:val="00DD55F5"/>
    <w:rsid w:val="00DD56B7"/>
    <w:rsid w:val="00DD6E97"/>
    <w:rsid w:val="00DD6ED7"/>
    <w:rsid w:val="00DE0003"/>
    <w:rsid w:val="00DE2731"/>
    <w:rsid w:val="00DE282D"/>
    <w:rsid w:val="00DE28D8"/>
    <w:rsid w:val="00DE29A3"/>
    <w:rsid w:val="00DE35A7"/>
    <w:rsid w:val="00DE41FD"/>
    <w:rsid w:val="00DE4C74"/>
    <w:rsid w:val="00DE5F87"/>
    <w:rsid w:val="00DE7E40"/>
    <w:rsid w:val="00DF293B"/>
    <w:rsid w:val="00DF2A36"/>
    <w:rsid w:val="00DF2BCA"/>
    <w:rsid w:val="00DF3604"/>
    <w:rsid w:val="00DF4DEC"/>
    <w:rsid w:val="00DF5839"/>
    <w:rsid w:val="00DF60BF"/>
    <w:rsid w:val="00DF6DD5"/>
    <w:rsid w:val="00DF7DFB"/>
    <w:rsid w:val="00E006FE"/>
    <w:rsid w:val="00E00C83"/>
    <w:rsid w:val="00E018D9"/>
    <w:rsid w:val="00E01A43"/>
    <w:rsid w:val="00E025A2"/>
    <w:rsid w:val="00E02670"/>
    <w:rsid w:val="00E06F3A"/>
    <w:rsid w:val="00E11E0D"/>
    <w:rsid w:val="00E11F43"/>
    <w:rsid w:val="00E14448"/>
    <w:rsid w:val="00E21437"/>
    <w:rsid w:val="00E223C3"/>
    <w:rsid w:val="00E224EE"/>
    <w:rsid w:val="00E22E91"/>
    <w:rsid w:val="00E2511B"/>
    <w:rsid w:val="00E259E5"/>
    <w:rsid w:val="00E25BF9"/>
    <w:rsid w:val="00E27617"/>
    <w:rsid w:val="00E31EED"/>
    <w:rsid w:val="00E338C7"/>
    <w:rsid w:val="00E33AFA"/>
    <w:rsid w:val="00E33BF9"/>
    <w:rsid w:val="00E33EAC"/>
    <w:rsid w:val="00E36821"/>
    <w:rsid w:val="00E42BD2"/>
    <w:rsid w:val="00E44167"/>
    <w:rsid w:val="00E444DF"/>
    <w:rsid w:val="00E458BE"/>
    <w:rsid w:val="00E4640A"/>
    <w:rsid w:val="00E47C20"/>
    <w:rsid w:val="00E51D32"/>
    <w:rsid w:val="00E51E11"/>
    <w:rsid w:val="00E52BB6"/>
    <w:rsid w:val="00E56625"/>
    <w:rsid w:val="00E56663"/>
    <w:rsid w:val="00E56834"/>
    <w:rsid w:val="00E57825"/>
    <w:rsid w:val="00E5787A"/>
    <w:rsid w:val="00E57FBE"/>
    <w:rsid w:val="00E66090"/>
    <w:rsid w:val="00E675E7"/>
    <w:rsid w:val="00E67CE3"/>
    <w:rsid w:val="00E703F0"/>
    <w:rsid w:val="00E70A3F"/>
    <w:rsid w:val="00E70DC4"/>
    <w:rsid w:val="00E71C62"/>
    <w:rsid w:val="00E737BE"/>
    <w:rsid w:val="00E73F10"/>
    <w:rsid w:val="00E74EC6"/>
    <w:rsid w:val="00E75173"/>
    <w:rsid w:val="00E77F96"/>
    <w:rsid w:val="00E80B95"/>
    <w:rsid w:val="00E84583"/>
    <w:rsid w:val="00E849F5"/>
    <w:rsid w:val="00E8511F"/>
    <w:rsid w:val="00E86508"/>
    <w:rsid w:val="00E867AF"/>
    <w:rsid w:val="00E86A46"/>
    <w:rsid w:val="00E9158B"/>
    <w:rsid w:val="00E91BDB"/>
    <w:rsid w:val="00E92F85"/>
    <w:rsid w:val="00E92FCD"/>
    <w:rsid w:val="00E94AB4"/>
    <w:rsid w:val="00E96123"/>
    <w:rsid w:val="00EA0120"/>
    <w:rsid w:val="00EA03F3"/>
    <w:rsid w:val="00EA19C9"/>
    <w:rsid w:val="00EA2CC7"/>
    <w:rsid w:val="00EA3A94"/>
    <w:rsid w:val="00EA3F1D"/>
    <w:rsid w:val="00EA4272"/>
    <w:rsid w:val="00EA5D5C"/>
    <w:rsid w:val="00EA7B85"/>
    <w:rsid w:val="00EB00B3"/>
    <w:rsid w:val="00EB2CDE"/>
    <w:rsid w:val="00EB3963"/>
    <w:rsid w:val="00EB65DE"/>
    <w:rsid w:val="00EB7253"/>
    <w:rsid w:val="00EB73B4"/>
    <w:rsid w:val="00EC0C15"/>
    <w:rsid w:val="00EC1989"/>
    <w:rsid w:val="00EC38C5"/>
    <w:rsid w:val="00EC6B2F"/>
    <w:rsid w:val="00EC6F14"/>
    <w:rsid w:val="00EC7E1E"/>
    <w:rsid w:val="00ED3B60"/>
    <w:rsid w:val="00ED436A"/>
    <w:rsid w:val="00ED51E5"/>
    <w:rsid w:val="00EE088C"/>
    <w:rsid w:val="00EE0E88"/>
    <w:rsid w:val="00EE21D9"/>
    <w:rsid w:val="00EE4EED"/>
    <w:rsid w:val="00EE6599"/>
    <w:rsid w:val="00EE736B"/>
    <w:rsid w:val="00EF0C71"/>
    <w:rsid w:val="00EF4B9E"/>
    <w:rsid w:val="00EF774D"/>
    <w:rsid w:val="00F01416"/>
    <w:rsid w:val="00F019D0"/>
    <w:rsid w:val="00F01D4F"/>
    <w:rsid w:val="00F02812"/>
    <w:rsid w:val="00F029DD"/>
    <w:rsid w:val="00F03BA5"/>
    <w:rsid w:val="00F06BC6"/>
    <w:rsid w:val="00F07AD4"/>
    <w:rsid w:val="00F07CF0"/>
    <w:rsid w:val="00F10649"/>
    <w:rsid w:val="00F108A9"/>
    <w:rsid w:val="00F116B0"/>
    <w:rsid w:val="00F120CC"/>
    <w:rsid w:val="00F1214C"/>
    <w:rsid w:val="00F128B6"/>
    <w:rsid w:val="00F139D5"/>
    <w:rsid w:val="00F20ED9"/>
    <w:rsid w:val="00F211CE"/>
    <w:rsid w:val="00F225AB"/>
    <w:rsid w:val="00F22E07"/>
    <w:rsid w:val="00F242BB"/>
    <w:rsid w:val="00F25713"/>
    <w:rsid w:val="00F266FC"/>
    <w:rsid w:val="00F27876"/>
    <w:rsid w:val="00F30A57"/>
    <w:rsid w:val="00F33A69"/>
    <w:rsid w:val="00F33F32"/>
    <w:rsid w:val="00F3458B"/>
    <w:rsid w:val="00F3656D"/>
    <w:rsid w:val="00F45D3A"/>
    <w:rsid w:val="00F46B30"/>
    <w:rsid w:val="00F513A6"/>
    <w:rsid w:val="00F53A20"/>
    <w:rsid w:val="00F54266"/>
    <w:rsid w:val="00F5512C"/>
    <w:rsid w:val="00F577B8"/>
    <w:rsid w:val="00F60AB8"/>
    <w:rsid w:val="00F62C6F"/>
    <w:rsid w:val="00F63195"/>
    <w:rsid w:val="00F63D03"/>
    <w:rsid w:val="00F63EB7"/>
    <w:rsid w:val="00F64AC3"/>
    <w:rsid w:val="00F66268"/>
    <w:rsid w:val="00F662DC"/>
    <w:rsid w:val="00F7329C"/>
    <w:rsid w:val="00F74115"/>
    <w:rsid w:val="00F7447B"/>
    <w:rsid w:val="00F74973"/>
    <w:rsid w:val="00F80B69"/>
    <w:rsid w:val="00F81F09"/>
    <w:rsid w:val="00F84139"/>
    <w:rsid w:val="00F8489A"/>
    <w:rsid w:val="00F90A07"/>
    <w:rsid w:val="00F90F19"/>
    <w:rsid w:val="00F91622"/>
    <w:rsid w:val="00F93203"/>
    <w:rsid w:val="00F93A0F"/>
    <w:rsid w:val="00F943AF"/>
    <w:rsid w:val="00F95422"/>
    <w:rsid w:val="00F956F0"/>
    <w:rsid w:val="00F97F23"/>
    <w:rsid w:val="00FA113C"/>
    <w:rsid w:val="00FA1719"/>
    <w:rsid w:val="00FA3869"/>
    <w:rsid w:val="00FA3F74"/>
    <w:rsid w:val="00FA4C84"/>
    <w:rsid w:val="00FA56FB"/>
    <w:rsid w:val="00FA7244"/>
    <w:rsid w:val="00FA76C6"/>
    <w:rsid w:val="00FB0A86"/>
    <w:rsid w:val="00FB0F65"/>
    <w:rsid w:val="00FB2143"/>
    <w:rsid w:val="00FB2986"/>
    <w:rsid w:val="00FB3F3F"/>
    <w:rsid w:val="00FB48B4"/>
    <w:rsid w:val="00FB4FB8"/>
    <w:rsid w:val="00FB5F8A"/>
    <w:rsid w:val="00FB6451"/>
    <w:rsid w:val="00FC027F"/>
    <w:rsid w:val="00FC477B"/>
    <w:rsid w:val="00FC49DB"/>
    <w:rsid w:val="00FC7657"/>
    <w:rsid w:val="00FD05C7"/>
    <w:rsid w:val="00FD0C04"/>
    <w:rsid w:val="00FD1DC3"/>
    <w:rsid w:val="00FD2D96"/>
    <w:rsid w:val="00FD38C9"/>
    <w:rsid w:val="00FD7DD6"/>
    <w:rsid w:val="00FE38AB"/>
    <w:rsid w:val="00FE4E84"/>
    <w:rsid w:val="00FE5F5E"/>
    <w:rsid w:val="00FE7A3B"/>
    <w:rsid w:val="00FF0310"/>
    <w:rsid w:val="00FF168C"/>
    <w:rsid w:val="00FF1C58"/>
    <w:rsid w:val="00FF6FD5"/>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4C284AD-3B02-4B77-B22E-6E5233768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0E2"/>
    <w:pPr>
      <w:spacing w:line="240" w:lineRule="auto"/>
    </w:pPr>
    <w:rPr>
      <w:rFonts w:ascii="Times New Roman" w:hAnsi="Times New Roman" w:cs="Times New Roman"/>
      <w:sz w:val="24"/>
      <w:szCs w:val="24"/>
      <w:lang w:val="en-GB"/>
    </w:rPr>
  </w:style>
  <w:style w:type="paragraph" w:styleId="Heading1">
    <w:name w:val="heading 1"/>
    <w:basedOn w:val="Normal"/>
    <w:next w:val="Normal"/>
    <w:link w:val="Heading1Char"/>
    <w:qFormat/>
    <w:rsid w:val="00CF0E26"/>
    <w:pPr>
      <w:keepNext/>
      <w:keepLines/>
      <w:numPr>
        <w:numId w:val="5"/>
      </w:numPr>
      <w:pBdr>
        <w:bottom w:val="single" w:sz="8" w:space="1" w:color="365F91" w:themeColor="accent1" w:themeShade="BF"/>
      </w:pBdr>
      <w:tabs>
        <w:tab w:val="left" w:pos="1800"/>
      </w:tabs>
      <w:spacing w:before="240" w:after="400"/>
      <w:ind w:left="1890"/>
      <w:outlineLvl w:val="0"/>
    </w:pPr>
    <w:rPr>
      <w:rFonts w:eastAsiaTheme="majorEastAsia"/>
      <w:b/>
      <w:bCs/>
      <w:color w:val="244061" w:themeColor="accent1" w:themeShade="80"/>
      <w:sz w:val="32"/>
      <w:szCs w:val="32"/>
      <w:lang w:val="en-US"/>
    </w:rPr>
  </w:style>
  <w:style w:type="paragraph" w:styleId="Heading2">
    <w:name w:val="heading 2"/>
    <w:basedOn w:val="Normal"/>
    <w:next w:val="Normal"/>
    <w:link w:val="Heading2Char"/>
    <w:uiPriority w:val="9"/>
    <w:unhideWhenUsed/>
    <w:qFormat/>
    <w:rsid w:val="00CF0E26"/>
    <w:pPr>
      <w:keepNext/>
      <w:keepLines/>
      <w:numPr>
        <w:numId w:val="12"/>
      </w:numPr>
      <w:spacing w:before="240" w:after="240"/>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CF0E26"/>
    <w:pPr>
      <w:keepNext/>
      <w:keepLines/>
      <w:spacing w:before="240" w:after="240"/>
      <w:outlineLvl w:val="2"/>
    </w:pPr>
    <w:rPr>
      <w:rFonts w:ascii="Times New Roman Bold" w:eastAsiaTheme="majorEastAsia" w:hAnsi="Times New Roman Bold" w:cstheme="majorBidi"/>
      <w:b/>
      <w:bCs/>
      <w:color w:val="000000" w:themeColor="text1"/>
    </w:rPr>
  </w:style>
  <w:style w:type="paragraph" w:styleId="Heading4">
    <w:name w:val="heading 4"/>
    <w:basedOn w:val="Normal"/>
    <w:next w:val="Heading5"/>
    <w:link w:val="Heading4Char"/>
    <w:uiPriority w:val="9"/>
    <w:unhideWhenUsed/>
    <w:qFormat/>
    <w:rsid w:val="00CC40CE"/>
    <w:pPr>
      <w:keepNext/>
      <w:tabs>
        <w:tab w:val="num" w:pos="720"/>
      </w:tabs>
      <w:spacing w:after="240"/>
      <w:jc w:val="both"/>
      <w:outlineLvl w:val="3"/>
    </w:pPr>
    <w:rPr>
      <w:rFonts w:ascii="Times New Roman Bold" w:eastAsia="Times New Roman" w:hAnsi="Times New Roman Bold"/>
      <w:b/>
      <w:i/>
      <w:sz w:val="22"/>
      <w:szCs w:val="20"/>
    </w:rPr>
  </w:style>
  <w:style w:type="paragraph" w:styleId="Heading5">
    <w:name w:val="heading 5"/>
    <w:basedOn w:val="Normal"/>
    <w:next w:val="BodyText"/>
    <w:link w:val="Heading5Char"/>
    <w:uiPriority w:val="9"/>
    <w:unhideWhenUsed/>
    <w:qFormat/>
    <w:rsid w:val="00CF0E26"/>
    <w:pPr>
      <w:spacing w:after="240"/>
      <w:jc w:val="both"/>
      <w:outlineLvl w:val="4"/>
    </w:pPr>
    <w:rPr>
      <w:rFonts w:eastAsia="Times New Roman"/>
      <w:i/>
      <w:sz w:val="22"/>
      <w:szCs w:val="20"/>
    </w:rPr>
  </w:style>
  <w:style w:type="paragraph" w:styleId="Heading6">
    <w:name w:val="heading 6"/>
    <w:basedOn w:val="Normal"/>
    <w:next w:val="Normal"/>
    <w:link w:val="Heading6Char"/>
    <w:uiPriority w:val="9"/>
    <w:semiHidden/>
    <w:unhideWhenUsed/>
    <w:qFormat/>
    <w:rsid w:val="00CF0E26"/>
    <w:pPr>
      <w:keepNext/>
      <w:keepLines/>
      <w:spacing w:before="200" w:after="0"/>
      <w:outlineLvl w:val="5"/>
    </w:pPr>
    <w:rPr>
      <w:rFonts w:asciiTheme="majorHAnsi" w:eastAsiaTheme="majorEastAsia" w:hAnsiTheme="majorHAnsi" w:cstheme="majorBidi"/>
      <w:i/>
      <w:iCs/>
      <w:color w:val="243F60" w:themeColor="accent1" w:themeShade="7F"/>
      <w:sz w:val="22"/>
      <w:lang w:val="en-US"/>
    </w:rPr>
  </w:style>
  <w:style w:type="paragraph" w:styleId="Heading7">
    <w:name w:val="heading 7"/>
    <w:basedOn w:val="Normal"/>
    <w:next w:val="Normal"/>
    <w:link w:val="Heading7Char"/>
    <w:uiPriority w:val="9"/>
    <w:semiHidden/>
    <w:unhideWhenUsed/>
    <w:qFormat/>
    <w:rsid w:val="00CF0E26"/>
    <w:pPr>
      <w:keepNext/>
      <w:keepLines/>
      <w:spacing w:before="200" w:after="0"/>
      <w:outlineLvl w:val="6"/>
    </w:pPr>
    <w:rPr>
      <w:rFonts w:asciiTheme="majorHAnsi" w:eastAsiaTheme="majorEastAsia" w:hAnsiTheme="majorHAnsi" w:cstheme="majorBidi"/>
      <w:i/>
      <w:iCs/>
      <w:color w:val="404040" w:themeColor="text1" w:themeTint="BF"/>
      <w:sz w:val="22"/>
      <w:lang w:val="en-US"/>
    </w:rPr>
  </w:style>
  <w:style w:type="paragraph" w:styleId="Heading8">
    <w:name w:val="heading 8"/>
    <w:basedOn w:val="Normal"/>
    <w:next w:val="Normal"/>
    <w:link w:val="Heading8Char"/>
    <w:uiPriority w:val="9"/>
    <w:semiHidden/>
    <w:unhideWhenUsed/>
    <w:qFormat/>
    <w:rsid w:val="00CF0E26"/>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CF0E26"/>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E26"/>
    <w:rPr>
      <w:rFonts w:ascii="Times New Roman" w:eastAsiaTheme="majorEastAsia" w:hAnsi="Times New Roman" w:cs="Times New Roman"/>
      <w:b/>
      <w:bCs/>
      <w:color w:val="244061" w:themeColor="accent1" w:themeShade="80"/>
      <w:sz w:val="32"/>
      <w:szCs w:val="32"/>
    </w:rPr>
  </w:style>
  <w:style w:type="character" w:customStyle="1" w:styleId="Heading2Char">
    <w:name w:val="Heading 2 Char"/>
    <w:basedOn w:val="DefaultParagraphFont"/>
    <w:link w:val="Heading2"/>
    <w:uiPriority w:val="9"/>
    <w:rsid w:val="00CF0E26"/>
    <w:rPr>
      <w:rFonts w:asciiTheme="majorHAnsi" w:eastAsiaTheme="majorEastAsia" w:hAnsiTheme="majorHAnsi" w:cstheme="majorBidi"/>
      <w:b/>
      <w:bCs/>
      <w:smallCaps/>
      <w:color w:val="4F81BD" w:themeColor="accent1"/>
      <w:sz w:val="26"/>
      <w:szCs w:val="26"/>
      <w:lang w:val="en-GB"/>
    </w:rPr>
  </w:style>
  <w:style w:type="character" w:customStyle="1" w:styleId="Heading3Char">
    <w:name w:val="Heading 3 Char"/>
    <w:basedOn w:val="DefaultParagraphFont"/>
    <w:link w:val="Heading3"/>
    <w:uiPriority w:val="9"/>
    <w:rsid w:val="00CF0E26"/>
    <w:rPr>
      <w:rFonts w:ascii="Times New Roman Bold" w:eastAsiaTheme="majorEastAsia" w:hAnsi="Times New Roman Bold" w:cstheme="majorBidi"/>
      <w:b/>
      <w:bCs/>
      <w:color w:val="000000" w:themeColor="text1"/>
      <w:sz w:val="24"/>
      <w:szCs w:val="24"/>
      <w:lang w:val="en-GB"/>
    </w:rPr>
  </w:style>
  <w:style w:type="character" w:customStyle="1" w:styleId="Heading4Char">
    <w:name w:val="Heading 4 Char"/>
    <w:basedOn w:val="DefaultParagraphFont"/>
    <w:link w:val="Heading4"/>
    <w:uiPriority w:val="9"/>
    <w:rsid w:val="00CC40CE"/>
    <w:rPr>
      <w:rFonts w:ascii="Times New Roman Bold" w:eastAsia="Times New Roman" w:hAnsi="Times New Roman Bold" w:cs="Times New Roman"/>
      <w:b/>
      <w:i/>
      <w:szCs w:val="20"/>
      <w:lang w:val="en-GB"/>
    </w:rPr>
  </w:style>
  <w:style w:type="character" w:customStyle="1" w:styleId="Heading5Char">
    <w:name w:val="Heading 5 Char"/>
    <w:basedOn w:val="DefaultParagraphFont"/>
    <w:link w:val="Heading5"/>
    <w:uiPriority w:val="9"/>
    <w:rsid w:val="00CF0E26"/>
    <w:rPr>
      <w:rFonts w:ascii="Times New Roman" w:eastAsia="Times New Roman" w:hAnsi="Times New Roman" w:cs="Times New Roman"/>
      <w:i/>
      <w:szCs w:val="20"/>
      <w:lang w:val="en-GB"/>
    </w:rPr>
  </w:style>
  <w:style w:type="character" w:customStyle="1" w:styleId="Heading6Char">
    <w:name w:val="Heading 6 Char"/>
    <w:basedOn w:val="DefaultParagraphFont"/>
    <w:link w:val="Heading6"/>
    <w:uiPriority w:val="9"/>
    <w:semiHidden/>
    <w:rsid w:val="00CF0E26"/>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CF0E26"/>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CF0E2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F0E26"/>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F0E26"/>
    <w:pPr>
      <w:spacing w:after="0" w:line="240" w:lineRule="auto"/>
    </w:pPr>
    <w:rPr>
      <w:rFonts w:ascii="Times New Roman"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E26"/>
    <w:pPr>
      <w:tabs>
        <w:tab w:val="center" w:pos="4513"/>
        <w:tab w:val="right" w:pos="9026"/>
      </w:tabs>
      <w:spacing w:after="0"/>
    </w:pPr>
  </w:style>
  <w:style w:type="character" w:customStyle="1" w:styleId="HeaderChar">
    <w:name w:val="Header Char"/>
    <w:basedOn w:val="DefaultParagraphFont"/>
    <w:link w:val="Header"/>
    <w:uiPriority w:val="99"/>
    <w:rsid w:val="00CF0E26"/>
    <w:rPr>
      <w:rFonts w:ascii="Times New Roman" w:hAnsi="Times New Roman" w:cs="Times New Roman"/>
      <w:sz w:val="24"/>
      <w:szCs w:val="24"/>
      <w:lang w:val="en-GB"/>
    </w:rPr>
  </w:style>
  <w:style w:type="paragraph" w:styleId="ListParagraph">
    <w:name w:val="List Paragraph"/>
    <w:aliases w:val="Bullets,Dot pt,No Spacing1,List Paragraph Char Char Char,Indicator Text,List Paragraph1,Numbered Para 1,List Paragraph12,Bullet Points,MAIN CONTENT,Bullet 1,Colorful List - Accent 11,List Paragraph (numbered (a)),References,Liste 1"/>
    <w:basedOn w:val="Normal"/>
    <w:link w:val="ListParagraphChar"/>
    <w:uiPriority w:val="34"/>
    <w:qFormat/>
    <w:rsid w:val="00D87258"/>
    <w:pPr>
      <w:ind w:left="720"/>
      <w:contextualSpacing/>
      <w:jc w:val="both"/>
    </w:pPr>
  </w:style>
  <w:style w:type="paragraph" w:styleId="Footer">
    <w:name w:val="footer"/>
    <w:basedOn w:val="Normal"/>
    <w:link w:val="FooterChar"/>
    <w:uiPriority w:val="99"/>
    <w:unhideWhenUsed/>
    <w:rsid w:val="00CF0E26"/>
    <w:pPr>
      <w:tabs>
        <w:tab w:val="center" w:pos="4513"/>
        <w:tab w:val="right" w:pos="9026"/>
      </w:tabs>
      <w:spacing w:after="0"/>
    </w:pPr>
  </w:style>
  <w:style w:type="character" w:customStyle="1" w:styleId="FooterChar">
    <w:name w:val="Footer Char"/>
    <w:basedOn w:val="DefaultParagraphFont"/>
    <w:link w:val="Footer"/>
    <w:uiPriority w:val="99"/>
    <w:rsid w:val="00CF0E26"/>
    <w:rPr>
      <w:rFonts w:ascii="Times New Roman" w:hAnsi="Times New Roman" w:cs="Times New Roman"/>
      <w:sz w:val="24"/>
      <w:szCs w:val="24"/>
      <w:lang w:val="en-GB"/>
    </w:rPr>
  </w:style>
  <w:style w:type="paragraph" w:styleId="NoSpacing">
    <w:name w:val="No Spacing"/>
    <w:link w:val="NoSpacingChar"/>
    <w:uiPriority w:val="1"/>
    <w:qFormat/>
    <w:rsid w:val="00CF0E26"/>
    <w:pPr>
      <w:spacing w:after="0" w:line="240" w:lineRule="auto"/>
    </w:pPr>
    <w:rPr>
      <w:rFonts w:eastAsiaTheme="minorEastAsia"/>
      <w:szCs w:val="24"/>
      <w:lang w:eastAsia="ja-JP"/>
    </w:rPr>
  </w:style>
  <w:style w:type="character" w:customStyle="1" w:styleId="NoSpacingChar">
    <w:name w:val="No Spacing Char"/>
    <w:basedOn w:val="DefaultParagraphFont"/>
    <w:link w:val="NoSpacing"/>
    <w:uiPriority w:val="1"/>
    <w:rsid w:val="00CF0E26"/>
    <w:rPr>
      <w:rFonts w:eastAsiaTheme="minorEastAsia"/>
      <w:szCs w:val="24"/>
      <w:lang w:eastAsia="ja-JP"/>
    </w:rPr>
  </w:style>
  <w:style w:type="paragraph" w:styleId="BalloonText">
    <w:name w:val="Balloon Text"/>
    <w:basedOn w:val="Normal"/>
    <w:link w:val="BalloonTextChar"/>
    <w:uiPriority w:val="99"/>
    <w:semiHidden/>
    <w:unhideWhenUsed/>
    <w:rsid w:val="00CF0E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E26"/>
    <w:rPr>
      <w:rFonts w:ascii="Tahoma" w:hAnsi="Tahoma" w:cs="Tahoma"/>
      <w:sz w:val="16"/>
      <w:szCs w:val="16"/>
      <w:lang w:val="en-GB"/>
    </w:rPr>
  </w:style>
  <w:style w:type="paragraph" w:styleId="FootnoteText">
    <w:name w:val="footnote text"/>
    <w:aliases w:val="Texte de note de bas de page,footnote text,single space,fn,ALTS FOOTNOTE,Fodnotetekst Tegn,FOOTNOTES,Footnote Text Char Char,ft,Note de bas de page Car,Footnote Text Char2,Footnote Text Char1 Char,Footnote Text Char Char Char1,ADB,f,Car,9"/>
    <w:basedOn w:val="Normal"/>
    <w:link w:val="FootnoteTextChar"/>
    <w:uiPriority w:val="99"/>
    <w:unhideWhenUsed/>
    <w:qFormat/>
    <w:rsid w:val="00CF0E26"/>
    <w:pPr>
      <w:spacing w:after="0"/>
    </w:pPr>
    <w:rPr>
      <w:rFonts w:asciiTheme="minorHAnsi" w:hAnsiTheme="minorHAnsi" w:cstheme="minorBidi"/>
      <w:sz w:val="20"/>
      <w:szCs w:val="20"/>
    </w:rPr>
  </w:style>
  <w:style w:type="character" w:customStyle="1" w:styleId="FootnoteTextChar">
    <w:name w:val="Footnote Text Char"/>
    <w:aliases w:val="Texte de note de bas de page Char,footnote text Char,single space Char,fn Char,ALTS FOOTNOTE Char,Fodnotetekst Tegn Char,FOOTNOTES Char,Footnote Text Char Char Char,ft Char,Note de bas de page Car Char,Footnote Text Char2 Char,f Char"/>
    <w:basedOn w:val="DefaultParagraphFont"/>
    <w:link w:val="FootnoteText"/>
    <w:uiPriority w:val="99"/>
    <w:rsid w:val="00CF0E26"/>
    <w:rPr>
      <w:sz w:val="20"/>
      <w:szCs w:val="20"/>
      <w:lang w:val="en-GB"/>
    </w:rPr>
  </w:style>
  <w:style w:type="character" w:styleId="FootnoteReference">
    <w:name w:val="footnote reference"/>
    <w:aliases w:val="ftref,BVI fnr,Ref,de nota al pie,16 Point,Superscript 6 Point,fr,Used by Word for Help footnote symbols,Car Car Char Car Char Car Car Char Car Char Char,SUPERS,BVI f,Char Char Char Char Car Char,BVI fn,Footnote Reference1,FO,Footnote"/>
    <w:basedOn w:val="DefaultParagraphFont"/>
    <w:link w:val="BVIfnrCharCharCharCharCharChar1CharCharCharCharCharChar"/>
    <w:uiPriority w:val="99"/>
    <w:unhideWhenUsed/>
    <w:qFormat/>
    <w:rsid w:val="00CF0E26"/>
    <w:rPr>
      <w:vertAlign w:val="superscript"/>
    </w:rPr>
  </w:style>
  <w:style w:type="numbering" w:customStyle="1" w:styleId="NoList1">
    <w:name w:val="No List1"/>
    <w:next w:val="NoList"/>
    <w:uiPriority w:val="99"/>
    <w:semiHidden/>
    <w:unhideWhenUsed/>
    <w:rsid w:val="00CF0E26"/>
  </w:style>
  <w:style w:type="paragraph" w:customStyle="1" w:styleId="MainParawithChapter">
    <w:name w:val="Main Para with Chapter#"/>
    <w:basedOn w:val="Normal"/>
    <w:link w:val="MainParawithChapterChar1"/>
    <w:rsid w:val="00CF0E26"/>
    <w:pPr>
      <w:spacing w:before="240" w:after="240"/>
      <w:jc w:val="both"/>
      <w:outlineLvl w:val="1"/>
    </w:pPr>
    <w:rPr>
      <w:rFonts w:eastAsia="Times New Roman"/>
      <w:lang w:val="en-US"/>
    </w:rPr>
  </w:style>
  <w:style w:type="character" w:customStyle="1" w:styleId="MainParawithChapterChar1">
    <w:name w:val="Main Para with Chapter# Char1"/>
    <w:basedOn w:val="DefaultParagraphFont"/>
    <w:link w:val="MainParawithChapter"/>
    <w:rsid w:val="00CF0E2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F0E26"/>
    <w:pPr>
      <w:spacing w:after="0" w:line="240" w:lineRule="auto"/>
    </w:pPr>
    <w:rPr>
      <w:rFonts w:ascii="Times New Roman"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F0E26"/>
  </w:style>
  <w:style w:type="table" w:customStyle="1" w:styleId="TableGrid2">
    <w:name w:val="Table Grid2"/>
    <w:basedOn w:val="TableNormal"/>
    <w:next w:val="TableGrid"/>
    <w:uiPriority w:val="59"/>
    <w:rsid w:val="00CF0E26"/>
    <w:pPr>
      <w:spacing w:after="0" w:line="240" w:lineRule="auto"/>
    </w:pPr>
    <w:rPr>
      <w:rFonts w:ascii="Times New Roman"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0E26"/>
    <w:rPr>
      <w:sz w:val="16"/>
      <w:szCs w:val="16"/>
    </w:rPr>
  </w:style>
  <w:style w:type="paragraph" w:styleId="CommentText">
    <w:name w:val="annotation text"/>
    <w:basedOn w:val="Normal"/>
    <w:link w:val="CommentTextChar"/>
    <w:uiPriority w:val="99"/>
    <w:semiHidden/>
    <w:unhideWhenUsed/>
    <w:rsid w:val="00CF0E26"/>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0E26"/>
    <w:rPr>
      <w:sz w:val="20"/>
      <w:szCs w:val="20"/>
      <w:lang w:val="en-GB"/>
    </w:rPr>
  </w:style>
  <w:style w:type="paragraph" w:styleId="CommentSubject">
    <w:name w:val="annotation subject"/>
    <w:basedOn w:val="CommentText"/>
    <w:next w:val="CommentText"/>
    <w:link w:val="CommentSubjectChar"/>
    <w:uiPriority w:val="99"/>
    <w:semiHidden/>
    <w:unhideWhenUsed/>
    <w:rsid w:val="00CF0E26"/>
    <w:rPr>
      <w:b/>
      <w:bCs/>
    </w:rPr>
  </w:style>
  <w:style w:type="character" w:customStyle="1" w:styleId="CommentSubjectChar">
    <w:name w:val="Comment Subject Char"/>
    <w:basedOn w:val="CommentTextChar"/>
    <w:link w:val="CommentSubject"/>
    <w:uiPriority w:val="99"/>
    <w:semiHidden/>
    <w:rsid w:val="00CF0E26"/>
    <w:rPr>
      <w:b/>
      <w:bCs/>
      <w:sz w:val="20"/>
      <w:szCs w:val="20"/>
      <w:lang w:val="en-GB"/>
    </w:rPr>
  </w:style>
  <w:style w:type="paragraph" w:styleId="BodyText">
    <w:name w:val="Body Text"/>
    <w:basedOn w:val="Normal"/>
    <w:link w:val="BodyTextChar"/>
    <w:uiPriority w:val="99"/>
    <w:unhideWhenUsed/>
    <w:qFormat/>
    <w:rsid w:val="00CF0E26"/>
    <w:pPr>
      <w:tabs>
        <w:tab w:val="num" w:pos="720"/>
      </w:tabs>
      <w:spacing w:after="240"/>
      <w:jc w:val="both"/>
    </w:pPr>
    <w:rPr>
      <w:rFonts w:eastAsia="Times New Roman"/>
      <w:sz w:val="22"/>
      <w:szCs w:val="20"/>
    </w:rPr>
  </w:style>
  <w:style w:type="character" w:customStyle="1" w:styleId="BodyTextChar">
    <w:name w:val="Body Text Char"/>
    <w:basedOn w:val="DefaultParagraphFont"/>
    <w:link w:val="BodyText"/>
    <w:uiPriority w:val="99"/>
    <w:rsid w:val="00CF0E26"/>
    <w:rPr>
      <w:rFonts w:ascii="Times New Roman" w:eastAsia="Times New Roman" w:hAnsi="Times New Roman" w:cs="Times New Roman"/>
      <w:szCs w:val="20"/>
      <w:lang w:val="en-GB"/>
    </w:rPr>
  </w:style>
  <w:style w:type="paragraph" w:styleId="BodyText2">
    <w:name w:val="Body Text 2"/>
    <w:basedOn w:val="Normal"/>
    <w:link w:val="BodyText2Char"/>
    <w:unhideWhenUsed/>
    <w:rsid w:val="00CF0E26"/>
    <w:pPr>
      <w:tabs>
        <w:tab w:val="num" w:pos="720"/>
      </w:tabs>
      <w:spacing w:after="240"/>
      <w:jc w:val="both"/>
    </w:pPr>
    <w:rPr>
      <w:rFonts w:eastAsia="Times New Roman"/>
      <w:sz w:val="22"/>
      <w:szCs w:val="20"/>
    </w:rPr>
  </w:style>
  <w:style w:type="character" w:customStyle="1" w:styleId="BodyText2Char">
    <w:name w:val="Body Text 2 Char"/>
    <w:basedOn w:val="DefaultParagraphFont"/>
    <w:link w:val="BodyText2"/>
    <w:rsid w:val="00CF0E26"/>
    <w:rPr>
      <w:rFonts w:ascii="Times New Roman" w:eastAsia="Times New Roman" w:hAnsi="Times New Roman" w:cs="Times New Roman"/>
      <w:szCs w:val="20"/>
      <w:lang w:val="en-GB"/>
    </w:rPr>
  </w:style>
  <w:style w:type="paragraph" w:styleId="BodyText3">
    <w:name w:val="Body Text 3"/>
    <w:basedOn w:val="Normal"/>
    <w:link w:val="BodyText3Char"/>
    <w:unhideWhenUsed/>
    <w:rsid w:val="00CF0E26"/>
    <w:pPr>
      <w:tabs>
        <w:tab w:val="num" w:pos="1440"/>
      </w:tabs>
      <w:spacing w:after="240"/>
      <w:ind w:left="1440" w:hanging="720"/>
      <w:jc w:val="both"/>
    </w:pPr>
    <w:rPr>
      <w:rFonts w:eastAsia="Times New Roman"/>
      <w:sz w:val="22"/>
      <w:szCs w:val="20"/>
    </w:rPr>
  </w:style>
  <w:style w:type="character" w:customStyle="1" w:styleId="BodyText3Char">
    <w:name w:val="Body Text 3 Char"/>
    <w:basedOn w:val="DefaultParagraphFont"/>
    <w:link w:val="BodyText3"/>
    <w:rsid w:val="00CF0E26"/>
    <w:rPr>
      <w:rFonts w:ascii="Times New Roman" w:eastAsia="Times New Roman" w:hAnsi="Times New Roman" w:cs="Times New Roman"/>
      <w:szCs w:val="20"/>
      <w:lang w:val="en-GB"/>
    </w:rPr>
  </w:style>
  <w:style w:type="character" w:styleId="Hyperlink">
    <w:name w:val="Hyperlink"/>
    <w:basedOn w:val="DefaultParagraphFont"/>
    <w:uiPriority w:val="99"/>
    <w:unhideWhenUsed/>
    <w:rsid w:val="00CF0E26"/>
    <w:rPr>
      <w:color w:val="0000FF" w:themeColor="hyperlink"/>
      <w:u w:val="single"/>
    </w:rPr>
  </w:style>
  <w:style w:type="numbering" w:customStyle="1" w:styleId="NoList3">
    <w:name w:val="No List3"/>
    <w:next w:val="NoList"/>
    <w:uiPriority w:val="99"/>
    <w:semiHidden/>
    <w:unhideWhenUsed/>
    <w:rsid w:val="00CF0E26"/>
  </w:style>
  <w:style w:type="table" w:customStyle="1" w:styleId="TableGrid3">
    <w:name w:val="Table Grid3"/>
    <w:basedOn w:val="TableNormal"/>
    <w:next w:val="TableGrid"/>
    <w:uiPriority w:val="59"/>
    <w:rsid w:val="00CF0E26"/>
    <w:pPr>
      <w:spacing w:after="0" w:line="240" w:lineRule="auto"/>
    </w:pPr>
    <w:rPr>
      <w:rFonts w:ascii="Times New Roman"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normaltext">
    <w:name w:val="paranormaltext"/>
    <w:basedOn w:val="Normal"/>
    <w:rsid w:val="00CF0E26"/>
    <w:pPr>
      <w:spacing w:before="100" w:beforeAutospacing="1" w:after="100" w:afterAutospacing="1"/>
    </w:pPr>
    <w:rPr>
      <w:rFonts w:eastAsia="Times New Roman"/>
      <w:sz w:val="20"/>
      <w:szCs w:val="20"/>
      <w:lang w:val="en-US"/>
    </w:rPr>
  </w:style>
  <w:style w:type="paragraph" w:styleId="TOCHeading">
    <w:name w:val="TOC Heading"/>
    <w:basedOn w:val="Heading1"/>
    <w:next w:val="Normal"/>
    <w:uiPriority w:val="39"/>
    <w:unhideWhenUsed/>
    <w:qFormat/>
    <w:rsid w:val="00CF0E26"/>
    <w:pPr>
      <w:outlineLvl w:val="9"/>
    </w:pPr>
    <w:rPr>
      <w:lang w:eastAsia="ja-JP"/>
    </w:rPr>
  </w:style>
  <w:style w:type="paragraph" w:styleId="TOC1">
    <w:name w:val="toc 1"/>
    <w:basedOn w:val="Normal"/>
    <w:next w:val="Normal"/>
    <w:autoRedefine/>
    <w:uiPriority w:val="39"/>
    <w:unhideWhenUsed/>
    <w:rsid w:val="00DD1F4F"/>
    <w:pPr>
      <w:tabs>
        <w:tab w:val="left" w:pos="1320"/>
        <w:tab w:val="right" w:leader="dot" w:pos="9016"/>
      </w:tabs>
      <w:spacing w:before="20" w:after="40"/>
    </w:pPr>
  </w:style>
  <w:style w:type="paragraph" w:styleId="TOC2">
    <w:name w:val="toc 2"/>
    <w:basedOn w:val="Normal"/>
    <w:next w:val="Normal"/>
    <w:autoRedefine/>
    <w:uiPriority w:val="39"/>
    <w:unhideWhenUsed/>
    <w:rsid w:val="00146D7F"/>
    <w:pPr>
      <w:tabs>
        <w:tab w:val="left" w:pos="630"/>
        <w:tab w:val="right" w:leader="dot" w:pos="9016"/>
      </w:tabs>
      <w:spacing w:after="0"/>
      <w:ind w:left="245"/>
    </w:pPr>
    <w:rPr>
      <w:noProof/>
      <w:color w:val="000000" w:themeColor="text1"/>
      <w:sz w:val="21"/>
      <w:szCs w:val="21"/>
    </w:rPr>
  </w:style>
  <w:style w:type="table" w:customStyle="1" w:styleId="LightList1">
    <w:name w:val="Light List1"/>
    <w:basedOn w:val="TableNormal"/>
    <w:uiPriority w:val="61"/>
    <w:rsid w:val="00CF0E26"/>
    <w:pPr>
      <w:spacing w:after="0" w:line="240" w:lineRule="auto"/>
    </w:pPr>
    <w:rPr>
      <w:rFonts w:eastAsiaTheme="minorEastAsia"/>
      <w:szCs w:val="24"/>
      <w:lang w:val="fr-FR"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1">
    <w:name w:val="Table Grid11"/>
    <w:basedOn w:val="TableNormal"/>
    <w:uiPriority w:val="59"/>
    <w:rsid w:val="00CF0E26"/>
    <w:pPr>
      <w:spacing w:after="0" w:line="240" w:lineRule="auto"/>
    </w:pPr>
    <w:rPr>
      <w:szCs w:val="24"/>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F0E26"/>
    <w:pPr>
      <w:autoSpaceDE w:val="0"/>
      <w:autoSpaceDN w:val="0"/>
      <w:adjustRightInd w:val="0"/>
      <w:spacing w:after="0" w:line="240" w:lineRule="auto"/>
    </w:pPr>
    <w:rPr>
      <w:rFonts w:ascii="Arial" w:eastAsia="Calibri" w:hAnsi="Arial" w:cs="Arial"/>
      <w:color w:val="000000"/>
      <w:sz w:val="24"/>
      <w:szCs w:val="24"/>
      <w:lang w:val="fr-FR" w:eastAsia="fr-FR"/>
    </w:rPr>
  </w:style>
  <w:style w:type="paragraph" w:styleId="NormalWeb">
    <w:name w:val="Normal (Web)"/>
    <w:basedOn w:val="Normal"/>
    <w:uiPriority w:val="99"/>
    <w:semiHidden/>
    <w:unhideWhenUsed/>
    <w:rsid w:val="00CF0E26"/>
  </w:style>
  <w:style w:type="character" w:customStyle="1" w:styleId="fullpost">
    <w:name w:val="fullpost"/>
    <w:basedOn w:val="DefaultParagraphFont"/>
    <w:rsid w:val="00CF0E26"/>
  </w:style>
  <w:style w:type="character" w:customStyle="1" w:styleId="FootnoteCharacters">
    <w:name w:val="Footnote Characters"/>
    <w:rsid w:val="00CF0E26"/>
  </w:style>
  <w:style w:type="paragraph" w:customStyle="1" w:styleId="FootnoteText1">
    <w:name w:val="Footnote Text1"/>
    <w:basedOn w:val="Normal"/>
    <w:rsid w:val="00CF0E26"/>
    <w:pPr>
      <w:suppressAutoHyphens/>
      <w:spacing w:after="240" w:line="100" w:lineRule="atLeast"/>
      <w:jc w:val="both"/>
    </w:pPr>
    <w:rPr>
      <w:rFonts w:asciiTheme="minorHAnsi" w:eastAsia="Arial" w:hAnsiTheme="minorHAnsi" w:cstheme="minorHAnsi"/>
      <w:kern w:val="1"/>
      <w:sz w:val="20"/>
      <w:szCs w:val="20"/>
      <w:lang w:val="en-US"/>
    </w:rPr>
  </w:style>
  <w:style w:type="paragraph" w:customStyle="1" w:styleId="Sub-Para1underXY">
    <w:name w:val="Sub-Para 1 under X.Y"/>
    <w:basedOn w:val="Normal"/>
    <w:rsid w:val="00CF0E26"/>
    <w:pPr>
      <w:spacing w:after="240"/>
      <w:ind w:left="1440" w:hanging="720"/>
      <w:outlineLvl w:val="2"/>
    </w:pPr>
    <w:rPr>
      <w:rFonts w:eastAsia="Times New Roman"/>
      <w:lang w:val="en-US"/>
    </w:rPr>
  </w:style>
  <w:style w:type="paragraph" w:customStyle="1" w:styleId="Sub-Para2underXY">
    <w:name w:val="Sub-Para 2 under X.Y"/>
    <w:basedOn w:val="Normal"/>
    <w:rsid w:val="00CF0E26"/>
    <w:pPr>
      <w:spacing w:after="240"/>
      <w:ind w:left="2160" w:hanging="720"/>
      <w:outlineLvl w:val="3"/>
    </w:pPr>
    <w:rPr>
      <w:rFonts w:eastAsia="Times New Roman"/>
      <w:lang w:val="en-US"/>
    </w:rPr>
  </w:style>
  <w:style w:type="paragraph" w:customStyle="1" w:styleId="Sub-Para3underXY">
    <w:name w:val="Sub-Para 3 under X.Y"/>
    <w:basedOn w:val="Normal"/>
    <w:rsid w:val="00CF0E26"/>
    <w:pPr>
      <w:spacing w:after="240"/>
      <w:ind w:left="2880" w:hanging="720"/>
      <w:outlineLvl w:val="4"/>
    </w:pPr>
    <w:rPr>
      <w:rFonts w:eastAsia="Times New Roman"/>
      <w:lang w:val="en-US"/>
    </w:rPr>
  </w:style>
  <w:style w:type="paragraph" w:customStyle="1" w:styleId="Sub-Para4underXY">
    <w:name w:val="Sub-Para 4 under X.Y"/>
    <w:basedOn w:val="Normal"/>
    <w:rsid w:val="00CF0E26"/>
    <w:pPr>
      <w:spacing w:after="240"/>
      <w:ind w:left="3600" w:hanging="720"/>
      <w:outlineLvl w:val="5"/>
    </w:pPr>
    <w:rPr>
      <w:rFonts w:eastAsia="Times New Roman"/>
      <w:lang w:val="en-US"/>
    </w:rPr>
  </w:style>
  <w:style w:type="character" w:customStyle="1" w:styleId="MainParawithChapterChar2">
    <w:name w:val="Main Para with Chapter# Char2"/>
    <w:basedOn w:val="DefaultParagraphFont"/>
    <w:rsid w:val="00CF0E26"/>
    <w:rPr>
      <w:sz w:val="24"/>
      <w:szCs w:val="24"/>
    </w:rPr>
  </w:style>
  <w:style w:type="paragraph" w:customStyle="1" w:styleId="StyleMainParawithChapterAfter6pt">
    <w:name w:val="Style Main Para with Chapter# + After:  6 pt"/>
    <w:basedOn w:val="MainParawithChapter"/>
    <w:rsid w:val="00CF0E26"/>
    <w:pPr>
      <w:numPr>
        <w:ilvl w:val="1"/>
        <w:numId w:val="1"/>
      </w:numPr>
      <w:spacing w:before="0"/>
    </w:pPr>
    <w:rPr>
      <w:szCs w:val="20"/>
    </w:rPr>
  </w:style>
  <w:style w:type="character" w:customStyle="1" w:styleId="ListParagraphChar">
    <w:name w:val="List Paragraph Char"/>
    <w:aliases w:val="Bullets Char,Dot pt Char,No Spacing1 Char,List Paragraph Char Char Char Char,Indicator Text Char,List Paragraph1 Char,Numbered Para 1 Char,List Paragraph12 Char,Bullet Points Char,MAIN CONTENT Char,Bullet 1 Char,References Char"/>
    <w:basedOn w:val="DefaultParagraphFont"/>
    <w:link w:val="ListParagraph"/>
    <w:uiPriority w:val="34"/>
    <w:rsid w:val="00D87258"/>
    <w:rPr>
      <w:rFonts w:ascii="Times New Roman" w:hAnsi="Times New Roman" w:cs="Times New Roman"/>
      <w:sz w:val="24"/>
      <w:szCs w:val="24"/>
      <w:lang w:val="en-GB"/>
    </w:rPr>
  </w:style>
  <w:style w:type="paragraph" w:customStyle="1" w:styleId="2Body">
    <w:name w:val="2. Body"/>
    <w:basedOn w:val="Normal"/>
    <w:qFormat/>
    <w:rsid w:val="00CF0E26"/>
    <w:pPr>
      <w:suppressAutoHyphens/>
      <w:spacing w:after="0" w:line="100" w:lineRule="atLeast"/>
      <w:jc w:val="both"/>
    </w:pPr>
    <w:rPr>
      <w:rFonts w:eastAsia="MS Mincho"/>
      <w:kern w:val="1"/>
      <w:sz w:val="22"/>
      <w:lang w:val="en-US" w:eastAsia="ja-JP"/>
    </w:rPr>
  </w:style>
  <w:style w:type="paragraph" w:customStyle="1" w:styleId="MainParanoChapter">
    <w:name w:val="Main Para no Chapter #"/>
    <w:basedOn w:val="Normal"/>
    <w:rsid w:val="00CF0E26"/>
    <w:pPr>
      <w:numPr>
        <w:ilvl w:val="1"/>
        <w:numId w:val="2"/>
      </w:numPr>
      <w:suppressAutoHyphens/>
      <w:spacing w:after="240" w:line="100" w:lineRule="atLeast"/>
      <w:jc w:val="both"/>
    </w:pPr>
    <w:rPr>
      <w:rFonts w:eastAsia="Times New Roman"/>
      <w:b/>
      <w:kern w:val="1"/>
      <w:lang w:val="en-US"/>
    </w:rPr>
  </w:style>
  <w:style w:type="numbering" w:customStyle="1" w:styleId="NoList4">
    <w:name w:val="No List4"/>
    <w:next w:val="NoList"/>
    <w:uiPriority w:val="99"/>
    <w:semiHidden/>
    <w:unhideWhenUsed/>
    <w:rsid w:val="00CF0E26"/>
  </w:style>
  <w:style w:type="paragraph" w:styleId="Caption">
    <w:name w:val="caption"/>
    <w:aliases w:val="LVT Table Heading,Caption Char1,Caption Char Char,Caption Char1 Char Char,Caption Char Char Char Char,Caption Char2,Caption Char1 Char1,Caption Char Char Char,Caption Char1 Char Char Char,Caption Char Char Char1 Char Char,Caption Ch"/>
    <w:basedOn w:val="Normal"/>
    <w:next w:val="Normal"/>
    <w:link w:val="CaptionChar"/>
    <w:uiPriority w:val="35"/>
    <w:unhideWhenUsed/>
    <w:qFormat/>
    <w:rsid w:val="00CF0E26"/>
    <w:pPr>
      <w:spacing w:after="60"/>
      <w:jc w:val="center"/>
    </w:pPr>
    <w:rPr>
      <w:rFonts w:ascii="Times New Roman Bold" w:hAnsi="Times New Roman Bold" w:cstheme="minorBidi"/>
      <w:b/>
      <w:bCs/>
      <w:color w:val="000000" w:themeColor="text1"/>
      <w:sz w:val="22"/>
      <w:szCs w:val="18"/>
      <w:lang w:val="en-US"/>
    </w:rPr>
  </w:style>
  <w:style w:type="paragraph" w:styleId="Title">
    <w:name w:val="Title"/>
    <w:basedOn w:val="Normal"/>
    <w:next w:val="Normal"/>
    <w:link w:val="TitleChar"/>
    <w:qFormat/>
    <w:rsid w:val="00874483"/>
    <w:pPr>
      <w:pBdr>
        <w:bottom w:val="single" w:sz="8" w:space="1" w:color="4F81BD"/>
      </w:pBdr>
      <w:spacing w:after="300"/>
      <w:contextualSpacing/>
      <w:jc w:val="center"/>
    </w:pPr>
    <w:rPr>
      <w:rFonts w:eastAsia="Times New Roman"/>
      <w:color w:val="17365D"/>
      <w:spacing w:val="5"/>
      <w:kern w:val="28"/>
      <w:sz w:val="44"/>
      <w:szCs w:val="52"/>
      <w:lang w:val="en-US"/>
    </w:rPr>
  </w:style>
  <w:style w:type="character" w:customStyle="1" w:styleId="TitleChar">
    <w:name w:val="Title Char"/>
    <w:basedOn w:val="DefaultParagraphFont"/>
    <w:link w:val="Title"/>
    <w:rsid w:val="00874483"/>
    <w:rPr>
      <w:rFonts w:ascii="Times New Roman" w:eastAsia="Times New Roman" w:hAnsi="Times New Roman" w:cs="Times New Roman"/>
      <w:color w:val="17365D"/>
      <w:spacing w:val="5"/>
      <w:kern w:val="28"/>
      <w:sz w:val="44"/>
      <w:szCs w:val="52"/>
    </w:rPr>
  </w:style>
  <w:style w:type="paragraph" w:styleId="Subtitle">
    <w:name w:val="Subtitle"/>
    <w:basedOn w:val="Normal"/>
    <w:next w:val="Normal"/>
    <w:link w:val="SubtitleChar"/>
    <w:uiPriority w:val="11"/>
    <w:qFormat/>
    <w:rsid w:val="00CF0E26"/>
    <w:pPr>
      <w:numPr>
        <w:ilvl w:val="1"/>
      </w:numPr>
      <w:spacing w:after="240"/>
      <w:contextualSpacing/>
      <w:jc w:val="center"/>
    </w:pPr>
    <w:rPr>
      <w:rFonts w:ascii="Cambria" w:eastAsia="Times New Roman" w:hAnsi="Cambria"/>
      <w:i/>
      <w:iCs/>
      <w:color w:val="4F81BD"/>
      <w:spacing w:val="15"/>
      <w:sz w:val="36"/>
      <w:lang w:val="en-US"/>
    </w:rPr>
  </w:style>
  <w:style w:type="character" w:customStyle="1" w:styleId="SubtitleChar">
    <w:name w:val="Subtitle Char"/>
    <w:basedOn w:val="DefaultParagraphFont"/>
    <w:link w:val="Subtitle"/>
    <w:uiPriority w:val="11"/>
    <w:rsid w:val="00CF0E26"/>
    <w:rPr>
      <w:rFonts w:ascii="Cambria" w:eastAsia="Times New Roman" w:hAnsi="Cambria" w:cs="Times New Roman"/>
      <w:i/>
      <w:iCs/>
      <w:color w:val="4F81BD"/>
      <w:spacing w:val="15"/>
      <w:sz w:val="36"/>
      <w:szCs w:val="24"/>
    </w:rPr>
  </w:style>
  <w:style w:type="character" w:styleId="Strong">
    <w:name w:val="Strong"/>
    <w:uiPriority w:val="22"/>
    <w:qFormat/>
    <w:rsid w:val="00CF0E26"/>
    <w:rPr>
      <w:b/>
      <w:bCs/>
    </w:rPr>
  </w:style>
  <w:style w:type="character" w:styleId="Emphasis">
    <w:name w:val="Emphasis"/>
    <w:uiPriority w:val="20"/>
    <w:qFormat/>
    <w:rsid w:val="00CF0E26"/>
    <w:rPr>
      <w:i/>
      <w:iCs/>
    </w:rPr>
  </w:style>
  <w:style w:type="paragraph" w:styleId="Quote">
    <w:name w:val="Quote"/>
    <w:basedOn w:val="Normal"/>
    <w:next w:val="Normal"/>
    <w:link w:val="QuoteChar"/>
    <w:uiPriority w:val="29"/>
    <w:qFormat/>
    <w:rsid w:val="00CF0E26"/>
    <w:rPr>
      <w:rFonts w:cstheme="minorBidi"/>
      <w:i/>
      <w:iCs/>
      <w:color w:val="000000" w:themeColor="text1"/>
      <w:sz w:val="22"/>
      <w:lang w:val="en-US"/>
    </w:rPr>
  </w:style>
  <w:style w:type="character" w:customStyle="1" w:styleId="QuoteChar">
    <w:name w:val="Quote Char"/>
    <w:basedOn w:val="DefaultParagraphFont"/>
    <w:link w:val="Quote"/>
    <w:uiPriority w:val="29"/>
    <w:rsid w:val="00CF0E26"/>
    <w:rPr>
      <w:rFonts w:ascii="Times New Roman" w:hAnsi="Times New Roman"/>
      <w:i/>
      <w:iCs/>
      <w:color w:val="000000" w:themeColor="text1"/>
      <w:szCs w:val="24"/>
    </w:rPr>
  </w:style>
  <w:style w:type="paragraph" w:styleId="IntenseQuote">
    <w:name w:val="Intense Quote"/>
    <w:basedOn w:val="Normal"/>
    <w:next w:val="Normal"/>
    <w:link w:val="IntenseQuoteChar"/>
    <w:uiPriority w:val="30"/>
    <w:qFormat/>
    <w:rsid w:val="00CF0E26"/>
    <w:pPr>
      <w:pBdr>
        <w:bottom w:val="single" w:sz="4" w:space="4" w:color="4F81BD" w:themeColor="accent1"/>
      </w:pBdr>
      <w:spacing w:before="200" w:after="280"/>
      <w:ind w:left="936" w:right="936"/>
    </w:pPr>
    <w:rPr>
      <w:rFonts w:cstheme="minorBidi"/>
      <w:b/>
      <w:bCs/>
      <w:i/>
      <w:iCs/>
      <w:color w:val="4F81BD" w:themeColor="accent1"/>
      <w:sz w:val="22"/>
      <w:lang w:val="en-US"/>
    </w:rPr>
  </w:style>
  <w:style w:type="character" w:customStyle="1" w:styleId="IntenseQuoteChar">
    <w:name w:val="Intense Quote Char"/>
    <w:basedOn w:val="DefaultParagraphFont"/>
    <w:link w:val="IntenseQuote"/>
    <w:uiPriority w:val="30"/>
    <w:rsid w:val="00CF0E26"/>
    <w:rPr>
      <w:rFonts w:ascii="Times New Roman" w:hAnsi="Times New Roman"/>
      <w:b/>
      <w:bCs/>
      <w:i/>
      <w:iCs/>
      <w:color w:val="4F81BD" w:themeColor="accent1"/>
      <w:szCs w:val="24"/>
    </w:rPr>
  </w:style>
  <w:style w:type="character" w:styleId="SubtleEmphasis">
    <w:name w:val="Subtle Emphasis"/>
    <w:uiPriority w:val="19"/>
    <w:qFormat/>
    <w:rsid w:val="00CF0E26"/>
    <w:rPr>
      <w:i/>
      <w:iCs/>
      <w:color w:val="808080" w:themeColor="text1" w:themeTint="7F"/>
    </w:rPr>
  </w:style>
  <w:style w:type="character" w:styleId="IntenseEmphasis">
    <w:name w:val="Intense Emphasis"/>
    <w:uiPriority w:val="21"/>
    <w:qFormat/>
    <w:rsid w:val="00CF0E26"/>
    <w:rPr>
      <w:b/>
      <w:bCs/>
      <w:i/>
      <w:iCs/>
      <w:color w:val="4F81BD" w:themeColor="accent1"/>
    </w:rPr>
  </w:style>
  <w:style w:type="character" w:styleId="SubtleReference">
    <w:name w:val="Subtle Reference"/>
    <w:uiPriority w:val="31"/>
    <w:qFormat/>
    <w:rsid w:val="00CF0E26"/>
    <w:rPr>
      <w:smallCaps/>
      <w:color w:val="C0504D" w:themeColor="accent2"/>
      <w:u w:val="single"/>
    </w:rPr>
  </w:style>
  <w:style w:type="character" w:styleId="IntenseReference">
    <w:name w:val="Intense Reference"/>
    <w:uiPriority w:val="32"/>
    <w:qFormat/>
    <w:rsid w:val="00CF0E26"/>
    <w:rPr>
      <w:b/>
      <w:bCs/>
      <w:smallCaps/>
      <w:color w:val="C0504D" w:themeColor="accent2"/>
      <w:spacing w:val="5"/>
      <w:u w:val="single"/>
    </w:rPr>
  </w:style>
  <w:style w:type="character" w:styleId="BookTitle">
    <w:name w:val="Book Title"/>
    <w:uiPriority w:val="33"/>
    <w:qFormat/>
    <w:rsid w:val="00CF0E26"/>
    <w:rPr>
      <w:b/>
      <w:bCs/>
      <w:smallCaps/>
      <w:spacing w:val="5"/>
    </w:rPr>
  </w:style>
  <w:style w:type="table" w:styleId="LightList">
    <w:name w:val="Light List"/>
    <w:basedOn w:val="TableNormal"/>
    <w:uiPriority w:val="61"/>
    <w:rsid w:val="00CF0E26"/>
    <w:pPr>
      <w:spacing w:after="0" w:line="240" w:lineRule="auto"/>
    </w:pPr>
    <w:rPr>
      <w:szCs w:val="24"/>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3">
    <w:name w:val="toc 3"/>
    <w:basedOn w:val="Normal"/>
    <w:next w:val="Normal"/>
    <w:autoRedefine/>
    <w:uiPriority w:val="39"/>
    <w:unhideWhenUsed/>
    <w:rsid w:val="00CF0E26"/>
    <w:pPr>
      <w:spacing w:after="100"/>
      <w:ind w:left="480"/>
    </w:pPr>
  </w:style>
  <w:style w:type="paragraph" w:styleId="EndnoteText">
    <w:name w:val="endnote text"/>
    <w:basedOn w:val="Normal"/>
    <w:link w:val="EndnoteTextChar"/>
    <w:uiPriority w:val="99"/>
    <w:semiHidden/>
    <w:unhideWhenUsed/>
    <w:rsid w:val="00CF0E26"/>
    <w:pPr>
      <w:spacing w:after="0"/>
    </w:pPr>
    <w:rPr>
      <w:sz w:val="20"/>
      <w:szCs w:val="20"/>
    </w:rPr>
  </w:style>
  <w:style w:type="character" w:customStyle="1" w:styleId="EndnoteTextChar">
    <w:name w:val="Endnote Text Char"/>
    <w:basedOn w:val="DefaultParagraphFont"/>
    <w:link w:val="EndnoteText"/>
    <w:uiPriority w:val="99"/>
    <w:semiHidden/>
    <w:rsid w:val="00CF0E26"/>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CF0E26"/>
    <w:rPr>
      <w:vertAlign w:val="superscript"/>
    </w:rPr>
  </w:style>
  <w:style w:type="paragraph" w:styleId="Bibliography">
    <w:name w:val="Bibliography"/>
    <w:basedOn w:val="Normal"/>
    <w:next w:val="Normal"/>
    <w:uiPriority w:val="37"/>
    <w:unhideWhenUsed/>
    <w:rsid w:val="00CF0E26"/>
    <w:rPr>
      <w:rFonts w:cstheme="minorBidi"/>
      <w:sz w:val="22"/>
      <w:lang w:val="en-US"/>
    </w:rPr>
  </w:style>
  <w:style w:type="paragraph" w:customStyle="1" w:styleId="paranumb">
    <w:name w:val="para numb"/>
    <w:basedOn w:val="Normal"/>
    <w:qFormat/>
    <w:rsid w:val="0045185C"/>
    <w:pPr>
      <w:numPr>
        <w:ilvl w:val="1"/>
        <w:numId w:val="5"/>
      </w:numPr>
      <w:spacing w:after="240"/>
      <w:jc w:val="both"/>
    </w:pPr>
    <w:rPr>
      <w:rFonts w:cstheme="minorBidi"/>
      <w:szCs w:val="22"/>
      <w:lang w:val="en-US"/>
    </w:rPr>
  </w:style>
  <w:style w:type="paragraph" w:styleId="TableofFigures">
    <w:name w:val="table of figures"/>
    <w:basedOn w:val="Normal"/>
    <w:next w:val="Normal"/>
    <w:uiPriority w:val="99"/>
    <w:unhideWhenUsed/>
    <w:rsid w:val="004E194E"/>
    <w:pPr>
      <w:spacing w:after="0"/>
    </w:pPr>
  </w:style>
  <w:style w:type="character" w:customStyle="1" w:styleId="fnChar2">
    <w:name w:val="fn Char2"/>
    <w:aliases w:val="ft Char1,Footnotes Char2,Footnote ak Char2,fn cafc Char1,fn Char Char2,footnote text Char Char1,Footnotes Char Char2,Footnote ak Char Char1,Footnotes Char Char Char1,fn Char Char Char1,o Char1"/>
    <w:basedOn w:val="DefaultParagraphFont"/>
    <w:locked/>
    <w:rsid w:val="00581DFB"/>
    <w:rPr>
      <w:rFonts w:ascii="Times New Roman" w:eastAsia="Times New Roman" w:hAnsi="Times New Roman" w:cs="Times New Roman"/>
      <w:sz w:val="20"/>
      <w:szCs w:val="20"/>
    </w:rPr>
  </w:style>
  <w:style w:type="paragraph" w:customStyle="1" w:styleId="BankNormal">
    <w:name w:val="BankNormal"/>
    <w:basedOn w:val="Normal"/>
    <w:link w:val="BankNormalChar"/>
    <w:rsid w:val="001A4D78"/>
    <w:pPr>
      <w:tabs>
        <w:tab w:val="left" w:pos="720"/>
      </w:tabs>
      <w:spacing w:after="240"/>
    </w:pPr>
    <w:rPr>
      <w:rFonts w:eastAsia="Times New Roman"/>
      <w:szCs w:val="20"/>
      <w:lang w:val="fr-FR"/>
    </w:rPr>
  </w:style>
  <w:style w:type="character" w:customStyle="1" w:styleId="BankNormalChar">
    <w:name w:val="BankNormal Char"/>
    <w:basedOn w:val="DefaultParagraphFont"/>
    <w:link w:val="BankNormal"/>
    <w:rsid w:val="001A4D78"/>
    <w:rPr>
      <w:rFonts w:ascii="Times New Roman" w:eastAsia="Times New Roman" w:hAnsi="Times New Roman" w:cs="Times New Roman"/>
      <w:sz w:val="24"/>
      <w:szCs w:val="20"/>
      <w:lang w:val="fr-FR"/>
    </w:rPr>
  </w:style>
  <w:style w:type="character" w:customStyle="1" w:styleId="content1">
    <w:name w:val="content1"/>
    <w:basedOn w:val="DefaultParagraphFont"/>
    <w:rsid w:val="001A4D78"/>
    <w:rPr>
      <w:rFonts w:ascii="Arial" w:hAnsi="Arial" w:hint="default"/>
      <w:sz w:val="18"/>
    </w:rPr>
  </w:style>
  <w:style w:type="character" w:customStyle="1" w:styleId="hps">
    <w:name w:val="hps"/>
    <w:basedOn w:val="DefaultParagraphFont"/>
    <w:rsid w:val="00B15BF9"/>
  </w:style>
  <w:style w:type="paragraph" w:customStyle="1" w:styleId="StyleMainParawithChapter11pt">
    <w:name w:val="Style Main Para with Chapter# + 11 pt"/>
    <w:basedOn w:val="Normal"/>
    <w:link w:val="StyleMainParawithChapter11ptChar"/>
    <w:rsid w:val="00B15BF9"/>
    <w:pPr>
      <w:numPr>
        <w:ilvl w:val="1"/>
      </w:numPr>
      <w:tabs>
        <w:tab w:val="num" w:pos="720"/>
      </w:tabs>
      <w:spacing w:after="240"/>
      <w:ind w:left="720" w:hanging="720"/>
      <w:outlineLvl w:val="1"/>
    </w:pPr>
    <w:rPr>
      <w:rFonts w:ascii="Garamond" w:eastAsia="Times New Roman" w:hAnsi="Garamond"/>
      <w:sz w:val="26"/>
      <w:lang w:val="en-US"/>
    </w:rPr>
  </w:style>
  <w:style w:type="character" w:customStyle="1" w:styleId="StyleMainParawithChapter11ptChar">
    <w:name w:val="Style Main Para with Chapter# + 11 pt Char"/>
    <w:basedOn w:val="DefaultParagraphFont"/>
    <w:link w:val="StyleMainParawithChapter11pt"/>
    <w:rsid w:val="00B15BF9"/>
    <w:rPr>
      <w:rFonts w:ascii="Garamond" w:eastAsia="Times New Roman" w:hAnsi="Garamond" w:cs="Times New Roman"/>
      <w:sz w:val="26"/>
      <w:szCs w:val="24"/>
    </w:rPr>
  </w:style>
  <w:style w:type="paragraph" w:styleId="ListNumber">
    <w:name w:val="List Number"/>
    <w:basedOn w:val="Normal"/>
    <w:rsid w:val="00B15BF9"/>
    <w:pPr>
      <w:tabs>
        <w:tab w:val="num" w:pos="720"/>
      </w:tabs>
      <w:spacing w:after="0"/>
    </w:pPr>
    <w:rPr>
      <w:rFonts w:ascii="Garamond" w:eastAsia="Batang" w:hAnsi="Garamond"/>
      <w:sz w:val="26"/>
      <w:lang w:val="en-US"/>
    </w:rPr>
  </w:style>
  <w:style w:type="paragraph" w:customStyle="1" w:styleId="ESWstyle">
    <w:name w:val="ESW style"/>
    <w:basedOn w:val="ListNumber2"/>
    <w:link w:val="ESWstyleChar"/>
    <w:rsid w:val="00B15BF9"/>
    <w:pPr>
      <w:numPr>
        <w:numId w:val="0"/>
      </w:numPr>
      <w:tabs>
        <w:tab w:val="num" w:pos="720"/>
      </w:tabs>
      <w:spacing w:before="120" w:after="120"/>
      <w:contextualSpacing w:val="0"/>
      <w:jc w:val="both"/>
    </w:pPr>
    <w:rPr>
      <w:rFonts w:ascii="Garamond" w:eastAsia="Batang" w:hAnsi="Garamond" w:cs="Times New Roman"/>
      <w:sz w:val="26"/>
      <w:szCs w:val="20"/>
      <w:lang w:eastAsia="ko-KR"/>
    </w:rPr>
  </w:style>
  <w:style w:type="paragraph" w:styleId="ListNumber2">
    <w:name w:val="List Number 2"/>
    <w:basedOn w:val="Normal"/>
    <w:uiPriority w:val="99"/>
    <w:semiHidden/>
    <w:unhideWhenUsed/>
    <w:rsid w:val="00B15BF9"/>
    <w:pPr>
      <w:numPr>
        <w:numId w:val="7"/>
      </w:numPr>
      <w:contextualSpacing/>
    </w:pPr>
    <w:rPr>
      <w:rFonts w:asciiTheme="minorHAnsi" w:hAnsiTheme="minorHAnsi" w:cstheme="minorBidi"/>
      <w:sz w:val="22"/>
      <w:szCs w:val="22"/>
      <w:lang w:val="en-US"/>
    </w:rPr>
  </w:style>
  <w:style w:type="character" w:customStyle="1" w:styleId="ESWstyleChar">
    <w:name w:val="ESW style Char"/>
    <w:basedOn w:val="DefaultParagraphFont"/>
    <w:link w:val="ESWstyle"/>
    <w:rsid w:val="00B15BF9"/>
    <w:rPr>
      <w:rFonts w:ascii="Garamond" w:eastAsia="Batang" w:hAnsi="Garamond" w:cs="Times New Roman"/>
      <w:sz w:val="26"/>
      <w:szCs w:val="20"/>
      <w:lang w:eastAsia="ko-KR"/>
    </w:rPr>
  </w:style>
  <w:style w:type="paragraph" w:customStyle="1" w:styleId="StyleMainParawithChapter11ptBold">
    <w:name w:val="Style Main Para with Chapter# + 11 pt Bold"/>
    <w:basedOn w:val="MainParawithChapter"/>
    <w:link w:val="StyleMainParawithChapter11ptBoldChar"/>
    <w:rsid w:val="00B15BF9"/>
    <w:pPr>
      <w:numPr>
        <w:ilvl w:val="1"/>
      </w:numPr>
      <w:tabs>
        <w:tab w:val="left" w:pos="720"/>
      </w:tabs>
      <w:spacing w:before="120" w:after="0"/>
      <w:ind w:left="720" w:hanging="720"/>
    </w:pPr>
    <w:rPr>
      <w:b/>
      <w:bCs/>
    </w:rPr>
  </w:style>
  <w:style w:type="character" w:customStyle="1" w:styleId="StyleMainParawithChapter11ptBoldChar">
    <w:name w:val="Style Main Para with Chapter# + 11 pt Bold Char"/>
    <w:link w:val="StyleMainParawithChapter11ptBold"/>
    <w:rsid w:val="00B15BF9"/>
    <w:rPr>
      <w:rFonts w:ascii="Times New Roman" w:eastAsia="Times New Roman" w:hAnsi="Times New Roman" w:cs="Times New Roman"/>
      <w:b/>
      <w:bCs/>
      <w:sz w:val="24"/>
      <w:szCs w:val="24"/>
    </w:rPr>
  </w:style>
  <w:style w:type="character" w:customStyle="1" w:styleId="FootnoteChar">
    <w:name w:val="Footnote Char"/>
    <w:basedOn w:val="DefaultParagraphFont"/>
    <w:rsid w:val="00B15BF9"/>
    <w:rPr>
      <w:rFonts w:eastAsiaTheme="minorEastAsia"/>
      <w:sz w:val="16"/>
      <w:szCs w:val="24"/>
      <w:lang w:val="en-ZA"/>
    </w:rPr>
  </w:style>
  <w:style w:type="character" w:styleId="FollowedHyperlink">
    <w:name w:val="FollowedHyperlink"/>
    <w:basedOn w:val="DefaultParagraphFont"/>
    <w:uiPriority w:val="99"/>
    <w:semiHidden/>
    <w:unhideWhenUsed/>
    <w:rsid w:val="00C73CC7"/>
    <w:rPr>
      <w:color w:val="800080" w:themeColor="followedHyperlink"/>
      <w:u w:val="single"/>
    </w:rPr>
  </w:style>
  <w:style w:type="character" w:customStyle="1" w:styleId="st">
    <w:name w:val="st"/>
    <w:basedOn w:val="DefaultParagraphFont"/>
    <w:rsid w:val="00C61163"/>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5D2B94"/>
    <w:pPr>
      <w:spacing w:after="0"/>
      <w:jc w:val="both"/>
    </w:pPr>
    <w:rPr>
      <w:rFonts w:asciiTheme="minorHAnsi" w:hAnsiTheme="minorHAnsi" w:cstheme="minorBidi"/>
      <w:sz w:val="22"/>
      <w:szCs w:val="22"/>
      <w:vertAlign w:val="superscript"/>
      <w:lang w:val="en-US"/>
    </w:rPr>
  </w:style>
  <w:style w:type="character" w:customStyle="1" w:styleId="CaptionChar">
    <w:name w:val="Caption Char"/>
    <w:aliases w:val="LVT Table Heading Char,Caption Char1 Char,Caption Char Char Char1,Caption Char1 Char Char Char1,Caption Char Char Char Char Char,Caption Char2 Char,Caption Char1 Char1 Char,Caption Char Char Char Char1,Caption Char1 Char Char Char Char"/>
    <w:basedOn w:val="DefaultParagraphFont"/>
    <w:link w:val="Caption"/>
    <w:uiPriority w:val="35"/>
    <w:rsid w:val="005D2B94"/>
    <w:rPr>
      <w:rFonts w:ascii="Times New Roman Bold" w:hAnsi="Times New Roman Bold"/>
      <w:b/>
      <w:b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22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132">
          <w:marLeft w:val="432"/>
          <w:marRight w:val="0"/>
          <w:marTop w:val="115"/>
          <w:marBottom w:val="0"/>
          <w:divBdr>
            <w:top w:val="none" w:sz="0" w:space="0" w:color="auto"/>
            <w:left w:val="none" w:sz="0" w:space="0" w:color="auto"/>
            <w:bottom w:val="none" w:sz="0" w:space="0" w:color="auto"/>
            <w:right w:val="none" w:sz="0" w:space="0" w:color="auto"/>
          </w:divBdr>
        </w:div>
        <w:div w:id="595754531">
          <w:marLeft w:val="432"/>
          <w:marRight w:val="0"/>
          <w:marTop w:val="115"/>
          <w:marBottom w:val="0"/>
          <w:divBdr>
            <w:top w:val="none" w:sz="0" w:space="0" w:color="auto"/>
            <w:left w:val="none" w:sz="0" w:space="0" w:color="auto"/>
            <w:bottom w:val="none" w:sz="0" w:space="0" w:color="auto"/>
            <w:right w:val="none" w:sz="0" w:space="0" w:color="auto"/>
          </w:divBdr>
        </w:div>
        <w:div w:id="416755239">
          <w:marLeft w:val="432"/>
          <w:marRight w:val="0"/>
          <w:marTop w:val="115"/>
          <w:marBottom w:val="0"/>
          <w:divBdr>
            <w:top w:val="none" w:sz="0" w:space="0" w:color="auto"/>
            <w:left w:val="none" w:sz="0" w:space="0" w:color="auto"/>
            <w:bottom w:val="none" w:sz="0" w:space="0" w:color="auto"/>
            <w:right w:val="none" w:sz="0" w:space="0" w:color="auto"/>
          </w:divBdr>
        </w:div>
        <w:div w:id="1616642957">
          <w:marLeft w:val="432"/>
          <w:marRight w:val="0"/>
          <w:marTop w:val="115"/>
          <w:marBottom w:val="0"/>
          <w:divBdr>
            <w:top w:val="none" w:sz="0" w:space="0" w:color="auto"/>
            <w:left w:val="none" w:sz="0" w:space="0" w:color="auto"/>
            <w:bottom w:val="none" w:sz="0" w:space="0" w:color="auto"/>
            <w:right w:val="none" w:sz="0" w:space="0" w:color="auto"/>
          </w:divBdr>
        </w:div>
        <w:div w:id="1656183851">
          <w:marLeft w:val="432"/>
          <w:marRight w:val="0"/>
          <w:marTop w:val="115"/>
          <w:marBottom w:val="0"/>
          <w:divBdr>
            <w:top w:val="none" w:sz="0" w:space="0" w:color="auto"/>
            <w:left w:val="none" w:sz="0" w:space="0" w:color="auto"/>
            <w:bottom w:val="none" w:sz="0" w:space="0" w:color="auto"/>
            <w:right w:val="none" w:sz="0" w:space="0" w:color="auto"/>
          </w:divBdr>
        </w:div>
        <w:div w:id="469597356">
          <w:marLeft w:val="432"/>
          <w:marRight w:val="0"/>
          <w:marTop w:val="115"/>
          <w:marBottom w:val="0"/>
          <w:divBdr>
            <w:top w:val="none" w:sz="0" w:space="0" w:color="auto"/>
            <w:left w:val="none" w:sz="0" w:space="0" w:color="auto"/>
            <w:bottom w:val="none" w:sz="0" w:space="0" w:color="auto"/>
            <w:right w:val="none" w:sz="0" w:space="0" w:color="auto"/>
          </w:divBdr>
        </w:div>
      </w:divsChild>
    </w:div>
    <w:div w:id="635795755">
      <w:bodyDiv w:val="1"/>
      <w:marLeft w:val="0"/>
      <w:marRight w:val="0"/>
      <w:marTop w:val="0"/>
      <w:marBottom w:val="0"/>
      <w:divBdr>
        <w:top w:val="none" w:sz="0" w:space="0" w:color="auto"/>
        <w:left w:val="none" w:sz="0" w:space="0" w:color="auto"/>
        <w:bottom w:val="none" w:sz="0" w:space="0" w:color="auto"/>
        <w:right w:val="none" w:sz="0" w:space="0" w:color="auto"/>
      </w:divBdr>
      <w:divsChild>
        <w:div w:id="1667438588">
          <w:marLeft w:val="432"/>
          <w:marRight w:val="0"/>
          <w:marTop w:val="106"/>
          <w:marBottom w:val="0"/>
          <w:divBdr>
            <w:top w:val="none" w:sz="0" w:space="0" w:color="auto"/>
            <w:left w:val="none" w:sz="0" w:space="0" w:color="auto"/>
            <w:bottom w:val="none" w:sz="0" w:space="0" w:color="auto"/>
            <w:right w:val="none" w:sz="0" w:space="0" w:color="auto"/>
          </w:divBdr>
        </w:div>
        <w:div w:id="2009359704">
          <w:marLeft w:val="432"/>
          <w:marRight w:val="0"/>
          <w:marTop w:val="106"/>
          <w:marBottom w:val="0"/>
          <w:divBdr>
            <w:top w:val="none" w:sz="0" w:space="0" w:color="auto"/>
            <w:left w:val="none" w:sz="0" w:space="0" w:color="auto"/>
            <w:bottom w:val="none" w:sz="0" w:space="0" w:color="auto"/>
            <w:right w:val="none" w:sz="0" w:space="0" w:color="auto"/>
          </w:divBdr>
        </w:div>
        <w:div w:id="319817751">
          <w:marLeft w:val="432"/>
          <w:marRight w:val="0"/>
          <w:marTop w:val="106"/>
          <w:marBottom w:val="0"/>
          <w:divBdr>
            <w:top w:val="none" w:sz="0" w:space="0" w:color="auto"/>
            <w:left w:val="none" w:sz="0" w:space="0" w:color="auto"/>
            <w:bottom w:val="none" w:sz="0" w:space="0" w:color="auto"/>
            <w:right w:val="none" w:sz="0" w:space="0" w:color="auto"/>
          </w:divBdr>
        </w:div>
        <w:div w:id="689912982">
          <w:marLeft w:val="432"/>
          <w:marRight w:val="0"/>
          <w:marTop w:val="106"/>
          <w:marBottom w:val="0"/>
          <w:divBdr>
            <w:top w:val="none" w:sz="0" w:space="0" w:color="auto"/>
            <w:left w:val="none" w:sz="0" w:space="0" w:color="auto"/>
            <w:bottom w:val="none" w:sz="0" w:space="0" w:color="auto"/>
            <w:right w:val="none" w:sz="0" w:space="0" w:color="auto"/>
          </w:divBdr>
        </w:div>
        <w:div w:id="108816189">
          <w:marLeft w:val="432"/>
          <w:marRight w:val="0"/>
          <w:marTop w:val="106"/>
          <w:marBottom w:val="0"/>
          <w:divBdr>
            <w:top w:val="none" w:sz="0" w:space="0" w:color="auto"/>
            <w:left w:val="none" w:sz="0" w:space="0" w:color="auto"/>
            <w:bottom w:val="none" w:sz="0" w:space="0" w:color="auto"/>
            <w:right w:val="none" w:sz="0" w:space="0" w:color="auto"/>
          </w:divBdr>
        </w:div>
      </w:divsChild>
    </w:div>
    <w:div w:id="735083992">
      <w:bodyDiv w:val="1"/>
      <w:marLeft w:val="0"/>
      <w:marRight w:val="0"/>
      <w:marTop w:val="0"/>
      <w:marBottom w:val="0"/>
      <w:divBdr>
        <w:top w:val="none" w:sz="0" w:space="0" w:color="auto"/>
        <w:left w:val="none" w:sz="0" w:space="0" w:color="auto"/>
        <w:bottom w:val="none" w:sz="0" w:space="0" w:color="auto"/>
        <w:right w:val="none" w:sz="0" w:space="0" w:color="auto"/>
      </w:divBdr>
      <w:divsChild>
        <w:div w:id="2091534049">
          <w:marLeft w:val="432"/>
          <w:marRight w:val="0"/>
          <w:marTop w:val="115"/>
          <w:marBottom w:val="0"/>
          <w:divBdr>
            <w:top w:val="none" w:sz="0" w:space="0" w:color="auto"/>
            <w:left w:val="none" w:sz="0" w:space="0" w:color="auto"/>
            <w:bottom w:val="none" w:sz="0" w:space="0" w:color="auto"/>
            <w:right w:val="none" w:sz="0" w:space="0" w:color="auto"/>
          </w:divBdr>
        </w:div>
        <w:div w:id="1658804052">
          <w:marLeft w:val="432"/>
          <w:marRight w:val="0"/>
          <w:marTop w:val="115"/>
          <w:marBottom w:val="0"/>
          <w:divBdr>
            <w:top w:val="none" w:sz="0" w:space="0" w:color="auto"/>
            <w:left w:val="none" w:sz="0" w:space="0" w:color="auto"/>
            <w:bottom w:val="none" w:sz="0" w:space="0" w:color="auto"/>
            <w:right w:val="none" w:sz="0" w:space="0" w:color="auto"/>
          </w:divBdr>
        </w:div>
        <w:div w:id="1735423517">
          <w:marLeft w:val="432"/>
          <w:marRight w:val="0"/>
          <w:marTop w:val="115"/>
          <w:marBottom w:val="0"/>
          <w:divBdr>
            <w:top w:val="none" w:sz="0" w:space="0" w:color="auto"/>
            <w:left w:val="none" w:sz="0" w:space="0" w:color="auto"/>
            <w:bottom w:val="none" w:sz="0" w:space="0" w:color="auto"/>
            <w:right w:val="none" w:sz="0" w:space="0" w:color="auto"/>
          </w:divBdr>
        </w:div>
        <w:div w:id="370955064">
          <w:marLeft w:val="432"/>
          <w:marRight w:val="0"/>
          <w:marTop w:val="115"/>
          <w:marBottom w:val="0"/>
          <w:divBdr>
            <w:top w:val="none" w:sz="0" w:space="0" w:color="auto"/>
            <w:left w:val="none" w:sz="0" w:space="0" w:color="auto"/>
            <w:bottom w:val="none" w:sz="0" w:space="0" w:color="auto"/>
            <w:right w:val="none" w:sz="0" w:space="0" w:color="auto"/>
          </w:divBdr>
        </w:div>
      </w:divsChild>
    </w:div>
    <w:div w:id="183143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chart" Target="charts/chart78.xml"/><Relationship Id="rId21" Type="http://schemas.openxmlformats.org/officeDocument/2006/relationships/image" Target="media/image6.png"/><Relationship Id="rId42" Type="http://schemas.openxmlformats.org/officeDocument/2006/relationships/chart" Target="charts/chart14.xml"/><Relationship Id="rId47" Type="http://schemas.openxmlformats.org/officeDocument/2006/relationships/chart" Target="charts/chart17.xml"/><Relationship Id="rId63" Type="http://schemas.openxmlformats.org/officeDocument/2006/relationships/chart" Target="charts/chart31.xml"/><Relationship Id="rId68" Type="http://schemas.openxmlformats.org/officeDocument/2006/relationships/chart" Target="charts/chart36.xml"/><Relationship Id="rId84" Type="http://schemas.openxmlformats.org/officeDocument/2006/relationships/chart" Target="charts/chart51.xml"/><Relationship Id="rId89" Type="http://schemas.openxmlformats.org/officeDocument/2006/relationships/image" Target="media/image15.png"/><Relationship Id="rId112" Type="http://schemas.openxmlformats.org/officeDocument/2006/relationships/chart" Target="charts/chart73.xml"/><Relationship Id="rId16" Type="http://schemas.openxmlformats.org/officeDocument/2006/relationships/image" Target="media/image40.png"/><Relationship Id="rId107" Type="http://schemas.openxmlformats.org/officeDocument/2006/relationships/chart" Target="charts/chart69.xml"/><Relationship Id="rId11" Type="http://schemas.openxmlformats.org/officeDocument/2006/relationships/hyperlink" Target="file:///P:\MALI\PREM\CEM\GEOGRAPHY%20OF%20POVERTY%20(P146530)\FINAL%20REPORT\Mali_Geography%20of%20Poverty_Report_June%2019%202014.docx" TargetMode="External"/><Relationship Id="rId32" Type="http://schemas.openxmlformats.org/officeDocument/2006/relationships/footer" Target="footer2.xml"/><Relationship Id="rId37" Type="http://schemas.openxmlformats.org/officeDocument/2006/relationships/image" Target="media/image10.png"/><Relationship Id="rId53" Type="http://schemas.openxmlformats.org/officeDocument/2006/relationships/chart" Target="charts/chart23.xml"/><Relationship Id="rId58" Type="http://schemas.openxmlformats.org/officeDocument/2006/relationships/chart" Target="charts/chart27.xml"/><Relationship Id="rId74" Type="http://schemas.openxmlformats.org/officeDocument/2006/relationships/chart" Target="charts/chart42.xml"/><Relationship Id="rId79" Type="http://schemas.openxmlformats.org/officeDocument/2006/relationships/chart" Target="charts/chart46.xml"/><Relationship Id="rId102" Type="http://schemas.openxmlformats.org/officeDocument/2006/relationships/chart" Target="charts/chart64.xml"/><Relationship Id="rId123" Type="http://schemas.openxmlformats.org/officeDocument/2006/relationships/chart" Target="charts/chart83.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1.bin"/><Relationship Id="rId95" Type="http://schemas.openxmlformats.org/officeDocument/2006/relationships/chart" Target="charts/chart58.xml"/><Relationship Id="rId19" Type="http://schemas.openxmlformats.org/officeDocument/2006/relationships/chart" Target="charts/chart1.xml"/><Relationship Id="rId14" Type="http://schemas.openxmlformats.org/officeDocument/2006/relationships/image" Target="media/image30.png"/><Relationship Id="rId22" Type="http://schemas.openxmlformats.org/officeDocument/2006/relationships/image" Target="media/image7.png"/><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chart" Target="charts/chart9.xml"/><Relationship Id="rId43" Type="http://schemas.openxmlformats.org/officeDocument/2006/relationships/image" Target="media/image12.png"/><Relationship Id="rId48" Type="http://schemas.openxmlformats.org/officeDocument/2006/relationships/chart" Target="charts/chart18.xml"/><Relationship Id="rId56" Type="http://schemas.openxmlformats.org/officeDocument/2006/relationships/chart" Target="charts/chart25.xml"/><Relationship Id="rId64" Type="http://schemas.openxmlformats.org/officeDocument/2006/relationships/chart" Target="charts/chart32.xml"/><Relationship Id="rId69" Type="http://schemas.openxmlformats.org/officeDocument/2006/relationships/chart" Target="charts/chart37.xml"/><Relationship Id="rId77" Type="http://schemas.openxmlformats.org/officeDocument/2006/relationships/chart" Target="charts/chart45.xml"/><Relationship Id="rId100" Type="http://schemas.openxmlformats.org/officeDocument/2006/relationships/chart" Target="charts/chart62.xml"/><Relationship Id="rId105" Type="http://schemas.openxmlformats.org/officeDocument/2006/relationships/chart" Target="charts/chart67.xml"/><Relationship Id="rId113" Type="http://schemas.openxmlformats.org/officeDocument/2006/relationships/chart" Target="charts/chart74.xml"/><Relationship Id="rId118" Type="http://schemas.openxmlformats.org/officeDocument/2006/relationships/image" Target="media/image20.png"/><Relationship Id="rId126"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chart" Target="charts/chart40.xml"/><Relationship Id="rId80" Type="http://schemas.openxmlformats.org/officeDocument/2006/relationships/chart" Target="charts/chart47.xml"/><Relationship Id="rId85" Type="http://schemas.openxmlformats.org/officeDocument/2006/relationships/chart" Target="charts/chart52.xml"/><Relationship Id="rId93" Type="http://schemas.openxmlformats.org/officeDocument/2006/relationships/chart" Target="charts/chart56.xml"/><Relationship Id="rId98" Type="http://schemas.openxmlformats.org/officeDocument/2006/relationships/chart" Target="charts/chart61.xml"/><Relationship Id="rId121" Type="http://schemas.openxmlformats.org/officeDocument/2006/relationships/chart" Target="charts/chart8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chart" Target="charts/chart16.xml"/><Relationship Id="rId59" Type="http://schemas.openxmlformats.org/officeDocument/2006/relationships/chart" Target="charts/chart28.xml"/><Relationship Id="rId67" Type="http://schemas.openxmlformats.org/officeDocument/2006/relationships/chart" Target="charts/chart35.xml"/><Relationship Id="rId103" Type="http://schemas.openxmlformats.org/officeDocument/2006/relationships/chart" Target="charts/chart65.xml"/><Relationship Id="rId108" Type="http://schemas.openxmlformats.org/officeDocument/2006/relationships/image" Target="media/image19.png"/><Relationship Id="rId116" Type="http://schemas.openxmlformats.org/officeDocument/2006/relationships/chart" Target="charts/chart77.xml"/><Relationship Id="rId124" Type="http://schemas.openxmlformats.org/officeDocument/2006/relationships/image" Target="media/image21.emf"/><Relationship Id="rId129"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13.xml"/><Relationship Id="rId54" Type="http://schemas.openxmlformats.org/officeDocument/2006/relationships/chart" Target="charts/chart24.xml"/><Relationship Id="rId62" Type="http://schemas.openxmlformats.org/officeDocument/2006/relationships/image" Target="media/image13.png"/><Relationship Id="rId70" Type="http://schemas.openxmlformats.org/officeDocument/2006/relationships/chart" Target="charts/chart38.xml"/><Relationship Id="rId75" Type="http://schemas.openxmlformats.org/officeDocument/2006/relationships/chart" Target="charts/chart43.xml"/><Relationship Id="rId83" Type="http://schemas.openxmlformats.org/officeDocument/2006/relationships/chart" Target="charts/chart50.xml"/><Relationship Id="rId88" Type="http://schemas.openxmlformats.org/officeDocument/2006/relationships/chart" Target="charts/chart55.xml"/><Relationship Id="rId91" Type="http://schemas.openxmlformats.org/officeDocument/2006/relationships/image" Target="media/image16.emf"/><Relationship Id="rId96" Type="http://schemas.openxmlformats.org/officeDocument/2006/relationships/chart" Target="charts/chart59.xml"/><Relationship Id="rId111" Type="http://schemas.openxmlformats.org/officeDocument/2006/relationships/chart" Target="charts/chart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chart" Target="charts/chart19.xml"/><Relationship Id="rId57" Type="http://schemas.openxmlformats.org/officeDocument/2006/relationships/chart" Target="charts/chart26.xml"/><Relationship Id="rId106" Type="http://schemas.openxmlformats.org/officeDocument/2006/relationships/chart" Target="charts/chart68.xml"/><Relationship Id="rId114" Type="http://schemas.openxmlformats.org/officeDocument/2006/relationships/chart" Target="charts/chart75.xml"/><Relationship Id="rId119" Type="http://schemas.openxmlformats.org/officeDocument/2006/relationships/chart" Target="charts/chart79.xml"/><Relationship Id="rId127" Type="http://schemas.openxmlformats.org/officeDocument/2006/relationships/image" Target="media/image23.png"/><Relationship Id="rId10" Type="http://schemas.openxmlformats.org/officeDocument/2006/relationships/hyperlink" Target="https://www.facebook.com/pages/Norwegian-Peacebuilding-Resource-Centre-NOREF/139193832790489" TargetMode="External"/><Relationship Id="rId31" Type="http://schemas.openxmlformats.org/officeDocument/2006/relationships/chart" Target="charts/chart8.xml"/><Relationship Id="rId44" Type="http://schemas.openxmlformats.org/officeDocument/2006/relationships/footer" Target="footer3.xml"/><Relationship Id="rId52" Type="http://schemas.openxmlformats.org/officeDocument/2006/relationships/chart" Target="charts/chart22.xml"/><Relationship Id="rId60" Type="http://schemas.openxmlformats.org/officeDocument/2006/relationships/chart" Target="charts/chart29.xml"/><Relationship Id="rId65" Type="http://schemas.openxmlformats.org/officeDocument/2006/relationships/chart" Target="charts/chart33.xml"/><Relationship Id="rId73" Type="http://schemas.openxmlformats.org/officeDocument/2006/relationships/chart" Target="charts/chart41.xml"/><Relationship Id="rId78" Type="http://schemas.openxmlformats.org/officeDocument/2006/relationships/image" Target="media/image14.png"/><Relationship Id="rId81" Type="http://schemas.openxmlformats.org/officeDocument/2006/relationships/chart" Target="charts/chart48.xml"/><Relationship Id="rId86" Type="http://schemas.openxmlformats.org/officeDocument/2006/relationships/chart" Target="charts/chart53.xml"/><Relationship Id="rId94" Type="http://schemas.openxmlformats.org/officeDocument/2006/relationships/chart" Target="charts/chart57.xml"/><Relationship Id="rId99" Type="http://schemas.openxmlformats.org/officeDocument/2006/relationships/image" Target="media/image18.emf"/><Relationship Id="rId101" Type="http://schemas.openxmlformats.org/officeDocument/2006/relationships/chart" Target="charts/chart63.xml"/><Relationship Id="rId122" Type="http://schemas.openxmlformats.org/officeDocument/2006/relationships/chart" Target="charts/chart8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0.png"/><Relationship Id="rId39" Type="http://schemas.openxmlformats.org/officeDocument/2006/relationships/chart" Target="charts/chart11.xml"/><Relationship Id="rId109" Type="http://schemas.openxmlformats.org/officeDocument/2006/relationships/chart" Target="charts/chart70.xml"/><Relationship Id="rId34" Type="http://schemas.openxmlformats.org/officeDocument/2006/relationships/image" Target="media/image9.png"/><Relationship Id="rId50" Type="http://schemas.openxmlformats.org/officeDocument/2006/relationships/chart" Target="charts/chart20.xml"/><Relationship Id="rId55" Type="http://schemas.openxmlformats.org/officeDocument/2006/relationships/footer" Target="footer4.xml"/><Relationship Id="rId76" Type="http://schemas.openxmlformats.org/officeDocument/2006/relationships/chart" Target="charts/chart44.xml"/><Relationship Id="rId97" Type="http://schemas.openxmlformats.org/officeDocument/2006/relationships/chart" Target="charts/chart60.xml"/><Relationship Id="rId104" Type="http://schemas.openxmlformats.org/officeDocument/2006/relationships/chart" Target="charts/chart66.xml"/><Relationship Id="rId120" Type="http://schemas.openxmlformats.org/officeDocument/2006/relationships/chart" Target="charts/chart80.xml"/><Relationship Id="rId125" Type="http://schemas.openxmlformats.org/officeDocument/2006/relationships/image" Target="media/image210.emf"/><Relationship Id="rId7" Type="http://schemas.openxmlformats.org/officeDocument/2006/relationships/endnotes" Target="endnotes.xml"/><Relationship Id="rId71" Type="http://schemas.openxmlformats.org/officeDocument/2006/relationships/chart" Target="charts/chart39.xml"/><Relationship Id="rId92"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2.xml"/><Relationship Id="rId40" Type="http://schemas.openxmlformats.org/officeDocument/2006/relationships/chart" Target="charts/chart12.xml"/><Relationship Id="rId45" Type="http://schemas.openxmlformats.org/officeDocument/2006/relationships/chart" Target="charts/chart15.xml"/><Relationship Id="rId66" Type="http://schemas.openxmlformats.org/officeDocument/2006/relationships/chart" Target="charts/chart34.xml"/><Relationship Id="rId87" Type="http://schemas.openxmlformats.org/officeDocument/2006/relationships/chart" Target="charts/chart54.xml"/><Relationship Id="rId110" Type="http://schemas.openxmlformats.org/officeDocument/2006/relationships/chart" Target="charts/chart71.xml"/><Relationship Id="rId115" Type="http://schemas.openxmlformats.org/officeDocument/2006/relationships/chart" Target="charts/chart76.xml"/><Relationship Id="rId61" Type="http://schemas.openxmlformats.org/officeDocument/2006/relationships/chart" Target="charts/chart30.xml"/><Relationship Id="rId82" Type="http://schemas.openxmlformats.org/officeDocument/2006/relationships/chart" Target="charts/chart49.xml"/></Relationships>
</file>

<file path=word/_rels/footnotes.xml.rels><?xml version="1.0" encoding="UTF-8" standalone="yes"?>
<Relationships xmlns="http://schemas.openxmlformats.org/package/2006/relationships"><Relationship Id="rId3" Type="http://schemas.openxmlformats.org/officeDocument/2006/relationships/hyperlink" Target="http://gem.jrc.ec.europa.eu/" TargetMode="External"/><Relationship Id="rId2" Type="http://schemas.openxmlformats.org/officeDocument/2006/relationships/hyperlink" Target="http://siteresources.worldbank.org/INTPA/Resources/429966-1092778639630/deatonZaidi.pdf" TargetMode="External"/><Relationship Id="rId1" Type="http://schemas.openxmlformats.org/officeDocument/2006/relationships/hyperlink" Target="http://www.barrolee.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198498\Documents\Mali\Data\IMF\MLIREAL.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198498\Documents\Mali\Analysis\urban\urban_populat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WB\Work%20folders\country_Mali\Geography%20of%20poverty%20in%20Mali\4%20pager\Tables%20and%20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kpanier1:Desktop:Mali:Migration:Migrations_updat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kpanier1:Desktop:Mali:Migration:Migrations_updat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WB\Work%20folders\country_Mali\Geography%20of%20poverty%20in%20Mali\4%20pager\Tables%20and%20fig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WB\Work%20folders\country_Mali\Geography%20of%20poverty%20in%20Mali\4%20pager\Tables%20and%20fig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WB\Work%20folders\country_Mali\Geography%20of%20poverty%20in%20Mali\4%20pager\Tables%20and%20figu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WB\Work%20folders\country_Mali\Geography%20of%20poverty%20in%20Mali\4%20pager\Tables%20and%20figur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esple\Documents\Urbanisation%20MLI\Banque%20mondiale\Tables%20and%20figur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b198498\Documents\Mali\Analysis\GDP\primaire.tx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198498\Documents\Mali\Analysis\Agro-ecological\Agroecological%20and%20poverty%20and%20household%20siz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b198498\Documents\Mali\Analysis\urban\urban_populatio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b198498\Documents\Mali\Analysis\Agro-ecological\GIC_2001_2006_by_livelihood_zon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b198498\Documents\Mali\Analysis\Agro-ecological\GIC_2006_2010_by_livelihood_zon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b198498\Documents\Mali\Analysis\Agro-ecological\Agroecological%20and%20poverty%20and%20household%20siz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b198498\Documents\Mali\Analysis\Agro-ecological\FEWS%20agroecological%20zon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wb198498\Documents\Mali\Analysis\Consumption\consump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b198498\Documents\Mali\Analysis\Agro-ecological\FEWS%20agroecological%20zon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wb198498\Documents\Mali\Analysis\Consumption\consumptio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wb198498\Documents\Mali\Analysis\Nutrition\Nutrition%202006-201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wb198498\Documents\Mali\Analysis\Poverty%20trends\Distribution%20of%20national%20deciles%20by%20livelihood%20zones.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wb198498\Documents\Mali\Analysis\Poverty%20trends\adept_povineq_3.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wb198498\Documents\Mali\Analysis\Agro-ecological\Agroecological%20and%20poverty%20and%20household%20siz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wb198498\Documents\Mali\Analysis\Poverty%20trends\Distribution%20of%20national%20deciles%20by%20livelihood%20zones.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wb198498\Documents\Mali\Analysis\Poverty%20trends\poverty%20lin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wb198498\Documents\Mali\Analysis\Poverty%20trends\poverty%20line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wb198498\Documents\Mali\Analysis\Poverty%20trends\adept_povineq_3.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wb198498\AppData\Local\Temp\__ADEPT__7762313938343938__SESSION_b21a5faaca5f4e85a75ec401d177fce5\Modules\povineq\Output\adept_povineq_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198498\Documents\Mali\Analysis\Education\tables%20and%20graph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wb198498\AppData\Local\Temp\__ADEPT__7762313938343938__SESSION_b21a5faaca5f4e85a75ec401d177fce5\Modules\povineq\Output\adept_povineq_2.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wb198498\AppData\Local\Temp\__ADEPT__7762313938343938__SESSION_b21a5faaca5f4e85a75ec401d177fce5\Modules\povineq\Output\adept_povineq_4.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wb198498\Documents\Mali\Analysis\Poverty%20trends\adept_povineq_3.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wb198498\Documents\Mali\Data\IMF\MLIREAL.xlsm"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wb198498\Documents\Mali\Data\IMF\MLIREAL.xlsm"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wb198498\Documents\Mali\Data\IMF\MLIBOP.xlsm"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wb198498\Documents\Mali\Data\ELIM\harmonized%20with%20LH%20zones\GIC_2001_2010_by_livelihood_zon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wb198498\AppData\Local\Temp\notes9987A7\GIC_2001_2010_by_livelihood_zon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wb198498\Documents\Mali\Analysis\Agro-ecological\Agroecological%20and%20poverty%20and%20household%20siz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wb198498\Documents\Mali\Analysis\Poverty%20trends\Assets\asset%20ownership.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wb198498\Documents\Mali\Analysis\Poverty%20trends\Assets\asset%20ownershi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198498\Documents\Mali\Analysis\Education\achievement%20rate.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wb198498\Documents\Mali\Analysis\Poverty%20trends\Assets\Te&#204;&#129;le&#204;&#129;viseurs%2021%20cm_wide4line_.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wb198498\Documents\Mali\Analysis\Poverty%20trends\Assets\Yamaha%20100%20SUPER_wide4line_.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wb198498\Documents\Mali\Analysis\Life%20expectancy\life%20expectancy.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wb198498\Documents\Mali\Analysis\Life%20expectancy\life%20expectancy.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wb198498\Documents\Mali\Analysis\Nutrition\Nutrition%202006-2010.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wb198498\Documents\Mali\Analysis\Density\density.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wb198498\Documents\Mali\Analysis\Education\tables%20and%20graphs.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wb198498\Documents\Mali\Analysis\Education\tables%20and%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198498\Documents\Mali\Analysis\Services\vill_indicators_pop09_share_by_livelihood_1to20km_2014_0505.csv"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wb198498\Documents\Mali\Analysis\Education\achievement%20rate.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wb198498\Documents\Mali\Analysis\Electricity\electricity_2010%20hs.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wb198498\Documents\Mali\Analysis\Services\vill_indicators_pop09_share_by_livelihood_1to20km_2014_0505.csv"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wb198498\Documents\Mali\Analysis\Food%20insecurity\consumption_change_EMOP_2011.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wb198498\Documents\Mali\Analysis\Services\vill_indicators_pop09_share_by_livelihood_1to20km_2014_0505.csv"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wb198498\Documents\Mali\Analysis\Transport%20cost\transport%20distances.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198498\Documents\Mali\Analysis\GDP\GDP%20growth.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wb198498\Documents\Mali\Analysis\GDP\GDP%20growth.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wb198498\Documents\Mali\Analysis\GDP\GDP%20by%20sector%20v2.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wb198498\Documents\Mali\Data\IMF\MLIREAL.xlsm"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wb198498\AppData\Local\Microsoft\Windows\Temporary%20Internet%20Files\Content.IE5\FDAWIGFB\ic.imp.cost.cd_Indicator_en_excel_v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198498\Documents\Mali\Analysis\Education\tables%20and%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2038194197472386"/>
          <c:y val="6.9919072615923006E-2"/>
          <c:w val="0.75016230793560956"/>
          <c:h val="0.74465660542432199"/>
        </c:manualLayout>
      </c:layout>
      <c:barChart>
        <c:barDir val="col"/>
        <c:grouping val="clustered"/>
        <c:varyColors val="0"/>
        <c:ser>
          <c:idx val="0"/>
          <c:order val="0"/>
          <c:tx>
            <c:strRef>
              <c:f>cereals!$C$79</c:f>
              <c:strCache>
                <c:ptCount val="1"/>
                <c:pt idx="0">
                  <c:v>2000-2003</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cereals!$B$80:$B$83</c:f>
              <c:strCache>
                <c:ptCount val="4"/>
                <c:pt idx="0">
                  <c:v>Millet</c:v>
                </c:pt>
                <c:pt idx="1">
                  <c:v>Sorghum</c:v>
                </c:pt>
                <c:pt idx="2">
                  <c:v>Rice</c:v>
                </c:pt>
                <c:pt idx="3">
                  <c:v>Maize</c:v>
                </c:pt>
              </c:strCache>
            </c:strRef>
          </c:cat>
          <c:val>
            <c:numRef>
              <c:f>cereals!$C$80:$C$83</c:f>
              <c:numCache>
                <c:formatCode>0.0</c:formatCode>
                <c:ptCount val="4"/>
                <c:pt idx="0">
                  <c:v>75.435655327196145</c:v>
                </c:pt>
                <c:pt idx="1">
                  <c:v>55.232705791714302</c:v>
                </c:pt>
                <c:pt idx="2">
                  <c:v>75.098208022087334</c:v>
                </c:pt>
                <c:pt idx="3">
                  <c:v>27.94945524796417</c:v>
                </c:pt>
              </c:numCache>
            </c:numRef>
          </c:val>
        </c:ser>
        <c:ser>
          <c:idx val="1"/>
          <c:order val="1"/>
          <c:tx>
            <c:strRef>
              <c:f>cereals!$D$79</c:f>
              <c:strCache>
                <c:ptCount val="1"/>
                <c:pt idx="0">
                  <c:v>2010-2013</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cereals!$B$80:$B$83</c:f>
              <c:strCache>
                <c:ptCount val="4"/>
                <c:pt idx="0">
                  <c:v>Millet</c:v>
                </c:pt>
                <c:pt idx="1">
                  <c:v>Sorghum</c:v>
                </c:pt>
                <c:pt idx="2">
                  <c:v>Rice</c:v>
                </c:pt>
                <c:pt idx="3">
                  <c:v>Maize</c:v>
                </c:pt>
              </c:strCache>
            </c:strRef>
          </c:cat>
          <c:val>
            <c:numRef>
              <c:f>cereals!$D$80:$D$83</c:f>
              <c:numCache>
                <c:formatCode>0.0</c:formatCode>
                <c:ptCount val="4"/>
                <c:pt idx="0">
                  <c:v>106.29080404504924</c:v>
                </c:pt>
                <c:pt idx="1">
                  <c:v>84.687409841575644</c:v>
                </c:pt>
                <c:pt idx="2">
                  <c:v>138.11711787471054</c:v>
                </c:pt>
                <c:pt idx="3">
                  <c:v>101.90863782881449</c:v>
                </c:pt>
              </c:numCache>
            </c:numRef>
          </c:val>
        </c:ser>
        <c:dLbls>
          <c:showLegendKey val="0"/>
          <c:showVal val="0"/>
          <c:showCatName val="0"/>
          <c:showSerName val="0"/>
          <c:showPercent val="0"/>
          <c:showBubbleSize val="0"/>
        </c:dLbls>
        <c:gapWidth val="150"/>
        <c:axId val="428202656"/>
        <c:axId val="428203048"/>
      </c:barChart>
      <c:catAx>
        <c:axId val="428202656"/>
        <c:scaling>
          <c:orientation val="minMax"/>
        </c:scaling>
        <c:delete val="0"/>
        <c:axPos val="b"/>
        <c:numFmt formatCode="General" sourceLinked="0"/>
        <c:majorTickMark val="out"/>
        <c:minorTickMark val="none"/>
        <c:tickLblPos val="nextTo"/>
        <c:crossAx val="428203048"/>
        <c:crosses val="autoZero"/>
        <c:auto val="1"/>
        <c:lblAlgn val="ctr"/>
        <c:lblOffset val="100"/>
        <c:noMultiLvlLbl val="0"/>
      </c:catAx>
      <c:valAx>
        <c:axId val="428203048"/>
        <c:scaling>
          <c:orientation val="minMax"/>
        </c:scaling>
        <c:delete val="0"/>
        <c:axPos val="l"/>
        <c:title>
          <c:tx>
            <c:rich>
              <a:bodyPr rot="-5400000" vert="horz"/>
              <a:lstStyle/>
              <a:p>
                <a:pPr>
                  <a:defRPr/>
                </a:pPr>
                <a:r>
                  <a:rPr lang="en-US"/>
                  <a:t>Cereal production              </a:t>
                </a:r>
              </a:p>
              <a:p>
                <a:pPr>
                  <a:defRPr/>
                </a:pPr>
                <a:r>
                  <a:rPr lang="en-US"/>
                  <a:t> (kg per capita) </a:t>
                </a:r>
              </a:p>
            </c:rich>
          </c:tx>
          <c:layout/>
          <c:overlay val="0"/>
        </c:title>
        <c:numFmt formatCode="0.0" sourceLinked="1"/>
        <c:majorTickMark val="out"/>
        <c:minorTickMark val="none"/>
        <c:tickLblPos val="nextTo"/>
        <c:crossAx val="428202656"/>
        <c:crosses val="autoZero"/>
        <c:crossBetween val="between"/>
      </c:valAx>
    </c:plotArea>
    <c:legend>
      <c:legendPos val="r"/>
      <c:layout>
        <c:manualLayout>
          <c:xMode val="edge"/>
          <c:yMode val="edge"/>
          <c:x val="0.34348635173499997"/>
          <c:y val="0.90241303359163905"/>
          <c:w val="0.5503571321087849"/>
          <c:h val="9.3360309128025648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UN!$D$2</c:f>
              <c:strCache>
                <c:ptCount val="1"/>
                <c:pt idx="0">
                  <c:v>Rurale</c:v>
                </c:pt>
              </c:strCache>
            </c:strRef>
          </c:tx>
          <c:spPr>
            <a:solidFill>
              <a:schemeClr val="accent1">
                <a:lumMod val="60000"/>
                <a:lumOff val="40000"/>
              </a:schemeClr>
            </a:solidFill>
          </c:spPr>
          <c:cat>
            <c:numRef>
              <c:f>UN!$E$1:$Y$1</c:f>
              <c:numCache>
                <c:formatCode>General</c:formatCode>
                <c:ptCount val="21"/>
                <c:pt idx="0">
                  <c:v>1950</c:v>
                </c:pt>
                <c:pt idx="1">
                  <c:v>1955</c:v>
                </c:pt>
                <c:pt idx="2">
                  <c:v>1960</c:v>
                </c:pt>
                <c:pt idx="3">
                  <c:v>1965</c:v>
                </c:pt>
                <c:pt idx="4">
                  <c:v>1970</c:v>
                </c:pt>
                <c:pt idx="5">
                  <c:v>1975</c:v>
                </c:pt>
                <c:pt idx="6">
                  <c:v>1980</c:v>
                </c:pt>
                <c:pt idx="7">
                  <c:v>1985</c:v>
                </c:pt>
                <c:pt idx="8">
                  <c:v>1990</c:v>
                </c:pt>
                <c:pt idx="9">
                  <c:v>1995</c:v>
                </c:pt>
                <c:pt idx="10">
                  <c:v>2000</c:v>
                </c:pt>
                <c:pt idx="11">
                  <c:v>2005</c:v>
                </c:pt>
                <c:pt idx="12">
                  <c:v>2010</c:v>
                </c:pt>
                <c:pt idx="13">
                  <c:v>2015</c:v>
                </c:pt>
                <c:pt idx="14">
                  <c:v>2020</c:v>
                </c:pt>
                <c:pt idx="15">
                  <c:v>2025</c:v>
                </c:pt>
                <c:pt idx="16">
                  <c:v>2030</c:v>
                </c:pt>
                <c:pt idx="17">
                  <c:v>2035</c:v>
                </c:pt>
                <c:pt idx="18">
                  <c:v>2040</c:v>
                </c:pt>
                <c:pt idx="19">
                  <c:v>2045</c:v>
                </c:pt>
                <c:pt idx="20">
                  <c:v>2050</c:v>
                </c:pt>
              </c:numCache>
            </c:numRef>
          </c:cat>
          <c:val>
            <c:numRef>
              <c:f>UN!$E$2:$Y$2</c:f>
              <c:numCache>
                <c:formatCode>###,###,##0;\-###,###,##0;_("—"</c:formatCode>
                <c:ptCount val="21"/>
                <c:pt idx="0">
                  <c:v>4244.732</c:v>
                </c:pt>
                <c:pt idx="1">
                  <c:v>4450.7479999999996</c:v>
                </c:pt>
                <c:pt idx="2">
                  <c:v>4667.1239999999998</c:v>
                </c:pt>
                <c:pt idx="3">
                  <c:v>4891.5439999999999</c:v>
                </c:pt>
                <c:pt idx="4">
                  <c:v>5169.348</c:v>
                </c:pt>
                <c:pt idx="5">
                  <c:v>5531.4930000000004</c:v>
                </c:pt>
                <c:pt idx="6">
                  <c:v>5906.29</c:v>
                </c:pt>
                <c:pt idx="7">
                  <c:v>6326.6289999999999</c:v>
                </c:pt>
                <c:pt idx="8">
                  <c:v>6650.1390000000001</c:v>
                </c:pt>
                <c:pt idx="9">
                  <c:v>7317.424</c:v>
                </c:pt>
                <c:pt idx="10">
                  <c:v>8123.8140000000003</c:v>
                </c:pt>
                <c:pt idx="11">
                  <c:v>9079.4529999999995</c:v>
                </c:pt>
                <c:pt idx="12">
                  <c:v>10101.541999999999</c:v>
                </c:pt>
                <c:pt idx="13">
                  <c:v>11133.227000000001</c:v>
                </c:pt>
                <c:pt idx="14">
                  <c:v>12165.192999999999</c:v>
                </c:pt>
                <c:pt idx="15">
                  <c:v>13177.431</c:v>
                </c:pt>
                <c:pt idx="16">
                  <c:v>14166.112999999999</c:v>
                </c:pt>
                <c:pt idx="17">
                  <c:v>15112.308000000001</c:v>
                </c:pt>
                <c:pt idx="18">
                  <c:v>15957.637000000001</c:v>
                </c:pt>
                <c:pt idx="19">
                  <c:v>16660.498</c:v>
                </c:pt>
                <c:pt idx="20">
                  <c:v>17193.395</c:v>
                </c:pt>
              </c:numCache>
            </c:numRef>
          </c:val>
        </c:ser>
        <c:ser>
          <c:idx val="1"/>
          <c:order val="1"/>
          <c:tx>
            <c:strRef>
              <c:f>UN!$D$3</c:f>
              <c:strCache>
                <c:ptCount val="1"/>
                <c:pt idx="0">
                  <c:v>Urbaine</c:v>
                </c:pt>
              </c:strCache>
            </c:strRef>
          </c:tx>
          <c:spPr>
            <a:solidFill>
              <a:schemeClr val="accent3">
                <a:lumMod val="60000"/>
                <a:lumOff val="40000"/>
              </a:schemeClr>
            </a:solidFill>
          </c:spPr>
          <c:cat>
            <c:numRef>
              <c:f>UN!$E$1:$Y$1</c:f>
              <c:numCache>
                <c:formatCode>General</c:formatCode>
                <c:ptCount val="21"/>
                <c:pt idx="0">
                  <c:v>1950</c:v>
                </c:pt>
                <c:pt idx="1">
                  <c:v>1955</c:v>
                </c:pt>
                <c:pt idx="2">
                  <c:v>1960</c:v>
                </c:pt>
                <c:pt idx="3">
                  <c:v>1965</c:v>
                </c:pt>
                <c:pt idx="4">
                  <c:v>1970</c:v>
                </c:pt>
                <c:pt idx="5">
                  <c:v>1975</c:v>
                </c:pt>
                <c:pt idx="6">
                  <c:v>1980</c:v>
                </c:pt>
                <c:pt idx="7">
                  <c:v>1985</c:v>
                </c:pt>
                <c:pt idx="8">
                  <c:v>1990</c:v>
                </c:pt>
                <c:pt idx="9">
                  <c:v>1995</c:v>
                </c:pt>
                <c:pt idx="10">
                  <c:v>2000</c:v>
                </c:pt>
                <c:pt idx="11">
                  <c:v>2005</c:v>
                </c:pt>
                <c:pt idx="12">
                  <c:v>2010</c:v>
                </c:pt>
                <c:pt idx="13">
                  <c:v>2015</c:v>
                </c:pt>
                <c:pt idx="14">
                  <c:v>2020</c:v>
                </c:pt>
                <c:pt idx="15">
                  <c:v>2025</c:v>
                </c:pt>
                <c:pt idx="16">
                  <c:v>2030</c:v>
                </c:pt>
                <c:pt idx="17">
                  <c:v>2035</c:v>
                </c:pt>
                <c:pt idx="18">
                  <c:v>2040</c:v>
                </c:pt>
                <c:pt idx="19">
                  <c:v>2045</c:v>
                </c:pt>
                <c:pt idx="20">
                  <c:v>2050</c:v>
                </c:pt>
              </c:numCache>
            </c:numRef>
          </c:cat>
          <c:val>
            <c:numRef>
              <c:f>UN!$E$3:$Y$3</c:f>
              <c:numCache>
                <c:formatCode>###,###,##0;\-###,###,##0;_("—"</c:formatCode>
                <c:ptCount val="21"/>
                <c:pt idx="0">
                  <c:v>392.90100000000001</c:v>
                </c:pt>
                <c:pt idx="1">
                  <c:v>477.65199999999999</c:v>
                </c:pt>
                <c:pt idx="2">
                  <c:v>580.75300000000004</c:v>
                </c:pt>
                <c:pt idx="3">
                  <c:v>705.69399999999996</c:v>
                </c:pt>
                <c:pt idx="4">
                  <c:v>864.67399999999998</c:v>
                </c:pt>
                <c:pt idx="5">
                  <c:v>1072.7660000000001</c:v>
                </c:pt>
                <c:pt idx="6">
                  <c:v>1339.308</c:v>
                </c:pt>
                <c:pt idx="7">
                  <c:v>1683.076</c:v>
                </c:pt>
                <c:pt idx="8">
                  <c:v>2022.729</c:v>
                </c:pt>
                <c:pt idx="9">
                  <c:v>2507.0859999999998</c:v>
                </c:pt>
                <c:pt idx="10">
                  <c:v>3171.51</c:v>
                </c:pt>
                <c:pt idx="11">
                  <c:v>4097.1890000000003</c:v>
                </c:pt>
                <c:pt idx="12">
                  <c:v>5268.2669999999998</c:v>
                </c:pt>
                <c:pt idx="13">
                  <c:v>6685.92</c:v>
                </c:pt>
                <c:pt idx="14">
                  <c:v>8371.866</c:v>
                </c:pt>
                <c:pt idx="15">
                  <c:v>10341.894</c:v>
                </c:pt>
                <c:pt idx="16">
                  <c:v>12617.962</c:v>
                </c:pt>
                <c:pt idx="17">
                  <c:v>15212.237999999999</c:v>
                </c:pt>
                <c:pt idx="18">
                  <c:v>18142.745999999999</c:v>
                </c:pt>
                <c:pt idx="19">
                  <c:v>21394.129000000001</c:v>
                </c:pt>
                <c:pt idx="20">
                  <c:v>24936.781999999999</c:v>
                </c:pt>
              </c:numCache>
            </c:numRef>
          </c:val>
        </c:ser>
        <c:dLbls>
          <c:showLegendKey val="0"/>
          <c:showVal val="0"/>
          <c:showCatName val="0"/>
          <c:showSerName val="0"/>
          <c:showPercent val="0"/>
          <c:showBubbleSize val="0"/>
        </c:dLbls>
        <c:axId val="536625656"/>
        <c:axId val="536625264"/>
      </c:areaChart>
      <c:catAx>
        <c:axId val="536625656"/>
        <c:scaling>
          <c:orientation val="minMax"/>
        </c:scaling>
        <c:delete val="0"/>
        <c:axPos val="b"/>
        <c:numFmt formatCode="General" sourceLinked="1"/>
        <c:majorTickMark val="none"/>
        <c:minorTickMark val="none"/>
        <c:tickLblPos val="nextTo"/>
        <c:crossAx val="536625264"/>
        <c:crosses val="autoZero"/>
        <c:auto val="1"/>
        <c:lblAlgn val="ctr"/>
        <c:lblOffset val="100"/>
        <c:noMultiLvlLbl val="0"/>
      </c:catAx>
      <c:valAx>
        <c:axId val="536625264"/>
        <c:scaling>
          <c:orientation val="minMax"/>
        </c:scaling>
        <c:delete val="0"/>
        <c:axPos val="l"/>
        <c:title>
          <c:tx>
            <c:rich>
              <a:bodyPr rot="-5400000" vert="horz"/>
              <a:lstStyle/>
              <a:p>
                <a:pPr>
                  <a:defRPr/>
                </a:pPr>
                <a:r>
                  <a:rPr lang="en-US"/>
                  <a:t>Population (thousands)</a:t>
                </a:r>
              </a:p>
            </c:rich>
          </c:tx>
          <c:layout/>
          <c:overlay val="0"/>
        </c:title>
        <c:numFmt formatCode="###,###,##0;\-###,###,##0;_(&quot;—&quot;" sourceLinked="1"/>
        <c:majorTickMark val="none"/>
        <c:minorTickMark val="none"/>
        <c:tickLblPos val="nextTo"/>
        <c:crossAx val="536625656"/>
        <c:crosses val="autoZero"/>
        <c:crossBetween val="midCat"/>
      </c:valAx>
    </c:plotArea>
    <c:legend>
      <c:legendPos val="b"/>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45549980462833E-2"/>
          <c:y val="6.6403949029272102E-2"/>
          <c:w val="0.38116072417341429"/>
          <c:h val="0.83491940952849752"/>
        </c:manualLayout>
      </c:layout>
      <c:pieChart>
        <c:varyColors val="1"/>
        <c:ser>
          <c:idx val="0"/>
          <c:order val="0"/>
          <c:tx>
            <c:strRef>
              <c:f>'2009'!$B$16</c:f>
              <c:strCache>
                <c:ptCount val="1"/>
                <c:pt idx="0">
                  <c:v>Distribution of population (2009)</c:v>
                </c:pt>
              </c:strCache>
            </c:strRef>
          </c:tx>
          <c:dPt>
            <c:idx val="0"/>
            <c:bubble3D val="0"/>
            <c:explosion val="4"/>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'2009'!$A$17:$A$24</c:f>
              <c:strCache>
                <c:ptCount val="8"/>
                <c:pt idx="0">
                  <c:v>population &lt;5,000</c:v>
                </c:pt>
                <c:pt idx="1">
                  <c:v>population [5,000-30,000[, density&lt;250 people/km2</c:v>
                </c:pt>
                <c:pt idx="2">
                  <c:v>population [5,000-30,000[, density&gt;=250 people/km2</c:v>
                </c:pt>
                <c:pt idx="3">
                  <c:v>population &gt;=30,000, density&gt;=250 people/km2</c:v>
                </c:pt>
                <c:pt idx="4">
                  <c:v>Kayes</c:v>
                </c:pt>
                <c:pt idx="5">
                  <c:v>Sikasso</c:v>
                </c:pt>
                <c:pt idx="6">
                  <c:v>Ségou</c:v>
                </c:pt>
                <c:pt idx="7">
                  <c:v>Bamako</c:v>
                </c:pt>
              </c:strCache>
            </c:strRef>
          </c:cat>
          <c:val>
            <c:numRef>
              <c:f>'2009'!$B$17:$B$24</c:f>
              <c:numCache>
                <c:formatCode>General</c:formatCode>
                <c:ptCount val="8"/>
                <c:pt idx="0">
                  <c:v>9557118</c:v>
                </c:pt>
                <c:pt idx="1">
                  <c:v>1030313</c:v>
                </c:pt>
                <c:pt idx="2">
                  <c:v>741598</c:v>
                </c:pt>
                <c:pt idx="3">
                  <c:v>606624</c:v>
                </c:pt>
                <c:pt idx="4">
                  <c:v>127473</c:v>
                </c:pt>
                <c:pt idx="5">
                  <c:v>143231</c:v>
                </c:pt>
                <c:pt idx="6">
                  <c:v>166128</c:v>
                </c:pt>
                <c:pt idx="7">
                  <c:v>2156177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5755698635890474"/>
          <c:y val="0.15454221013403857"/>
          <c:w val="0.48290956239031868"/>
          <c:h val="0.68629962625005259"/>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Migration!$V$29</c:f>
              <c:strCache>
                <c:ptCount val="1"/>
                <c:pt idx="0">
                  <c:v>net interregional migration as percentage of population</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Migration!$U$30:$U$38</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Migration!$V$30:$V$38</c:f>
              <c:numCache>
                <c:formatCode>0.00</c:formatCode>
                <c:ptCount val="9"/>
                <c:pt idx="0">
                  <c:v>-1.1035229971684599</c:v>
                </c:pt>
                <c:pt idx="1">
                  <c:v>3.0508135888242811</c:v>
                </c:pt>
                <c:pt idx="2">
                  <c:v>-1.0881972049566071</c:v>
                </c:pt>
                <c:pt idx="3">
                  <c:v>-4.5927276039633096</c:v>
                </c:pt>
                <c:pt idx="4">
                  <c:v>-3.4544587515328731</c:v>
                </c:pt>
                <c:pt idx="5">
                  <c:v>-5.0763715687625677</c:v>
                </c:pt>
                <c:pt idx="6">
                  <c:v>-3.882877500442556</c:v>
                </c:pt>
                <c:pt idx="7">
                  <c:v>-9.4480284621857397E-2</c:v>
                </c:pt>
                <c:pt idx="8">
                  <c:v>11.59870435039103</c:v>
                </c:pt>
              </c:numCache>
            </c:numRef>
          </c:val>
        </c:ser>
        <c:dLbls>
          <c:showLegendKey val="0"/>
          <c:showVal val="1"/>
          <c:showCatName val="0"/>
          <c:showSerName val="0"/>
          <c:showPercent val="0"/>
          <c:showBubbleSize val="0"/>
        </c:dLbls>
        <c:gapWidth val="150"/>
        <c:axId val="537483888"/>
        <c:axId val="537484280"/>
      </c:barChart>
      <c:catAx>
        <c:axId val="537483888"/>
        <c:scaling>
          <c:orientation val="minMax"/>
        </c:scaling>
        <c:delete val="0"/>
        <c:axPos val="b"/>
        <c:numFmt formatCode="General" sourceLinked="1"/>
        <c:majorTickMark val="none"/>
        <c:minorTickMark val="none"/>
        <c:tickLblPos val="low"/>
        <c:crossAx val="537484280"/>
        <c:crosses val="autoZero"/>
        <c:auto val="1"/>
        <c:lblAlgn val="ctr"/>
        <c:lblOffset val="100"/>
        <c:noMultiLvlLbl val="0"/>
      </c:catAx>
      <c:valAx>
        <c:axId val="537484280"/>
        <c:scaling>
          <c:orientation val="minMax"/>
        </c:scaling>
        <c:delete val="0"/>
        <c:axPos val="l"/>
        <c:title>
          <c:tx>
            <c:rich>
              <a:bodyPr rot="-5400000" vert="horz"/>
              <a:lstStyle/>
              <a:p>
                <a:pPr>
                  <a:defRPr/>
                </a:pPr>
                <a:r>
                  <a:rPr lang="en-US"/>
                  <a:t>Percent</a:t>
                </a:r>
              </a:p>
            </c:rich>
          </c:tx>
          <c:layout/>
          <c:overlay val="0"/>
        </c:title>
        <c:numFmt formatCode="0.00" sourceLinked="1"/>
        <c:majorTickMark val="none"/>
        <c:minorTickMark val="none"/>
        <c:tickLblPos val="nextTo"/>
        <c:crossAx val="537483888"/>
        <c:crossesAt val="1"/>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'Education Graph'!$J$60</c:f>
              <c:strCache>
                <c:ptCount val="1"/>
                <c:pt idx="0">
                  <c:v>None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'Education Graph'!$I$61:$I$64</c:f>
              <c:strCache>
                <c:ptCount val="4"/>
                <c:pt idx="0">
                  <c:v>Average migrant</c:v>
                </c:pt>
                <c:pt idx="1">
                  <c:v>Average returnee</c:v>
                </c:pt>
                <c:pt idx="2">
                  <c:v>Average person in Bamako</c:v>
                </c:pt>
                <c:pt idx="3">
                  <c:v>Average person in Mali</c:v>
                </c:pt>
              </c:strCache>
            </c:strRef>
          </c:cat>
          <c:val>
            <c:numRef>
              <c:f>'Education Graph'!$J$61:$J$64</c:f>
              <c:numCache>
                <c:formatCode>General</c:formatCode>
                <c:ptCount val="4"/>
                <c:pt idx="0" formatCode="0.00">
                  <c:v>55.131201352961902</c:v>
                </c:pt>
                <c:pt idx="1">
                  <c:v>71.800000000000011</c:v>
                </c:pt>
                <c:pt idx="2">
                  <c:v>33.900000000000013</c:v>
                </c:pt>
                <c:pt idx="3" formatCode="0.00">
                  <c:v>65.293370242903308</c:v>
                </c:pt>
              </c:numCache>
            </c:numRef>
          </c:val>
        </c:ser>
        <c:ser>
          <c:idx val="1"/>
          <c:order val="1"/>
          <c:tx>
            <c:strRef>
              <c:f>'Education Graph'!$K$60</c:f>
              <c:strCache>
                <c:ptCount val="1"/>
                <c:pt idx="0">
                  <c:v>Primary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'Education Graph'!$I$61:$I$64</c:f>
              <c:strCache>
                <c:ptCount val="4"/>
                <c:pt idx="0">
                  <c:v>Average migrant</c:v>
                </c:pt>
                <c:pt idx="1">
                  <c:v>Average returnee</c:v>
                </c:pt>
                <c:pt idx="2">
                  <c:v>Average person in Bamako</c:v>
                </c:pt>
                <c:pt idx="3">
                  <c:v>Average person in Mali</c:v>
                </c:pt>
              </c:strCache>
            </c:strRef>
          </c:cat>
          <c:val>
            <c:numRef>
              <c:f>'Education Graph'!$K$61:$K$64</c:f>
              <c:numCache>
                <c:formatCode>General</c:formatCode>
                <c:ptCount val="4"/>
                <c:pt idx="0" formatCode="0.00">
                  <c:v>29.33503785230609</c:v>
                </c:pt>
                <c:pt idx="1">
                  <c:v>24.9</c:v>
                </c:pt>
                <c:pt idx="2">
                  <c:v>44.7</c:v>
                </c:pt>
                <c:pt idx="3" formatCode="0.00">
                  <c:v>28.721304955680012</c:v>
                </c:pt>
              </c:numCache>
            </c:numRef>
          </c:val>
        </c:ser>
        <c:ser>
          <c:idx val="2"/>
          <c:order val="2"/>
          <c:tx>
            <c:strRef>
              <c:f>'Education Graph'!$L$60</c:f>
              <c:strCache>
                <c:ptCount val="1"/>
                <c:pt idx="0">
                  <c:v>Secondary and above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'Education Graph'!$I$61:$I$64</c:f>
              <c:strCache>
                <c:ptCount val="4"/>
                <c:pt idx="0">
                  <c:v>Average migrant</c:v>
                </c:pt>
                <c:pt idx="1">
                  <c:v>Average returnee</c:v>
                </c:pt>
                <c:pt idx="2">
                  <c:v>Average person in Bamako</c:v>
                </c:pt>
                <c:pt idx="3">
                  <c:v>Average person in Mali</c:v>
                </c:pt>
              </c:strCache>
            </c:strRef>
          </c:cat>
          <c:val>
            <c:numRef>
              <c:f>'Education Graph'!$L$61:$L$64</c:f>
              <c:numCache>
                <c:formatCode>General</c:formatCode>
                <c:ptCount val="4"/>
                <c:pt idx="0" formatCode="0.00">
                  <c:v>15.4975397665608</c:v>
                </c:pt>
                <c:pt idx="1">
                  <c:v>3.3</c:v>
                </c:pt>
                <c:pt idx="2">
                  <c:v>21.5</c:v>
                </c:pt>
                <c:pt idx="3" formatCode="0.00">
                  <c:v>5.9959891764293216</c:v>
                </c:pt>
              </c:numCache>
            </c:numRef>
          </c:val>
        </c:ser>
        <c:dLbls>
          <c:showLegendKey val="0"/>
          <c:showVal val="1"/>
          <c:showCatName val="0"/>
          <c:showSerName val="0"/>
          <c:showPercent val="0"/>
          <c:showBubbleSize val="0"/>
        </c:dLbls>
        <c:gapWidth val="75"/>
        <c:axId val="537485456"/>
        <c:axId val="537485848"/>
      </c:barChart>
      <c:catAx>
        <c:axId val="537485456"/>
        <c:scaling>
          <c:orientation val="minMax"/>
        </c:scaling>
        <c:delete val="0"/>
        <c:axPos val="b"/>
        <c:numFmt formatCode="General" sourceLinked="0"/>
        <c:majorTickMark val="none"/>
        <c:minorTickMark val="none"/>
        <c:tickLblPos val="nextTo"/>
        <c:crossAx val="537485848"/>
        <c:crosses val="autoZero"/>
        <c:auto val="1"/>
        <c:lblAlgn val="ctr"/>
        <c:lblOffset val="100"/>
        <c:noMultiLvlLbl val="0"/>
      </c:catAx>
      <c:valAx>
        <c:axId val="537485848"/>
        <c:scaling>
          <c:orientation val="minMax"/>
        </c:scaling>
        <c:delete val="0"/>
        <c:axPos val="l"/>
        <c:title>
          <c:tx>
            <c:rich>
              <a:bodyPr rot="-5400000" vert="horz"/>
              <a:lstStyle/>
              <a:p>
                <a:pPr>
                  <a:defRPr/>
                </a:pPr>
                <a:r>
                  <a:rPr lang="en-US"/>
                  <a:t>Percent</a:t>
                </a:r>
              </a:p>
              <a:p>
                <a:pPr>
                  <a:defRPr/>
                </a:pPr>
                <a:endParaRPr lang="en-US"/>
              </a:p>
            </c:rich>
          </c:tx>
          <c:layout/>
          <c:overlay val="0"/>
        </c:title>
        <c:numFmt formatCode="0.00" sourceLinked="1"/>
        <c:majorTickMark val="none"/>
        <c:minorTickMark val="none"/>
        <c:tickLblPos val="nextTo"/>
        <c:crossAx val="53748545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percentStacked"/>
        <c:varyColors val="0"/>
        <c:ser>
          <c:idx val="0"/>
          <c:order val="0"/>
          <c:tx>
            <c:strRef>
              <c:f>'2009'!$A$157</c:f>
              <c:strCache>
                <c:ptCount val="1"/>
                <c:pt idx="0">
                  <c:v>  Agriculture</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'2009'!$B$157:$I$157</c:f>
              <c:numCache>
                <c:formatCode>0.0%</c:formatCode>
                <c:ptCount val="8"/>
                <c:pt idx="0">
                  <c:v>0.85674970000000072</c:v>
                </c:pt>
                <c:pt idx="1">
                  <c:v>0.60817460000000045</c:v>
                </c:pt>
                <c:pt idx="2">
                  <c:v>0.4285344000000002</c:v>
                </c:pt>
                <c:pt idx="3">
                  <c:v>0.24284820000000013</c:v>
                </c:pt>
                <c:pt idx="4">
                  <c:v>7.3986800000000019E-2</c:v>
                </c:pt>
                <c:pt idx="5">
                  <c:v>0.10248170000000002</c:v>
                </c:pt>
                <c:pt idx="6">
                  <c:v>8.4009300000000064E-2</c:v>
                </c:pt>
                <c:pt idx="7">
                  <c:v>3.0702400000000001E-2</c:v>
                </c:pt>
              </c:numCache>
            </c:numRef>
          </c:val>
        </c:ser>
        <c:ser>
          <c:idx val="1"/>
          <c:order val="1"/>
          <c:tx>
            <c:strRef>
              <c:f>'2009'!$A$158</c:f>
              <c:strCache>
                <c:ptCount val="1"/>
                <c:pt idx="0">
                  <c:v>  Extractive industry</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'2009'!$B$158:$I$158</c:f>
              <c:numCache>
                <c:formatCode>0.0%</c:formatCode>
                <c:ptCount val="8"/>
                <c:pt idx="0">
                  <c:v>3.9859000000000032E-3</c:v>
                </c:pt>
                <c:pt idx="1">
                  <c:v>7.5578000000000034E-3</c:v>
                </c:pt>
                <c:pt idx="2">
                  <c:v>2.2135100000000019E-2</c:v>
                </c:pt>
                <c:pt idx="3">
                  <c:v>1.00809E-2</c:v>
                </c:pt>
                <c:pt idx="4">
                  <c:v>4.2561000000000014E-3</c:v>
                </c:pt>
                <c:pt idx="5">
                  <c:v>2.9975000000000019E-3</c:v>
                </c:pt>
                <c:pt idx="6">
                  <c:v>2.4483000000000018E-3</c:v>
                </c:pt>
                <c:pt idx="7">
                  <c:v>3.5387000000000018E-3</c:v>
                </c:pt>
              </c:numCache>
            </c:numRef>
          </c:val>
        </c:ser>
        <c:ser>
          <c:idx val="2"/>
          <c:order val="2"/>
          <c:tx>
            <c:strRef>
              <c:f>'2009'!$A$159</c:f>
              <c:strCache>
                <c:ptCount val="1"/>
                <c:pt idx="0">
                  <c:v>  Manufacturing and craft</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'2009'!$B$159:$I$159</c:f>
              <c:numCache>
                <c:formatCode>0.0%</c:formatCode>
                <c:ptCount val="8"/>
                <c:pt idx="0">
                  <c:v>2.0835500000000017E-2</c:v>
                </c:pt>
                <c:pt idx="1">
                  <c:v>3.7319600000000001E-2</c:v>
                </c:pt>
                <c:pt idx="2">
                  <c:v>6.0794900000000041E-2</c:v>
                </c:pt>
                <c:pt idx="3">
                  <c:v>7.1131100000000003E-2</c:v>
                </c:pt>
                <c:pt idx="4">
                  <c:v>9.7569500000000003E-2</c:v>
                </c:pt>
                <c:pt idx="5">
                  <c:v>8.8358400000000087E-2</c:v>
                </c:pt>
                <c:pt idx="6">
                  <c:v>0.10146690000000005</c:v>
                </c:pt>
                <c:pt idx="7">
                  <c:v>9.79188E-2</c:v>
                </c:pt>
              </c:numCache>
            </c:numRef>
          </c:val>
        </c:ser>
        <c:ser>
          <c:idx val="3"/>
          <c:order val="3"/>
          <c:tx>
            <c:strRef>
              <c:f>'2009'!$A$160</c:f>
              <c:strCache>
                <c:ptCount val="1"/>
                <c:pt idx="0">
                  <c:v>  Trade</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'2009'!$B$160:$I$160</c:f>
              <c:numCache>
                <c:formatCode>0.0%</c:formatCode>
                <c:ptCount val="8"/>
                <c:pt idx="0">
                  <c:v>2.8929699999999982E-2</c:v>
                </c:pt>
                <c:pt idx="1">
                  <c:v>0.11581939999999991</c:v>
                </c:pt>
                <c:pt idx="2">
                  <c:v>0.18450050000000001</c:v>
                </c:pt>
                <c:pt idx="3">
                  <c:v>0.26355000000000001</c:v>
                </c:pt>
                <c:pt idx="4">
                  <c:v>0.32223350000000001</c:v>
                </c:pt>
                <c:pt idx="5">
                  <c:v>0.32227050000000035</c:v>
                </c:pt>
                <c:pt idx="6">
                  <c:v>0.28051350000000008</c:v>
                </c:pt>
                <c:pt idx="7">
                  <c:v>0.31570870000000023</c:v>
                </c:pt>
              </c:numCache>
            </c:numRef>
          </c:val>
        </c:ser>
        <c:ser>
          <c:idx val="4"/>
          <c:order val="4"/>
          <c:tx>
            <c:strRef>
              <c:f>'2009'!$A$161</c:f>
              <c:strCache>
                <c:ptCount val="1"/>
                <c:pt idx="0">
                  <c:v>  Bank / insurance</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'2009'!$B$161:$I$161</c:f>
              <c:numCache>
                <c:formatCode>0.0%</c:formatCode>
                <c:ptCount val="8"/>
                <c:pt idx="0">
                  <c:v>1.8570000000000015E-4</c:v>
                </c:pt>
                <c:pt idx="1">
                  <c:v>7.2930000000000065E-4</c:v>
                </c:pt>
                <c:pt idx="2">
                  <c:v>1.227599999999999E-3</c:v>
                </c:pt>
                <c:pt idx="3">
                  <c:v>2.0799000000000017E-3</c:v>
                </c:pt>
                <c:pt idx="4">
                  <c:v>1.8737999999999999E-3</c:v>
                </c:pt>
                <c:pt idx="5">
                  <c:v>2.6194E-3</c:v>
                </c:pt>
                <c:pt idx="6">
                  <c:v>3.4702000000000001E-3</c:v>
                </c:pt>
                <c:pt idx="7">
                  <c:v>4.6442000000000002E-3</c:v>
                </c:pt>
              </c:numCache>
            </c:numRef>
          </c:val>
        </c:ser>
        <c:ser>
          <c:idx val="5"/>
          <c:order val="5"/>
          <c:tx>
            <c:strRef>
              <c:f>'2009'!$A$162</c:f>
              <c:strCache>
                <c:ptCount val="1"/>
                <c:pt idx="0">
                  <c:v>  Public or private administration</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'2009'!$B$162:$I$162</c:f>
              <c:numCache>
                <c:formatCode>0.0%</c:formatCode>
                <c:ptCount val="8"/>
                <c:pt idx="0">
                  <c:v>3.0445600000000017E-2</c:v>
                </c:pt>
                <c:pt idx="1">
                  <c:v>8.4225200000000028E-2</c:v>
                </c:pt>
                <c:pt idx="2">
                  <c:v>0.1206373</c:v>
                </c:pt>
                <c:pt idx="3">
                  <c:v>0.15318709999999999</c:v>
                </c:pt>
                <c:pt idx="4">
                  <c:v>0.13054769999999999</c:v>
                </c:pt>
                <c:pt idx="5">
                  <c:v>0.16199940000000018</c:v>
                </c:pt>
                <c:pt idx="6">
                  <c:v>0.1933108</c:v>
                </c:pt>
                <c:pt idx="7">
                  <c:v>0.14948610000000018</c:v>
                </c:pt>
              </c:numCache>
            </c:numRef>
          </c:val>
        </c:ser>
        <c:ser>
          <c:idx val="6"/>
          <c:order val="6"/>
          <c:tx>
            <c:strRef>
              <c:f>'2009'!$A$163</c:f>
              <c:strCache>
                <c:ptCount val="1"/>
                <c:pt idx="0">
                  <c:v> Transport and communication</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'2009'!$B$163:$I$163</c:f>
              <c:numCache>
                <c:formatCode>0.0%</c:formatCode>
                <c:ptCount val="8"/>
                <c:pt idx="0">
                  <c:v>8.5433000000000002E-3</c:v>
                </c:pt>
                <c:pt idx="1">
                  <c:v>3.6177899999999999E-2</c:v>
                </c:pt>
                <c:pt idx="2">
                  <c:v>5.6813500000000024E-2</c:v>
                </c:pt>
                <c:pt idx="3">
                  <c:v>8.3938700000000005E-2</c:v>
                </c:pt>
                <c:pt idx="4">
                  <c:v>0.12631829999999999</c:v>
                </c:pt>
                <c:pt idx="5">
                  <c:v>0.13621020000000011</c:v>
                </c:pt>
                <c:pt idx="6">
                  <c:v>8.9693600000000026E-2</c:v>
                </c:pt>
                <c:pt idx="7">
                  <c:v>8.2293900000000031E-2</c:v>
                </c:pt>
              </c:numCache>
            </c:numRef>
          </c:val>
        </c:ser>
        <c:ser>
          <c:idx val="7"/>
          <c:order val="7"/>
          <c:tx>
            <c:strRef>
              <c:f>'2009'!$A$164</c:f>
              <c:strCache>
                <c:ptCount val="1"/>
                <c:pt idx="0">
                  <c:v>  Construction</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'2009'!$B$164:$I$164</c:f>
              <c:numCache>
                <c:formatCode>0.0%</c:formatCode>
                <c:ptCount val="8"/>
                <c:pt idx="0">
                  <c:v>7.4518000000000058E-3</c:v>
                </c:pt>
                <c:pt idx="1">
                  <c:v>2.3089900000000017E-2</c:v>
                </c:pt>
                <c:pt idx="2">
                  <c:v>2.9014600000000002E-2</c:v>
                </c:pt>
                <c:pt idx="3">
                  <c:v>3.5411200000000025E-2</c:v>
                </c:pt>
                <c:pt idx="4">
                  <c:v>6.1272E-2</c:v>
                </c:pt>
                <c:pt idx="5">
                  <c:v>3.7536100000000031E-2</c:v>
                </c:pt>
                <c:pt idx="6">
                  <c:v>4.7263199999999998E-2</c:v>
                </c:pt>
                <c:pt idx="7">
                  <c:v>5.7345800000000002E-2</c:v>
                </c:pt>
              </c:numCache>
            </c:numRef>
          </c:val>
        </c:ser>
        <c:ser>
          <c:idx val="8"/>
          <c:order val="8"/>
          <c:tx>
            <c:strRef>
              <c:f>'2009'!$A$165</c:f>
              <c:strCache>
                <c:ptCount val="1"/>
                <c:pt idx="0">
                  <c:v>  Services</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'2009'!$B$165:$I$165</c:f>
              <c:numCache>
                <c:formatCode>0.0%</c:formatCode>
                <c:ptCount val="8"/>
                <c:pt idx="0">
                  <c:v>1.1607600000000001E-2</c:v>
                </c:pt>
                <c:pt idx="1">
                  <c:v>3.7654000000000028E-2</c:v>
                </c:pt>
                <c:pt idx="2">
                  <c:v>5.2658000000000003E-2</c:v>
                </c:pt>
                <c:pt idx="3">
                  <c:v>7.7658500000000019E-2</c:v>
                </c:pt>
                <c:pt idx="4">
                  <c:v>0.10950799999999998</c:v>
                </c:pt>
                <c:pt idx="5">
                  <c:v>9.3246200000000001E-2</c:v>
                </c:pt>
                <c:pt idx="6">
                  <c:v>0.13418920000000001</c:v>
                </c:pt>
                <c:pt idx="7">
                  <c:v>0.1687435000000001</c:v>
                </c:pt>
              </c:numCache>
            </c:numRef>
          </c:val>
        </c:ser>
        <c:ser>
          <c:idx val="9"/>
          <c:order val="9"/>
          <c:tx>
            <c:strRef>
              <c:f>'2009'!$A$166</c:f>
              <c:strCache>
                <c:ptCount val="1"/>
                <c:pt idx="0">
                  <c:v>  Electricity, water and gas</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'2009'!$B$166:$I$166</c:f>
              <c:numCache>
                <c:formatCode>0.0%</c:formatCode>
                <c:ptCount val="8"/>
                <c:pt idx="0">
                  <c:v>2.1040000000000018E-4</c:v>
                </c:pt>
                <c:pt idx="1">
                  <c:v>2.583500000000002E-3</c:v>
                </c:pt>
                <c:pt idx="2">
                  <c:v>3.1221000000000018E-3</c:v>
                </c:pt>
                <c:pt idx="3">
                  <c:v>6.509600000000006E-3</c:v>
                </c:pt>
                <c:pt idx="4">
                  <c:v>8.7799000000000002E-3</c:v>
                </c:pt>
                <c:pt idx="5">
                  <c:v>7.3992000000000059E-3</c:v>
                </c:pt>
                <c:pt idx="6">
                  <c:v>7.6004000000000037E-3</c:v>
                </c:pt>
                <c:pt idx="7">
                  <c:v>1.10397E-2</c:v>
                </c:pt>
              </c:numCache>
            </c:numRef>
          </c:val>
        </c:ser>
        <c:ser>
          <c:idx val="10"/>
          <c:order val="10"/>
          <c:tx>
            <c:strRef>
              <c:f>'2009'!$A$167</c:f>
              <c:strCache>
                <c:ptCount val="1"/>
                <c:pt idx="0">
                  <c:v>  no response / missing </c:v>
                </c:pt>
              </c:strCache>
            </c:strRef>
          </c:tx>
          <c:invertIfNegative val="0"/>
          <c:cat>
            <c:strRef>
              <c:f>'2009'!$B$156:$I$156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'2009'!$B$167:$I$167</c:f>
              <c:numCache>
                <c:formatCode>0.0%</c:formatCode>
                <c:ptCount val="8"/>
                <c:pt idx="0">
                  <c:v>3.1054800000000056E-2</c:v>
                </c:pt>
                <c:pt idx="1">
                  <c:v>4.6668800000000066E-2</c:v>
                </c:pt>
                <c:pt idx="2">
                  <c:v>4.0561999999999883E-2</c:v>
                </c:pt>
                <c:pt idx="3">
                  <c:v>5.3604800000000008E-2</c:v>
                </c:pt>
                <c:pt idx="4">
                  <c:v>6.3654400000000111E-2</c:v>
                </c:pt>
                <c:pt idx="5">
                  <c:v>4.4881399999999974E-2</c:v>
                </c:pt>
                <c:pt idx="6">
                  <c:v>5.6034600000000087E-2</c:v>
                </c:pt>
                <c:pt idx="7">
                  <c:v>7.8578199999999918E-2</c:v>
                </c:pt>
              </c:numCache>
            </c:numRef>
          </c:val>
        </c:ser>
        <c:dLbls>
          <c:showLegendKey val="0"/>
          <c:showVal val="0"/>
          <c:showCatName val="0"/>
          <c:showSerName val="0"/>
          <c:showPercent val="0"/>
          <c:showBubbleSize val="0"/>
        </c:dLbls>
        <c:gapWidth val="150"/>
        <c:overlap val="100"/>
        <c:axId val="537487416"/>
        <c:axId val="537054336"/>
      </c:barChart>
      <c:catAx>
        <c:axId val="537487416"/>
        <c:scaling>
          <c:orientation val="minMax"/>
        </c:scaling>
        <c:delete val="0"/>
        <c:axPos val="b"/>
        <c:numFmt formatCode="General" sourceLinked="0"/>
        <c:majorTickMark val="out"/>
        <c:minorTickMark val="none"/>
        <c:tickLblPos val="nextTo"/>
        <c:crossAx val="537054336"/>
        <c:crosses val="autoZero"/>
        <c:auto val="1"/>
        <c:lblAlgn val="ctr"/>
        <c:lblOffset val="100"/>
        <c:noMultiLvlLbl val="0"/>
      </c:catAx>
      <c:valAx>
        <c:axId val="537054336"/>
        <c:scaling>
          <c:orientation val="minMax"/>
        </c:scaling>
        <c:delete val="0"/>
        <c:axPos val="l"/>
        <c:majorGridlines/>
        <c:numFmt formatCode="0%" sourceLinked="1"/>
        <c:majorTickMark val="out"/>
        <c:minorTickMark val="none"/>
        <c:tickLblPos val="nextTo"/>
        <c:crossAx val="537487416"/>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'1987-2009'!$D$50</c:f>
              <c:strCache>
                <c:ptCount val="1"/>
                <c:pt idx="0">
                  <c:v>1987</c:v>
                </c:pt>
              </c:strCache>
            </c:strRef>
          </c:tx>
          <c:invertIfNegative val="0"/>
          <c:cat>
            <c:strRef>
              <c:f>'1987-2009'!$C$51:$C$58</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'1987-2009'!$D$51:$D$58</c:f>
              <c:numCache>
                <c:formatCode>#,##0</c:formatCode>
                <c:ptCount val="8"/>
                <c:pt idx="0">
                  <c:v>1907092</c:v>
                </c:pt>
                <c:pt idx="1">
                  <c:v>118028</c:v>
                </c:pt>
                <c:pt idx="2">
                  <c:v>68063</c:v>
                </c:pt>
                <c:pt idx="3">
                  <c:v>25578</c:v>
                </c:pt>
                <c:pt idx="4">
                  <c:v>3150</c:v>
                </c:pt>
                <c:pt idx="5">
                  <c:v>3171</c:v>
                </c:pt>
                <c:pt idx="6">
                  <c:v>3245</c:v>
                </c:pt>
                <c:pt idx="7">
                  <c:v>19155</c:v>
                </c:pt>
              </c:numCache>
            </c:numRef>
          </c:val>
        </c:ser>
        <c:ser>
          <c:idx val="1"/>
          <c:order val="1"/>
          <c:tx>
            <c:strRef>
              <c:f>'1987-2009'!$E$50</c:f>
              <c:strCache>
                <c:ptCount val="1"/>
                <c:pt idx="0">
                  <c:v>1998</c:v>
                </c:pt>
              </c:strCache>
            </c:strRef>
          </c:tx>
          <c:invertIfNegative val="0"/>
          <c:cat>
            <c:strRef>
              <c:f>'1987-2009'!$C$51:$C$58</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'1987-2009'!$E$51:$E$58</c:f>
              <c:numCache>
                <c:formatCode>#,##0</c:formatCode>
                <c:ptCount val="8"/>
                <c:pt idx="0">
                  <c:v>2071850</c:v>
                </c:pt>
                <c:pt idx="1">
                  <c:v>130901</c:v>
                </c:pt>
                <c:pt idx="2">
                  <c:v>70991</c:v>
                </c:pt>
                <c:pt idx="3">
                  <c:v>32908</c:v>
                </c:pt>
                <c:pt idx="4">
                  <c:v>3148</c:v>
                </c:pt>
                <c:pt idx="5">
                  <c:v>5621</c:v>
                </c:pt>
                <c:pt idx="6">
                  <c:v>3556</c:v>
                </c:pt>
                <c:pt idx="7">
                  <c:v>39874</c:v>
                </c:pt>
              </c:numCache>
            </c:numRef>
          </c:val>
        </c:ser>
        <c:ser>
          <c:idx val="2"/>
          <c:order val="2"/>
          <c:tx>
            <c:strRef>
              <c:f>'1987-2009'!$F$50</c:f>
              <c:strCache>
                <c:ptCount val="1"/>
                <c:pt idx="0">
                  <c:v>2009</c:v>
                </c:pt>
              </c:strCache>
            </c:strRef>
          </c:tx>
          <c:invertIfNegative val="0"/>
          <c:cat>
            <c:strRef>
              <c:f>'1987-2009'!$C$51:$C$58</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'1987-2009'!$F$51:$F$58</c:f>
              <c:numCache>
                <c:formatCode>#,##0</c:formatCode>
                <c:ptCount val="8"/>
                <c:pt idx="0">
                  <c:v>2316575</c:v>
                </c:pt>
                <c:pt idx="1">
                  <c:v>156655</c:v>
                </c:pt>
                <c:pt idx="2">
                  <c:v>75217</c:v>
                </c:pt>
                <c:pt idx="3">
                  <c:v>38882</c:v>
                </c:pt>
                <c:pt idx="4">
                  <c:v>2764</c:v>
                </c:pt>
                <c:pt idx="5">
                  <c:v>3795</c:v>
                </c:pt>
                <c:pt idx="6">
                  <c:v>3946</c:v>
                </c:pt>
                <c:pt idx="7">
                  <c:v>20302</c:v>
                </c:pt>
              </c:numCache>
            </c:numRef>
          </c:val>
        </c:ser>
        <c:dLbls>
          <c:showLegendKey val="0"/>
          <c:showVal val="0"/>
          <c:showCatName val="0"/>
          <c:showSerName val="0"/>
          <c:showPercent val="0"/>
          <c:showBubbleSize val="0"/>
        </c:dLbls>
        <c:gapWidth val="150"/>
        <c:axId val="537055512"/>
        <c:axId val="537055904"/>
      </c:barChart>
      <c:catAx>
        <c:axId val="537055512"/>
        <c:scaling>
          <c:orientation val="minMax"/>
        </c:scaling>
        <c:delete val="0"/>
        <c:axPos val="b"/>
        <c:numFmt formatCode="General" sourceLinked="0"/>
        <c:majorTickMark val="out"/>
        <c:minorTickMark val="none"/>
        <c:tickLblPos val="nextTo"/>
        <c:crossAx val="537055904"/>
        <c:crosses val="autoZero"/>
        <c:auto val="1"/>
        <c:lblAlgn val="ctr"/>
        <c:lblOffset val="100"/>
        <c:noMultiLvlLbl val="0"/>
      </c:catAx>
      <c:valAx>
        <c:axId val="537055904"/>
        <c:scaling>
          <c:orientation val="minMax"/>
        </c:scaling>
        <c:delete val="0"/>
        <c:axPos val="l"/>
        <c:majorGridlines/>
        <c:numFmt formatCode="#,##0" sourceLinked="1"/>
        <c:majorTickMark val="out"/>
        <c:minorTickMark val="none"/>
        <c:tickLblPos val="nextTo"/>
        <c:crossAx val="537055512"/>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'1987-2009'!$D$68</c:f>
              <c:strCache>
                <c:ptCount val="1"/>
                <c:pt idx="0">
                  <c:v>1987</c:v>
                </c:pt>
              </c:strCache>
            </c:strRef>
          </c:tx>
          <c:invertIfNegative val="0"/>
          <c:cat>
            <c:strRef>
              <c:f>'1987-2009'!$C$69:$C$76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'1987-2009'!$D$69:$D$76</c:f>
              <c:numCache>
                <c:formatCode>#,##0</c:formatCode>
                <c:ptCount val="8"/>
                <c:pt idx="0">
                  <c:v>57155</c:v>
                </c:pt>
                <c:pt idx="1">
                  <c:v>8436</c:v>
                </c:pt>
                <c:pt idx="2">
                  <c:v>13777</c:v>
                </c:pt>
                <c:pt idx="3">
                  <c:v>17720</c:v>
                </c:pt>
                <c:pt idx="4">
                  <c:v>2550</c:v>
                </c:pt>
                <c:pt idx="5">
                  <c:v>5398</c:v>
                </c:pt>
                <c:pt idx="6">
                  <c:v>5674</c:v>
                </c:pt>
                <c:pt idx="7">
                  <c:v>51171</c:v>
                </c:pt>
              </c:numCache>
            </c:numRef>
          </c:val>
        </c:ser>
        <c:ser>
          <c:idx val="1"/>
          <c:order val="1"/>
          <c:tx>
            <c:strRef>
              <c:f>'1987-2009'!$E$68</c:f>
              <c:strCache>
                <c:ptCount val="1"/>
                <c:pt idx="0">
                  <c:v>1998</c:v>
                </c:pt>
              </c:strCache>
            </c:strRef>
          </c:tx>
          <c:invertIfNegative val="0"/>
          <c:cat>
            <c:strRef>
              <c:f>'1987-2009'!$C$69:$C$76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'1987-2009'!$E$69:$E$76</c:f>
              <c:numCache>
                <c:formatCode>#,##0</c:formatCode>
                <c:ptCount val="8"/>
                <c:pt idx="0">
                  <c:v>62175</c:v>
                </c:pt>
                <c:pt idx="1">
                  <c:v>11597</c:v>
                </c:pt>
                <c:pt idx="2">
                  <c:v>18337</c:v>
                </c:pt>
                <c:pt idx="3">
                  <c:v>24415</c:v>
                </c:pt>
                <c:pt idx="4">
                  <c:v>3835</c:v>
                </c:pt>
                <c:pt idx="5">
                  <c:v>11055</c:v>
                </c:pt>
                <c:pt idx="6">
                  <c:v>5372</c:v>
                </c:pt>
                <c:pt idx="7">
                  <c:v>80609</c:v>
                </c:pt>
              </c:numCache>
            </c:numRef>
          </c:val>
        </c:ser>
        <c:ser>
          <c:idx val="2"/>
          <c:order val="2"/>
          <c:tx>
            <c:strRef>
              <c:f>'1987-2009'!$F$68</c:f>
              <c:strCache>
                <c:ptCount val="1"/>
                <c:pt idx="0">
                  <c:v>2009</c:v>
                </c:pt>
              </c:strCache>
            </c:strRef>
          </c:tx>
          <c:invertIfNegative val="0"/>
          <c:cat>
            <c:strRef>
              <c:f>'1987-2009'!$C$69:$C$76</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'1987-2009'!$F$69:$F$76</c:f>
              <c:numCache>
                <c:formatCode>#,##0</c:formatCode>
                <c:ptCount val="8"/>
                <c:pt idx="0">
                  <c:v>91868</c:v>
                </c:pt>
                <c:pt idx="1">
                  <c:v>34695</c:v>
                </c:pt>
                <c:pt idx="2">
                  <c:v>38015</c:v>
                </c:pt>
                <c:pt idx="3">
                  <c:v>44303</c:v>
                </c:pt>
                <c:pt idx="4">
                  <c:v>12038</c:v>
                </c:pt>
                <c:pt idx="5">
                  <c:v>11934</c:v>
                </c:pt>
                <c:pt idx="6">
                  <c:v>13176</c:v>
                </c:pt>
                <c:pt idx="7">
                  <c:v>208763</c:v>
                </c:pt>
              </c:numCache>
            </c:numRef>
          </c:val>
        </c:ser>
        <c:dLbls>
          <c:showLegendKey val="0"/>
          <c:showVal val="0"/>
          <c:showCatName val="0"/>
          <c:showSerName val="0"/>
          <c:showPercent val="0"/>
          <c:showBubbleSize val="0"/>
        </c:dLbls>
        <c:gapWidth val="150"/>
        <c:axId val="537056688"/>
        <c:axId val="537057080"/>
      </c:barChart>
      <c:catAx>
        <c:axId val="537056688"/>
        <c:scaling>
          <c:orientation val="minMax"/>
        </c:scaling>
        <c:delete val="0"/>
        <c:axPos val="b"/>
        <c:numFmt formatCode="General" sourceLinked="0"/>
        <c:majorTickMark val="out"/>
        <c:minorTickMark val="none"/>
        <c:tickLblPos val="nextTo"/>
        <c:crossAx val="537057080"/>
        <c:crosses val="autoZero"/>
        <c:auto val="1"/>
        <c:lblAlgn val="ctr"/>
        <c:lblOffset val="100"/>
        <c:noMultiLvlLbl val="0"/>
      </c:catAx>
      <c:valAx>
        <c:axId val="537057080"/>
        <c:scaling>
          <c:orientation val="minMax"/>
        </c:scaling>
        <c:delete val="0"/>
        <c:axPos val="l"/>
        <c:majorGridlines/>
        <c:numFmt formatCode="#,##0" sourceLinked="1"/>
        <c:majorTickMark val="out"/>
        <c:minorTickMark val="none"/>
        <c:tickLblPos val="nextTo"/>
        <c:crossAx val="53705668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'1987-2009'!$D$84</c:f>
              <c:strCache>
                <c:ptCount val="1"/>
                <c:pt idx="0">
                  <c:v>1987</c:v>
                </c:pt>
              </c:strCache>
            </c:strRef>
          </c:tx>
          <c:invertIfNegative val="0"/>
          <c:cat>
            <c:strRef>
              <c:f>'1987-2009'!$C$85:$C$92</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'1987-2009'!$D$85:$D$92</c:f>
              <c:numCache>
                <c:formatCode>#,##0</c:formatCode>
                <c:ptCount val="8"/>
                <c:pt idx="0">
                  <c:v>1203</c:v>
                </c:pt>
                <c:pt idx="1">
                  <c:v>235</c:v>
                </c:pt>
                <c:pt idx="2">
                  <c:v>287</c:v>
                </c:pt>
                <c:pt idx="3">
                  <c:v>436</c:v>
                </c:pt>
                <c:pt idx="4">
                  <c:v>38</c:v>
                </c:pt>
                <c:pt idx="5">
                  <c:v>41</c:v>
                </c:pt>
                <c:pt idx="6">
                  <c:v>423</c:v>
                </c:pt>
                <c:pt idx="7">
                  <c:v>2202</c:v>
                </c:pt>
              </c:numCache>
            </c:numRef>
          </c:val>
        </c:ser>
        <c:ser>
          <c:idx val="1"/>
          <c:order val="1"/>
          <c:tx>
            <c:strRef>
              <c:f>'1987-2009'!$E$84</c:f>
              <c:strCache>
                <c:ptCount val="1"/>
                <c:pt idx="0">
                  <c:v>1998</c:v>
                </c:pt>
              </c:strCache>
            </c:strRef>
          </c:tx>
          <c:invertIfNegative val="0"/>
          <c:cat>
            <c:strRef>
              <c:f>'1987-2009'!$C$85:$C$92</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'1987-2009'!$E$85:$E$92</c:f>
              <c:numCache>
                <c:formatCode>#,##0</c:formatCode>
                <c:ptCount val="8"/>
                <c:pt idx="0">
                  <c:v>54801</c:v>
                </c:pt>
                <c:pt idx="1">
                  <c:v>5360</c:v>
                </c:pt>
                <c:pt idx="2">
                  <c:v>7125</c:v>
                </c:pt>
                <c:pt idx="3">
                  <c:v>7211</c:v>
                </c:pt>
                <c:pt idx="4">
                  <c:v>1681</c:v>
                </c:pt>
                <c:pt idx="5">
                  <c:v>2835</c:v>
                </c:pt>
                <c:pt idx="6">
                  <c:v>2437</c:v>
                </c:pt>
                <c:pt idx="7">
                  <c:v>26942</c:v>
                </c:pt>
              </c:numCache>
            </c:numRef>
          </c:val>
        </c:ser>
        <c:ser>
          <c:idx val="2"/>
          <c:order val="2"/>
          <c:tx>
            <c:strRef>
              <c:f>'1987-2009'!$F$84</c:f>
              <c:strCache>
                <c:ptCount val="1"/>
                <c:pt idx="0">
                  <c:v>2009</c:v>
                </c:pt>
              </c:strCache>
            </c:strRef>
          </c:tx>
          <c:invertIfNegative val="0"/>
          <c:cat>
            <c:strRef>
              <c:f>'1987-2009'!$C$85:$C$92</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'1987-2009'!$F$85:$F$92</c:f>
              <c:numCache>
                <c:formatCode>#,##0</c:formatCode>
                <c:ptCount val="8"/>
                <c:pt idx="0">
                  <c:v>56694</c:v>
                </c:pt>
                <c:pt idx="1">
                  <c:v>10864</c:v>
                </c:pt>
                <c:pt idx="2">
                  <c:v>12602</c:v>
                </c:pt>
                <c:pt idx="3">
                  <c:v>11453</c:v>
                </c:pt>
                <c:pt idx="4">
                  <c:v>3645</c:v>
                </c:pt>
                <c:pt idx="5">
                  <c:v>3272</c:v>
                </c:pt>
                <c:pt idx="6">
                  <c:v>4766</c:v>
                </c:pt>
                <c:pt idx="7">
                  <c:v>64749</c:v>
                </c:pt>
              </c:numCache>
            </c:numRef>
          </c:val>
        </c:ser>
        <c:dLbls>
          <c:showLegendKey val="0"/>
          <c:showVal val="0"/>
          <c:showCatName val="0"/>
          <c:showSerName val="0"/>
          <c:showPercent val="0"/>
          <c:showBubbleSize val="0"/>
        </c:dLbls>
        <c:gapWidth val="150"/>
        <c:axId val="537057864"/>
        <c:axId val="536659464"/>
      </c:barChart>
      <c:catAx>
        <c:axId val="537057864"/>
        <c:scaling>
          <c:orientation val="minMax"/>
        </c:scaling>
        <c:delete val="0"/>
        <c:axPos val="b"/>
        <c:numFmt formatCode="General" sourceLinked="0"/>
        <c:majorTickMark val="out"/>
        <c:minorTickMark val="none"/>
        <c:tickLblPos val="nextTo"/>
        <c:crossAx val="536659464"/>
        <c:crosses val="autoZero"/>
        <c:auto val="1"/>
        <c:lblAlgn val="ctr"/>
        <c:lblOffset val="100"/>
        <c:noMultiLvlLbl val="0"/>
      </c:catAx>
      <c:valAx>
        <c:axId val="536659464"/>
        <c:scaling>
          <c:orientation val="minMax"/>
        </c:scaling>
        <c:delete val="0"/>
        <c:axPos val="l"/>
        <c:majorGridlines/>
        <c:numFmt formatCode="#,##0" sourceLinked="1"/>
        <c:majorTickMark val="out"/>
        <c:minorTickMark val="none"/>
        <c:tickLblPos val="nextTo"/>
        <c:crossAx val="537057864"/>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'1987-2009'!$D$37</c:f>
              <c:strCache>
                <c:ptCount val="1"/>
                <c:pt idx="0">
                  <c:v>1987</c:v>
                </c:pt>
              </c:strCache>
            </c:strRef>
          </c:tx>
          <c:invertIfNegative val="0"/>
          <c:cat>
            <c:strRef>
              <c:f>'1987-2009'!$C$38:$C$45</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'1987-2009'!$D$38:$D$45</c:f>
              <c:numCache>
                <c:formatCode>#,##0</c:formatCode>
                <c:ptCount val="8"/>
                <c:pt idx="0">
                  <c:v>18490</c:v>
                </c:pt>
                <c:pt idx="1">
                  <c:v>5530</c:v>
                </c:pt>
                <c:pt idx="2">
                  <c:v>12041</c:v>
                </c:pt>
                <c:pt idx="3">
                  <c:v>11916</c:v>
                </c:pt>
                <c:pt idx="4">
                  <c:v>2566</c:v>
                </c:pt>
                <c:pt idx="5">
                  <c:v>2717</c:v>
                </c:pt>
                <c:pt idx="6">
                  <c:v>4885</c:v>
                </c:pt>
                <c:pt idx="7">
                  <c:v>39557</c:v>
                </c:pt>
              </c:numCache>
            </c:numRef>
          </c:val>
        </c:ser>
        <c:ser>
          <c:idx val="1"/>
          <c:order val="1"/>
          <c:tx>
            <c:strRef>
              <c:f>'1987-2009'!$E$37</c:f>
              <c:strCache>
                <c:ptCount val="1"/>
                <c:pt idx="0">
                  <c:v>1998</c:v>
                </c:pt>
              </c:strCache>
            </c:strRef>
          </c:tx>
          <c:invertIfNegative val="0"/>
          <c:cat>
            <c:strRef>
              <c:f>'1987-2009'!$C$38:$C$45</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'1987-2009'!$E$38:$E$45</c:f>
              <c:numCache>
                <c:formatCode>#,##0</c:formatCode>
                <c:ptCount val="8"/>
                <c:pt idx="0">
                  <c:v>15367</c:v>
                </c:pt>
                <c:pt idx="1">
                  <c:v>4906</c:v>
                </c:pt>
                <c:pt idx="2">
                  <c:v>6819</c:v>
                </c:pt>
                <c:pt idx="3">
                  <c:v>10365</c:v>
                </c:pt>
                <c:pt idx="4">
                  <c:v>1892</c:v>
                </c:pt>
                <c:pt idx="5">
                  <c:v>3003</c:v>
                </c:pt>
                <c:pt idx="6">
                  <c:v>2929</c:v>
                </c:pt>
                <c:pt idx="7">
                  <c:v>44023</c:v>
                </c:pt>
              </c:numCache>
            </c:numRef>
          </c:val>
        </c:ser>
        <c:ser>
          <c:idx val="2"/>
          <c:order val="2"/>
          <c:tx>
            <c:strRef>
              <c:f>'1987-2009'!$F$37</c:f>
              <c:strCache>
                <c:ptCount val="1"/>
                <c:pt idx="0">
                  <c:v>2009</c:v>
                </c:pt>
              </c:strCache>
            </c:strRef>
          </c:tx>
          <c:invertIfNegative val="0"/>
          <c:cat>
            <c:strRef>
              <c:f>'1987-2009'!$C$38:$C$45</c:f>
              <c:strCache>
                <c:ptCount val="8"/>
                <c:pt idx="0">
                  <c:v>pop. &lt;5k</c:v>
                </c:pt>
                <c:pt idx="1">
                  <c:v>5k&lt;pop.&lt;30k, dens.&lt;250</c:v>
                </c:pt>
                <c:pt idx="2">
                  <c:v>5k&lt;pop.&lt;30k, dens.&gt;250</c:v>
                </c:pt>
                <c:pt idx="3">
                  <c:v>pop.&gt;=30k, dens.&gt;250</c:v>
                </c:pt>
                <c:pt idx="4">
                  <c:v>Kayes</c:v>
                </c:pt>
                <c:pt idx="5">
                  <c:v>Sikasso</c:v>
                </c:pt>
                <c:pt idx="6">
                  <c:v>Ségou</c:v>
                </c:pt>
                <c:pt idx="7">
                  <c:v>Bamako</c:v>
                </c:pt>
              </c:strCache>
            </c:strRef>
          </c:cat>
          <c:val>
            <c:numRef>
              <c:f>'1987-2009'!$F$38:$F$45</c:f>
              <c:numCache>
                <c:formatCode>#,##0</c:formatCode>
                <c:ptCount val="8"/>
                <c:pt idx="0">
                  <c:v>89197</c:v>
                </c:pt>
                <c:pt idx="1">
                  <c:v>23112</c:v>
                </c:pt>
                <c:pt idx="2">
                  <c:v>22827</c:v>
                </c:pt>
                <c:pt idx="3">
                  <c:v>24317</c:v>
                </c:pt>
                <c:pt idx="4">
                  <c:v>4877</c:v>
                </c:pt>
                <c:pt idx="5">
                  <c:v>5999</c:v>
                </c:pt>
                <c:pt idx="6">
                  <c:v>9080</c:v>
                </c:pt>
                <c:pt idx="7">
                  <c:v>98848</c:v>
                </c:pt>
              </c:numCache>
            </c:numRef>
          </c:val>
        </c:ser>
        <c:dLbls>
          <c:showLegendKey val="0"/>
          <c:showVal val="0"/>
          <c:showCatName val="0"/>
          <c:showSerName val="0"/>
          <c:showPercent val="0"/>
          <c:showBubbleSize val="0"/>
        </c:dLbls>
        <c:gapWidth val="150"/>
        <c:axId val="537314968"/>
        <c:axId val="537315360"/>
      </c:barChart>
      <c:catAx>
        <c:axId val="537314968"/>
        <c:scaling>
          <c:orientation val="minMax"/>
        </c:scaling>
        <c:delete val="0"/>
        <c:axPos val="b"/>
        <c:numFmt formatCode="General" sourceLinked="0"/>
        <c:majorTickMark val="out"/>
        <c:minorTickMark val="none"/>
        <c:tickLblPos val="nextTo"/>
        <c:crossAx val="537315360"/>
        <c:crosses val="autoZero"/>
        <c:auto val="1"/>
        <c:lblAlgn val="ctr"/>
        <c:lblOffset val="100"/>
        <c:noMultiLvlLbl val="0"/>
      </c:catAx>
      <c:valAx>
        <c:axId val="537315360"/>
        <c:scaling>
          <c:orientation val="minMax"/>
        </c:scaling>
        <c:delete val="0"/>
        <c:axPos val="l"/>
        <c:majorGridlines/>
        <c:numFmt formatCode="#,##0" sourceLinked="1"/>
        <c:majorTickMark val="out"/>
        <c:minorTickMark val="none"/>
        <c:tickLblPos val="nextTo"/>
        <c:crossAx val="53731496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[primaire.txt]primaire!$N$51</c:f>
              <c:strCache>
                <c:ptCount val="1"/>
                <c:pt idx="0">
                  <c:v>Primaire</c:v>
                </c:pt>
              </c:strCache>
            </c:strRef>
          </c:tx>
          <c:invertIfNegative val="0"/>
          <c:dLbls>
            <c:dLbl>
              <c:idx val="10"/>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[primaire.txt]primaire!$M$52:$M$62</c:f>
              <c:strCache>
                <c:ptCount val="11"/>
                <c:pt idx="0">
                  <c:v>Kayes</c:v>
                </c:pt>
                <c:pt idx="1">
                  <c:v>Koulikoro</c:v>
                </c:pt>
                <c:pt idx="2">
                  <c:v>Sikasso</c:v>
                </c:pt>
                <c:pt idx="3">
                  <c:v>Segou</c:v>
                </c:pt>
                <c:pt idx="4">
                  <c:v>Mopti</c:v>
                </c:pt>
                <c:pt idx="5">
                  <c:v>Tombouctou</c:v>
                </c:pt>
                <c:pt idx="6">
                  <c:v>Gao</c:v>
                </c:pt>
                <c:pt idx="7">
                  <c:v>KidaI</c:v>
                </c:pt>
                <c:pt idx="8">
                  <c:v>Bamako</c:v>
                </c:pt>
                <c:pt idx="10">
                  <c:v>Mali</c:v>
                </c:pt>
              </c:strCache>
            </c:strRef>
          </c:cat>
          <c:val>
            <c:numRef>
              <c:f>[primaire.txt]primaire!$N$52:$N$62</c:f>
              <c:numCache>
                <c:formatCode>0%</c:formatCode>
                <c:ptCount val="11"/>
                <c:pt idx="0">
                  <c:v>0.12310713362412747</c:v>
                </c:pt>
                <c:pt idx="1">
                  <c:v>0.12617092315223788</c:v>
                </c:pt>
                <c:pt idx="2">
                  <c:v>0.17340938718708915</c:v>
                </c:pt>
                <c:pt idx="3">
                  <c:v>0.14120934428303475</c:v>
                </c:pt>
                <c:pt idx="4">
                  <c:v>0.2145642763241126</c:v>
                </c:pt>
                <c:pt idx="5">
                  <c:v>9.2216214432263841E-2</c:v>
                </c:pt>
                <c:pt idx="6">
                  <c:v>9.3338320471284528E-2</c:v>
                </c:pt>
                <c:pt idx="7">
                  <c:v>3.02033542169735E-2</c:v>
                </c:pt>
                <c:pt idx="8">
                  <c:v>5.7810463088761883E-3</c:v>
                </c:pt>
                <c:pt idx="10">
                  <c:v>0.24942867299781624</c:v>
                </c:pt>
              </c:numCache>
            </c:numRef>
          </c:val>
        </c:ser>
        <c:ser>
          <c:idx val="1"/>
          <c:order val="1"/>
          <c:tx>
            <c:strRef>
              <c:f>[primaire.txt]primaire!$O$51</c:f>
              <c:strCache>
                <c:ptCount val="1"/>
                <c:pt idx="0">
                  <c:v>Secondaire</c:v>
                </c:pt>
              </c:strCache>
            </c:strRef>
          </c:tx>
          <c:invertIfNegative val="0"/>
          <c:dLbls>
            <c:dLbl>
              <c:idx val="10"/>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[primaire.txt]primaire!$M$52:$M$62</c:f>
              <c:strCache>
                <c:ptCount val="11"/>
                <c:pt idx="0">
                  <c:v>Kayes</c:v>
                </c:pt>
                <c:pt idx="1">
                  <c:v>Koulikoro</c:v>
                </c:pt>
                <c:pt idx="2">
                  <c:v>Sikasso</c:v>
                </c:pt>
                <c:pt idx="3">
                  <c:v>Segou</c:v>
                </c:pt>
                <c:pt idx="4">
                  <c:v>Mopti</c:v>
                </c:pt>
                <c:pt idx="5">
                  <c:v>Tombouctou</c:v>
                </c:pt>
                <c:pt idx="6">
                  <c:v>Gao</c:v>
                </c:pt>
                <c:pt idx="7">
                  <c:v>KidaI</c:v>
                </c:pt>
                <c:pt idx="8">
                  <c:v>Bamako</c:v>
                </c:pt>
                <c:pt idx="10">
                  <c:v>Mali</c:v>
                </c:pt>
              </c:strCache>
            </c:strRef>
          </c:cat>
          <c:val>
            <c:numRef>
              <c:f>[primaire.txt]primaire!$O$52:$O$62</c:f>
              <c:numCache>
                <c:formatCode>0%</c:formatCode>
                <c:ptCount val="11"/>
                <c:pt idx="0">
                  <c:v>0.19785584302555584</c:v>
                </c:pt>
                <c:pt idx="1">
                  <c:v>0.10076350977134269</c:v>
                </c:pt>
                <c:pt idx="2">
                  <c:v>9.7792546878708767E-2</c:v>
                </c:pt>
                <c:pt idx="3">
                  <c:v>7.3704406994224231E-2</c:v>
                </c:pt>
                <c:pt idx="4">
                  <c:v>6.3691747764854829E-4</c:v>
                </c:pt>
                <c:pt idx="5">
                  <c:v>3.4417279848089253E-4</c:v>
                </c:pt>
                <c:pt idx="6">
                  <c:v>2.7692064245589051E-4</c:v>
                </c:pt>
                <c:pt idx="7">
                  <c:v>0</c:v>
                </c:pt>
                <c:pt idx="8">
                  <c:v>0.52862568241158325</c:v>
                </c:pt>
                <c:pt idx="10">
                  <c:v>0.37723989483676656</c:v>
                </c:pt>
              </c:numCache>
            </c:numRef>
          </c:val>
        </c:ser>
        <c:ser>
          <c:idx val="2"/>
          <c:order val="2"/>
          <c:tx>
            <c:strRef>
              <c:f>[primaire.txt]primaire!$P$51</c:f>
              <c:strCache>
                <c:ptCount val="1"/>
                <c:pt idx="0">
                  <c:v>Tertiaire</c:v>
                </c:pt>
              </c:strCache>
            </c:strRef>
          </c:tx>
          <c:invertIfNegative val="0"/>
          <c:dLbls>
            <c:dLbl>
              <c:idx val="10"/>
              <c:layout>
                <c:manualLayout>
                  <c:x val="1.239946386150222E-2"/>
                  <c:y val="2.60196848135187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[primaire.txt]primaire!$M$52:$M$62</c:f>
              <c:strCache>
                <c:ptCount val="11"/>
                <c:pt idx="0">
                  <c:v>Kayes</c:v>
                </c:pt>
                <c:pt idx="1">
                  <c:v>Koulikoro</c:v>
                </c:pt>
                <c:pt idx="2">
                  <c:v>Sikasso</c:v>
                </c:pt>
                <c:pt idx="3">
                  <c:v>Segou</c:v>
                </c:pt>
                <c:pt idx="4">
                  <c:v>Mopti</c:v>
                </c:pt>
                <c:pt idx="5">
                  <c:v>Tombouctou</c:v>
                </c:pt>
                <c:pt idx="6">
                  <c:v>Gao</c:v>
                </c:pt>
                <c:pt idx="7">
                  <c:v>KidaI</c:v>
                </c:pt>
                <c:pt idx="8">
                  <c:v>Bamako</c:v>
                </c:pt>
                <c:pt idx="10">
                  <c:v>Mali</c:v>
                </c:pt>
              </c:strCache>
            </c:strRef>
          </c:cat>
          <c:val>
            <c:numRef>
              <c:f>[primaire.txt]primaire!$P$52:$P$62</c:f>
              <c:numCache>
                <c:formatCode>0%</c:formatCode>
                <c:ptCount val="11"/>
                <c:pt idx="0">
                  <c:v>0.1978525435728011</c:v>
                </c:pt>
                <c:pt idx="1">
                  <c:v>0.10076526312240837</c:v>
                </c:pt>
                <c:pt idx="2">
                  <c:v>9.7791861915517642E-2</c:v>
                </c:pt>
                <c:pt idx="3">
                  <c:v>7.3704615177156721E-2</c:v>
                </c:pt>
                <c:pt idx="4">
                  <c:v>6.3715740147658696E-4</c:v>
                </c:pt>
                <c:pt idx="5">
                  <c:v>3.4386272460641199E-4</c:v>
                </c:pt>
                <c:pt idx="6">
                  <c:v>2.798098641405117E-4</c:v>
                </c:pt>
                <c:pt idx="7">
                  <c:v>0</c:v>
                </c:pt>
                <c:pt idx="8">
                  <c:v>0.52862488622189252</c:v>
                </c:pt>
                <c:pt idx="10">
                  <c:v>0.37333143216541725</c:v>
                </c:pt>
              </c:numCache>
            </c:numRef>
          </c:val>
        </c:ser>
        <c:ser>
          <c:idx val="3"/>
          <c:order val="3"/>
          <c:tx>
            <c:strRef>
              <c:f>[primaire.txt]primaire!$Q$51</c:f>
              <c:strCache>
                <c:ptCount val="1"/>
                <c:pt idx="0">
                  <c:v>PIB</c:v>
                </c:pt>
              </c:strCache>
            </c:strRef>
          </c:tx>
          <c:invertIfNegative val="0"/>
          <c:dLbls>
            <c:dLbl>
              <c:idx val="1"/>
              <c:layout>
                <c:manualLayout>
                  <c:x val="2.0665773102503701E-3"/>
                  <c:y val="4.22827669483332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20393829542849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665773102503701E-3"/>
                  <c:y val="5.52918443889277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92721529117853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[primaire.txt]primaire!$M$52:$M$62</c:f>
              <c:strCache>
                <c:ptCount val="11"/>
                <c:pt idx="0">
                  <c:v>Kayes</c:v>
                </c:pt>
                <c:pt idx="1">
                  <c:v>Koulikoro</c:v>
                </c:pt>
                <c:pt idx="2">
                  <c:v>Sikasso</c:v>
                </c:pt>
                <c:pt idx="3">
                  <c:v>Segou</c:v>
                </c:pt>
                <c:pt idx="4">
                  <c:v>Mopti</c:v>
                </c:pt>
                <c:pt idx="5">
                  <c:v>Tombouctou</c:v>
                </c:pt>
                <c:pt idx="6">
                  <c:v>Gao</c:v>
                </c:pt>
                <c:pt idx="7">
                  <c:v>KidaI</c:v>
                </c:pt>
                <c:pt idx="8">
                  <c:v>Bamako</c:v>
                </c:pt>
                <c:pt idx="10">
                  <c:v>Mali</c:v>
                </c:pt>
              </c:strCache>
            </c:strRef>
          </c:cat>
          <c:val>
            <c:numRef>
              <c:f>[primaire.txt]primaire!$Q$52:$Q$62</c:f>
              <c:numCache>
                <c:formatCode>0%</c:formatCode>
                <c:ptCount val="11"/>
                <c:pt idx="0">
                  <c:v>0.1792697319925439</c:v>
                </c:pt>
                <c:pt idx="1">
                  <c:v>0.10708126655643857</c:v>
                </c:pt>
                <c:pt idx="2">
                  <c:v>0.1165928849538642</c:v>
                </c:pt>
                <c:pt idx="3">
                  <c:v>9.0488244843143786E-2</c:v>
                </c:pt>
                <c:pt idx="4">
                  <c:v>5.3825776690996169E-2</c:v>
                </c:pt>
                <c:pt idx="5">
                  <c:v>2.3186193861963241E-2</c:v>
                </c:pt>
                <c:pt idx="6">
                  <c:v>2.3415949705351807E-2</c:v>
                </c:pt>
                <c:pt idx="7">
                  <c:v>7.5094603336109548E-3</c:v>
                </c:pt>
                <c:pt idx="8">
                  <c:v>0.39863049106208742</c:v>
                </c:pt>
              </c:numCache>
            </c:numRef>
          </c:val>
        </c:ser>
        <c:dLbls>
          <c:showLegendKey val="0"/>
          <c:showVal val="0"/>
          <c:showCatName val="0"/>
          <c:showSerName val="0"/>
          <c:showPercent val="0"/>
          <c:showBubbleSize val="0"/>
        </c:dLbls>
        <c:gapWidth val="75"/>
        <c:overlap val="-25"/>
        <c:axId val="537315752"/>
        <c:axId val="537316144"/>
      </c:barChart>
      <c:barChart>
        <c:barDir val="col"/>
        <c:grouping val="clustered"/>
        <c:varyColors val="0"/>
        <c:ser>
          <c:idx val="4"/>
          <c:order val="4"/>
          <c:tx>
            <c:strRef>
              <c:f>[primaire.txt]primaire!$Y$51</c:f>
              <c:strCache>
                <c:ptCount val="1"/>
                <c:pt idx="0">
                  <c:v>PIB par habitant (US$ 2005)</c:v>
                </c:pt>
              </c:strCache>
            </c:strRef>
          </c:tx>
          <c:spPr>
            <a:solidFill>
              <a:schemeClr val="accent6">
                <a:lumMod val="75000"/>
                <a:alpha val="33000"/>
              </a:schemeClr>
            </a:solidFill>
            <a:effectLst>
              <a:glow rad="63500">
                <a:schemeClr val="accent6">
                  <a:satMod val="175000"/>
                  <a:alpha val="40000"/>
                </a:schemeClr>
              </a:glow>
            </a:effectLst>
          </c:spPr>
          <c:invertIfNegative val="0"/>
          <c:dLbls>
            <c:dLbl>
              <c:idx val="10"/>
              <c:layout>
                <c:manualLayout>
                  <c:x val="0"/>
                  <c:y val="1.23357923136908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[primaire.txt]primaire!$Y$52:$Y$62</c:f>
              <c:numCache>
                <c:formatCode>_("$"* #,##0_);_("$"* \(#,##0\);_("$"* "-"??_);_(@_)</c:formatCode>
                <c:ptCount val="11"/>
                <c:pt idx="0">
                  <c:v>634.65095664693126</c:v>
                </c:pt>
                <c:pt idx="1">
                  <c:v>312.02490361816473</c:v>
                </c:pt>
                <c:pt idx="2">
                  <c:v>311.32552976747121</c:v>
                </c:pt>
                <c:pt idx="3">
                  <c:v>273.11911503159308</c:v>
                </c:pt>
                <c:pt idx="4">
                  <c:v>186.56802539001956</c:v>
                </c:pt>
                <c:pt idx="5">
                  <c:v>242.50916507035873</c:v>
                </c:pt>
                <c:pt idx="6">
                  <c:v>306.35957033775622</c:v>
                </c:pt>
                <c:pt idx="7">
                  <c:v>782.41867718887693</c:v>
                </c:pt>
                <c:pt idx="8">
                  <c:v>1554.0800752007656</c:v>
                </c:pt>
                <c:pt idx="10">
                  <c:v>485.88</c:v>
                </c:pt>
              </c:numCache>
            </c:numRef>
          </c:val>
        </c:ser>
        <c:dLbls>
          <c:showLegendKey val="0"/>
          <c:showVal val="0"/>
          <c:showCatName val="0"/>
          <c:showSerName val="0"/>
          <c:showPercent val="0"/>
          <c:showBubbleSize val="0"/>
        </c:dLbls>
        <c:gapWidth val="75"/>
        <c:overlap val="-100"/>
        <c:axId val="537316928"/>
        <c:axId val="537316536"/>
      </c:barChart>
      <c:catAx>
        <c:axId val="537315752"/>
        <c:scaling>
          <c:orientation val="minMax"/>
        </c:scaling>
        <c:delete val="0"/>
        <c:axPos val="b"/>
        <c:numFmt formatCode="General" sourceLinked="0"/>
        <c:majorTickMark val="none"/>
        <c:minorTickMark val="none"/>
        <c:tickLblPos val="nextTo"/>
        <c:crossAx val="537316144"/>
        <c:crosses val="autoZero"/>
        <c:auto val="1"/>
        <c:lblAlgn val="ctr"/>
        <c:lblOffset val="100"/>
        <c:noMultiLvlLbl val="0"/>
      </c:catAx>
      <c:valAx>
        <c:axId val="537316144"/>
        <c:scaling>
          <c:orientation val="minMax"/>
        </c:scaling>
        <c:delete val="0"/>
        <c:axPos val="l"/>
        <c:majorGridlines/>
        <c:title>
          <c:tx>
            <c:rich>
              <a:bodyPr rot="-5400000" vert="horz"/>
              <a:lstStyle/>
              <a:p>
                <a:pPr>
                  <a:defRPr/>
                </a:pPr>
                <a:r>
                  <a:rPr lang="en-US"/>
                  <a:t>Share of GDP</a:t>
                </a:r>
              </a:p>
            </c:rich>
          </c:tx>
          <c:layout/>
          <c:overlay val="0"/>
        </c:title>
        <c:numFmt formatCode="0%" sourceLinked="1"/>
        <c:majorTickMark val="none"/>
        <c:minorTickMark val="none"/>
        <c:tickLblPos val="nextTo"/>
        <c:spPr>
          <a:ln w="9525">
            <a:noFill/>
          </a:ln>
        </c:spPr>
        <c:crossAx val="537315752"/>
        <c:crosses val="autoZero"/>
        <c:crossBetween val="between"/>
      </c:valAx>
      <c:valAx>
        <c:axId val="537316536"/>
        <c:scaling>
          <c:orientation val="minMax"/>
        </c:scaling>
        <c:delete val="0"/>
        <c:axPos val="r"/>
        <c:title>
          <c:tx>
            <c:rich>
              <a:bodyPr rot="-5400000" vert="horz"/>
              <a:lstStyle/>
              <a:p>
                <a:pPr>
                  <a:defRPr/>
                </a:pPr>
                <a:r>
                  <a:rPr lang="en-US"/>
                  <a:t>GDP per capita</a:t>
                </a:r>
              </a:p>
            </c:rich>
          </c:tx>
          <c:layout/>
          <c:overlay val="0"/>
        </c:title>
        <c:numFmt formatCode="_(&quot;$&quot;* #,##0_);_(&quot;$&quot;* \(#,##0\);_(&quot;$&quot;* &quot;-&quot;??_);_(@_)" sourceLinked="1"/>
        <c:majorTickMark val="out"/>
        <c:minorTickMark val="none"/>
        <c:tickLblPos val="nextTo"/>
        <c:crossAx val="537316928"/>
        <c:crosses val="max"/>
        <c:crossBetween val="between"/>
      </c:valAx>
      <c:catAx>
        <c:axId val="537316928"/>
        <c:scaling>
          <c:orientation val="minMax"/>
        </c:scaling>
        <c:delete val="1"/>
        <c:axPos val="b"/>
        <c:majorTickMark val="out"/>
        <c:minorTickMark val="none"/>
        <c:tickLblPos val="nextTo"/>
        <c:crossAx val="537316536"/>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569403694477108E-2"/>
          <c:y val="0.10416666666666667"/>
          <c:w val="0.33458199614811923"/>
          <c:h val="0.73807293939374197"/>
        </c:manualLayout>
      </c:layout>
      <c:pieChart>
        <c:varyColors val="1"/>
        <c:ser>
          <c:idx val="0"/>
          <c:order val="0"/>
          <c:explosion val="25"/>
          <c:dPt>
            <c:idx val="8"/>
            <c:bubble3D val="0"/>
            <c:spPr>
              <a:pattFill prst="ltDnDiag">
                <a:fgClr>
                  <a:schemeClr val="accent1"/>
                </a:fgClr>
                <a:bgClr>
                  <a:schemeClr val="bg1"/>
                </a:bgClr>
              </a:pattFill>
            </c:spPr>
          </c:dPt>
          <c:dPt>
            <c:idx val="9"/>
            <c:bubble3D val="0"/>
            <c:spPr>
              <a:pattFill prst="pct90">
                <a:fgClr>
                  <a:schemeClr val="accent1"/>
                </a:fgClr>
                <a:bgClr>
                  <a:schemeClr val="bg1"/>
                </a:bgClr>
              </a:pattFill>
            </c:spPr>
          </c:dPt>
          <c:dPt>
            <c:idx val="10"/>
            <c:bubble3D val="0"/>
            <c:spPr>
              <a:pattFill prst="smGrid">
                <a:fgClr>
                  <a:schemeClr val="accent1"/>
                </a:fgClr>
                <a:bgClr>
                  <a:schemeClr val="bg1"/>
                </a:bgClr>
              </a:pattFill>
            </c:spPr>
          </c:dPt>
          <c:dLbls>
            <c:spPr>
              <a:noFill/>
              <a:ln>
                <a:noFill/>
              </a:ln>
              <a:effectLst/>
            </c:spPr>
            <c:txPr>
              <a:bodyPr/>
              <a:lstStyle/>
              <a:p>
                <a:pPr>
                  <a:defRPr sz="900"/>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Poverty!$B$137:$B$149</c:f>
              <c:strCache>
                <c:ptCount val="13"/>
                <c:pt idx="0">
                  <c:v>1. Nomadism and trans-Saharan trade</c:v>
                </c:pt>
                <c:pt idx="1">
                  <c:v>2. Nomadic and transhumant pastoralism</c:v>
                </c:pt>
                <c:pt idx="2">
                  <c:v>3.  Fluvial rice and transhumant livestock rearing </c:v>
                </c:pt>
                <c:pt idx="3">
                  <c:v>4. Millet and transhumant livestock rearing</c:v>
                </c:pt>
                <c:pt idx="4">
                  <c:v>5. Dogon plateau -- millet, shallots, wild foods, tourism</c:v>
                </c:pt>
                <c:pt idx="5">
                  <c:v>6. Niger delta - rice and livestock rearing </c:v>
                </c:pt>
                <c:pt idx="6">
                  <c:v>7. Office du Niger (irrigated rice)</c:v>
                </c:pt>
                <c:pt idx="7">
                  <c:v>8. Remittances, sorghum, transhumant livestock rearing</c:v>
                </c:pt>
                <c:pt idx="8">
                  <c:v>9. West and central rainfed millet/sorghum</c:v>
                </c:pt>
                <c:pt idx="9">
                  <c:v>10. Sorghum, millet and cotton</c:v>
                </c:pt>
                <c:pt idx="10">
                  <c:v>11. South maize, cotton and fruits</c:v>
                </c:pt>
                <c:pt idx="11">
                  <c:v>12. South-west maize, sorghum and fruits</c:v>
                </c:pt>
                <c:pt idx="12">
                  <c:v>13. Bamako</c:v>
                </c:pt>
              </c:strCache>
            </c:strRef>
          </c:cat>
          <c:val>
            <c:numRef>
              <c:f>Poverty!$C$137:$C$149</c:f>
              <c:numCache>
                <c:formatCode>#,###,##0.0</c:formatCode>
                <c:ptCount val="13"/>
                <c:pt idx="0">
                  <c:v>0.1641239055339074</c:v>
                </c:pt>
                <c:pt idx="1">
                  <c:v>1.5762789734567226</c:v>
                </c:pt>
                <c:pt idx="2">
                  <c:v>0.86549053971729983</c:v>
                </c:pt>
                <c:pt idx="3">
                  <c:v>9.8899548307353928</c:v>
                </c:pt>
                <c:pt idx="4">
                  <c:v>2.1771008512917365</c:v>
                </c:pt>
                <c:pt idx="5">
                  <c:v>4.9852452206591362</c:v>
                </c:pt>
                <c:pt idx="6">
                  <c:v>1.4638408409960026</c:v>
                </c:pt>
                <c:pt idx="7">
                  <c:v>2.3833287617255343</c:v>
                </c:pt>
                <c:pt idx="8">
                  <c:v>24.249341570061226</c:v>
                </c:pt>
                <c:pt idx="9">
                  <c:v>14.900697245346043</c:v>
                </c:pt>
                <c:pt idx="10">
                  <c:v>30.379406883904885</c:v>
                </c:pt>
                <c:pt idx="11">
                  <c:v>4.6894556523345701</c:v>
                </c:pt>
                <c:pt idx="12">
                  <c:v>2.2757347242375454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4764333812639268"/>
          <c:y val="6.9561096529600483E-3"/>
          <c:w val="0.54976139793549428"/>
          <c:h val="0.99068491128435243"/>
        </c:manualLayout>
      </c:layout>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'Time series'!$F$2</c:f>
              <c:strCache>
                <c:ptCount val="1"/>
                <c:pt idx="0">
                  <c:v>GDP per capita (constant 2005 US$)</c:v>
                </c:pt>
              </c:strCache>
            </c:strRef>
          </c:tx>
          <c:marker>
            <c:symbol val="none"/>
          </c:marker>
          <c:cat>
            <c:strRef>
              <c:f>'Time series'!$G$1:$AW$1</c:f>
              <c:strCache>
                <c:ptCount val="4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strCache>
            </c:strRef>
          </c:cat>
          <c:val>
            <c:numRef>
              <c:f>'Time series'!$G$2:$AW$2</c:f>
              <c:numCache>
                <c:formatCode>General</c:formatCode>
                <c:ptCount val="43"/>
                <c:pt idx="0">
                  <c:v>292.63187057428661</c:v>
                </c:pt>
                <c:pt idx="1">
                  <c:v>295.74273492586997</c:v>
                </c:pt>
                <c:pt idx="2">
                  <c:v>308.15827051913107</c:v>
                </c:pt>
                <c:pt idx="3">
                  <c:v>298.77032439996447</c:v>
                </c:pt>
                <c:pt idx="4">
                  <c:v>289.3809186396968</c:v>
                </c:pt>
                <c:pt idx="5">
                  <c:v>317.72636539979902</c:v>
                </c:pt>
                <c:pt idx="6">
                  <c:v>355.15555382666372</c:v>
                </c:pt>
                <c:pt idx="7">
                  <c:v>371.61082193874125</c:v>
                </c:pt>
                <c:pt idx="8">
                  <c:v>360.18642603394591</c:v>
                </c:pt>
                <c:pt idx="9">
                  <c:v>390.87599929664242</c:v>
                </c:pt>
                <c:pt idx="10">
                  <c:v>367.2939647731157</c:v>
                </c:pt>
                <c:pt idx="11">
                  <c:v>344.42889006427862</c:v>
                </c:pt>
                <c:pt idx="12">
                  <c:v>321.94024352952545</c:v>
                </c:pt>
                <c:pt idx="13">
                  <c:v>330.70965802096936</c:v>
                </c:pt>
                <c:pt idx="14">
                  <c:v>338.74340722643416</c:v>
                </c:pt>
                <c:pt idx="15">
                  <c:v>295.24836317676699</c:v>
                </c:pt>
                <c:pt idx="16">
                  <c:v>315.48548472386079</c:v>
                </c:pt>
                <c:pt idx="17">
                  <c:v>309.76065484968706</c:v>
                </c:pt>
                <c:pt idx="18">
                  <c:v>310.31053862491666</c:v>
                </c:pt>
                <c:pt idx="19">
                  <c:v>341.79515624109058</c:v>
                </c:pt>
                <c:pt idx="20">
                  <c:v>329.66267717115261</c:v>
                </c:pt>
                <c:pt idx="21">
                  <c:v>328.13396306754362</c:v>
                </c:pt>
                <c:pt idx="22">
                  <c:v>347.26604779327636</c:v>
                </c:pt>
                <c:pt idx="23">
                  <c:v>331.37210274217023</c:v>
                </c:pt>
                <c:pt idx="24">
                  <c:v>325.83950495151834</c:v>
                </c:pt>
                <c:pt idx="25">
                  <c:v>337.23857049415943</c:v>
                </c:pt>
                <c:pt idx="26">
                  <c:v>339.28616901918514</c:v>
                </c:pt>
                <c:pt idx="27">
                  <c:v>353.03437008785062</c:v>
                </c:pt>
                <c:pt idx="28">
                  <c:v>364.69365184335084</c:v>
                </c:pt>
                <c:pt idx="29">
                  <c:v>378.91859078852599</c:v>
                </c:pt>
                <c:pt idx="30">
                  <c:v>380.24823426735412</c:v>
                </c:pt>
                <c:pt idx="31">
                  <c:v>414.06341666490761</c:v>
                </c:pt>
                <c:pt idx="32">
                  <c:v>418.58395331317979</c:v>
                </c:pt>
                <c:pt idx="33">
                  <c:v>436.22110932942695</c:v>
                </c:pt>
                <c:pt idx="34">
                  <c:v>432.15064304401938</c:v>
                </c:pt>
                <c:pt idx="35">
                  <c:v>444.28464360496616</c:v>
                </c:pt>
                <c:pt idx="36">
                  <c:v>467.3564467898974</c:v>
                </c:pt>
                <c:pt idx="37">
                  <c:v>472.11938652142112</c:v>
                </c:pt>
                <c:pt idx="38">
                  <c:v>480.05658822812126</c:v>
                </c:pt>
                <c:pt idx="39">
                  <c:v>485.88527445364633</c:v>
                </c:pt>
                <c:pt idx="40">
                  <c:v>498.47514810755899</c:v>
                </c:pt>
                <c:pt idx="41">
                  <c:v>496.78286243708561</c:v>
                </c:pt>
                <c:pt idx="42">
                  <c:v>476.44467831645483</c:v>
                </c:pt>
              </c:numCache>
            </c:numRef>
          </c:val>
          <c:smooth val="0"/>
        </c:ser>
        <c:dLbls>
          <c:showLegendKey val="0"/>
          <c:showVal val="0"/>
          <c:showCatName val="0"/>
          <c:showSerName val="0"/>
          <c:showPercent val="0"/>
          <c:showBubbleSize val="0"/>
        </c:dLbls>
        <c:marker val="1"/>
        <c:smooth val="0"/>
        <c:axId val="537484672"/>
        <c:axId val="537317320"/>
      </c:lineChart>
      <c:lineChart>
        <c:grouping val="standard"/>
        <c:varyColors val="0"/>
        <c:ser>
          <c:idx val="1"/>
          <c:order val="1"/>
          <c:tx>
            <c:strRef>
              <c:f>'Time series'!$F$3</c:f>
              <c:strCache>
                <c:ptCount val="1"/>
                <c:pt idx="0">
                  <c:v>Urban population (% of total)</c:v>
                </c:pt>
              </c:strCache>
            </c:strRef>
          </c:tx>
          <c:spPr>
            <a:ln>
              <a:prstDash val="dash"/>
            </a:ln>
          </c:spPr>
          <c:marker>
            <c:symbol val="none"/>
          </c:marker>
          <c:cat>
            <c:strRef>
              <c:f>'Time series'!$G$1:$AW$1</c:f>
              <c:strCache>
                <c:ptCount val="4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strCache>
            </c:strRef>
          </c:cat>
          <c:val>
            <c:numRef>
              <c:f>'Time series'!$G$3:$AW$3</c:f>
              <c:numCache>
                <c:formatCode>General</c:formatCode>
                <c:ptCount val="43"/>
                <c:pt idx="0">
                  <c:v>14.33</c:v>
                </c:pt>
                <c:pt idx="1">
                  <c:v>14.7128</c:v>
                </c:pt>
                <c:pt idx="2">
                  <c:v>15.095599999999999</c:v>
                </c:pt>
                <c:pt idx="3">
                  <c:v>15.478400000000001</c:v>
                </c:pt>
                <c:pt idx="4">
                  <c:v>15.8612</c:v>
                </c:pt>
                <c:pt idx="5">
                  <c:v>16.244</c:v>
                </c:pt>
                <c:pt idx="6">
                  <c:v>16.692</c:v>
                </c:pt>
                <c:pt idx="7">
                  <c:v>17.14</c:v>
                </c:pt>
                <c:pt idx="8">
                  <c:v>17.588000000000001</c:v>
                </c:pt>
                <c:pt idx="9">
                  <c:v>18.036000000000001</c:v>
                </c:pt>
                <c:pt idx="10">
                  <c:v>18.484000000000002</c:v>
                </c:pt>
                <c:pt idx="11">
                  <c:v>18.989799999999999</c:v>
                </c:pt>
                <c:pt idx="12">
                  <c:v>19.4956</c:v>
                </c:pt>
                <c:pt idx="13">
                  <c:v>20.0014</c:v>
                </c:pt>
                <c:pt idx="14">
                  <c:v>20.507200000000001</c:v>
                </c:pt>
                <c:pt idx="15">
                  <c:v>21.013000000000002</c:v>
                </c:pt>
                <c:pt idx="16">
                  <c:v>21.474799999999998</c:v>
                </c:pt>
                <c:pt idx="17">
                  <c:v>21.936599999999999</c:v>
                </c:pt>
                <c:pt idx="18">
                  <c:v>22.398399999999999</c:v>
                </c:pt>
                <c:pt idx="19">
                  <c:v>22.860199999999999</c:v>
                </c:pt>
                <c:pt idx="20">
                  <c:v>23.321999999999999</c:v>
                </c:pt>
                <c:pt idx="21">
                  <c:v>23.761399999999998</c:v>
                </c:pt>
                <c:pt idx="22">
                  <c:v>24.200800000000001</c:v>
                </c:pt>
                <c:pt idx="23">
                  <c:v>24.6402</c:v>
                </c:pt>
                <c:pt idx="24">
                  <c:v>25.079599999999999</c:v>
                </c:pt>
                <c:pt idx="25">
                  <c:v>25.518999999999998</c:v>
                </c:pt>
                <c:pt idx="26">
                  <c:v>26.030799999999999</c:v>
                </c:pt>
                <c:pt idx="27">
                  <c:v>26.5426</c:v>
                </c:pt>
                <c:pt idx="28">
                  <c:v>27.054400000000001</c:v>
                </c:pt>
                <c:pt idx="29">
                  <c:v>27.566199999999998</c:v>
                </c:pt>
                <c:pt idx="30">
                  <c:v>28.077999999999999</c:v>
                </c:pt>
                <c:pt idx="31">
                  <c:v>28.6812</c:v>
                </c:pt>
                <c:pt idx="32">
                  <c:v>29.284400000000002</c:v>
                </c:pt>
                <c:pt idx="33">
                  <c:v>29.887599999999999</c:v>
                </c:pt>
                <c:pt idx="34">
                  <c:v>30.4908</c:v>
                </c:pt>
                <c:pt idx="35">
                  <c:v>31.094000000000001</c:v>
                </c:pt>
                <c:pt idx="36">
                  <c:v>31.730599999999999</c:v>
                </c:pt>
                <c:pt idx="37">
                  <c:v>32.367199999999997</c:v>
                </c:pt>
                <c:pt idx="38">
                  <c:v>33.003799999999998</c:v>
                </c:pt>
                <c:pt idx="39">
                  <c:v>33.6404</c:v>
                </c:pt>
                <c:pt idx="40">
                  <c:v>34.277000000000001</c:v>
                </c:pt>
                <c:pt idx="41">
                  <c:v>34.925800000000002</c:v>
                </c:pt>
                <c:pt idx="42">
                  <c:v>35.574599999999997</c:v>
                </c:pt>
              </c:numCache>
            </c:numRef>
          </c:val>
          <c:smooth val="0"/>
        </c:ser>
        <c:dLbls>
          <c:showLegendKey val="0"/>
          <c:showVal val="0"/>
          <c:showCatName val="0"/>
          <c:showSerName val="0"/>
          <c:showPercent val="0"/>
          <c:showBubbleSize val="0"/>
        </c:dLbls>
        <c:marker val="1"/>
        <c:smooth val="0"/>
        <c:axId val="537318104"/>
        <c:axId val="537317712"/>
      </c:lineChart>
      <c:catAx>
        <c:axId val="537484672"/>
        <c:scaling>
          <c:orientation val="minMax"/>
        </c:scaling>
        <c:delete val="0"/>
        <c:axPos val="b"/>
        <c:numFmt formatCode="General" sourceLinked="0"/>
        <c:majorTickMark val="none"/>
        <c:minorTickMark val="none"/>
        <c:tickLblPos val="nextTo"/>
        <c:crossAx val="537317320"/>
        <c:crosses val="autoZero"/>
        <c:auto val="1"/>
        <c:lblAlgn val="ctr"/>
        <c:lblOffset val="100"/>
        <c:noMultiLvlLbl val="0"/>
      </c:catAx>
      <c:valAx>
        <c:axId val="537317320"/>
        <c:scaling>
          <c:orientation val="minMax"/>
        </c:scaling>
        <c:delete val="0"/>
        <c:axPos val="l"/>
        <c:majorGridlines/>
        <c:title>
          <c:tx>
            <c:rich>
              <a:bodyPr rot="-5400000" vert="horz"/>
              <a:lstStyle/>
              <a:p>
                <a:pPr>
                  <a:defRPr/>
                </a:pPr>
                <a:r>
                  <a:rPr lang="en-US"/>
                  <a:t>GDP per capita</a:t>
                </a:r>
              </a:p>
            </c:rich>
          </c:tx>
          <c:layout/>
          <c:overlay val="0"/>
        </c:title>
        <c:numFmt formatCode="General" sourceLinked="1"/>
        <c:majorTickMark val="none"/>
        <c:minorTickMark val="none"/>
        <c:tickLblPos val="nextTo"/>
        <c:spPr>
          <a:ln w="9525">
            <a:noFill/>
          </a:ln>
        </c:spPr>
        <c:crossAx val="537484672"/>
        <c:crosses val="autoZero"/>
        <c:crossBetween val="between"/>
      </c:valAx>
      <c:valAx>
        <c:axId val="537317712"/>
        <c:scaling>
          <c:orientation val="minMax"/>
          <c:max val="38"/>
          <c:min val="0"/>
        </c:scaling>
        <c:delete val="0"/>
        <c:axPos val="r"/>
        <c:title>
          <c:tx>
            <c:rich>
              <a:bodyPr rot="-5400000" vert="horz"/>
              <a:lstStyle/>
              <a:p>
                <a:pPr>
                  <a:defRPr/>
                </a:pPr>
                <a:r>
                  <a:rPr lang="en-US"/>
                  <a:t>Urban population</a:t>
                </a:r>
              </a:p>
            </c:rich>
          </c:tx>
          <c:layout/>
          <c:overlay val="0"/>
        </c:title>
        <c:numFmt formatCode="General" sourceLinked="1"/>
        <c:majorTickMark val="out"/>
        <c:minorTickMark val="none"/>
        <c:tickLblPos val="nextTo"/>
        <c:crossAx val="537318104"/>
        <c:crosses val="max"/>
        <c:crossBetween val="between"/>
      </c:valAx>
      <c:catAx>
        <c:axId val="537318104"/>
        <c:scaling>
          <c:orientation val="minMax"/>
        </c:scaling>
        <c:delete val="1"/>
        <c:axPos val="b"/>
        <c:numFmt formatCode="General" sourceLinked="1"/>
        <c:majorTickMark val="out"/>
        <c:minorTickMark val="none"/>
        <c:tickLblPos val="nextTo"/>
        <c:crossAx val="537317712"/>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2001-2010</a:t>
            </a:r>
          </a:p>
        </c:rich>
      </c:tx>
      <c:layout>
        <c:manualLayout>
          <c:xMode val="edge"/>
          <c:yMode val="edge"/>
          <c:x val="0.49055426744998537"/>
          <c:y val="6.9067625364635369E-4"/>
        </c:manualLayout>
      </c:layout>
      <c:overlay val="0"/>
      <c:spPr>
        <a:noFill/>
        <a:ln w="25400">
          <a:noFill/>
        </a:ln>
      </c:spPr>
    </c:title>
    <c:autoTitleDeleted val="0"/>
    <c:plotArea>
      <c:layout>
        <c:manualLayout>
          <c:layoutTarget val="inner"/>
          <c:xMode val="edge"/>
          <c:yMode val="edge"/>
          <c:x val="0.10350894926834786"/>
          <c:y val="0.13417218244763515"/>
          <c:w val="0.85965059561848289"/>
          <c:h val="0.77149004907390162"/>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Liu\AppData\Local\Temp\__ADEPT__59697368656E204C6975__SESSION_40b214521d0f432e8f051008a5d353ec\Modules\poverty\Output\[adept_poverty_14.xls]Figure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Liu\AppData\Local\Temp\__ADEPT__59697368656E204C6975__SESSION_40b214521d0f432e8f051008a5d353ec\Modules\poverty\Output\[adept_poverty_14.xls]Figure 2.1_DATA'!$B$2:$B$102</c:f>
              <c:numCache>
                <c:formatCode>General</c:formatCode>
                <c:ptCount val="101"/>
                <c:pt idx="0">
                  <c:v>-22.240032196044922</c:v>
                </c:pt>
                <c:pt idx="1">
                  <c:v>-21.562955856323242</c:v>
                </c:pt>
                <c:pt idx="2">
                  <c:v>-6.5550765991210938</c:v>
                </c:pt>
                <c:pt idx="3">
                  <c:v>-0.90874981880187988</c:v>
                </c:pt>
                <c:pt idx="4">
                  <c:v>-0.88019818067550659</c:v>
                </c:pt>
                <c:pt idx="5">
                  <c:v>7.3727667331695557E-2</c:v>
                </c:pt>
                <c:pt idx="6">
                  <c:v>0.56912064552307129</c:v>
                </c:pt>
                <c:pt idx="7">
                  <c:v>0.26821267604827881</c:v>
                </c:pt>
                <c:pt idx="8">
                  <c:v>1.086140513420105</c:v>
                </c:pt>
                <c:pt idx="9">
                  <c:v>1.2714341878890991</c:v>
                </c:pt>
                <c:pt idx="10">
                  <c:v>1.2035171985626221</c:v>
                </c:pt>
                <c:pt idx="11">
                  <c:v>1.3105649948120117</c:v>
                </c:pt>
                <c:pt idx="12">
                  <c:v>1.0888115167617798</c:v>
                </c:pt>
                <c:pt idx="13">
                  <c:v>0.5024648904800415</c:v>
                </c:pt>
                <c:pt idx="14">
                  <c:v>6.4583569765090942E-2</c:v>
                </c:pt>
                <c:pt idx="15">
                  <c:v>0.17920146882534027</c:v>
                </c:pt>
                <c:pt idx="16">
                  <c:v>0.15796400606632233</c:v>
                </c:pt>
                <c:pt idx="17">
                  <c:v>0.6176334023475647</c:v>
                </c:pt>
                <c:pt idx="18">
                  <c:v>0.50702708959579468</c:v>
                </c:pt>
                <c:pt idx="19">
                  <c:v>0.92357480525970459</c:v>
                </c:pt>
                <c:pt idx="20">
                  <c:v>0.99469536542892456</c:v>
                </c:pt>
                <c:pt idx="21">
                  <c:v>1.1086869239807129</c:v>
                </c:pt>
                <c:pt idx="22">
                  <c:v>0.91706383228302002</c:v>
                </c:pt>
                <c:pt idx="23">
                  <c:v>0.94413530826568604</c:v>
                </c:pt>
                <c:pt idx="24">
                  <c:v>0.8051915168762207</c:v>
                </c:pt>
                <c:pt idx="25">
                  <c:v>0.69768333435058594</c:v>
                </c:pt>
                <c:pt idx="26">
                  <c:v>0.16829976439476013</c:v>
                </c:pt>
                <c:pt idx="27">
                  <c:v>5.8758381754159927E-2</c:v>
                </c:pt>
                <c:pt idx="28">
                  <c:v>8.4731236100196838E-2</c:v>
                </c:pt>
                <c:pt idx="29">
                  <c:v>-3.2467558979988098E-2</c:v>
                </c:pt>
                <c:pt idx="30">
                  <c:v>0.14344669878482819</c:v>
                </c:pt>
                <c:pt idx="31">
                  <c:v>0.20766539871692657</c:v>
                </c:pt>
                <c:pt idx="32">
                  <c:v>0.16199323534965515</c:v>
                </c:pt>
                <c:pt idx="33">
                  <c:v>0.28074288368225098</c:v>
                </c:pt>
                <c:pt idx="34">
                  <c:v>0.19103829562664032</c:v>
                </c:pt>
                <c:pt idx="35">
                  <c:v>5.9328809380531311E-2</c:v>
                </c:pt>
                <c:pt idx="36">
                  <c:v>0.11572930961847305</c:v>
                </c:pt>
                <c:pt idx="37">
                  <c:v>0.1574363112449646</c:v>
                </c:pt>
                <c:pt idx="38">
                  <c:v>3.4123174846172333E-2</c:v>
                </c:pt>
                <c:pt idx="39">
                  <c:v>0.12905175983905792</c:v>
                </c:pt>
                <c:pt idx="40">
                  <c:v>8.171805739402771E-2</c:v>
                </c:pt>
                <c:pt idx="41">
                  <c:v>8.1708855926990509E-2</c:v>
                </c:pt>
                <c:pt idx="42">
                  <c:v>3.0238863080739975E-2</c:v>
                </c:pt>
                <c:pt idx="43">
                  <c:v>-0.11053873598575592</c:v>
                </c:pt>
                <c:pt idx="44">
                  <c:v>-0.22744709253311157</c:v>
                </c:pt>
                <c:pt idx="45">
                  <c:v>-0.33478614687919617</c:v>
                </c:pt>
                <c:pt idx="46">
                  <c:v>-0.35251083970069885</c:v>
                </c:pt>
                <c:pt idx="47">
                  <c:v>-0.29633551836013794</c:v>
                </c:pt>
                <c:pt idx="48">
                  <c:v>-0.37837681174278259</c:v>
                </c:pt>
                <c:pt idx="49">
                  <c:v>-0.23008215427398682</c:v>
                </c:pt>
                <c:pt idx="50">
                  <c:v>-6.1184033751487732E-2</c:v>
                </c:pt>
                <c:pt idx="51">
                  <c:v>2.7932925149798393E-2</c:v>
                </c:pt>
                <c:pt idx="52">
                  <c:v>0.10986259579658508</c:v>
                </c:pt>
                <c:pt idx="53">
                  <c:v>0.2369820773601532</c:v>
                </c:pt>
                <c:pt idx="54">
                  <c:v>0.33088192343711853</c:v>
                </c:pt>
                <c:pt idx="55">
                  <c:v>0.39219105243682861</c:v>
                </c:pt>
                <c:pt idx="56">
                  <c:v>0.42488309741020203</c:v>
                </c:pt>
                <c:pt idx="57">
                  <c:v>0.61400783061981201</c:v>
                </c:pt>
                <c:pt idx="58">
                  <c:v>0.68677502870559692</c:v>
                </c:pt>
                <c:pt idx="59">
                  <c:v>0.63395172357559204</c:v>
                </c:pt>
                <c:pt idx="60">
                  <c:v>0.65261811017990112</c:v>
                </c:pt>
                <c:pt idx="61">
                  <c:v>0.82971853017807007</c:v>
                </c:pt>
                <c:pt idx="62">
                  <c:v>0.76178860664367676</c:v>
                </c:pt>
                <c:pt idx="63">
                  <c:v>0.80672240257263184</c:v>
                </c:pt>
                <c:pt idx="64">
                  <c:v>0.95545810461044312</c:v>
                </c:pt>
                <c:pt idx="65">
                  <c:v>0.8662947416305542</c:v>
                </c:pt>
                <c:pt idx="66">
                  <c:v>0.66913312673568726</c:v>
                </c:pt>
                <c:pt idx="67">
                  <c:v>0.4170365035533905</c:v>
                </c:pt>
                <c:pt idx="68">
                  <c:v>0.47248756885528564</c:v>
                </c:pt>
                <c:pt idx="69">
                  <c:v>0.49784296751022339</c:v>
                </c:pt>
                <c:pt idx="70">
                  <c:v>0.27553236484527588</c:v>
                </c:pt>
                <c:pt idx="71">
                  <c:v>0.1229284480214119</c:v>
                </c:pt>
                <c:pt idx="72">
                  <c:v>3.029622370377183E-3</c:v>
                </c:pt>
                <c:pt idx="73">
                  <c:v>6.1257030814886093E-2</c:v>
                </c:pt>
                <c:pt idx="74">
                  <c:v>-1.3259381987154484E-2</c:v>
                </c:pt>
                <c:pt idx="75">
                  <c:v>0.11980537325143814</c:v>
                </c:pt>
                <c:pt idx="76">
                  <c:v>0.30728653073310852</c:v>
                </c:pt>
                <c:pt idx="77">
                  <c:v>0.5125267505645752</c:v>
                </c:pt>
                <c:pt idx="78">
                  <c:v>0.44888103008270264</c:v>
                </c:pt>
                <c:pt idx="79">
                  <c:v>0.2518647313117981</c:v>
                </c:pt>
                <c:pt idx="80">
                  <c:v>0.2609916627407074</c:v>
                </c:pt>
                <c:pt idx="81">
                  <c:v>-7.793426513671875E-2</c:v>
                </c:pt>
                <c:pt idx="82">
                  <c:v>-0.1809593141078949</c:v>
                </c:pt>
                <c:pt idx="83">
                  <c:v>-0.48419633507728577</c:v>
                </c:pt>
                <c:pt idx="84">
                  <c:v>-0.20697344839572906</c:v>
                </c:pt>
                <c:pt idx="85">
                  <c:v>-0.32574096322059631</c:v>
                </c:pt>
                <c:pt idx="86">
                  <c:v>-0.26610198616981506</c:v>
                </c:pt>
                <c:pt idx="87">
                  <c:v>-0.93800908327102661</c:v>
                </c:pt>
                <c:pt idx="88">
                  <c:v>-1.4531227350234985</c:v>
                </c:pt>
                <c:pt idx="89">
                  <c:v>-1.5562890768051147</c:v>
                </c:pt>
                <c:pt idx="90">
                  <c:v>-1.5581287145614624</c:v>
                </c:pt>
                <c:pt idx="91">
                  <c:v>-2.1751711368560791</c:v>
                </c:pt>
                <c:pt idx="92">
                  <c:v>-2.4492127895355225</c:v>
                </c:pt>
                <c:pt idx="93">
                  <c:v>-2.6474416255950928</c:v>
                </c:pt>
                <c:pt idx="94">
                  <c:v>-2.3955252170562744</c:v>
                </c:pt>
                <c:pt idx="95">
                  <c:v>-2.8648905754089355</c:v>
                </c:pt>
                <c:pt idx="96">
                  <c:v>-3.9304771423339844</c:v>
                </c:pt>
                <c:pt idx="97">
                  <c:v>-4.7733168601989746</c:v>
                </c:pt>
                <c:pt idx="98">
                  <c:v>-6.6717395782470703</c:v>
                </c:pt>
                <c:pt idx="99">
                  <c:v>-6.6281137466430664</c:v>
                </c:pt>
                <c:pt idx="100">
                  <c:v>-6.719062328338623</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Liu\AppData\Local\Temp\__ADEPT__59697368656E204C6975__SESSION_40b214521d0f432e8f051008a5d353ec\Modules\poverty\Output\[adept_poverty_14.xls]Figure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Liu\AppData\Local\Temp\__ADEPT__59697368656E204C6975__SESSION_40b214521d0f432e8f051008a5d353ec\Modules\poverty\Output\[adept_poverty_14.xls]Figure 2.1_DATA'!$C$2:$C$102</c:f>
              <c:numCache>
                <c:formatCode>General</c:formatCode>
                <c:ptCount val="101"/>
                <c:pt idx="0">
                  <c:v>12.263479232788086</c:v>
                </c:pt>
                <c:pt idx="1">
                  <c:v>13.083490371704102</c:v>
                </c:pt>
                <c:pt idx="2">
                  <c:v>5.2215080261230469</c:v>
                </c:pt>
                <c:pt idx="3">
                  <c:v>1.581082820892334</c:v>
                </c:pt>
                <c:pt idx="4">
                  <c:v>2.0061409473419189</c:v>
                </c:pt>
                <c:pt idx="5">
                  <c:v>1.6832137107849121</c:v>
                </c:pt>
                <c:pt idx="6">
                  <c:v>1.5173518657684326</c:v>
                </c:pt>
                <c:pt idx="7">
                  <c:v>1.8927273750305176</c:v>
                </c:pt>
                <c:pt idx="8">
                  <c:v>1.1435765027999878</c:v>
                </c:pt>
                <c:pt idx="9">
                  <c:v>0.98732292652130127</c:v>
                </c:pt>
                <c:pt idx="10">
                  <c:v>1.1604230403900146</c:v>
                </c:pt>
                <c:pt idx="11">
                  <c:v>0.98556143045425415</c:v>
                </c:pt>
                <c:pt idx="12">
                  <c:v>1.0201388597488403</c:v>
                </c:pt>
                <c:pt idx="13">
                  <c:v>1.3940982818603516</c:v>
                </c:pt>
                <c:pt idx="14">
                  <c:v>1.5290874242782593</c:v>
                </c:pt>
                <c:pt idx="15">
                  <c:v>1.4724587202072144</c:v>
                </c:pt>
                <c:pt idx="16">
                  <c:v>1.5374372005462646</c:v>
                </c:pt>
                <c:pt idx="17">
                  <c:v>0.85397887229919434</c:v>
                </c:pt>
                <c:pt idx="18">
                  <c:v>1.0284643173217773</c:v>
                </c:pt>
                <c:pt idx="19">
                  <c:v>0.67486089468002319</c:v>
                </c:pt>
                <c:pt idx="20">
                  <c:v>0.65757834911346436</c:v>
                </c:pt>
                <c:pt idx="21">
                  <c:v>0.62208610773086548</c:v>
                </c:pt>
                <c:pt idx="22">
                  <c:v>0.88563430309295654</c:v>
                </c:pt>
                <c:pt idx="23">
                  <c:v>0.93608832359313965</c:v>
                </c:pt>
                <c:pt idx="24">
                  <c:v>1.0615866184234619</c:v>
                </c:pt>
                <c:pt idx="25">
                  <c:v>1.1607942581176758</c:v>
                </c:pt>
                <c:pt idx="26">
                  <c:v>1.4756747484207153</c:v>
                </c:pt>
                <c:pt idx="27">
                  <c:v>1.5519630908966064</c:v>
                </c:pt>
                <c:pt idx="28">
                  <c:v>1.3931179046630859</c:v>
                </c:pt>
                <c:pt idx="29">
                  <c:v>1.4420647621154785</c:v>
                </c:pt>
                <c:pt idx="30">
                  <c:v>1.2197309732437134</c:v>
                </c:pt>
                <c:pt idx="31">
                  <c:v>1.1953871250152588</c:v>
                </c:pt>
                <c:pt idx="32">
                  <c:v>1.1193324327468872</c:v>
                </c:pt>
                <c:pt idx="33">
                  <c:v>0.96358919143676758</c:v>
                </c:pt>
                <c:pt idx="34">
                  <c:v>1.0153976678848267</c:v>
                </c:pt>
                <c:pt idx="35">
                  <c:v>1.1411877870559692</c:v>
                </c:pt>
                <c:pt idx="36">
                  <c:v>1.1017085313796997</c:v>
                </c:pt>
                <c:pt idx="37">
                  <c:v>1.0562504529953003</c:v>
                </c:pt>
                <c:pt idx="38">
                  <c:v>1.0725699663162231</c:v>
                </c:pt>
                <c:pt idx="39">
                  <c:v>1.0279630422592163</c:v>
                </c:pt>
                <c:pt idx="40">
                  <c:v>1.1330829858779907</c:v>
                </c:pt>
                <c:pt idx="41">
                  <c:v>1.1334723234176636</c:v>
                </c:pt>
                <c:pt idx="42">
                  <c:v>1.1332496404647827</c:v>
                </c:pt>
                <c:pt idx="43">
                  <c:v>1.1304839849472046</c:v>
                </c:pt>
                <c:pt idx="44">
                  <c:v>1.1357104778289795</c:v>
                </c:pt>
                <c:pt idx="45">
                  <c:v>1.2034804821014404</c:v>
                </c:pt>
                <c:pt idx="46">
                  <c:v>1.1410493850708008</c:v>
                </c:pt>
                <c:pt idx="47">
                  <c:v>1.064077615737915</c:v>
                </c:pt>
                <c:pt idx="48">
                  <c:v>1.1402715444564819</c:v>
                </c:pt>
                <c:pt idx="49">
                  <c:v>0.95902484655380249</c:v>
                </c:pt>
                <c:pt idx="50">
                  <c:v>0.73789787292480469</c:v>
                </c:pt>
                <c:pt idx="51">
                  <c:v>0.61272263526916504</c:v>
                </c:pt>
                <c:pt idx="52">
                  <c:v>0.60642772912979126</c:v>
                </c:pt>
                <c:pt idx="53">
                  <c:v>0.48132506012916565</c:v>
                </c:pt>
                <c:pt idx="54">
                  <c:v>0.51964831352233887</c:v>
                </c:pt>
                <c:pt idx="55">
                  <c:v>0.51901334524154663</c:v>
                </c:pt>
                <c:pt idx="56">
                  <c:v>0.56281512975692749</c:v>
                </c:pt>
                <c:pt idx="57">
                  <c:v>0.44004207849502563</c:v>
                </c:pt>
                <c:pt idx="58">
                  <c:v>0.41454800963401794</c:v>
                </c:pt>
                <c:pt idx="59">
                  <c:v>0.49208015203475952</c:v>
                </c:pt>
                <c:pt idx="60">
                  <c:v>0.58060896396636963</c:v>
                </c:pt>
                <c:pt idx="61">
                  <c:v>0.40167489647865295</c:v>
                </c:pt>
                <c:pt idx="62">
                  <c:v>0.56297683715820313</c:v>
                </c:pt>
                <c:pt idx="63">
                  <c:v>0.55414289236068726</c:v>
                </c:pt>
                <c:pt idx="64">
                  <c:v>0.42134299874305725</c:v>
                </c:pt>
                <c:pt idx="65">
                  <c:v>0.51272308826446533</c:v>
                </c:pt>
                <c:pt idx="66">
                  <c:v>0.68506258726119995</c:v>
                </c:pt>
                <c:pt idx="67">
                  <c:v>0.92583119869232178</c:v>
                </c:pt>
                <c:pt idx="68">
                  <c:v>0.82974404096603394</c:v>
                </c:pt>
                <c:pt idx="69">
                  <c:v>0.80578494071960449</c:v>
                </c:pt>
                <c:pt idx="70">
                  <c:v>0.98486298322677612</c:v>
                </c:pt>
                <c:pt idx="71">
                  <c:v>1.0538712739944458</c:v>
                </c:pt>
                <c:pt idx="72">
                  <c:v>1.1325752735137939</c:v>
                </c:pt>
                <c:pt idx="73">
                  <c:v>0.94320744276046753</c:v>
                </c:pt>
                <c:pt idx="74">
                  <c:v>0.89368122816085815</c:v>
                </c:pt>
                <c:pt idx="75">
                  <c:v>0.7714240550994873</c:v>
                </c:pt>
                <c:pt idx="76">
                  <c:v>0.55544990301132202</c:v>
                </c:pt>
                <c:pt idx="77">
                  <c:v>0.40547725558280945</c:v>
                </c:pt>
                <c:pt idx="78">
                  <c:v>0.49461102485656738</c:v>
                </c:pt>
                <c:pt idx="79">
                  <c:v>0.70943200588226318</c:v>
                </c:pt>
                <c:pt idx="80">
                  <c:v>0.61140614748001099</c:v>
                </c:pt>
                <c:pt idx="81">
                  <c:v>0.75639820098876953</c:v>
                </c:pt>
                <c:pt idx="82">
                  <c:v>0.77144217491149902</c:v>
                </c:pt>
                <c:pt idx="83">
                  <c:v>0.91512000560760498</c:v>
                </c:pt>
                <c:pt idx="84">
                  <c:v>0.64805358648300171</c:v>
                </c:pt>
                <c:pt idx="85">
                  <c:v>0.79183804988861084</c:v>
                </c:pt>
                <c:pt idx="86">
                  <c:v>0.7822687029838562</c:v>
                </c:pt>
                <c:pt idx="87">
                  <c:v>1.2821011543273926</c:v>
                </c:pt>
                <c:pt idx="88">
                  <c:v>1.5131189823150635</c:v>
                </c:pt>
                <c:pt idx="89">
                  <c:v>1.4247766733169556</c:v>
                </c:pt>
                <c:pt idx="90">
                  <c:v>1.0882493257522583</c:v>
                </c:pt>
                <c:pt idx="91">
                  <c:v>1.4359631538391113</c:v>
                </c:pt>
                <c:pt idx="92">
                  <c:v>1.5571374893188477</c:v>
                </c:pt>
                <c:pt idx="93">
                  <c:v>1.5220065116882324</c:v>
                </c:pt>
                <c:pt idx="94">
                  <c:v>1.0865330696105957</c:v>
                </c:pt>
                <c:pt idx="95">
                  <c:v>1.453397274017334</c:v>
                </c:pt>
                <c:pt idx="96">
                  <c:v>2.1165766716003418</c:v>
                </c:pt>
                <c:pt idx="97">
                  <c:v>2.2326030731201172</c:v>
                </c:pt>
                <c:pt idx="98">
                  <c:v>2.4650750160217285</c:v>
                </c:pt>
                <c:pt idx="99">
                  <c:v>1.0056077241897583</c:v>
                </c:pt>
                <c:pt idx="100">
                  <c:v>1.137316107749939</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Liu\AppData\Local\Temp\__ADEPT__59697368656E204C6975__SESSION_40b214521d0f432e8f051008a5d353ec\Modules\poverty\Output\[adept_poverty_14.xls]Figure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Liu\AppData\Local\Temp\__ADEPT__59697368656E204C6975__SESSION_40b214521d0f432e8f051008a5d353ec\Modules\poverty\Output\[adept_poverty_14.xls]Figure 2.1_DATA'!$D$2:$D$102</c:f>
              <c:numCache>
                <c:formatCode>General</c:formatCode>
                <c:ptCount val="101"/>
                <c:pt idx="0">
                  <c:v>12.263479232788086</c:v>
                </c:pt>
                <c:pt idx="1">
                  <c:v>13.083490371704102</c:v>
                </c:pt>
                <c:pt idx="2">
                  <c:v>5.2215080261230469</c:v>
                </c:pt>
                <c:pt idx="3">
                  <c:v>1.581082820892334</c:v>
                </c:pt>
                <c:pt idx="4">
                  <c:v>2.0061409473419189</c:v>
                </c:pt>
                <c:pt idx="5">
                  <c:v>1.6832137107849121</c:v>
                </c:pt>
                <c:pt idx="6">
                  <c:v>1.5173518657684326</c:v>
                </c:pt>
                <c:pt idx="7">
                  <c:v>1.8927273750305176</c:v>
                </c:pt>
                <c:pt idx="8">
                  <c:v>1.1435765027999878</c:v>
                </c:pt>
                <c:pt idx="9">
                  <c:v>0.98732292652130127</c:v>
                </c:pt>
                <c:pt idx="10">
                  <c:v>1.1604230403900146</c:v>
                </c:pt>
                <c:pt idx="11">
                  <c:v>0.98556143045425415</c:v>
                </c:pt>
                <c:pt idx="12">
                  <c:v>1.0201388597488403</c:v>
                </c:pt>
                <c:pt idx="13">
                  <c:v>1.3940982818603516</c:v>
                </c:pt>
                <c:pt idx="14">
                  <c:v>1.5290874242782593</c:v>
                </c:pt>
                <c:pt idx="15">
                  <c:v>1.4724587202072144</c:v>
                </c:pt>
                <c:pt idx="16">
                  <c:v>1.5374372005462646</c:v>
                </c:pt>
                <c:pt idx="17">
                  <c:v>0.85397887229919434</c:v>
                </c:pt>
                <c:pt idx="18">
                  <c:v>1.0284643173217773</c:v>
                </c:pt>
                <c:pt idx="19">
                  <c:v>0.67486089468002319</c:v>
                </c:pt>
                <c:pt idx="20">
                  <c:v>0.65757834911346436</c:v>
                </c:pt>
                <c:pt idx="21">
                  <c:v>0.62208610773086548</c:v>
                </c:pt>
                <c:pt idx="22">
                  <c:v>0.88563430309295654</c:v>
                </c:pt>
                <c:pt idx="23">
                  <c:v>0.93608832359313965</c:v>
                </c:pt>
                <c:pt idx="24">
                  <c:v>1.0615866184234619</c:v>
                </c:pt>
                <c:pt idx="25">
                  <c:v>1.1607942581176758</c:v>
                </c:pt>
                <c:pt idx="26">
                  <c:v>1.4756747484207153</c:v>
                </c:pt>
                <c:pt idx="27">
                  <c:v>1.5519630908966064</c:v>
                </c:pt>
                <c:pt idx="28">
                  <c:v>1.3931179046630859</c:v>
                </c:pt>
                <c:pt idx="29">
                  <c:v>1.4420647621154785</c:v>
                </c:pt>
                <c:pt idx="30">
                  <c:v>1.2197309732437134</c:v>
                </c:pt>
                <c:pt idx="31">
                  <c:v>1.1953871250152588</c:v>
                </c:pt>
                <c:pt idx="32">
                  <c:v>1.1193324327468872</c:v>
                </c:pt>
                <c:pt idx="33">
                  <c:v>0.96358919143676758</c:v>
                </c:pt>
                <c:pt idx="34">
                  <c:v>1.0153976678848267</c:v>
                </c:pt>
                <c:pt idx="35">
                  <c:v>1.1411877870559692</c:v>
                </c:pt>
                <c:pt idx="36">
                  <c:v>1.1017085313796997</c:v>
                </c:pt>
                <c:pt idx="37">
                  <c:v>1.0562504529953003</c:v>
                </c:pt>
                <c:pt idx="38">
                  <c:v>1.0725699663162231</c:v>
                </c:pt>
                <c:pt idx="39">
                  <c:v>1.0279630422592163</c:v>
                </c:pt>
                <c:pt idx="40">
                  <c:v>1.1330829858779907</c:v>
                </c:pt>
                <c:pt idx="41">
                  <c:v>1.1334723234176636</c:v>
                </c:pt>
                <c:pt idx="42">
                  <c:v>1.1332496404647827</c:v>
                </c:pt>
                <c:pt idx="43">
                  <c:v>1.1304839849472046</c:v>
                </c:pt>
                <c:pt idx="44">
                  <c:v>1.1357104778289795</c:v>
                </c:pt>
                <c:pt idx="45">
                  <c:v>1.2034804821014404</c:v>
                </c:pt>
                <c:pt idx="46">
                  <c:v>1.1410493850708008</c:v>
                </c:pt>
                <c:pt idx="47">
                  <c:v>1.064077615737915</c:v>
                </c:pt>
                <c:pt idx="48">
                  <c:v>1.1402715444564819</c:v>
                </c:pt>
                <c:pt idx="49">
                  <c:v>0.95902484655380249</c:v>
                </c:pt>
                <c:pt idx="50">
                  <c:v>0.73789787292480469</c:v>
                </c:pt>
                <c:pt idx="51">
                  <c:v>0.61272263526916504</c:v>
                </c:pt>
                <c:pt idx="52">
                  <c:v>0.60642772912979126</c:v>
                </c:pt>
                <c:pt idx="53">
                  <c:v>0.48132506012916565</c:v>
                </c:pt>
                <c:pt idx="54">
                  <c:v>0.51964831352233887</c:v>
                </c:pt>
                <c:pt idx="55">
                  <c:v>0.51901334524154663</c:v>
                </c:pt>
                <c:pt idx="56">
                  <c:v>0.56281512975692749</c:v>
                </c:pt>
                <c:pt idx="57">
                  <c:v>0.44004207849502563</c:v>
                </c:pt>
                <c:pt idx="58">
                  <c:v>0.41454800963401794</c:v>
                </c:pt>
                <c:pt idx="59">
                  <c:v>0.49208015203475952</c:v>
                </c:pt>
                <c:pt idx="60">
                  <c:v>0.58060896396636963</c:v>
                </c:pt>
                <c:pt idx="61">
                  <c:v>0.40167489647865295</c:v>
                </c:pt>
                <c:pt idx="62">
                  <c:v>0.56297683715820313</c:v>
                </c:pt>
                <c:pt idx="63">
                  <c:v>0.55414289236068726</c:v>
                </c:pt>
                <c:pt idx="64">
                  <c:v>0.42134299874305725</c:v>
                </c:pt>
                <c:pt idx="65">
                  <c:v>0.51272308826446533</c:v>
                </c:pt>
                <c:pt idx="66">
                  <c:v>0.68506258726119995</c:v>
                </c:pt>
                <c:pt idx="67">
                  <c:v>0.92583119869232178</c:v>
                </c:pt>
                <c:pt idx="68">
                  <c:v>0.82974404096603394</c:v>
                </c:pt>
                <c:pt idx="69">
                  <c:v>0.80578494071960449</c:v>
                </c:pt>
                <c:pt idx="70">
                  <c:v>0.98486298322677612</c:v>
                </c:pt>
                <c:pt idx="71">
                  <c:v>1.0538712739944458</c:v>
                </c:pt>
                <c:pt idx="72">
                  <c:v>1.1325752735137939</c:v>
                </c:pt>
                <c:pt idx="73">
                  <c:v>0.94320744276046753</c:v>
                </c:pt>
                <c:pt idx="74">
                  <c:v>0.89368122816085815</c:v>
                </c:pt>
                <c:pt idx="75">
                  <c:v>0.7714240550994873</c:v>
                </c:pt>
                <c:pt idx="76">
                  <c:v>0.55544990301132202</c:v>
                </c:pt>
                <c:pt idx="77">
                  <c:v>0.40547725558280945</c:v>
                </c:pt>
                <c:pt idx="78">
                  <c:v>0.49461102485656738</c:v>
                </c:pt>
                <c:pt idx="79">
                  <c:v>0.70943200588226318</c:v>
                </c:pt>
                <c:pt idx="80">
                  <c:v>0.61140614748001099</c:v>
                </c:pt>
                <c:pt idx="81">
                  <c:v>0.75639820098876953</c:v>
                </c:pt>
                <c:pt idx="82">
                  <c:v>0.77144217491149902</c:v>
                </c:pt>
                <c:pt idx="83">
                  <c:v>0.91512000560760498</c:v>
                </c:pt>
                <c:pt idx="84">
                  <c:v>0.64805358648300171</c:v>
                </c:pt>
                <c:pt idx="85">
                  <c:v>0.79183804988861084</c:v>
                </c:pt>
                <c:pt idx="86">
                  <c:v>0.7822687029838562</c:v>
                </c:pt>
                <c:pt idx="87">
                  <c:v>1.2821011543273926</c:v>
                </c:pt>
                <c:pt idx="88">
                  <c:v>1.5131189823150635</c:v>
                </c:pt>
                <c:pt idx="89">
                  <c:v>1.4247766733169556</c:v>
                </c:pt>
                <c:pt idx="90">
                  <c:v>1.0882493257522583</c:v>
                </c:pt>
                <c:pt idx="91">
                  <c:v>1.4359631538391113</c:v>
                </c:pt>
                <c:pt idx="92">
                  <c:v>1.5571374893188477</c:v>
                </c:pt>
                <c:pt idx="93">
                  <c:v>1.5220065116882324</c:v>
                </c:pt>
                <c:pt idx="94">
                  <c:v>1.0865330696105957</c:v>
                </c:pt>
                <c:pt idx="95">
                  <c:v>1.453397274017334</c:v>
                </c:pt>
                <c:pt idx="96">
                  <c:v>2.1165766716003418</c:v>
                </c:pt>
                <c:pt idx="97">
                  <c:v>2.2326030731201172</c:v>
                </c:pt>
                <c:pt idx="98">
                  <c:v>2.4650750160217285</c:v>
                </c:pt>
                <c:pt idx="99">
                  <c:v>1.0056077241897583</c:v>
                </c:pt>
                <c:pt idx="100">
                  <c:v>1.137316107749939</c:v>
                </c:pt>
              </c:numCache>
            </c:numRef>
          </c:val>
        </c:ser>
        <c:dLbls>
          <c:showLegendKey val="0"/>
          <c:showVal val="0"/>
          <c:showCatName val="0"/>
          <c:showSerName val="0"/>
          <c:showPercent val="0"/>
          <c:showBubbleSize val="0"/>
        </c:dLbls>
        <c:axId val="537719368"/>
        <c:axId val="537719760"/>
      </c:areaChart>
      <c:catAx>
        <c:axId val="53771936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754457501469161"/>
              <c:y val="0.92033731397674656"/>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7719760"/>
        <c:crosses val="autoZero"/>
        <c:auto val="1"/>
        <c:lblAlgn val="ctr"/>
        <c:lblOffset val="100"/>
        <c:tickLblSkip val="3"/>
        <c:tickMarkSkip val="1"/>
        <c:noMultiLvlLbl val="0"/>
      </c:catAx>
      <c:valAx>
        <c:axId val="537719760"/>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r>
                  <a:rPr lang="en-US" sz="1000" b="1" i="0" u="none" strike="noStrike" baseline="0">
                    <a:effectLst/>
                  </a:rPr>
                  <a:t>p.c.</a:t>
                </a:r>
                <a:r>
                  <a:rPr lang="en-US"/>
                  <a:t>, %</a:t>
                </a:r>
              </a:p>
            </c:rich>
          </c:tx>
          <c:layout>
            <c:manualLayout>
              <c:xMode val="edge"/>
              <c:yMode val="edge"/>
              <c:x val="2.8070176730648704E-2"/>
              <c:y val="0.2578796958315287"/>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7719368"/>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2001-2006</a:t>
            </a:r>
          </a:p>
        </c:rich>
      </c:tx>
      <c:layout>
        <c:manualLayout>
          <c:xMode val="edge"/>
          <c:yMode val="edge"/>
          <c:x val="0.47193063310484046"/>
          <c:y val="2.9350164910420171E-2"/>
        </c:manualLayout>
      </c:layout>
      <c:overlay val="0"/>
      <c:spPr>
        <a:noFill/>
        <a:ln w="25400">
          <a:noFill/>
        </a:ln>
      </c:spPr>
    </c:title>
    <c:autoTitleDeleted val="0"/>
    <c:plotArea>
      <c:layout>
        <c:manualLayout>
          <c:layoutTarget val="inner"/>
          <c:xMode val="edge"/>
          <c:yMode val="edge"/>
          <c:x val="0.10000017132704792"/>
          <c:y val="0.13417218244763512"/>
          <c:w val="0.86315937355978245"/>
          <c:h val="0.77149004907390162"/>
        </c:manualLayout>
      </c:layout>
      <c:areaChart>
        <c:grouping val="stacked"/>
        <c:varyColors val="0"/>
        <c:ser>
          <c:idx val="0"/>
          <c:order val="0"/>
          <c:spPr>
            <a:solidFill>
              <a:srgbClr val="FFFFFF"/>
            </a:solidFill>
            <a:ln w="3175">
              <a:solidFill>
                <a:srgbClr val="666699"/>
              </a:solidFill>
              <a:prstDash val="solid"/>
            </a:ln>
          </c:spPr>
          <c:cat>
            <c:numRef>
              <c:f>'[36]Figure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'[36]Figure 2.1_DATA'!$B$2:$B$102</c:f>
              <c:numCache>
                <c:formatCode>General</c:formatCode>
                <c:ptCount val="101"/>
                <c:pt idx="0">
                  <c:v>-10.966489791870117</c:v>
                </c:pt>
                <c:pt idx="1">
                  <c:v>-11.337833404541016</c:v>
                </c:pt>
                <c:pt idx="2">
                  <c:v>-9.2502298355102539</c:v>
                </c:pt>
                <c:pt idx="3">
                  <c:v>-5.5123453140258789</c:v>
                </c:pt>
                <c:pt idx="4">
                  <c:v>-0.86682027578353882</c:v>
                </c:pt>
                <c:pt idx="5">
                  <c:v>-2.7168006896972656</c:v>
                </c:pt>
                <c:pt idx="6">
                  <c:v>-1.2291589975357056</c:v>
                </c:pt>
                <c:pt idx="7">
                  <c:v>0.80330467224121094</c:v>
                </c:pt>
                <c:pt idx="8">
                  <c:v>0.2155173122882843</c:v>
                </c:pt>
                <c:pt idx="9">
                  <c:v>2.7528042793273926</c:v>
                </c:pt>
                <c:pt idx="10">
                  <c:v>3.0024421215057373</c:v>
                </c:pt>
                <c:pt idx="11">
                  <c:v>3.1450376510620117</c:v>
                </c:pt>
                <c:pt idx="12">
                  <c:v>2.2635262012481689</c:v>
                </c:pt>
                <c:pt idx="13">
                  <c:v>2.4023287296295166</c:v>
                </c:pt>
                <c:pt idx="14">
                  <c:v>2.114943265914917</c:v>
                </c:pt>
                <c:pt idx="15">
                  <c:v>1.900963306427002</c:v>
                </c:pt>
                <c:pt idx="16">
                  <c:v>1.9013874530792236</c:v>
                </c:pt>
                <c:pt idx="17">
                  <c:v>2.2802717685699463</c:v>
                </c:pt>
                <c:pt idx="18">
                  <c:v>2.0432920455932617</c:v>
                </c:pt>
                <c:pt idx="19">
                  <c:v>2.2019414901733398</c:v>
                </c:pt>
                <c:pt idx="20">
                  <c:v>2.4978599548339844</c:v>
                </c:pt>
                <c:pt idx="21">
                  <c:v>2.6099710464477539</c:v>
                </c:pt>
                <c:pt idx="22">
                  <c:v>2.5849587917327881</c:v>
                </c:pt>
                <c:pt idx="23">
                  <c:v>2.6732280254364014</c:v>
                </c:pt>
                <c:pt idx="24">
                  <c:v>2.645927906036377</c:v>
                </c:pt>
                <c:pt idx="25">
                  <c:v>2.5716137886047363</c:v>
                </c:pt>
                <c:pt idx="26">
                  <c:v>1.9004499912261963</c:v>
                </c:pt>
                <c:pt idx="27">
                  <c:v>1.8864939212799072</c:v>
                </c:pt>
                <c:pt idx="28">
                  <c:v>1.8189324140548706</c:v>
                </c:pt>
                <c:pt idx="29">
                  <c:v>1.8606312274932861</c:v>
                </c:pt>
                <c:pt idx="30">
                  <c:v>1.6409492492675781</c:v>
                </c:pt>
                <c:pt idx="31">
                  <c:v>1.908490777015686</c:v>
                </c:pt>
                <c:pt idx="32">
                  <c:v>1.5971500873565674</c:v>
                </c:pt>
                <c:pt idx="33">
                  <c:v>2.0177586078643799</c:v>
                </c:pt>
                <c:pt idx="34">
                  <c:v>2.2239081859588623</c:v>
                </c:pt>
                <c:pt idx="35">
                  <c:v>2.5685372352600098</c:v>
                </c:pt>
                <c:pt idx="36">
                  <c:v>2.4224801063537598</c:v>
                </c:pt>
                <c:pt idx="37">
                  <c:v>2.8692913055419922</c:v>
                </c:pt>
                <c:pt idx="38">
                  <c:v>2.9074399471282959</c:v>
                </c:pt>
                <c:pt idx="39">
                  <c:v>2.9339513778686523</c:v>
                </c:pt>
                <c:pt idx="40">
                  <c:v>2.9200260639190674</c:v>
                </c:pt>
                <c:pt idx="41">
                  <c:v>3.0930993556976318</c:v>
                </c:pt>
                <c:pt idx="42">
                  <c:v>2.9557027816772461</c:v>
                </c:pt>
                <c:pt idx="43">
                  <c:v>2.5547223091125488</c:v>
                </c:pt>
                <c:pt idx="44">
                  <c:v>2.2824649810791016</c:v>
                </c:pt>
                <c:pt idx="45">
                  <c:v>2.4651293754577637</c:v>
                </c:pt>
                <c:pt idx="46">
                  <c:v>2.2317864894866943</c:v>
                </c:pt>
                <c:pt idx="47">
                  <c:v>2.2531373500823975</c:v>
                </c:pt>
                <c:pt idx="48">
                  <c:v>2.0680856704711914</c:v>
                </c:pt>
                <c:pt idx="49">
                  <c:v>1.7595529556274414</c:v>
                </c:pt>
                <c:pt idx="50">
                  <c:v>1.8614891767501831</c:v>
                </c:pt>
                <c:pt idx="51">
                  <c:v>2.0228526592254639</c:v>
                </c:pt>
                <c:pt idx="52">
                  <c:v>2.217742919921875</c:v>
                </c:pt>
                <c:pt idx="53">
                  <c:v>2.6545720100402832</c:v>
                </c:pt>
                <c:pt idx="54">
                  <c:v>2.7854037284851074</c:v>
                </c:pt>
                <c:pt idx="55">
                  <c:v>2.7725086212158203</c:v>
                </c:pt>
                <c:pt idx="56">
                  <c:v>2.8873252868652344</c:v>
                </c:pt>
                <c:pt idx="57">
                  <c:v>2.7976279258728027</c:v>
                </c:pt>
                <c:pt idx="58">
                  <c:v>2.5011873245239258</c:v>
                </c:pt>
                <c:pt idx="59">
                  <c:v>2.5377874374389648</c:v>
                </c:pt>
                <c:pt idx="60">
                  <c:v>2.8365006446838379</c:v>
                </c:pt>
                <c:pt idx="61">
                  <c:v>2.548337459564209</c:v>
                </c:pt>
                <c:pt idx="62">
                  <c:v>2.5802371501922607</c:v>
                </c:pt>
                <c:pt idx="63">
                  <c:v>3.1581003665924072</c:v>
                </c:pt>
                <c:pt idx="64">
                  <c:v>3.4376888275146484</c:v>
                </c:pt>
                <c:pt idx="65">
                  <c:v>3.1405112743377686</c:v>
                </c:pt>
                <c:pt idx="66">
                  <c:v>3.2258710861206055</c:v>
                </c:pt>
                <c:pt idx="67">
                  <c:v>3.8146951198577881</c:v>
                </c:pt>
                <c:pt idx="68">
                  <c:v>3.5113687515258789</c:v>
                </c:pt>
                <c:pt idx="69">
                  <c:v>3.4733726978302002</c:v>
                </c:pt>
                <c:pt idx="70">
                  <c:v>3.3589794635772705</c:v>
                </c:pt>
                <c:pt idx="71">
                  <c:v>3.0277085304260254</c:v>
                </c:pt>
                <c:pt idx="72">
                  <c:v>2.5554208755493164</c:v>
                </c:pt>
                <c:pt idx="73">
                  <c:v>2.2135171890258789</c:v>
                </c:pt>
                <c:pt idx="74">
                  <c:v>1.8949766159057617</c:v>
                </c:pt>
                <c:pt idx="75">
                  <c:v>2.1913125514984131</c:v>
                </c:pt>
                <c:pt idx="76">
                  <c:v>2.2621572017669678</c:v>
                </c:pt>
                <c:pt idx="77">
                  <c:v>2.2013297080993652</c:v>
                </c:pt>
                <c:pt idx="78">
                  <c:v>1.4232407808303833</c:v>
                </c:pt>
                <c:pt idx="79">
                  <c:v>2.1818234920501709</c:v>
                </c:pt>
                <c:pt idx="80">
                  <c:v>2.4036769866943359</c:v>
                </c:pt>
                <c:pt idx="81">
                  <c:v>2.3499202728271484</c:v>
                </c:pt>
                <c:pt idx="82">
                  <c:v>1.928286075592041</c:v>
                </c:pt>
                <c:pt idx="83">
                  <c:v>2.3747730255126953</c:v>
                </c:pt>
                <c:pt idx="84">
                  <c:v>2.5427932739257812</c:v>
                </c:pt>
                <c:pt idx="85">
                  <c:v>3.0046837329864502</c:v>
                </c:pt>
                <c:pt idx="86">
                  <c:v>3.2080438137054443</c:v>
                </c:pt>
                <c:pt idx="87">
                  <c:v>2.4063951969146729</c:v>
                </c:pt>
                <c:pt idx="88">
                  <c:v>1.379840612411499</c:v>
                </c:pt>
                <c:pt idx="89">
                  <c:v>1.1457242965698242</c:v>
                </c:pt>
                <c:pt idx="90">
                  <c:v>0.61204433441162109</c:v>
                </c:pt>
                <c:pt idx="91">
                  <c:v>0.46203365921974182</c:v>
                </c:pt>
                <c:pt idx="92">
                  <c:v>-0.14971426129341125</c:v>
                </c:pt>
                <c:pt idx="93">
                  <c:v>-0.5246080756187439</c:v>
                </c:pt>
                <c:pt idx="94">
                  <c:v>-0.67518073320388794</c:v>
                </c:pt>
                <c:pt idx="95">
                  <c:v>0.64452999830245972</c:v>
                </c:pt>
                <c:pt idx="96">
                  <c:v>0.85258495807647705</c:v>
                </c:pt>
                <c:pt idx="97">
                  <c:v>-1.6675330400466919</c:v>
                </c:pt>
                <c:pt idx="98">
                  <c:v>-3.2838895320892334</c:v>
                </c:pt>
                <c:pt idx="99">
                  <c:v>-3.6148536205291748</c:v>
                </c:pt>
                <c:pt idx="100">
                  <c:v>-5.4732208251953125</c:v>
                </c:pt>
              </c:numCache>
            </c:numRef>
          </c:val>
        </c:ser>
        <c:ser>
          <c:idx val="1"/>
          <c:order val="1"/>
          <c:spPr>
            <a:solidFill>
              <a:srgbClr val="68AED1"/>
            </a:solidFill>
            <a:ln w="3175">
              <a:solidFill>
                <a:srgbClr val="666699"/>
              </a:solidFill>
              <a:prstDash val="solid"/>
            </a:ln>
          </c:spPr>
          <c:cat>
            <c:numRef>
              <c:f>'[36]Figure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'[36]Figure 2.1_DATA'!$C$2:$C$102</c:f>
              <c:numCache>
                <c:formatCode>General</c:formatCode>
                <c:ptCount val="101"/>
                <c:pt idx="0">
                  <c:v>4.8067545890808105</c:v>
                </c:pt>
                <c:pt idx="1">
                  <c:v>4.9444189071655273</c:v>
                </c:pt>
                <c:pt idx="2">
                  <c:v>6.919654369354248</c:v>
                </c:pt>
                <c:pt idx="3">
                  <c:v>6.2166929244995117</c:v>
                </c:pt>
                <c:pt idx="4">
                  <c:v>2.6765873432159424</c:v>
                </c:pt>
                <c:pt idx="5">
                  <c:v>5.2689175605773926</c:v>
                </c:pt>
                <c:pt idx="6">
                  <c:v>4.9921274185180664</c:v>
                </c:pt>
                <c:pt idx="7">
                  <c:v>4.2576589584350586</c:v>
                </c:pt>
                <c:pt idx="8">
                  <c:v>5.1181187629699707</c:v>
                </c:pt>
                <c:pt idx="9">
                  <c:v>3.4152050018310547</c:v>
                </c:pt>
                <c:pt idx="10">
                  <c:v>3.3435802459716797</c:v>
                </c:pt>
                <c:pt idx="11">
                  <c:v>3.5297281742095947</c:v>
                </c:pt>
                <c:pt idx="12">
                  <c:v>3.9523892402648926</c:v>
                </c:pt>
                <c:pt idx="13">
                  <c:v>3.9154880046844482</c:v>
                </c:pt>
                <c:pt idx="14">
                  <c:v>3.8846750259399414</c:v>
                </c:pt>
                <c:pt idx="15">
                  <c:v>3.8688044548034668</c:v>
                </c:pt>
                <c:pt idx="16">
                  <c:v>3.7444717884063721</c:v>
                </c:pt>
                <c:pt idx="17">
                  <c:v>3.0145895481109619</c:v>
                </c:pt>
                <c:pt idx="18">
                  <c:v>3.2278556823730469</c:v>
                </c:pt>
                <c:pt idx="19">
                  <c:v>3.0645570755004883</c:v>
                </c:pt>
                <c:pt idx="20">
                  <c:v>2.6448450088500977</c:v>
                </c:pt>
                <c:pt idx="21">
                  <c:v>2.6072094440460205</c:v>
                </c:pt>
                <c:pt idx="22">
                  <c:v>2.589550256729126</c:v>
                </c:pt>
                <c:pt idx="23">
                  <c:v>2.7252950668334961</c:v>
                </c:pt>
                <c:pt idx="24">
                  <c:v>2.7917983531951904</c:v>
                </c:pt>
                <c:pt idx="25">
                  <c:v>2.8890817165374756</c:v>
                </c:pt>
                <c:pt idx="26">
                  <c:v>3.5652139186859131</c:v>
                </c:pt>
                <c:pt idx="27">
                  <c:v>3.5674412250518799</c:v>
                </c:pt>
                <c:pt idx="28">
                  <c:v>3.6052484512329102</c:v>
                </c:pt>
                <c:pt idx="29">
                  <c:v>3.8529732227325439</c:v>
                </c:pt>
                <c:pt idx="30">
                  <c:v>3.8614988327026367</c:v>
                </c:pt>
                <c:pt idx="31">
                  <c:v>3.4920568466186523</c:v>
                </c:pt>
                <c:pt idx="32">
                  <c:v>3.8774104118347168</c:v>
                </c:pt>
                <c:pt idx="33">
                  <c:v>3.65907883644104</c:v>
                </c:pt>
                <c:pt idx="34">
                  <c:v>3.3041086196899414</c:v>
                </c:pt>
                <c:pt idx="35">
                  <c:v>2.9896383285522461</c:v>
                </c:pt>
                <c:pt idx="36">
                  <c:v>2.9788484573364258</c:v>
                </c:pt>
                <c:pt idx="37">
                  <c:v>2.5466935634613037</c:v>
                </c:pt>
                <c:pt idx="38">
                  <c:v>2.382549524307251</c:v>
                </c:pt>
                <c:pt idx="39">
                  <c:v>2.3215582370758057</c:v>
                </c:pt>
                <c:pt idx="40">
                  <c:v>2.3779737949371338</c:v>
                </c:pt>
                <c:pt idx="41">
                  <c:v>2.2204520702362061</c:v>
                </c:pt>
                <c:pt idx="42">
                  <c:v>2.4338967800140381</c:v>
                </c:pt>
                <c:pt idx="43">
                  <c:v>2.5236823558807373</c:v>
                </c:pt>
                <c:pt idx="44">
                  <c:v>2.8290860652923584</c:v>
                </c:pt>
                <c:pt idx="45">
                  <c:v>2.3851292133331299</c:v>
                </c:pt>
                <c:pt idx="46">
                  <c:v>2.5617856979370117</c:v>
                </c:pt>
                <c:pt idx="47">
                  <c:v>2.4852807521820068</c:v>
                </c:pt>
                <c:pt idx="48">
                  <c:v>2.5497510433197021</c:v>
                </c:pt>
                <c:pt idx="49">
                  <c:v>2.8260238170623779</c:v>
                </c:pt>
                <c:pt idx="50">
                  <c:v>2.4902124404907227</c:v>
                </c:pt>
                <c:pt idx="51">
                  <c:v>2.188485860824585</c:v>
                </c:pt>
                <c:pt idx="52">
                  <c:v>2.0424139499664307</c:v>
                </c:pt>
                <c:pt idx="53">
                  <c:v>1.5984991788864136</c:v>
                </c:pt>
                <c:pt idx="54">
                  <c:v>1.4282469749450684</c:v>
                </c:pt>
                <c:pt idx="55">
                  <c:v>1.3530657291412354</c:v>
                </c:pt>
                <c:pt idx="56">
                  <c:v>1.2954925298690796</c:v>
                </c:pt>
                <c:pt idx="57">
                  <c:v>1.5338160991668701</c:v>
                </c:pt>
                <c:pt idx="58">
                  <c:v>1.8216995000839233</c:v>
                </c:pt>
                <c:pt idx="59">
                  <c:v>2.0085089206695557</c:v>
                </c:pt>
                <c:pt idx="60">
                  <c:v>1.7286731004714966</c:v>
                </c:pt>
                <c:pt idx="61">
                  <c:v>2.0791792869567871</c:v>
                </c:pt>
                <c:pt idx="62">
                  <c:v>2.1618382930755615</c:v>
                </c:pt>
                <c:pt idx="63">
                  <c:v>1.8127275705337524</c:v>
                </c:pt>
                <c:pt idx="64">
                  <c:v>1.8240777254104614</c:v>
                </c:pt>
                <c:pt idx="65">
                  <c:v>2.1622209548950195</c:v>
                </c:pt>
                <c:pt idx="66">
                  <c:v>2.1475236415863037</c:v>
                </c:pt>
                <c:pt idx="67">
                  <c:v>1.6205390691757202</c:v>
                </c:pt>
                <c:pt idx="68">
                  <c:v>1.7877930402755737</c:v>
                </c:pt>
                <c:pt idx="69">
                  <c:v>1.6521729230880737</c:v>
                </c:pt>
                <c:pt idx="70">
                  <c:v>1.615199089050293</c:v>
                </c:pt>
                <c:pt idx="71">
                  <c:v>2.048215389251709</c:v>
                </c:pt>
                <c:pt idx="72">
                  <c:v>2.4557571411132812</c:v>
                </c:pt>
                <c:pt idx="73">
                  <c:v>2.6449129581451416</c:v>
                </c:pt>
                <c:pt idx="74">
                  <c:v>2.6669070720672607</c:v>
                </c:pt>
                <c:pt idx="75">
                  <c:v>2.5049421787261963</c:v>
                </c:pt>
                <c:pt idx="76">
                  <c:v>2.5787365436553955</c:v>
                </c:pt>
                <c:pt idx="77">
                  <c:v>2.7259848117828369</c:v>
                </c:pt>
                <c:pt idx="78">
                  <c:v>3.5642313957214355</c:v>
                </c:pt>
                <c:pt idx="79">
                  <c:v>3.1781003475189209</c:v>
                </c:pt>
                <c:pt idx="80">
                  <c:v>3.2115974426269531</c:v>
                </c:pt>
                <c:pt idx="81">
                  <c:v>3.1917319297790527</c:v>
                </c:pt>
                <c:pt idx="82">
                  <c:v>3.5033490657806396</c:v>
                </c:pt>
                <c:pt idx="83">
                  <c:v>3.0875537395477295</c:v>
                </c:pt>
                <c:pt idx="84">
                  <c:v>3.0852534770965576</c:v>
                </c:pt>
                <c:pt idx="85">
                  <c:v>2.6284120082855225</c:v>
                </c:pt>
                <c:pt idx="86">
                  <c:v>2.4891872406005859</c:v>
                </c:pt>
                <c:pt idx="87">
                  <c:v>3.3185765743255615</c:v>
                </c:pt>
                <c:pt idx="88">
                  <c:v>3.9120440483093262</c:v>
                </c:pt>
                <c:pt idx="89">
                  <c:v>4.160304069519043</c:v>
                </c:pt>
                <c:pt idx="90">
                  <c:v>4.6342372894287109</c:v>
                </c:pt>
                <c:pt idx="91">
                  <c:v>4.4791126251220703</c:v>
                </c:pt>
                <c:pt idx="92">
                  <c:v>4.8225917816162109</c:v>
                </c:pt>
                <c:pt idx="93">
                  <c:v>4.8019638061523437</c:v>
                </c:pt>
                <c:pt idx="94">
                  <c:v>4.8784027099609375</c:v>
                </c:pt>
                <c:pt idx="95">
                  <c:v>4.0736732482910156</c:v>
                </c:pt>
                <c:pt idx="96">
                  <c:v>4.0529236793518066</c:v>
                </c:pt>
                <c:pt idx="97">
                  <c:v>6.1628408432006836</c:v>
                </c:pt>
                <c:pt idx="98">
                  <c:v>6.4484672546386719</c:v>
                </c:pt>
                <c:pt idx="99">
                  <c:v>3.1688313484191895</c:v>
                </c:pt>
                <c:pt idx="100">
                  <c:v>4.7031989097595215</c:v>
                </c:pt>
              </c:numCache>
            </c:numRef>
          </c:val>
        </c:ser>
        <c:ser>
          <c:idx val="2"/>
          <c:order val="2"/>
          <c:spPr>
            <a:solidFill>
              <a:srgbClr val="68AED1"/>
            </a:solidFill>
            <a:ln w="3175">
              <a:solidFill>
                <a:srgbClr val="666699"/>
              </a:solidFill>
              <a:prstDash val="solid"/>
            </a:ln>
          </c:spPr>
          <c:cat>
            <c:numRef>
              <c:f>'[36]Figure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'[36]Figure 2.1_DATA'!$D$2:$D$102</c:f>
              <c:numCache>
                <c:formatCode>General</c:formatCode>
                <c:ptCount val="101"/>
                <c:pt idx="0">
                  <c:v>4.8067545890808105</c:v>
                </c:pt>
                <c:pt idx="1">
                  <c:v>4.9444189071655273</c:v>
                </c:pt>
                <c:pt idx="2">
                  <c:v>6.919654369354248</c:v>
                </c:pt>
                <c:pt idx="3">
                  <c:v>6.2166929244995117</c:v>
                </c:pt>
                <c:pt idx="4">
                  <c:v>2.6765873432159424</c:v>
                </c:pt>
                <c:pt idx="5">
                  <c:v>5.2689175605773926</c:v>
                </c:pt>
                <c:pt idx="6">
                  <c:v>4.9921274185180664</c:v>
                </c:pt>
                <c:pt idx="7">
                  <c:v>4.2576589584350586</c:v>
                </c:pt>
                <c:pt idx="8">
                  <c:v>5.1181187629699707</c:v>
                </c:pt>
                <c:pt idx="9">
                  <c:v>3.4152050018310547</c:v>
                </c:pt>
                <c:pt idx="10">
                  <c:v>3.3435802459716797</c:v>
                </c:pt>
                <c:pt idx="11">
                  <c:v>3.5297281742095947</c:v>
                </c:pt>
                <c:pt idx="12">
                  <c:v>3.9523892402648926</c:v>
                </c:pt>
                <c:pt idx="13">
                  <c:v>3.9154880046844482</c:v>
                </c:pt>
                <c:pt idx="14">
                  <c:v>3.8846750259399414</c:v>
                </c:pt>
                <c:pt idx="15">
                  <c:v>3.8688044548034668</c:v>
                </c:pt>
                <c:pt idx="16">
                  <c:v>3.7444717884063721</c:v>
                </c:pt>
                <c:pt idx="17">
                  <c:v>3.0145895481109619</c:v>
                </c:pt>
                <c:pt idx="18">
                  <c:v>3.2278556823730469</c:v>
                </c:pt>
                <c:pt idx="19">
                  <c:v>3.0645570755004883</c:v>
                </c:pt>
                <c:pt idx="20">
                  <c:v>2.6448450088500977</c:v>
                </c:pt>
                <c:pt idx="21">
                  <c:v>2.6072094440460205</c:v>
                </c:pt>
                <c:pt idx="22">
                  <c:v>2.589550256729126</c:v>
                </c:pt>
                <c:pt idx="23">
                  <c:v>2.7252950668334961</c:v>
                </c:pt>
                <c:pt idx="24">
                  <c:v>2.7917983531951904</c:v>
                </c:pt>
                <c:pt idx="25">
                  <c:v>2.8890817165374756</c:v>
                </c:pt>
                <c:pt idx="26">
                  <c:v>3.5652139186859131</c:v>
                </c:pt>
                <c:pt idx="27">
                  <c:v>3.5674412250518799</c:v>
                </c:pt>
                <c:pt idx="28">
                  <c:v>3.6052484512329102</c:v>
                </c:pt>
                <c:pt idx="29">
                  <c:v>3.8529732227325439</c:v>
                </c:pt>
                <c:pt idx="30">
                  <c:v>3.8614988327026367</c:v>
                </c:pt>
                <c:pt idx="31">
                  <c:v>3.4920568466186523</c:v>
                </c:pt>
                <c:pt idx="32">
                  <c:v>3.8774104118347168</c:v>
                </c:pt>
                <c:pt idx="33">
                  <c:v>3.65907883644104</c:v>
                </c:pt>
                <c:pt idx="34">
                  <c:v>3.3041086196899414</c:v>
                </c:pt>
                <c:pt idx="35">
                  <c:v>2.9896383285522461</c:v>
                </c:pt>
                <c:pt idx="36">
                  <c:v>2.9788484573364258</c:v>
                </c:pt>
                <c:pt idx="37">
                  <c:v>2.5466935634613037</c:v>
                </c:pt>
                <c:pt idx="38">
                  <c:v>2.382549524307251</c:v>
                </c:pt>
                <c:pt idx="39">
                  <c:v>2.3215582370758057</c:v>
                </c:pt>
                <c:pt idx="40">
                  <c:v>2.3779737949371338</c:v>
                </c:pt>
                <c:pt idx="41">
                  <c:v>2.2204520702362061</c:v>
                </c:pt>
                <c:pt idx="42">
                  <c:v>2.4338967800140381</c:v>
                </c:pt>
                <c:pt idx="43">
                  <c:v>2.5236823558807373</c:v>
                </c:pt>
                <c:pt idx="44">
                  <c:v>2.8290860652923584</c:v>
                </c:pt>
                <c:pt idx="45">
                  <c:v>2.3851292133331299</c:v>
                </c:pt>
                <c:pt idx="46">
                  <c:v>2.5617856979370117</c:v>
                </c:pt>
                <c:pt idx="47">
                  <c:v>2.4852807521820068</c:v>
                </c:pt>
                <c:pt idx="48">
                  <c:v>2.5497510433197021</c:v>
                </c:pt>
                <c:pt idx="49">
                  <c:v>2.8260238170623779</c:v>
                </c:pt>
                <c:pt idx="50">
                  <c:v>2.4902124404907227</c:v>
                </c:pt>
                <c:pt idx="51">
                  <c:v>2.188485860824585</c:v>
                </c:pt>
                <c:pt idx="52">
                  <c:v>2.0424139499664307</c:v>
                </c:pt>
                <c:pt idx="53">
                  <c:v>1.5984991788864136</c:v>
                </c:pt>
                <c:pt idx="54">
                  <c:v>1.4282469749450684</c:v>
                </c:pt>
                <c:pt idx="55">
                  <c:v>1.3530657291412354</c:v>
                </c:pt>
                <c:pt idx="56">
                  <c:v>1.2954925298690796</c:v>
                </c:pt>
                <c:pt idx="57">
                  <c:v>1.5338160991668701</c:v>
                </c:pt>
                <c:pt idx="58">
                  <c:v>1.8216995000839233</c:v>
                </c:pt>
                <c:pt idx="59">
                  <c:v>2.0085089206695557</c:v>
                </c:pt>
                <c:pt idx="60">
                  <c:v>1.7286731004714966</c:v>
                </c:pt>
                <c:pt idx="61">
                  <c:v>2.0791792869567871</c:v>
                </c:pt>
                <c:pt idx="62">
                  <c:v>2.1618382930755615</c:v>
                </c:pt>
                <c:pt idx="63">
                  <c:v>1.8127275705337524</c:v>
                </c:pt>
                <c:pt idx="64">
                  <c:v>1.8240777254104614</c:v>
                </c:pt>
                <c:pt idx="65">
                  <c:v>2.1622209548950195</c:v>
                </c:pt>
                <c:pt idx="66">
                  <c:v>2.1475236415863037</c:v>
                </c:pt>
                <c:pt idx="67">
                  <c:v>1.6205390691757202</c:v>
                </c:pt>
                <c:pt idx="68">
                  <c:v>1.7877930402755737</c:v>
                </c:pt>
                <c:pt idx="69">
                  <c:v>1.6521729230880737</c:v>
                </c:pt>
                <c:pt idx="70">
                  <c:v>1.615199089050293</c:v>
                </c:pt>
                <c:pt idx="71">
                  <c:v>2.048215389251709</c:v>
                </c:pt>
                <c:pt idx="72">
                  <c:v>2.4557571411132812</c:v>
                </c:pt>
                <c:pt idx="73">
                  <c:v>2.6449129581451416</c:v>
                </c:pt>
                <c:pt idx="74">
                  <c:v>2.6669070720672607</c:v>
                </c:pt>
                <c:pt idx="75">
                  <c:v>2.5049421787261963</c:v>
                </c:pt>
                <c:pt idx="76">
                  <c:v>2.5787365436553955</c:v>
                </c:pt>
                <c:pt idx="77">
                  <c:v>2.7259848117828369</c:v>
                </c:pt>
                <c:pt idx="78">
                  <c:v>3.5642313957214355</c:v>
                </c:pt>
                <c:pt idx="79">
                  <c:v>3.1781003475189209</c:v>
                </c:pt>
                <c:pt idx="80">
                  <c:v>3.2115974426269531</c:v>
                </c:pt>
                <c:pt idx="81">
                  <c:v>3.1917319297790527</c:v>
                </c:pt>
                <c:pt idx="82">
                  <c:v>3.5033490657806396</c:v>
                </c:pt>
                <c:pt idx="83">
                  <c:v>3.0875537395477295</c:v>
                </c:pt>
                <c:pt idx="84">
                  <c:v>3.0852534770965576</c:v>
                </c:pt>
                <c:pt idx="85">
                  <c:v>2.6284120082855225</c:v>
                </c:pt>
                <c:pt idx="86">
                  <c:v>2.4891872406005859</c:v>
                </c:pt>
                <c:pt idx="87">
                  <c:v>3.3185765743255615</c:v>
                </c:pt>
                <c:pt idx="88">
                  <c:v>3.9120440483093262</c:v>
                </c:pt>
                <c:pt idx="89">
                  <c:v>4.160304069519043</c:v>
                </c:pt>
                <c:pt idx="90">
                  <c:v>4.6342372894287109</c:v>
                </c:pt>
                <c:pt idx="91">
                  <c:v>4.4791126251220703</c:v>
                </c:pt>
                <c:pt idx="92">
                  <c:v>4.8225917816162109</c:v>
                </c:pt>
                <c:pt idx="93">
                  <c:v>4.8019638061523437</c:v>
                </c:pt>
                <c:pt idx="94">
                  <c:v>4.8784027099609375</c:v>
                </c:pt>
                <c:pt idx="95">
                  <c:v>4.0736732482910156</c:v>
                </c:pt>
                <c:pt idx="96">
                  <c:v>4.0529236793518066</c:v>
                </c:pt>
                <c:pt idx="97">
                  <c:v>6.1628408432006836</c:v>
                </c:pt>
                <c:pt idx="98">
                  <c:v>6.4484672546386719</c:v>
                </c:pt>
                <c:pt idx="99">
                  <c:v>3.1688313484191895</c:v>
                </c:pt>
                <c:pt idx="100">
                  <c:v>4.7031989097595215</c:v>
                </c:pt>
              </c:numCache>
            </c:numRef>
          </c:val>
        </c:ser>
        <c:dLbls>
          <c:showLegendKey val="0"/>
          <c:showVal val="0"/>
          <c:showCatName val="0"/>
          <c:showSerName val="0"/>
          <c:showPercent val="0"/>
          <c:showBubbleSize val="0"/>
        </c:dLbls>
        <c:axId val="537760448"/>
        <c:axId val="537760056"/>
      </c:areaChart>
      <c:catAx>
        <c:axId val="53776044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30616727437394198"/>
              <c:y val="0.9178237461037120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7760056"/>
        <c:crosses val="autoZero"/>
        <c:auto val="1"/>
        <c:lblAlgn val="ctr"/>
        <c:lblOffset val="100"/>
        <c:tickLblSkip val="10"/>
        <c:tickMarkSkip val="1"/>
        <c:noMultiLvlLbl val="0"/>
      </c:catAx>
      <c:valAx>
        <c:axId val="537760056"/>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p>
            </c:rich>
          </c:tx>
          <c:layout>
            <c:manualLayout>
              <c:xMode val="edge"/>
              <c:yMode val="edge"/>
              <c:x val="2.7697676310385281E-3"/>
              <c:y val="0.17395751289093964"/>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7760448"/>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2006-2010</a:t>
            </a:r>
          </a:p>
        </c:rich>
      </c:tx>
      <c:layout>
        <c:manualLayout>
          <c:xMode val="edge"/>
          <c:yMode val="edge"/>
          <c:x val="0.47193063310484046"/>
          <c:y val="2.9350164910420171E-2"/>
        </c:manualLayout>
      </c:layout>
      <c:overlay val="0"/>
      <c:spPr>
        <a:noFill/>
        <a:ln w="25400">
          <a:noFill/>
        </a:ln>
      </c:spPr>
    </c:title>
    <c:autoTitleDeleted val="0"/>
    <c:plotArea>
      <c:layout>
        <c:manualLayout>
          <c:layoutTarget val="inner"/>
          <c:xMode val="edge"/>
          <c:yMode val="edge"/>
          <c:x val="0.10350894926834786"/>
          <c:y val="0.13417218244763512"/>
          <c:w val="0.85965059561848256"/>
          <c:h val="0.77149004907390162"/>
        </c:manualLayout>
      </c:layout>
      <c:areaChart>
        <c:grouping val="stacked"/>
        <c:varyColors val="0"/>
        <c:ser>
          <c:idx val="0"/>
          <c:order val="0"/>
          <c:spPr>
            <a:solidFill>
              <a:srgbClr val="FFFFFF"/>
            </a:solidFill>
            <a:ln w="3175">
              <a:solidFill>
                <a:srgbClr val="666699"/>
              </a:solidFill>
              <a:prstDash val="solid"/>
            </a:ln>
          </c:spPr>
          <c:cat>
            <c:numRef>
              <c:f>'[29]Figure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'[29]Figure 2.1_DATA'!$B$2:$B$102</c:f>
              <c:numCache>
                <c:formatCode>General</c:formatCode>
                <c:ptCount val="101"/>
                <c:pt idx="0">
                  <c:v>-43.117141723632813</c:v>
                </c:pt>
                <c:pt idx="1">
                  <c:v>-40.859451293945313</c:v>
                </c:pt>
                <c:pt idx="2">
                  <c:v>-21.375646591186523</c:v>
                </c:pt>
                <c:pt idx="3">
                  <c:v>-12.894776344299316</c:v>
                </c:pt>
                <c:pt idx="4">
                  <c:v>-9.3762798309326172</c:v>
                </c:pt>
                <c:pt idx="5">
                  <c:v>-11.150747299194336</c:v>
                </c:pt>
                <c:pt idx="6">
                  <c:v>-10.708162307739258</c:v>
                </c:pt>
                <c:pt idx="7">
                  <c:v>-10.389950752258301</c:v>
                </c:pt>
                <c:pt idx="8">
                  <c:v>-9.7748298645019531</c:v>
                </c:pt>
                <c:pt idx="9">
                  <c:v>-10.200732231140137</c:v>
                </c:pt>
                <c:pt idx="10">
                  <c:v>-8.7866001129150391</c:v>
                </c:pt>
                <c:pt idx="11">
                  <c:v>-7.2993807792663574</c:v>
                </c:pt>
                <c:pt idx="12">
                  <c:v>-7.1194558143615723</c:v>
                </c:pt>
                <c:pt idx="13">
                  <c:v>-7.0678019523620605</c:v>
                </c:pt>
                <c:pt idx="14">
                  <c:v>-7.0618019104003906</c:v>
                </c:pt>
                <c:pt idx="15">
                  <c:v>-6.4888105392456055</c:v>
                </c:pt>
                <c:pt idx="16">
                  <c:v>-5.809180736541748</c:v>
                </c:pt>
                <c:pt idx="17">
                  <c:v>-5.2754373550415039</c:v>
                </c:pt>
                <c:pt idx="18">
                  <c:v>-5.3710517883300781</c:v>
                </c:pt>
                <c:pt idx="19">
                  <c:v>-4.7035107612609863</c:v>
                </c:pt>
                <c:pt idx="20">
                  <c:v>-4.7120013236999512</c:v>
                </c:pt>
                <c:pt idx="21">
                  <c:v>-4.2339572906494141</c:v>
                </c:pt>
                <c:pt idx="22">
                  <c:v>-4.4196200370788574</c:v>
                </c:pt>
                <c:pt idx="23">
                  <c:v>-4.7528047561645508</c:v>
                </c:pt>
                <c:pt idx="24">
                  <c:v>-5.1265964508056641</c:v>
                </c:pt>
                <c:pt idx="25">
                  <c:v>-5.6810441017150879</c:v>
                </c:pt>
                <c:pt idx="26">
                  <c:v>-5.6445651054382324</c:v>
                </c:pt>
                <c:pt idx="27">
                  <c:v>-5.878382682800293</c:v>
                </c:pt>
                <c:pt idx="28">
                  <c:v>-6.0754308700561523</c:v>
                </c:pt>
                <c:pt idx="29">
                  <c:v>-6.3709726333618164</c:v>
                </c:pt>
                <c:pt idx="30">
                  <c:v>-6.4767332077026367</c:v>
                </c:pt>
                <c:pt idx="31">
                  <c:v>-6.9271655082702637</c:v>
                </c:pt>
                <c:pt idx="32">
                  <c:v>-7.1196527481079102</c:v>
                </c:pt>
                <c:pt idx="33">
                  <c:v>-7.0468254089355469</c:v>
                </c:pt>
                <c:pt idx="34">
                  <c:v>-6.6337571144104004</c:v>
                </c:pt>
                <c:pt idx="35">
                  <c:v>-6.9194965362548828</c:v>
                </c:pt>
                <c:pt idx="36">
                  <c:v>-7.0605597496032715</c:v>
                </c:pt>
                <c:pt idx="37">
                  <c:v>-6.8195834159851074</c:v>
                </c:pt>
                <c:pt idx="38">
                  <c:v>-6.7274980545043945</c:v>
                </c:pt>
                <c:pt idx="39">
                  <c:v>-6.6018962860107422</c:v>
                </c:pt>
                <c:pt idx="40">
                  <c:v>-6.3782281875610352</c:v>
                </c:pt>
                <c:pt idx="41">
                  <c:v>-6.3878850936889648</c:v>
                </c:pt>
                <c:pt idx="42">
                  <c:v>-6.2931256294250488</c:v>
                </c:pt>
                <c:pt idx="43">
                  <c:v>-5.9952239990234375</c:v>
                </c:pt>
                <c:pt idx="44">
                  <c:v>-6.0377955436706543</c:v>
                </c:pt>
                <c:pt idx="45">
                  <c:v>-5.9700260162353516</c:v>
                </c:pt>
                <c:pt idx="46">
                  <c:v>-5.7317495346069336</c:v>
                </c:pt>
                <c:pt idx="47">
                  <c:v>-5.9549036026000977</c:v>
                </c:pt>
                <c:pt idx="48">
                  <c:v>-5.928278923034668</c:v>
                </c:pt>
                <c:pt idx="49">
                  <c:v>-6.0580215454101563</c:v>
                </c:pt>
                <c:pt idx="50">
                  <c:v>-6.014434814453125</c:v>
                </c:pt>
                <c:pt idx="51">
                  <c:v>-5.9977664947509766</c:v>
                </c:pt>
                <c:pt idx="52">
                  <c:v>-5.7975153923034668</c:v>
                </c:pt>
                <c:pt idx="53">
                  <c:v>-5.6277194023132324</c:v>
                </c:pt>
                <c:pt idx="54">
                  <c:v>-5.271183967590332</c:v>
                </c:pt>
                <c:pt idx="55">
                  <c:v>-5.0250997543334961</c:v>
                </c:pt>
                <c:pt idx="56">
                  <c:v>-5.0282130241394043</c:v>
                </c:pt>
                <c:pt idx="57">
                  <c:v>-5.2165398597717285</c:v>
                </c:pt>
                <c:pt idx="58">
                  <c:v>-5.5330028533935547</c:v>
                </c:pt>
                <c:pt idx="59">
                  <c:v>-5.6074657440185547</c:v>
                </c:pt>
                <c:pt idx="60">
                  <c:v>-5.3849992752075195</c:v>
                </c:pt>
                <c:pt idx="61">
                  <c:v>-5.5991597175598145</c:v>
                </c:pt>
                <c:pt idx="62">
                  <c:v>-5.9346151351928711</c:v>
                </c:pt>
                <c:pt idx="63">
                  <c:v>-5.9675555229187012</c:v>
                </c:pt>
                <c:pt idx="64">
                  <c:v>-6.1523380279541016</c:v>
                </c:pt>
                <c:pt idx="65">
                  <c:v>-5.8949465751647949</c:v>
                </c:pt>
                <c:pt idx="66">
                  <c:v>-5.9094886779785156</c:v>
                </c:pt>
                <c:pt idx="67">
                  <c:v>-5.4164600372314453</c:v>
                </c:pt>
                <c:pt idx="68">
                  <c:v>-5.2652802467346191</c:v>
                </c:pt>
                <c:pt idx="69">
                  <c:v>-5.5107378959655762</c:v>
                </c:pt>
                <c:pt idx="70">
                  <c:v>-5.209080696105957</c:v>
                </c:pt>
                <c:pt idx="71">
                  <c:v>-5.6862459182739258</c:v>
                </c:pt>
                <c:pt idx="72">
                  <c:v>-5.8649163246154785</c:v>
                </c:pt>
                <c:pt idx="73">
                  <c:v>-5.8180255889892578</c:v>
                </c:pt>
                <c:pt idx="74">
                  <c:v>-6.0680155754089355</c:v>
                </c:pt>
                <c:pt idx="75">
                  <c:v>-6.3329496383666992</c:v>
                </c:pt>
                <c:pt idx="76">
                  <c:v>-6.3163318634033203</c:v>
                </c:pt>
                <c:pt idx="77">
                  <c:v>-6.3752493858337402</c:v>
                </c:pt>
                <c:pt idx="78">
                  <c:v>-6.3859157562255859</c:v>
                </c:pt>
                <c:pt idx="79">
                  <c:v>-6.7195358276367187</c:v>
                </c:pt>
                <c:pt idx="80">
                  <c:v>-7.0080475807189941</c:v>
                </c:pt>
                <c:pt idx="81">
                  <c:v>-7.3447542190551758</c:v>
                </c:pt>
                <c:pt idx="82">
                  <c:v>-7.4123024940490723</c:v>
                </c:pt>
                <c:pt idx="83">
                  <c:v>-7.8227987289428711</c:v>
                </c:pt>
                <c:pt idx="84">
                  <c:v>-7.7215800285339355</c:v>
                </c:pt>
                <c:pt idx="85">
                  <c:v>-7.7018537521362305</c:v>
                </c:pt>
                <c:pt idx="86">
                  <c:v>-7.1623945236206055</c:v>
                </c:pt>
                <c:pt idx="87">
                  <c:v>-7.4165382385253906</c:v>
                </c:pt>
                <c:pt idx="88">
                  <c:v>-7.8794374465942383</c:v>
                </c:pt>
                <c:pt idx="89">
                  <c:v>-8.653045654296875</c:v>
                </c:pt>
                <c:pt idx="90">
                  <c:v>-8.9901018142700195</c:v>
                </c:pt>
                <c:pt idx="91">
                  <c:v>-9.8420724868774414</c:v>
                </c:pt>
                <c:pt idx="92">
                  <c:v>-10.619728088378906</c:v>
                </c:pt>
                <c:pt idx="93">
                  <c:v>-10.235139846801758</c:v>
                </c:pt>
                <c:pt idx="94">
                  <c:v>-11.029603004455566</c:v>
                </c:pt>
                <c:pt idx="95">
                  <c:v>-11.164203643798828</c:v>
                </c:pt>
                <c:pt idx="96">
                  <c:v>-11.451645851135254</c:v>
                </c:pt>
                <c:pt idx="97">
                  <c:v>-13.051031112670898</c:v>
                </c:pt>
                <c:pt idx="98">
                  <c:v>-14.926479339599609</c:v>
                </c:pt>
                <c:pt idx="99">
                  <c:v>-13.518563270568848</c:v>
                </c:pt>
                <c:pt idx="100">
                  <c:v>-13.618864059448242</c:v>
                </c:pt>
              </c:numCache>
            </c:numRef>
          </c:val>
        </c:ser>
        <c:ser>
          <c:idx val="1"/>
          <c:order val="1"/>
          <c:spPr>
            <a:solidFill>
              <a:srgbClr val="68AED1"/>
            </a:solidFill>
            <a:ln w="3175">
              <a:solidFill>
                <a:srgbClr val="666699"/>
              </a:solidFill>
              <a:prstDash val="solid"/>
            </a:ln>
          </c:spPr>
          <c:cat>
            <c:numRef>
              <c:f>'[29]Figure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'[29]Figure 2.1_DATA'!$C$2:$C$102</c:f>
              <c:numCache>
                <c:formatCode>General</c:formatCode>
                <c:ptCount val="101"/>
                <c:pt idx="0">
                  <c:v>22.166316986083984</c:v>
                </c:pt>
                <c:pt idx="1">
                  <c:v>25.503196716308594</c:v>
                </c:pt>
                <c:pt idx="2">
                  <c:v>19.930637359619141</c:v>
                </c:pt>
                <c:pt idx="3">
                  <c:v>13.284286499023438</c:v>
                </c:pt>
                <c:pt idx="4">
                  <c:v>8.1799812316894531</c:v>
                </c:pt>
                <c:pt idx="5">
                  <c:v>8.4904317855834961</c:v>
                </c:pt>
                <c:pt idx="6">
                  <c:v>8.0488615036010742</c:v>
                </c:pt>
                <c:pt idx="7">
                  <c:v>6.8621406555175781</c:v>
                </c:pt>
                <c:pt idx="8">
                  <c:v>6.8217425346374512</c:v>
                </c:pt>
                <c:pt idx="9">
                  <c:v>7.0369033813476563</c:v>
                </c:pt>
                <c:pt idx="10">
                  <c:v>5.3741517066955566</c:v>
                </c:pt>
                <c:pt idx="11">
                  <c:v>3.3006527423858643</c:v>
                </c:pt>
                <c:pt idx="12">
                  <c:v>3.1765573024749756</c:v>
                </c:pt>
                <c:pt idx="13">
                  <c:v>3.0054290294647217</c:v>
                </c:pt>
                <c:pt idx="14">
                  <c:v>2.9608347415924072</c:v>
                </c:pt>
                <c:pt idx="15">
                  <c:v>2.5322263240814209</c:v>
                </c:pt>
                <c:pt idx="16">
                  <c:v>2.233593225479126</c:v>
                </c:pt>
                <c:pt idx="17">
                  <c:v>1.8731762170791626</c:v>
                </c:pt>
                <c:pt idx="18">
                  <c:v>2.2762036323547363</c:v>
                </c:pt>
                <c:pt idx="19">
                  <c:v>2.0963060855865479</c:v>
                </c:pt>
                <c:pt idx="20">
                  <c:v>2.3328297138214111</c:v>
                </c:pt>
                <c:pt idx="21">
                  <c:v>1.9588192701339722</c:v>
                </c:pt>
                <c:pt idx="22">
                  <c:v>2.3575704097747803</c:v>
                </c:pt>
                <c:pt idx="23">
                  <c:v>2.5568971633911133</c:v>
                </c:pt>
                <c:pt idx="24">
                  <c:v>3.0201435089111328</c:v>
                </c:pt>
                <c:pt idx="25">
                  <c:v>3.420482873916626</c:v>
                </c:pt>
                <c:pt idx="26">
                  <c:v>3.4299790859222412</c:v>
                </c:pt>
                <c:pt idx="27">
                  <c:v>3.5686380863189697</c:v>
                </c:pt>
                <c:pt idx="28">
                  <c:v>3.5214252471923828</c:v>
                </c:pt>
                <c:pt idx="29">
                  <c:v>3.8458526134490967</c:v>
                </c:pt>
                <c:pt idx="30">
                  <c:v>3.8156464099884033</c:v>
                </c:pt>
                <c:pt idx="31">
                  <c:v>4.2468118667602539</c:v>
                </c:pt>
                <c:pt idx="32">
                  <c:v>4.4169774055480957</c:v>
                </c:pt>
                <c:pt idx="33">
                  <c:v>4.111872673034668</c:v>
                </c:pt>
                <c:pt idx="34">
                  <c:v>3.6076884269714355</c:v>
                </c:pt>
                <c:pt idx="35">
                  <c:v>3.5695865154266357</c:v>
                </c:pt>
                <c:pt idx="36">
                  <c:v>3.5867135524749756</c:v>
                </c:pt>
                <c:pt idx="37">
                  <c:v>3.2836921215057373</c:v>
                </c:pt>
                <c:pt idx="38">
                  <c:v>3.1979203224182129</c:v>
                </c:pt>
                <c:pt idx="39">
                  <c:v>3.1985499858856201</c:v>
                </c:pt>
                <c:pt idx="40">
                  <c:v>3.099067211151123</c:v>
                </c:pt>
                <c:pt idx="41">
                  <c:v>3.1240828037261963</c:v>
                </c:pt>
                <c:pt idx="42">
                  <c:v>3.0613689422607422</c:v>
                </c:pt>
                <c:pt idx="43">
                  <c:v>2.8121693134307861</c:v>
                </c:pt>
                <c:pt idx="44">
                  <c:v>2.6715278625488281</c:v>
                </c:pt>
                <c:pt idx="45">
                  <c:v>2.6683666706085205</c:v>
                </c:pt>
                <c:pt idx="46">
                  <c:v>2.4486167430877686</c:v>
                </c:pt>
                <c:pt idx="47">
                  <c:v>2.765312671661377</c:v>
                </c:pt>
                <c:pt idx="48">
                  <c:v>2.7555708885192871</c:v>
                </c:pt>
                <c:pt idx="49">
                  <c:v>2.9205853939056396</c:v>
                </c:pt>
                <c:pt idx="50">
                  <c:v>2.8433778285980225</c:v>
                </c:pt>
                <c:pt idx="51">
                  <c:v>2.5875885486602783</c:v>
                </c:pt>
                <c:pt idx="52">
                  <c:v>2.4033229351043701</c:v>
                </c:pt>
                <c:pt idx="53">
                  <c:v>2.1422970294952393</c:v>
                </c:pt>
                <c:pt idx="54">
                  <c:v>2.0104992389678955</c:v>
                </c:pt>
                <c:pt idx="55">
                  <c:v>1.9116034507751465</c:v>
                </c:pt>
                <c:pt idx="56">
                  <c:v>2.1068098545074463</c:v>
                </c:pt>
                <c:pt idx="57">
                  <c:v>2.4120163917541504</c:v>
                </c:pt>
                <c:pt idx="58">
                  <c:v>2.7695162296295166</c:v>
                </c:pt>
                <c:pt idx="59">
                  <c:v>2.9339816570281982</c:v>
                </c:pt>
                <c:pt idx="60">
                  <c:v>2.852325439453125</c:v>
                </c:pt>
                <c:pt idx="61">
                  <c:v>3.0736734867095947</c:v>
                </c:pt>
                <c:pt idx="62">
                  <c:v>3.2475776672363281</c:v>
                </c:pt>
                <c:pt idx="63">
                  <c:v>3.0653393268585205</c:v>
                </c:pt>
                <c:pt idx="64">
                  <c:v>2.9901516437530518</c:v>
                </c:pt>
                <c:pt idx="65">
                  <c:v>2.6048400402069092</c:v>
                </c:pt>
                <c:pt idx="66">
                  <c:v>2.5243880748748779</c:v>
                </c:pt>
                <c:pt idx="67">
                  <c:v>2.0040559768676758</c:v>
                </c:pt>
                <c:pt idx="68">
                  <c:v>1.9583414793014526</c:v>
                </c:pt>
                <c:pt idx="69">
                  <c:v>2.1802821159362793</c:v>
                </c:pt>
                <c:pt idx="70">
                  <c:v>1.980637788772583</c:v>
                </c:pt>
                <c:pt idx="71">
                  <c:v>2.4992194175720215</c:v>
                </c:pt>
                <c:pt idx="72">
                  <c:v>2.6678423881530762</c:v>
                </c:pt>
                <c:pt idx="73">
                  <c:v>2.7214739322662354</c:v>
                </c:pt>
                <c:pt idx="74">
                  <c:v>3.0223703384399414</c:v>
                </c:pt>
                <c:pt idx="75">
                  <c:v>3.138697624206543</c:v>
                </c:pt>
                <c:pt idx="76">
                  <c:v>2.9886071681976318</c:v>
                </c:pt>
                <c:pt idx="77">
                  <c:v>2.8945646286010742</c:v>
                </c:pt>
                <c:pt idx="78">
                  <c:v>2.7693140506744385</c:v>
                </c:pt>
                <c:pt idx="79">
                  <c:v>2.7745158672332764</c:v>
                </c:pt>
                <c:pt idx="80">
                  <c:v>2.8265173435211182</c:v>
                </c:pt>
                <c:pt idx="81">
                  <c:v>2.8575582504272461</c:v>
                </c:pt>
                <c:pt idx="82">
                  <c:v>2.4316668510437012</c:v>
                </c:pt>
                <c:pt idx="83">
                  <c:v>2.4298205375671387</c:v>
                </c:pt>
                <c:pt idx="84">
                  <c:v>2.3350346088409424</c:v>
                </c:pt>
                <c:pt idx="85">
                  <c:v>2.3600790500640869</c:v>
                </c:pt>
                <c:pt idx="86">
                  <c:v>1.8533369302749634</c:v>
                </c:pt>
                <c:pt idx="87">
                  <c:v>2.1215360164642334</c:v>
                </c:pt>
                <c:pt idx="88">
                  <c:v>2.5454027652740479</c:v>
                </c:pt>
                <c:pt idx="89">
                  <c:v>3.4223670959472656</c:v>
                </c:pt>
                <c:pt idx="90">
                  <c:v>3.5251367092132568</c:v>
                </c:pt>
                <c:pt idx="91">
                  <c:v>3.8992724418640137</c:v>
                </c:pt>
                <c:pt idx="92">
                  <c:v>4.3901219367980957</c:v>
                </c:pt>
                <c:pt idx="93">
                  <c:v>3.6370608806610107</c:v>
                </c:pt>
                <c:pt idx="94">
                  <c:v>3.9294764995574951</c:v>
                </c:pt>
                <c:pt idx="95">
                  <c:v>3.48311448097229</c:v>
                </c:pt>
                <c:pt idx="96">
                  <c:v>2.9330110549926758</c:v>
                </c:pt>
                <c:pt idx="97">
                  <c:v>3.660830020904541</c:v>
                </c:pt>
                <c:pt idx="98">
                  <c:v>4.5490560531616211</c:v>
                </c:pt>
                <c:pt idx="99">
                  <c:v>2.1139345169067383</c:v>
                </c:pt>
                <c:pt idx="100">
                  <c:v>2.0985488891601562</c:v>
                </c:pt>
              </c:numCache>
            </c:numRef>
          </c:val>
        </c:ser>
        <c:ser>
          <c:idx val="2"/>
          <c:order val="2"/>
          <c:spPr>
            <a:solidFill>
              <a:srgbClr val="68AED1"/>
            </a:solidFill>
            <a:ln w="3175">
              <a:solidFill>
                <a:srgbClr val="666699"/>
              </a:solidFill>
              <a:prstDash val="solid"/>
            </a:ln>
          </c:spPr>
          <c:cat>
            <c:numRef>
              <c:f>'[29]Figure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'[29]Figure 2.1_DATA'!$D$2:$D$102</c:f>
              <c:numCache>
                <c:formatCode>General</c:formatCode>
                <c:ptCount val="101"/>
                <c:pt idx="0">
                  <c:v>22.166316986083984</c:v>
                </c:pt>
                <c:pt idx="1">
                  <c:v>25.503196716308594</c:v>
                </c:pt>
                <c:pt idx="2">
                  <c:v>19.930637359619141</c:v>
                </c:pt>
                <c:pt idx="3">
                  <c:v>13.284286499023438</c:v>
                </c:pt>
                <c:pt idx="4">
                  <c:v>8.1799812316894531</c:v>
                </c:pt>
                <c:pt idx="5">
                  <c:v>8.4904317855834961</c:v>
                </c:pt>
                <c:pt idx="6">
                  <c:v>8.0488615036010742</c:v>
                </c:pt>
                <c:pt idx="7">
                  <c:v>6.8621406555175781</c:v>
                </c:pt>
                <c:pt idx="8">
                  <c:v>6.8217425346374512</c:v>
                </c:pt>
                <c:pt idx="9">
                  <c:v>7.0369033813476563</c:v>
                </c:pt>
                <c:pt idx="10">
                  <c:v>5.3741517066955566</c:v>
                </c:pt>
                <c:pt idx="11">
                  <c:v>3.3006527423858643</c:v>
                </c:pt>
                <c:pt idx="12">
                  <c:v>3.1765573024749756</c:v>
                </c:pt>
                <c:pt idx="13">
                  <c:v>3.0054290294647217</c:v>
                </c:pt>
                <c:pt idx="14">
                  <c:v>2.9608347415924072</c:v>
                </c:pt>
                <c:pt idx="15">
                  <c:v>2.5322263240814209</c:v>
                </c:pt>
                <c:pt idx="16">
                  <c:v>2.233593225479126</c:v>
                </c:pt>
                <c:pt idx="17">
                  <c:v>1.8731762170791626</c:v>
                </c:pt>
                <c:pt idx="18">
                  <c:v>2.2762036323547363</c:v>
                </c:pt>
                <c:pt idx="19">
                  <c:v>2.0963060855865479</c:v>
                </c:pt>
                <c:pt idx="20">
                  <c:v>2.3328297138214111</c:v>
                </c:pt>
                <c:pt idx="21">
                  <c:v>1.9588192701339722</c:v>
                </c:pt>
                <c:pt idx="22">
                  <c:v>2.3575704097747803</c:v>
                </c:pt>
                <c:pt idx="23">
                  <c:v>2.5568971633911133</c:v>
                </c:pt>
                <c:pt idx="24">
                  <c:v>3.0201435089111328</c:v>
                </c:pt>
                <c:pt idx="25">
                  <c:v>3.420482873916626</c:v>
                </c:pt>
                <c:pt idx="26">
                  <c:v>3.4299790859222412</c:v>
                </c:pt>
                <c:pt idx="27">
                  <c:v>3.5686380863189697</c:v>
                </c:pt>
                <c:pt idx="28">
                  <c:v>3.5214252471923828</c:v>
                </c:pt>
                <c:pt idx="29">
                  <c:v>3.8458526134490967</c:v>
                </c:pt>
                <c:pt idx="30">
                  <c:v>3.8156464099884033</c:v>
                </c:pt>
                <c:pt idx="31">
                  <c:v>4.2468118667602539</c:v>
                </c:pt>
                <c:pt idx="32">
                  <c:v>4.4169774055480957</c:v>
                </c:pt>
                <c:pt idx="33">
                  <c:v>4.111872673034668</c:v>
                </c:pt>
                <c:pt idx="34">
                  <c:v>3.6076884269714355</c:v>
                </c:pt>
                <c:pt idx="35">
                  <c:v>3.5695865154266357</c:v>
                </c:pt>
                <c:pt idx="36">
                  <c:v>3.5867135524749756</c:v>
                </c:pt>
                <c:pt idx="37">
                  <c:v>3.2836921215057373</c:v>
                </c:pt>
                <c:pt idx="38">
                  <c:v>3.1979203224182129</c:v>
                </c:pt>
                <c:pt idx="39">
                  <c:v>3.1985499858856201</c:v>
                </c:pt>
                <c:pt idx="40">
                  <c:v>3.099067211151123</c:v>
                </c:pt>
                <c:pt idx="41">
                  <c:v>3.1240828037261963</c:v>
                </c:pt>
                <c:pt idx="42">
                  <c:v>3.0613689422607422</c:v>
                </c:pt>
                <c:pt idx="43">
                  <c:v>2.8121693134307861</c:v>
                </c:pt>
                <c:pt idx="44">
                  <c:v>2.6715278625488281</c:v>
                </c:pt>
                <c:pt idx="45">
                  <c:v>2.6683666706085205</c:v>
                </c:pt>
                <c:pt idx="46">
                  <c:v>2.4486167430877686</c:v>
                </c:pt>
                <c:pt idx="47">
                  <c:v>2.765312671661377</c:v>
                </c:pt>
                <c:pt idx="48">
                  <c:v>2.7555708885192871</c:v>
                </c:pt>
                <c:pt idx="49">
                  <c:v>2.9205853939056396</c:v>
                </c:pt>
                <c:pt idx="50">
                  <c:v>2.8433778285980225</c:v>
                </c:pt>
                <c:pt idx="51">
                  <c:v>2.5875885486602783</c:v>
                </c:pt>
                <c:pt idx="52">
                  <c:v>2.4033229351043701</c:v>
                </c:pt>
                <c:pt idx="53">
                  <c:v>2.1422970294952393</c:v>
                </c:pt>
                <c:pt idx="54">
                  <c:v>2.0104992389678955</c:v>
                </c:pt>
                <c:pt idx="55">
                  <c:v>1.9116034507751465</c:v>
                </c:pt>
                <c:pt idx="56">
                  <c:v>2.1068098545074463</c:v>
                </c:pt>
                <c:pt idx="57">
                  <c:v>2.4120163917541504</c:v>
                </c:pt>
                <c:pt idx="58">
                  <c:v>2.7695162296295166</c:v>
                </c:pt>
                <c:pt idx="59">
                  <c:v>2.9339816570281982</c:v>
                </c:pt>
                <c:pt idx="60">
                  <c:v>2.852325439453125</c:v>
                </c:pt>
                <c:pt idx="61">
                  <c:v>3.0736734867095947</c:v>
                </c:pt>
                <c:pt idx="62">
                  <c:v>3.2475776672363281</c:v>
                </c:pt>
                <c:pt idx="63">
                  <c:v>3.0653393268585205</c:v>
                </c:pt>
                <c:pt idx="64">
                  <c:v>2.9901516437530518</c:v>
                </c:pt>
                <c:pt idx="65">
                  <c:v>2.6048400402069092</c:v>
                </c:pt>
                <c:pt idx="66">
                  <c:v>2.5243880748748779</c:v>
                </c:pt>
                <c:pt idx="67">
                  <c:v>2.0040559768676758</c:v>
                </c:pt>
                <c:pt idx="68">
                  <c:v>1.9583414793014526</c:v>
                </c:pt>
                <c:pt idx="69">
                  <c:v>2.1802821159362793</c:v>
                </c:pt>
                <c:pt idx="70">
                  <c:v>1.980637788772583</c:v>
                </c:pt>
                <c:pt idx="71">
                  <c:v>2.4992194175720215</c:v>
                </c:pt>
                <c:pt idx="72">
                  <c:v>2.6678423881530762</c:v>
                </c:pt>
                <c:pt idx="73">
                  <c:v>2.7214739322662354</c:v>
                </c:pt>
                <c:pt idx="74">
                  <c:v>3.0223703384399414</c:v>
                </c:pt>
                <c:pt idx="75">
                  <c:v>3.138697624206543</c:v>
                </c:pt>
                <c:pt idx="76">
                  <c:v>2.9886071681976318</c:v>
                </c:pt>
                <c:pt idx="77">
                  <c:v>2.8945646286010742</c:v>
                </c:pt>
                <c:pt idx="78">
                  <c:v>2.7693140506744385</c:v>
                </c:pt>
                <c:pt idx="79">
                  <c:v>2.7745158672332764</c:v>
                </c:pt>
                <c:pt idx="80">
                  <c:v>2.8265173435211182</c:v>
                </c:pt>
                <c:pt idx="81">
                  <c:v>2.8575582504272461</c:v>
                </c:pt>
                <c:pt idx="82">
                  <c:v>2.4316668510437012</c:v>
                </c:pt>
                <c:pt idx="83">
                  <c:v>2.4298205375671387</c:v>
                </c:pt>
                <c:pt idx="84">
                  <c:v>2.3350346088409424</c:v>
                </c:pt>
                <c:pt idx="85">
                  <c:v>2.3600790500640869</c:v>
                </c:pt>
                <c:pt idx="86">
                  <c:v>1.8533369302749634</c:v>
                </c:pt>
                <c:pt idx="87">
                  <c:v>2.1215360164642334</c:v>
                </c:pt>
                <c:pt idx="88">
                  <c:v>2.5454027652740479</c:v>
                </c:pt>
                <c:pt idx="89">
                  <c:v>3.4223670959472656</c:v>
                </c:pt>
                <c:pt idx="90">
                  <c:v>3.5251367092132568</c:v>
                </c:pt>
                <c:pt idx="91">
                  <c:v>3.8992724418640137</c:v>
                </c:pt>
                <c:pt idx="92">
                  <c:v>4.3901219367980957</c:v>
                </c:pt>
                <c:pt idx="93">
                  <c:v>3.6370608806610107</c:v>
                </c:pt>
                <c:pt idx="94">
                  <c:v>3.9294764995574951</c:v>
                </c:pt>
                <c:pt idx="95">
                  <c:v>3.48311448097229</c:v>
                </c:pt>
                <c:pt idx="96">
                  <c:v>2.9330110549926758</c:v>
                </c:pt>
                <c:pt idx="97">
                  <c:v>3.660830020904541</c:v>
                </c:pt>
                <c:pt idx="98">
                  <c:v>4.5490560531616211</c:v>
                </c:pt>
                <c:pt idx="99">
                  <c:v>2.1139345169067383</c:v>
                </c:pt>
                <c:pt idx="100">
                  <c:v>2.0985488891601562</c:v>
                </c:pt>
              </c:numCache>
            </c:numRef>
          </c:val>
        </c:ser>
        <c:dLbls>
          <c:showLegendKey val="0"/>
          <c:showVal val="0"/>
          <c:showCatName val="0"/>
          <c:showSerName val="0"/>
          <c:showPercent val="0"/>
          <c:showBubbleSize val="0"/>
        </c:dLbls>
        <c:axId val="537759272"/>
        <c:axId val="537758880"/>
      </c:areaChart>
      <c:catAx>
        <c:axId val="53775927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34843886459911905"/>
              <c:y val="0.9178237461037120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7758880"/>
        <c:crosses val="autoZero"/>
        <c:auto val="1"/>
        <c:lblAlgn val="ctr"/>
        <c:lblOffset val="100"/>
        <c:tickLblSkip val="10"/>
        <c:tickMarkSkip val="1"/>
        <c:noMultiLvlLbl val="0"/>
      </c:catAx>
      <c:valAx>
        <c:axId val="537758880"/>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p>
            </c:rich>
          </c:tx>
          <c:layout>
            <c:manualLayout>
              <c:xMode val="edge"/>
              <c:yMode val="edge"/>
              <c:x val="2.1523443478852398E-3"/>
              <c:y val="0.21362880787535449"/>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7759272"/>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3823982726514"/>
          <c:y val="5.6671818650180318E-2"/>
          <c:w val="0.85963735538644259"/>
          <c:h val="0.47616132604753619"/>
        </c:manualLayout>
      </c:layout>
      <c:barChart>
        <c:barDir val="col"/>
        <c:grouping val="clustered"/>
        <c:varyColors val="0"/>
        <c:ser>
          <c:idx val="0"/>
          <c:order val="0"/>
          <c:tx>
            <c:v>1988</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Sheet1!$B$4:$B$12</c:f>
              <c:strCache>
                <c:ptCount val="9"/>
                <c:pt idx="0">
                  <c:v>  Extractive industry</c:v>
                </c:pt>
                <c:pt idx="1">
                  <c:v>  Manufacturing and craft</c:v>
                </c:pt>
                <c:pt idx="2">
                  <c:v>  Trade</c:v>
                </c:pt>
                <c:pt idx="3">
                  <c:v>  Bank / insurance</c:v>
                </c:pt>
                <c:pt idx="4">
                  <c:v>  Public or private administration</c:v>
                </c:pt>
                <c:pt idx="5">
                  <c:v> Transport and communication</c:v>
                </c:pt>
                <c:pt idx="6">
                  <c:v>  Construction</c:v>
                </c:pt>
                <c:pt idx="7">
                  <c:v>  Services</c:v>
                </c:pt>
                <c:pt idx="8">
                  <c:v>  Electricity, water and gas</c:v>
                </c:pt>
              </c:strCache>
            </c:strRef>
          </c:cat>
          <c:val>
            <c:numRef>
              <c:f>Sheet1!$M$4:$M$12</c:f>
              <c:numCache>
                <c:formatCode>0%</c:formatCode>
                <c:ptCount val="9"/>
                <c:pt idx="0">
                  <c:v>3.7037037037037038E-3</c:v>
                </c:pt>
                <c:pt idx="1">
                  <c:v>0.1111111111111111</c:v>
                </c:pt>
                <c:pt idx="2">
                  <c:v>0.33333333333333331</c:v>
                </c:pt>
                <c:pt idx="3">
                  <c:v>2.4691358024691358E-3</c:v>
                </c:pt>
                <c:pt idx="4">
                  <c:v>0.18271604938271604</c:v>
                </c:pt>
                <c:pt idx="5">
                  <c:v>7.5308641975308649E-2</c:v>
                </c:pt>
                <c:pt idx="6">
                  <c:v>4.8148148148148148E-2</c:v>
                </c:pt>
                <c:pt idx="7">
                  <c:v>0.22839506172839505</c:v>
                </c:pt>
                <c:pt idx="8">
                  <c:v>1.234567901234568E-2</c:v>
                </c:pt>
              </c:numCache>
            </c:numRef>
          </c:val>
        </c:ser>
        <c:ser>
          <c:idx val="1"/>
          <c:order val="1"/>
          <c:tx>
            <c:v>2009</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Sheet1!$B$4:$B$12</c:f>
              <c:strCache>
                <c:ptCount val="9"/>
                <c:pt idx="0">
                  <c:v>  Extractive industry</c:v>
                </c:pt>
                <c:pt idx="1">
                  <c:v>  Manufacturing and craft</c:v>
                </c:pt>
                <c:pt idx="2">
                  <c:v>  Trade</c:v>
                </c:pt>
                <c:pt idx="3">
                  <c:v>  Bank / insurance</c:v>
                </c:pt>
                <c:pt idx="4">
                  <c:v>  Public or private administration</c:v>
                </c:pt>
                <c:pt idx="5">
                  <c:v> Transport and communication</c:v>
                </c:pt>
                <c:pt idx="6">
                  <c:v>  Construction</c:v>
                </c:pt>
                <c:pt idx="7">
                  <c:v>  Services</c:v>
                </c:pt>
                <c:pt idx="8">
                  <c:v>  Electricity, water and gas</c:v>
                </c:pt>
              </c:strCache>
            </c:strRef>
          </c:cat>
          <c:val>
            <c:numRef>
              <c:f>Sheet1!$N$4:$N$12</c:f>
              <c:numCache>
                <c:formatCode>0%</c:formatCode>
                <c:ptCount val="9"/>
                <c:pt idx="0">
                  <c:v>4.4943820224719105E-3</c:v>
                </c:pt>
                <c:pt idx="1">
                  <c:v>0.11011235955056181</c:v>
                </c:pt>
                <c:pt idx="2">
                  <c:v>0.35505617977528087</c:v>
                </c:pt>
                <c:pt idx="3">
                  <c:v>5.6179775280898875E-3</c:v>
                </c:pt>
                <c:pt idx="4">
                  <c:v>0.16741573033707866</c:v>
                </c:pt>
                <c:pt idx="5">
                  <c:v>9.2134831460674152E-2</c:v>
                </c:pt>
                <c:pt idx="6">
                  <c:v>6.4044943820224715E-2</c:v>
                </c:pt>
                <c:pt idx="7">
                  <c:v>0.18988764044943821</c:v>
                </c:pt>
                <c:pt idx="8">
                  <c:v>1.2359550561797751E-2</c:v>
                </c:pt>
              </c:numCache>
            </c:numRef>
          </c:val>
        </c:ser>
        <c:dLbls>
          <c:showLegendKey val="0"/>
          <c:showVal val="0"/>
          <c:showCatName val="0"/>
          <c:showSerName val="0"/>
          <c:showPercent val="0"/>
          <c:showBubbleSize val="0"/>
        </c:dLbls>
        <c:gapWidth val="75"/>
        <c:overlap val="-25"/>
        <c:axId val="537720544"/>
        <c:axId val="537720936"/>
      </c:barChart>
      <c:catAx>
        <c:axId val="537720544"/>
        <c:scaling>
          <c:orientation val="minMax"/>
        </c:scaling>
        <c:delete val="0"/>
        <c:axPos val="b"/>
        <c:numFmt formatCode="General" sourceLinked="0"/>
        <c:majorTickMark val="none"/>
        <c:minorTickMark val="none"/>
        <c:tickLblPos val="nextTo"/>
        <c:txPr>
          <a:bodyPr/>
          <a:lstStyle/>
          <a:p>
            <a:pPr>
              <a:defRPr sz="1000"/>
            </a:pPr>
            <a:endParaRPr lang="en-US"/>
          </a:p>
        </c:txPr>
        <c:crossAx val="537720936"/>
        <c:crosses val="autoZero"/>
        <c:auto val="1"/>
        <c:lblAlgn val="ctr"/>
        <c:lblOffset val="100"/>
        <c:noMultiLvlLbl val="0"/>
      </c:catAx>
      <c:valAx>
        <c:axId val="537720936"/>
        <c:scaling>
          <c:orientation val="minMax"/>
        </c:scaling>
        <c:delete val="0"/>
        <c:axPos val="l"/>
        <c:title>
          <c:tx>
            <c:rich>
              <a:bodyPr rot="-5400000" vert="horz"/>
              <a:lstStyle/>
              <a:p>
                <a:pPr>
                  <a:defRPr/>
                </a:pPr>
                <a:r>
                  <a:rPr lang="en-US"/>
                  <a:t>Percent</a:t>
                </a:r>
              </a:p>
            </c:rich>
          </c:tx>
          <c:layout/>
          <c:overlay val="0"/>
        </c:title>
        <c:numFmt formatCode="0%" sourceLinked="1"/>
        <c:majorTickMark val="none"/>
        <c:minorTickMark val="none"/>
        <c:tickLblPos val="nextTo"/>
        <c:spPr>
          <a:ln w="9525">
            <a:noFill/>
          </a:ln>
        </c:spPr>
        <c:crossAx val="537720544"/>
        <c:crosses val="autoZero"/>
        <c:crossBetween val="between"/>
      </c:valAx>
    </c:plotArea>
    <c:legend>
      <c:legendPos val="b"/>
      <c:layout>
        <c:manualLayout>
          <c:xMode val="edge"/>
          <c:yMode val="edge"/>
          <c:x val="0.42858359384786887"/>
          <c:y val="0.8970779734449732"/>
          <c:w val="0.16070873090830778"/>
          <c:h val="6.731814773153356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Poverty!$B$163:$B$175</c:f>
              <c:strCache>
                <c:ptCount val="13"/>
                <c:pt idx="0">
                  <c:v>1. Nomadism and trans-Saharan trade</c:v>
                </c:pt>
                <c:pt idx="1">
                  <c:v>2. Nomadic and transhumant pastoralism</c:v>
                </c:pt>
                <c:pt idx="2">
                  <c:v>3. Fluvial rice and transhumant livestock rearing</c:v>
                </c:pt>
                <c:pt idx="3">
                  <c:v>4. Millet and transhumant livestock rearing</c:v>
                </c:pt>
                <c:pt idx="4">
                  <c:v>5. Dogon plateau -- millet, shallots, wild foods, tourism</c:v>
                </c:pt>
                <c:pt idx="5">
                  <c:v>6. Niger delta - rice and livestock rearing </c:v>
                </c:pt>
                <c:pt idx="6">
                  <c:v>7. Office du Niger (irrigated rice)</c:v>
                </c:pt>
                <c:pt idx="7">
                  <c:v>8. Remittances, sorghum, transhumant livestock rearing</c:v>
                </c:pt>
                <c:pt idx="8">
                  <c:v>9. West and central rainfed millet/sorghum</c:v>
                </c:pt>
                <c:pt idx="9">
                  <c:v>10. Sorghum, millet and cotton</c:v>
                </c:pt>
                <c:pt idx="10">
                  <c:v>11. South maize, cotton and fruits</c:v>
                </c:pt>
                <c:pt idx="11">
                  <c:v>12. South-west maize, sorghum and fruits</c:v>
                </c:pt>
                <c:pt idx="12">
                  <c:v>13. Bamako</c:v>
                </c:pt>
              </c:strCache>
            </c:strRef>
          </c:cat>
          <c:val>
            <c:numRef>
              <c:f>Poverty!$C$163:$C$175</c:f>
              <c:numCache>
                <c:formatCode>0.0</c:formatCode>
                <c:ptCount val="13"/>
                <c:pt idx="0">
                  <c:v>7.2450000000000001</c:v>
                </c:pt>
                <c:pt idx="1">
                  <c:v>6.9389029999999998</c:v>
                </c:pt>
                <c:pt idx="2">
                  <c:v>7.6377509999999997</c:v>
                </c:pt>
                <c:pt idx="3">
                  <c:v>8.5463660000000008</c:v>
                </c:pt>
                <c:pt idx="4">
                  <c:v>7.034592</c:v>
                </c:pt>
                <c:pt idx="5">
                  <c:v>7.2534419999999997</c:v>
                </c:pt>
                <c:pt idx="6">
                  <c:v>10.050369999999999</c:v>
                </c:pt>
                <c:pt idx="7">
                  <c:v>10.90663</c:v>
                </c:pt>
                <c:pt idx="8">
                  <c:v>10.80026</c:v>
                </c:pt>
                <c:pt idx="9">
                  <c:v>11.09686</c:v>
                </c:pt>
                <c:pt idx="10">
                  <c:v>10.701829999999999</c:v>
                </c:pt>
                <c:pt idx="11">
                  <c:v>10.861980000000001</c:v>
                </c:pt>
                <c:pt idx="12">
                  <c:v>7.8975200000000001</c:v>
                </c:pt>
              </c:numCache>
            </c:numRef>
          </c:val>
        </c:ser>
        <c:dLbls>
          <c:showLegendKey val="0"/>
          <c:showVal val="0"/>
          <c:showCatName val="0"/>
          <c:showSerName val="0"/>
          <c:showPercent val="0"/>
          <c:showBubbleSize val="0"/>
        </c:dLbls>
        <c:gapWidth val="75"/>
        <c:axId val="537721720"/>
        <c:axId val="537722112"/>
      </c:barChart>
      <c:catAx>
        <c:axId val="537721720"/>
        <c:scaling>
          <c:orientation val="minMax"/>
        </c:scaling>
        <c:delete val="0"/>
        <c:axPos val="l"/>
        <c:numFmt formatCode="General" sourceLinked="0"/>
        <c:majorTickMark val="none"/>
        <c:minorTickMark val="none"/>
        <c:tickLblPos val="nextTo"/>
        <c:txPr>
          <a:bodyPr/>
          <a:lstStyle/>
          <a:p>
            <a:pPr>
              <a:defRPr sz="1000"/>
            </a:pPr>
            <a:endParaRPr lang="en-US"/>
          </a:p>
        </c:txPr>
        <c:crossAx val="537722112"/>
        <c:crosses val="autoZero"/>
        <c:auto val="1"/>
        <c:lblAlgn val="ctr"/>
        <c:lblOffset val="100"/>
        <c:noMultiLvlLbl val="0"/>
      </c:catAx>
      <c:valAx>
        <c:axId val="537722112"/>
        <c:scaling>
          <c:orientation val="minMax"/>
        </c:scaling>
        <c:delete val="0"/>
        <c:axPos val="b"/>
        <c:title>
          <c:tx>
            <c:rich>
              <a:bodyPr/>
              <a:lstStyle/>
              <a:p>
                <a:pPr>
                  <a:defRPr/>
                </a:pPr>
                <a:r>
                  <a:rPr lang="en-US"/>
                  <a:t>Household size</a:t>
                </a:r>
              </a:p>
            </c:rich>
          </c:tx>
          <c:layout/>
          <c:overlay val="0"/>
        </c:title>
        <c:numFmt formatCode="0.0" sourceLinked="1"/>
        <c:majorTickMark val="none"/>
        <c:minorTickMark val="none"/>
        <c:tickLblPos val="nextTo"/>
        <c:spPr>
          <a:ln w="9525">
            <a:noFill/>
          </a:ln>
        </c:spPr>
        <c:crossAx val="5377217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Sheet1!$D$4</c:f>
              <c:strCache>
                <c:ptCount val="1"/>
                <c:pt idx="0">
                  <c:v>Gouvernment</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Sheet1!$D$5:$D$13</c:f>
              <c:numCache>
                <c:formatCode>General</c:formatCode>
                <c:ptCount val="9"/>
                <c:pt idx="0">
                  <c:v>0</c:v>
                </c:pt>
                <c:pt idx="1">
                  <c:v>0</c:v>
                </c:pt>
                <c:pt idx="2">
                  <c:v>0</c:v>
                </c:pt>
                <c:pt idx="3">
                  <c:v>0</c:v>
                </c:pt>
                <c:pt idx="4">
                  <c:v>0</c:v>
                </c:pt>
                <c:pt idx="5">
                  <c:v>0</c:v>
                </c:pt>
                <c:pt idx="6">
                  <c:v>0</c:v>
                </c:pt>
                <c:pt idx="7">
                  <c:v>3.0685E-3</c:v>
                </c:pt>
                <c:pt idx="8">
                  <c:v>0</c:v>
                </c:pt>
              </c:numCache>
            </c:numRef>
          </c:val>
        </c:ser>
        <c:ser>
          <c:idx val="1"/>
          <c:order val="1"/>
          <c:tx>
            <c:strRef>
              <c:f>Sheet1!$E$4</c:f>
              <c:strCache>
                <c:ptCount val="1"/>
                <c:pt idx="0">
                  <c:v>ONG</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Sheet1!$E$5:$E$13</c:f>
              <c:numCache>
                <c:formatCode>General</c:formatCode>
                <c:ptCount val="9"/>
                <c:pt idx="0">
                  <c:v>0</c:v>
                </c:pt>
                <c:pt idx="1">
                  <c:v>1.0011E-3</c:v>
                </c:pt>
                <c:pt idx="2">
                  <c:v>1.0525000000000001E-3</c:v>
                </c:pt>
                <c:pt idx="3">
                  <c:v>0</c:v>
                </c:pt>
                <c:pt idx="4">
                  <c:v>2.0393E-3</c:v>
                </c:pt>
                <c:pt idx="5">
                  <c:v>3.5720000000000001E-3</c:v>
                </c:pt>
                <c:pt idx="6">
                  <c:v>0</c:v>
                </c:pt>
                <c:pt idx="7">
                  <c:v>6.1370000000000001E-3</c:v>
                </c:pt>
                <c:pt idx="8">
                  <c:v>0</c:v>
                </c:pt>
              </c:numCache>
            </c:numRef>
          </c:val>
        </c:ser>
        <c:ser>
          <c:idx val="2"/>
          <c:order val="2"/>
          <c:tx>
            <c:strRef>
              <c:f>Sheet1!$F$4</c:f>
              <c:strCache>
                <c:ptCount val="1"/>
                <c:pt idx="0">
                  <c:v>Vente de bétail</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Sheet1!$F$5:$F$13</c:f>
              <c:numCache>
                <c:formatCode>General</c:formatCode>
                <c:ptCount val="9"/>
                <c:pt idx="0">
                  <c:v>8.3719999999999992E-3</c:v>
                </c:pt>
                <c:pt idx="1">
                  <c:v>2.3898300000000001E-2</c:v>
                </c:pt>
                <c:pt idx="2">
                  <c:v>2.3503999999999999E-3</c:v>
                </c:pt>
                <c:pt idx="3">
                  <c:v>9.6478999999999992E-3</c:v>
                </c:pt>
                <c:pt idx="4">
                  <c:v>2.3535299999999999E-2</c:v>
                </c:pt>
                <c:pt idx="5">
                  <c:v>3.2593700000000003E-2</c:v>
                </c:pt>
                <c:pt idx="6">
                  <c:v>2.5753999999999998E-3</c:v>
                </c:pt>
                <c:pt idx="7">
                  <c:v>5.8240999999999996E-3</c:v>
                </c:pt>
                <c:pt idx="8">
                  <c:v>0</c:v>
                </c:pt>
              </c:numCache>
            </c:numRef>
          </c:val>
        </c:ser>
        <c:ser>
          <c:idx val="3"/>
          <c:order val="3"/>
          <c:tx>
            <c:strRef>
              <c:f>Sheet1!$G$4</c:f>
              <c:strCache>
                <c:ptCount val="1"/>
                <c:pt idx="0">
                  <c:v>Vente de son capital</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Sheet1!$G$5:$G$13</c:f>
              <c:numCache>
                <c:formatCode>General</c:formatCode>
                <c:ptCount val="9"/>
                <c:pt idx="0">
                  <c:v>1.3584000000000001E-3</c:v>
                </c:pt>
                <c:pt idx="1">
                  <c:v>0</c:v>
                </c:pt>
                <c:pt idx="2">
                  <c:v>0</c:v>
                </c:pt>
                <c:pt idx="3">
                  <c:v>0</c:v>
                </c:pt>
                <c:pt idx="4">
                  <c:v>4.2988999999999996E-3</c:v>
                </c:pt>
                <c:pt idx="5">
                  <c:v>1.6213E-3</c:v>
                </c:pt>
                <c:pt idx="6">
                  <c:v>0</c:v>
                </c:pt>
                <c:pt idx="7">
                  <c:v>0</c:v>
                </c:pt>
                <c:pt idx="8">
                  <c:v>0</c:v>
                </c:pt>
              </c:numCache>
            </c:numRef>
          </c:val>
        </c:ser>
        <c:ser>
          <c:idx val="4"/>
          <c:order val="4"/>
          <c:tx>
            <c:strRef>
              <c:f>Sheet1!$H$4</c:f>
              <c:strCache>
                <c:ptCount val="1"/>
                <c:pt idx="0">
                  <c:v>Vente des biens</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Sheet1!$H$5:$H$13</c:f>
              <c:numCache>
                <c:formatCode>General</c:formatCode>
                <c:ptCount val="9"/>
                <c:pt idx="0">
                  <c:v>1.19801E-2</c:v>
                </c:pt>
                <c:pt idx="1">
                  <c:v>1.0302E-3</c:v>
                </c:pt>
                <c:pt idx="2">
                  <c:v>2.1648000000000001E-3</c:v>
                </c:pt>
                <c:pt idx="3">
                  <c:v>2.6757E-3</c:v>
                </c:pt>
                <c:pt idx="4">
                  <c:v>2.1892000000000001E-3</c:v>
                </c:pt>
                <c:pt idx="5">
                  <c:v>1.9389900000000002E-2</c:v>
                </c:pt>
                <c:pt idx="6">
                  <c:v>0</c:v>
                </c:pt>
                <c:pt idx="7">
                  <c:v>8.8710000000000004E-3</c:v>
                </c:pt>
                <c:pt idx="8">
                  <c:v>0</c:v>
                </c:pt>
              </c:numCache>
            </c:numRef>
          </c:val>
        </c:ser>
        <c:ser>
          <c:idx val="5"/>
          <c:order val="5"/>
          <c:tx>
            <c:strRef>
              <c:f>Sheet1!$I$4</c:f>
              <c:strCache>
                <c:ptCount val="1"/>
                <c:pt idx="0">
                  <c:v>Epargnes</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Sheet1!$I$5:$I$13</c:f>
              <c:numCache>
                <c:formatCode>General</c:formatCode>
                <c:ptCount val="9"/>
                <c:pt idx="0">
                  <c:v>1.0338000000000001E-3</c:v>
                </c:pt>
                <c:pt idx="1">
                  <c:v>1.9667999999999999E-3</c:v>
                </c:pt>
                <c:pt idx="2">
                  <c:v>2.0127999999999999E-3</c:v>
                </c:pt>
                <c:pt idx="3">
                  <c:v>0</c:v>
                </c:pt>
                <c:pt idx="4">
                  <c:v>5.6603000000000001E-3</c:v>
                </c:pt>
                <c:pt idx="5">
                  <c:v>1.7399E-3</c:v>
                </c:pt>
                <c:pt idx="6">
                  <c:v>0</c:v>
                </c:pt>
                <c:pt idx="7">
                  <c:v>2.0384999999999999E-3</c:v>
                </c:pt>
                <c:pt idx="8">
                  <c:v>0</c:v>
                </c:pt>
              </c:numCache>
            </c:numRef>
          </c:val>
        </c:ser>
        <c:ser>
          <c:idx val="6"/>
          <c:order val="6"/>
          <c:tx>
            <c:strRef>
              <c:f>Sheet1!$J$4</c:f>
              <c:strCache>
                <c:ptCount val="1"/>
                <c:pt idx="0">
                  <c:v>Pret</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Sheet1!$J$5:$J$13</c:f>
              <c:numCache>
                <c:formatCode>General</c:formatCode>
                <c:ptCount val="9"/>
                <c:pt idx="0">
                  <c:v>1.6537699999999999E-2</c:v>
                </c:pt>
                <c:pt idx="1">
                  <c:v>5.5786999999999998E-3</c:v>
                </c:pt>
                <c:pt idx="2">
                  <c:v>3.6405999999999999E-3</c:v>
                </c:pt>
                <c:pt idx="3">
                  <c:v>1.1583899999999999E-2</c:v>
                </c:pt>
                <c:pt idx="4">
                  <c:v>1.88615E-2</c:v>
                </c:pt>
                <c:pt idx="5">
                  <c:v>1.3854399999999999E-2</c:v>
                </c:pt>
                <c:pt idx="6">
                  <c:v>6.9360000000000005E-4</c:v>
                </c:pt>
                <c:pt idx="7">
                  <c:v>2.07665E-2</c:v>
                </c:pt>
                <c:pt idx="8">
                  <c:v>2.9301000000000002E-3</c:v>
                </c:pt>
              </c:numCache>
            </c:numRef>
          </c:val>
        </c:ser>
        <c:ser>
          <c:idx val="7"/>
          <c:order val="7"/>
          <c:tx>
            <c:strRef>
              <c:f>Sheet1!$K$4</c:f>
              <c:strCache>
                <c:ptCount val="1"/>
                <c:pt idx="0">
                  <c:v>Aide d'un ami</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Sheet1!$K$5:$K$13</c:f>
              <c:numCache>
                <c:formatCode>General</c:formatCode>
                <c:ptCount val="9"/>
                <c:pt idx="0">
                  <c:v>3.8728199999999997E-2</c:v>
                </c:pt>
                <c:pt idx="1">
                  <c:v>4.16242E-2</c:v>
                </c:pt>
                <c:pt idx="2">
                  <c:v>1.1750399999999999E-2</c:v>
                </c:pt>
                <c:pt idx="3">
                  <c:v>8.9090999999999997E-3</c:v>
                </c:pt>
                <c:pt idx="4">
                  <c:v>2.9162199999999999E-2</c:v>
                </c:pt>
                <c:pt idx="5">
                  <c:v>2.7947799999999998E-2</c:v>
                </c:pt>
                <c:pt idx="6">
                  <c:v>3.9626000000000001E-3</c:v>
                </c:pt>
                <c:pt idx="7">
                  <c:v>1.56793E-2</c:v>
                </c:pt>
                <c:pt idx="8">
                  <c:v>8.3882000000000002E-3</c:v>
                </c:pt>
              </c:numCache>
            </c:numRef>
          </c:val>
        </c:ser>
        <c:ser>
          <c:idx val="8"/>
          <c:order val="8"/>
          <c:tx>
            <c:strRef>
              <c:f>Sheet1!$L$4</c:f>
              <c:strCache>
                <c:ptCount val="1"/>
                <c:pt idx="0">
                  <c:v>Emigration d'un membre de la famille</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Sheet1!$L$5:$L$13</c:f>
              <c:numCache>
                <c:formatCode>General</c:formatCode>
                <c:ptCount val="9"/>
                <c:pt idx="0">
                  <c:v>2.5349699999999999E-2</c:v>
                </c:pt>
                <c:pt idx="1">
                  <c:v>2.5203999999999999E-3</c:v>
                </c:pt>
                <c:pt idx="2">
                  <c:v>0</c:v>
                </c:pt>
                <c:pt idx="3">
                  <c:v>7.4100000000000001E-4</c:v>
                </c:pt>
                <c:pt idx="4">
                  <c:v>1.0156200000000001E-2</c:v>
                </c:pt>
                <c:pt idx="5">
                  <c:v>1.16819E-2</c:v>
                </c:pt>
                <c:pt idx="6">
                  <c:v>0</c:v>
                </c:pt>
                <c:pt idx="7">
                  <c:v>0</c:v>
                </c:pt>
                <c:pt idx="8">
                  <c:v>3.9814999999999998E-3</c:v>
                </c:pt>
              </c:numCache>
            </c:numRef>
          </c:val>
        </c:ser>
        <c:ser>
          <c:idx val="9"/>
          <c:order val="9"/>
          <c:tx>
            <c:strRef>
              <c:f>Sheet1!$M$4</c:f>
              <c:strCache>
                <c:ptCount val="1"/>
                <c:pt idx="0">
                  <c:v>Autre</c:v>
                </c:pt>
              </c:strCache>
            </c:strRef>
          </c:tx>
          <c:invertIfNegative val="0"/>
          <c:cat>
            <c:strRef>
              <c:f>Sheet1!$B$5:$B$13</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Sheet1!$M$5:$M$13</c:f>
              <c:numCache>
                <c:formatCode>General</c:formatCode>
                <c:ptCount val="9"/>
                <c:pt idx="0">
                  <c:v>1.4089E-3</c:v>
                </c:pt>
                <c:pt idx="1">
                  <c:v>5.0575999999999998E-3</c:v>
                </c:pt>
                <c:pt idx="2">
                  <c:v>8.8150000000000001E-4</c:v>
                </c:pt>
                <c:pt idx="3">
                  <c:v>4.4841999999999998E-3</c:v>
                </c:pt>
                <c:pt idx="4">
                  <c:v>1.9342000000000001E-3</c:v>
                </c:pt>
                <c:pt idx="5">
                  <c:v>4.4261999999999999E-3</c:v>
                </c:pt>
                <c:pt idx="6">
                  <c:v>0</c:v>
                </c:pt>
                <c:pt idx="7">
                  <c:v>8.5141000000000001E-3</c:v>
                </c:pt>
                <c:pt idx="8">
                  <c:v>0</c:v>
                </c:pt>
              </c:numCache>
            </c:numRef>
          </c:val>
        </c:ser>
        <c:dLbls>
          <c:showLegendKey val="0"/>
          <c:showVal val="0"/>
          <c:showCatName val="0"/>
          <c:showSerName val="0"/>
          <c:showPercent val="0"/>
          <c:showBubbleSize val="0"/>
        </c:dLbls>
        <c:gapWidth val="75"/>
        <c:overlap val="100"/>
        <c:axId val="538009168"/>
        <c:axId val="538009560"/>
      </c:barChart>
      <c:catAx>
        <c:axId val="538009168"/>
        <c:scaling>
          <c:orientation val="minMax"/>
        </c:scaling>
        <c:delete val="0"/>
        <c:axPos val="l"/>
        <c:numFmt formatCode="General" sourceLinked="0"/>
        <c:majorTickMark val="none"/>
        <c:minorTickMark val="none"/>
        <c:tickLblPos val="nextTo"/>
        <c:crossAx val="538009560"/>
        <c:crosses val="autoZero"/>
        <c:auto val="1"/>
        <c:lblAlgn val="ctr"/>
        <c:lblOffset val="100"/>
        <c:noMultiLvlLbl val="0"/>
      </c:catAx>
      <c:valAx>
        <c:axId val="538009560"/>
        <c:scaling>
          <c:orientation val="minMax"/>
        </c:scaling>
        <c:delete val="0"/>
        <c:axPos val="b"/>
        <c:majorGridlines/>
        <c:numFmt formatCode="0%" sourceLinked="1"/>
        <c:majorTickMark val="none"/>
        <c:minorTickMark val="none"/>
        <c:tickLblPos val="nextTo"/>
        <c:crossAx val="538009168"/>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384615384615384"/>
          <c:y val="2.9235880398671095E-2"/>
          <c:w val="0.82662393162393166"/>
          <c:h val="0.70817254819891706"/>
        </c:manualLayout>
      </c:layout>
      <c:barChart>
        <c:barDir val="bar"/>
        <c:grouping val="stacked"/>
        <c:varyColors val="0"/>
        <c:ser>
          <c:idx val="0"/>
          <c:order val="0"/>
          <c:tx>
            <c:strRef>
              <c:f>Sheet1!$C$84</c:f>
              <c:strCache>
                <c:ptCount val="1"/>
                <c:pt idx="0">
                  <c:v>Crop sales</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Sheet1!$C$85:$C$108</c:f>
              <c:numCache>
                <c:formatCode>General</c:formatCode>
                <c:ptCount val="24"/>
                <c:pt idx="1">
                  <c:v>17</c:v>
                </c:pt>
                <c:pt idx="2">
                  <c:v>4</c:v>
                </c:pt>
                <c:pt idx="3">
                  <c:v>4</c:v>
                </c:pt>
                <c:pt idx="4">
                  <c:v>20</c:v>
                </c:pt>
                <c:pt idx="5">
                  <c:v>25</c:v>
                </c:pt>
                <c:pt idx="7">
                  <c:v>13</c:v>
                </c:pt>
                <c:pt idx="8">
                  <c:v>35</c:v>
                </c:pt>
                <c:pt idx="9">
                  <c:v>10</c:v>
                </c:pt>
                <c:pt idx="10">
                  <c:v>10</c:v>
                </c:pt>
                <c:pt idx="12">
                  <c:v>0</c:v>
                </c:pt>
                <c:pt idx="14">
                  <c:v>35</c:v>
                </c:pt>
                <c:pt idx="15">
                  <c:v>25</c:v>
                </c:pt>
                <c:pt idx="16">
                  <c:v>50</c:v>
                </c:pt>
                <c:pt idx="17">
                  <c:v>17</c:v>
                </c:pt>
                <c:pt idx="18">
                  <c:v>70</c:v>
                </c:pt>
                <c:pt idx="20">
                  <c:v>35</c:v>
                </c:pt>
                <c:pt idx="21">
                  <c:v>85</c:v>
                </c:pt>
                <c:pt idx="22">
                  <c:v>82</c:v>
                </c:pt>
                <c:pt idx="23">
                  <c:v>44</c:v>
                </c:pt>
              </c:numCache>
            </c:numRef>
          </c:val>
        </c:ser>
        <c:ser>
          <c:idx val="1"/>
          <c:order val="1"/>
          <c:tx>
            <c:strRef>
              <c:f>Sheet1!$D$84</c:f>
              <c:strCache>
                <c:ptCount val="1"/>
                <c:pt idx="0">
                  <c:v>Fruit sales</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Sheet1!$D$85:$D$108</c:f>
              <c:numCache>
                <c:formatCode>General</c:formatCode>
                <c:ptCount val="24"/>
                <c:pt idx="12">
                  <c:v>0</c:v>
                </c:pt>
                <c:pt idx="22">
                  <c:v>10</c:v>
                </c:pt>
                <c:pt idx="23">
                  <c:v>46</c:v>
                </c:pt>
              </c:numCache>
            </c:numRef>
          </c:val>
        </c:ser>
        <c:ser>
          <c:idx val="2"/>
          <c:order val="2"/>
          <c:tx>
            <c:strRef>
              <c:f>Sheet1!$E$84</c:f>
              <c:strCache>
                <c:ptCount val="1"/>
                <c:pt idx="0">
                  <c:v>Livestock sales</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Sheet1!$E$85:$E$108</c:f>
              <c:numCache>
                <c:formatCode>General</c:formatCode>
                <c:ptCount val="24"/>
                <c:pt idx="0">
                  <c:v>15</c:v>
                </c:pt>
                <c:pt idx="1">
                  <c:v>3</c:v>
                </c:pt>
                <c:pt idx="2">
                  <c:v>15</c:v>
                </c:pt>
                <c:pt idx="3">
                  <c:v>2</c:v>
                </c:pt>
                <c:pt idx="4">
                  <c:v>10</c:v>
                </c:pt>
                <c:pt idx="5">
                  <c:v>3</c:v>
                </c:pt>
                <c:pt idx="6">
                  <c:v>18</c:v>
                </c:pt>
                <c:pt idx="7">
                  <c:v>5</c:v>
                </c:pt>
                <c:pt idx="8">
                  <c:v>5</c:v>
                </c:pt>
                <c:pt idx="9">
                  <c:v>5</c:v>
                </c:pt>
                <c:pt idx="10">
                  <c:v>15</c:v>
                </c:pt>
                <c:pt idx="12">
                  <c:v>0</c:v>
                </c:pt>
                <c:pt idx="13">
                  <c:v>80</c:v>
                </c:pt>
                <c:pt idx="14">
                  <c:v>45</c:v>
                </c:pt>
                <c:pt idx="15">
                  <c:v>35</c:v>
                </c:pt>
                <c:pt idx="16">
                  <c:v>19</c:v>
                </c:pt>
                <c:pt idx="17">
                  <c:v>39</c:v>
                </c:pt>
                <c:pt idx="18">
                  <c:v>7</c:v>
                </c:pt>
                <c:pt idx="19">
                  <c:v>10</c:v>
                </c:pt>
                <c:pt idx="20">
                  <c:v>25</c:v>
                </c:pt>
                <c:pt idx="21">
                  <c:v>5</c:v>
                </c:pt>
                <c:pt idx="23">
                  <c:v>4</c:v>
                </c:pt>
              </c:numCache>
            </c:numRef>
          </c:val>
        </c:ser>
        <c:ser>
          <c:idx val="3"/>
          <c:order val="3"/>
          <c:tx>
            <c:strRef>
              <c:f>Sheet1!$F$84</c:f>
              <c:strCache>
                <c:ptCount val="1"/>
                <c:pt idx="0">
                  <c:v>Livestock product sales</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Sheet1!$F$85:$F$108</c:f>
              <c:numCache>
                <c:formatCode>General</c:formatCode>
                <c:ptCount val="24"/>
                <c:pt idx="12">
                  <c:v>0</c:v>
                </c:pt>
                <c:pt idx="13">
                  <c:v>2</c:v>
                </c:pt>
                <c:pt idx="17">
                  <c:v>4</c:v>
                </c:pt>
              </c:numCache>
            </c:numRef>
          </c:val>
        </c:ser>
        <c:ser>
          <c:idx val="4"/>
          <c:order val="4"/>
          <c:tx>
            <c:strRef>
              <c:f>Sheet1!$G$84</c:f>
              <c:strCache>
                <c:ptCount val="1"/>
                <c:pt idx="0">
                  <c:v>Local agricultural labor</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Sheet1!$G$85:$G$108</c:f>
              <c:numCache>
                <c:formatCode>General</c:formatCode>
                <c:ptCount val="24"/>
                <c:pt idx="1">
                  <c:v>20</c:v>
                </c:pt>
                <c:pt idx="2">
                  <c:v>23</c:v>
                </c:pt>
                <c:pt idx="3">
                  <c:v>19</c:v>
                </c:pt>
                <c:pt idx="4">
                  <c:v>22</c:v>
                </c:pt>
                <c:pt idx="5">
                  <c:v>45</c:v>
                </c:pt>
                <c:pt idx="6">
                  <c:v>21</c:v>
                </c:pt>
                <c:pt idx="7">
                  <c:v>35</c:v>
                </c:pt>
                <c:pt idx="8">
                  <c:v>45</c:v>
                </c:pt>
                <c:pt idx="9">
                  <c:v>20</c:v>
                </c:pt>
                <c:pt idx="10">
                  <c:v>40</c:v>
                </c:pt>
                <c:pt idx="12">
                  <c:v>0</c:v>
                </c:pt>
              </c:numCache>
            </c:numRef>
          </c:val>
        </c:ser>
        <c:ser>
          <c:idx val="5"/>
          <c:order val="5"/>
          <c:tx>
            <c:strRef>
              <c:f>Sheet1!$H$84</c:f>
              <c:strCache>
                <c:ptCount val="1"/>
                <c:pt idx="0">
                  <c:v>Other local labor</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Sheet1!$H$85:$H$108</c:f>
              <c:numCache>
                <c:formatCode>General</c:formatCode>
                <c:ptCount val="24"/>
                <c:pt idx="0">
                  <c:v>63</c:v>
                </c:pt>
                <c:pt idx="1">
                  <c:v>10</c:v>
                </c:pt>
                <c:pt idx="2">
                  <c:v>40</c:v>
                </c:pt>
                <c:pt idx="3">
                  <c:v>15</c:v>
                </c:pt>
                <c:pt idx="4">
                  <c:v>20</c:v>
                </c:pt>
                <c:pt idx="5">
                  <c:v>7</c:v>
                </c:pt>
                <c:pt idx="6">
                  <c:v>10</c:v>
                </c:pt>
                <c:pt idx="7">
                  <c:v>7</c:v>
                </c:pt>
                <c:pt idx="10">
                  <c:v>3</c:v>
                </c:pt>
                <c:pt idx="12">
                  <c:v>0</c:v>
                </c:pt>
              </c:numCache>
            </c:numRef>
          </c:val>
        </c:ser>
        <c:ser>
          <c:idx val="6"/>
          <c:order val="6"/>
          <c:tx>
            <c:strRef>
              <c:f>Sheet1!$I$84</c:f>
              <c:strCache>
                <c:ptCount val="1"/>
                <c:pt idx="0">
                  <c:v>Labor migration and remittances</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Sheet1!$I$85:$I$108</c:f>
              <c:numCache>
                <c:formatCode>General</c:formatCode>
                <c:ptCount val="24"/>
                <c:pt idx="0">
                  <c:v>8</c:v>
                </c:pt>
                <c:pt idx="1">
                  <c:v>25</c:v>
                </c:pt>
                <c:pt idx="5">
                  <c:v>5</c:v>
                </c:pt>
                <c:pt idx="6">
                  <c:v>5</c:v>
                </c:pt>
                <c:pt idx="7">
                  <c:v>10</c:v>
                </c:pt>
                <c:pt idx="12">
                  <c:v>0</c:v>
                </c:pt>
                <c:pt idx="14">
                  <c:v>16</c:v>
                </c:pt>
                <c:pt idx="15">
                  <c:v>17</c:v>
                </c:pt>
                <c:pt idx="16">
                  <c:v>11</c:v>
                </c:pt>
                <c:pt idx="17">
                  <c:v>28</c:v>
                </c:pt>
                <c:pt idx="19">
                  <c:v>80</c:v>
                </c:pt>
                <c:pt idx="20">
                  <c:v>18</c:v>
                </c:pt>
              </c:numCache>
            </c:numRef>
          </c:val>
        </c:ser>
        <c:ser>
          <c:idx val="7"/>
          <c:order val="7"/>
          <c:tx>
            <c:strRef>
              <c:f>Sheet1!$J$84</c:f>
              <c:strCache>
                <c:ptCount val="1"/>
                <c:pt idx="0">
                  <c:v>Petty trade / trade</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Sheet1!$J$85:$J$108</c:f>
              <c:numCache>
                <c:formatCode>General</c:formatCode>
                <c:ptCount val="24"/>
                <c:pt idx="4">
                  <c:v>8</c:v>
                </c:pt>
                <c:pt idx="12">
                  <c:v>0</c:v>
                </c:pt>
                <c:pt idx="13">
                  <c:v>18</c:v>
                </c:pt>
                <c:pt idx="14">
                  <c:v>4</c:v>
                </c:pt>
                <c:pt idx="15">
                  <c:v>23</c:v>
                </c:pt>
                <c:pt idx="16">
                  <c:v>10</c:v>
                </c:pt>
                <c:pt idx="18">
                  <c:v>10</c:v>
                </c:pt>
                <c:pt idx="19">
                  <c:v>5</c:v>
                </c:pt>
                <c:pt idx="20">
                  <c:v>16</c:v>
                </c:pt>
                <c:pt idx="21">
                  <c:v>5</c:v>
                </c:pt>
                <c:pt idx="22">
                  <c:v>5</c:v>
                </c:pt>
              </c:numCache>
            </c:numRef>
          </c:val>
        </c:ser>
        <c:ser>
          <c:idx val="8"/>
          <c:order val="8"/>
          <c:tx>
            <c:strRef>
              <c:f>Sheet1!$K$84</c:f>
              <c:strCache>
                <c:ptCount val="1"/>
                <c:pt idx="0">
                  <c:v>Self-employment</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Sheet1!$K$85:$K$108</c:f>
              <c:numCache>
                <c:formatCode>General</c:formatCode>
                <c:ptCount val="24"/>
                <c:pt idx="0">
                  <c:v>10</c:v>
                </c:pt>
                <c:pt idx="1">
                  <c:v>10</c:v>
                </c:pt>
                <c:pt idx="2">
                  <c:v>18</c:v>
                </c:pt>
                <c:pt idx="3">
                  <c:v>60</c:v>
                </c:pt>
                <c:pt idx="4">
                  <c:v>20</c:v>
                </c:pt>
                <c:pt idx="5">
                  <c:v>15</c:v>
                </c:pt>
                <c:pt idx="6">
                  <c:v>41</c:v>
                </c:pt>
                <c:pt idx="7">
                  <c:v>30</c:v>
                </c:pt>
                <c:pt idx="8">
                  <c:v>15</c:v>
                </c:pt>
                <c:pt idx="9">
                  <c:v>65</c:v>
                </c:pt>
                <c:pt idx="10">
                  <c:v>32</c:v>
                </c:pt>
                <c:pt idx="12">
                  <c:v>0</c:v>
                </c:pt>
                <c:pt idx="16">
                  <c:v>10</c:v>
                </c:pt>
                <c:pt idx="17">
                  <c:v>10</c:v>
                </c:pt>
                <c:pt idx="18">
                  <c:v>10</c:v>
                </c:pt>
                <c:pt idx="19">
                  <c:v>5</c:v>
                </c:pt>
                <c:pt idx="20">
                  <c:v>2</c:v>
                </c:pt>
                <c:pt idx="21">
                  <c:v>5</c:v>
                </c:pt>
                <c:pt idx="22">
                  <c:v>3</c:v>
                </c:pt>
                <c:pt idx="23">
                  <c:v>2</c:v>
                </c:pt>
              </c:numCache>
            </c:numRef>
          </c:val>
        </c:ser>
        <c:ser>
          <c:idx val="9"/>
          <c:order val="9"/>
          <c:tx>
            <c:strRef>
              <c:f>Sheet1!$L$84</c:f>
              <c:strCache>
                <c:ptCount val="1"/>
                <c:pt idx="0">
                  <c:v>Other</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Sheet1!$L$85:$L$108</c:f>
              <c:numCache>
                <c:formatCode>General</c:formatCode>
                <c:ptCount val="24"/>
                <c:pt idx="0">
                  <c:v>4</c:v>
                </c:pt>
                <c:pt idx="1">
                  <c:v>4</c:v>
                </c:pt>
                <c:pt idx="6">
                  <c:v>5</c:v>
                </c:pt>
                <c:pt idx="12">
                  <c:v>0</c:v>
                </c:pt>
                <c:pt idx="17">
                  <c:v>2</c:v>
                </c:pt>
                <c:pt idx="18">
                  <c:v>3</c:v>
                </c:pt>
                <c:pt idx="20">
                  <c:v>4</c:v>
                </c:pt>
                <c:pt idx="23">
                  <c:v>4</c:v>
                </c:pt>
              </c:numCache>
            </c:numRef>
          </c:val>
        </c:ser>
        <c:ser>
          <c:idx val="10"/>
          <c:order val="10"/>
          <c:tx>
            <c:strRef>
              <c:f>Sheet1!$M$84</c:f>
              <c:strCache>
                <c:ptCount val="1"/>
                <c:pt idx="0">
                  <c:v>Fish sales</c:v>
                </c:pt>
              </c:strCache>
            </c:strRef>
          </c:tx>
          <c:invertIfNegative val="0"/>
          <c:cat>
            <c:multiLvlStrRef>
              <c:f>Sheet1!$A$85:$B$108</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Sheet1!$M$85:$M$108</c:f>
              <c:numCache>
                <c:formatCode>General</c:formatCode>
                <c:ptCount val="24"/>
                <c:pt idx="1">
                  <c:v>11</c:v>
                </c:pt>
                <c:pt idx="12">
                  <c:v>0</c:v>
                </c:pt>
              </c:numCache>
            </c:numRef>
          </c:val>
        </c:ser>
        <c:dLbls>
          <c:showLegendKey val="0"/>
          <c:showVal val="0"/>
          <c:showCatName val="0"/>
          <c:showSerName val="0"/>
          <c:showPercent val="0"/>
          <c:showBubbleSize val="0"/>
        </c:dLbls>
        <c:gapWidth val="75"/>
        <c:overlap val="100"/>
        <c:axId val="538350984"/>
        <c:axId val="538351376"/>
      </c:barChart>
      <c:catAx>
        <c:axId val="538350984"/>
        <c:scaling>
          <c:orientation val="minMax"/>
        </c:scaling>
        <c:delete val="0"/>
        <c:axPos val="l"/>
        <c:numFmt formatCode="General" sourceLinked="0"/>
        <c:majorTickMark val="none"/>
        <c:minorTickMark val="none"/>
        <c:tickLblPos val="nextTo"/>
        <c:crossAx val="538351376"/>
        <c:crosses val="autoZero"/>
        <c:auto val="1"/>
        <c:lblAlgn val="ctr"/>
        <c:lblOffset val="100"/>
        <c:noMultiLvlLbl val="0"/>
      </c:catAx>
      <c:valAx>
        <c:axId val="538351376"/>
        <c:scaling>
          <c:orientation val="minMax"/>
          <c:max val="100"/>
        </c:scaling>
        <c:delete val="0"/>
        <c:axPos val="b"/>
        <c:majorGridlines/>
        <c:numFmt formatCode="General" sourceLinked="1"/>
        <c:majorTickMark val="none"/>
        <c:minorTickMark val="none"/>
        <c:tickLblPos val="nextTo"/>
        <c:crossAx val="538350984"/>
        <c:crosses val="autoZero"/>
        <c:crossBetween val="between"/>
      </c:valAx>
    </c:plotArea>
    <c:legend>
      <c:legendPos val="b"/>
      <c:layout>
        <c:manualLayout>
          <c:xMode val="edge"/>
          <c:yMode val="edge"/>
          <c:x val="0.12253184792354853"/>
          <c:y val="0.77330347660030874"/>
          <c:w val="0.79819436032034452"/>
          <c:h val="0.210743277550646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stacked"/>
        <c:varyColors val="0"/>
        <c:ser>
          <c:idx val="0"/>
          <c:order val="0"/>
          <c:tx>
            <c:strRef>
              <c:f>Sheet1!$C$26</c:f>
              <c:strCache>
                <c:ptCount val="1"/>
                <c:pt idx="0">
                  <c:v>Own production</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Sheet1!$C$27:$C$50</c:f>
              <c:numCache>
                <c:formatCode>General</c:formatCode>
                <c:ptCount val="24"/>
                <c:pt idx="1">
                  <c:v>12</c:v>
                </c:pt>
                <c:pt idx="2">
                  <c:v>10</c:v>
                </c:pt>
                <c:pt idx="3">
                  <c:v>24</c:v>
                </c:pt>
                <c:pt idx="4">
                  <c:v>25</c:v>
                </c:pt>
                <c:pt idx="5">
                  <c:v>25</c:v>
                </c:pt>
                <c:pt idx="6">
                  <c:v>10</c:v>
                </c:pt>
                <c:pt idx="7">
                  <c:v>32</c:v>
                </c:pt>
                <c:pt idx="8">
                  <c:v>25</c:v>
                </c:pt>
                <c:pt idx="9">
                  <c:v>25</c:v>
                </c:pt>
                <c:pt idx="10">
                  <c:v>25</c:v>
                </c:pt>
                <c:pt idx="14">
                  <c:v>60</c:v>
                </c:pt>
                <c:pt idx="15">
                  <c:v>75</c:v>
                </c:pt>
                <c:pt idx="16">
                  <c:v>90</c:v>
                </c:pt>
                <c:pt idx="17">
                  <c:v>86</c:v>
                </c:pt>
                <c:pt idx="18">
                  <c:v>70</c:v>
                </c:pt>
                <c:pt idx="19">
                  <c:v>80</c:v>
                </c:pt>
                <c:pt idx="20">
                  <c:v>90</c:v>
                </c:pt>
                <c:pt idx="21">
                  <c:v>100</c:v>
                </c:pt>
                <c:pt idx="22">
                  <c:v>98</c:v>
                </c:pt>
                <c:pt idx="23">
                  <c:v>98</c:v>
                </c:pt>
              </c:numCache>
            </c:numRef>
          </c:val>
        </c:ser>
        <c:ser>
          <c:idx val="1"/>
          <c:order val="1"/>
          <c:tx>
            <c:strRef>
              <c:f>Sheet1!$D$26</c:f>
              <c:strCache>
                <c:ptCount val="1"/>
                <c:pt idx="0">
                  <c:v>Payment in kind</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Sheet1!$D$27:$D$50</c:f>
              <c:numCache>
                <c:formatCode>General</c:formatCode>
                <c:ptCount val="24"/>
                <c:pt idx="0">
                  <c:v>10</c:v>
                </c:pt>
                <c:pt idx="1">
                  <c:v>10</c:v>
                </c:pt>
                <c:pt idx="2">
                  <c:v>17</c:v>
                </c:pt>
                <c:pt idx="3">
                  <c:v>5</c:v>
                </c:pt>
                <c:pt idx="4">
                  <c:v>8</c:v>
                </c:pt>
                <c:pt idx="5">
                  <c:v>6</c:v>
                </c:pt>
                <c:pt idx="6">
                  <c:v>20</c:v>
                </c:pt>
                <c:pt idx="7">
                  <c:v>9</c:v>
                </c:pt>
                <c:pt idx="8">
                  <c:v>10</c:v>
                </c:pt>
                <c:pt idx="9">
                  <c:v>10</c:v>
                </c:pt>
                <c:pt idx="10">
                  <c:v>10</c:v>
                </c:pt>
              </c:numCache>
            </c:numRef>
          </c:val>
        </c:ser>
        <c:ser>
          <c:idx val="2"/>
          <c:order val="2"/>
          <c:tx>
            <c:strRef>
              <c:f>Sheet1!$E$26</c:f>
              <c:strCache>
                <c:ptCount val="1"/>
                <c:pt idx="0">
                  <c:v>Purchase</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Sheet1!$E$27:$E$50</c:f>
              <c:numCache>
                <c:formatCode>General</c:formatCode>
                <c:ptCount val="24"/>
                <c:pt idx="0">
                  <c:v>65</c:v>
                </c:pt>
                <c:pt idx="1">
                  <c:v>46</c:v>
                </c:pt>
                <c:pt idx="2">
                  <c:v>63</c:v>
                </c:pt>
                <c:pt idx="3">
                  <c:v>61</c:v>
                </c:pt>
                <c:pt idx="4">
                  <c:v>55</c:v>
                </c:pt>
                <c:pt idx="5">
                  <c:v>54</c:v>
                </c:pt>
                <c:pt idx="6">
                  <c:v>53</c:v>
                </c:pt>
                <c:pt idx="7">
                  <c:v>49</c:v>
                </c:pt>
                <c:pt idx="8">
                  <c:v>55</c:v>
                </c:pt>
                <c:pt idx="9">
                  <c:v>47</c:v>
                </c:pt>
                <c:pt idx="10">
                  <c:v>55</c:v>
                </c:pt>
                <c:pt idx="13">
                  <c:v>65</c:v>
                </c:pt>
                <c:pt idx="14">
                  <c:v>21</c:v>
                </c:pt>
                <c:pt idx="15">
                  <c:v>18</c:v>
                </c:pt>
                <c:pt idx="16">
                  <c:v>6</c:v>
                </c:pt>
                <c:pt idx="17">
                  <c:v>4</c:v>
                </c:pt>
                <c:pt idx="18">
                  <c:v>20</c:v>
                </c:pt>
                <c:pt idx="19">
                  <c:v>10</c:v>
                </c:pt>
                <c:pt idx="20">
                  <c:v>6</c:v>
                </c:pt>
              </c:numCache>
            </c:numRef>
          </c:val>
        </c:ser>
        <c:ser>
          <c:idx val="3"/>
          <c:order val="3"/>
          <c:tx>
            <c:strRef>
              <c:f>Sheet1!$F$26</c:f>
              <c:strCache>
                <c:ptCount val="1"/>
                <c:pt idx="0">
                  <c:v>Loan and gift in kind</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Sheet1!$F$27:$F$50</c:f>
              <c:numCache>
                <c:formatCode>General</c:formatCode>
                <c:ptCount val="24"/>
                <c:pt idx="2">
                  <c:v>10</c:v>
                </c:pt>
                <c:pt idx="3">
                  <c:v>10</c:v>
                </c:pt>
                <c:pt idx="4">
                  <c:v>12</c:v>
                </c:pt>
                <c:pt idx="5">
                  <c:v>15</c:v>
                </c:pt>
                <c:pt idx="6">
                  <c:v>17</c:v>
                </c:pt>
                <c:pt idx="7">
                  <c:v>10</c:v>
                </c:pt>
                <c:pt idx="8">
                  <c:v>10</c:v>
                </c:pt>
                <c:pt idx="9">
                  <c:v>18</c:v>
                </c:pt>
                <c:pt idx="10">
                  <c:v>10</c:v>
                </c:pt>
              </c:numCache>
            </c:numRef>
          </c:val>
        </c:ser>
        <c:ser>
          <c:idx val="4"/>
          <c:order val="4"/>
          <c:tx>
            <c:strRef>
              <c:f>Sheet1!$G$26</c:f>
              <c:strCache>
                <c:ptCount val="1"/>
                <c:pt idx="0">
                  <c:v>Wild foods</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Sheet1!$G$27:$G$50</c:f>
              <c:numCache>
                <c:formatCode>General</c:formatCode>
                <c:ptCount val="24"/>
                <c:pt idx="0">
                  <c:v>6</c:v>
                </c:pt>
                <c:pt idx="1">
                  <c:v>10</c:v>
                </c:pt>
              </c:numCache>
            </c:numRef>
          </c:val>
        </c:ser>
        <c:ser>
          <c:idx val="5"/>
          <c:order val="5"/>
          <c:tx>
            <c:strRef>
              <c:f>Sheet1!$H$26</c:f>
              <c:strCache>
                <c:ptCount val="1"/>
                <c:pt idx="0">
                  <c:v>Labor migration</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Sheet1!$H$27:$H$50</c:f>
              <c:numCache>
                <c:formatCode>General</c:formatCode>
                <c:ptCount val="24"/>
                <c:pt idx="0">
                  <c:v>3</c:v>
                </c:pt>
                <c:pt idx="1">
                  <c:v>13</c:v>
                </c:pt>
                <c:pt idx="13">
                  <c:v>5</c:v>
                </c:pt>
                <c:pt idx="14">
                  <c:v>7</c:v>
                </c:pt>
              </c:numCache>
            </c:numRef>
          </c:val>
        </c:ser>
        <c:ser>
          <c:idx val="6"/>
          <c:order val="6"/>
          <c:tx>
            <c:strRef>
              <c:f>Sheet1!$I$26</c:f>
              <c:strCache>
                <c:ptCount val="1"/>
                <c:pt idx="0">
                  <c:v>Milk an dlivestock products</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Sheet1!$I$27:$I$50</c:f>
              <c:numCache>
                <c:formatCode>General</c:formatCode>
                <c:ptCount val="24"/>
                <c:pt idx="0">
                  <c:v>8</c:v>
                </c:pt>
                <c:pt idx="1">
                  <c:v>3</c:v>
                </c:pt>
                <c:pt idx="13">
                  <c:v>30</c:v>
                </c:pt>
                <c:pt idx="14">
                  <c:v>12</c:v>
                </c:pt>
                <c:pt idx="15">
                  <c:v>7</c:v>
                </c:pt>
                <c:pt idx="16">
                  <c:v>4</c:v>
                </c:pt>
                <c:pt idx="17">
                  <c:v>10</c:v>
                </c:pt>
                <c:pt idx="18">
                  <c:v>10</c:v>
                </c:pt>
                <c:pt idx="19">
                  <c:v>10</c:v>
                </c:pt>
                <c:pt idx="20">
                  <c:v>4</c:v>
                </c:pt>
                <c:pt idx="22">
                  <c:v>2</c:v>
                </c:pt>
                <c:pt idx="23">
                  <c:v>2</c:v>
                </c:pt>
              </c:numCache>
            </c:numRef>
          </c:val>
        </c:ser>
        <c:ser>
          <c:idx val="7"/>
          <c:order val="7"/>
          <c:tx>
            <c:strRef>
              <c:f>Sheet1!$J$26</c:f>
              <c:strCache>
                <c:ptCount val="1"/>
                <c:pt idx="0">
                  <c:v>Other</c:v>
                </c:pt>
              </c:strCache>
            </c:strRef>
          </c:tx>
          <c:invertIfNegative val="0"/>
          <c:cat>
            <c:multiLvlStrRef>
              <c:f>Sheet1!$A$27:$B$50</c:f>
              <c:multiLvlStrCache>
                <c:ptCount val="24"/>
                <c:lvl>
                  <c:pt idx="0">
                    <c:v>Zone 2</c:v>
                  </c:pt>
                  <c:pt idx="1">
                    <c:v>Zone 3</c:v>
                  </c:pt>
                  <c:pt idx="2">
                    <c:v>Zone 4</c:v>
                  </c:pt>
                  <c:pt idx="3">
                    <c:v>Zone 5</c:v>
                  </c:pt>
                  <c:pt idx="4">
                    <c:v>Zone 6</c:v>
                  </c:pt>
                  <c:pt idx="5">
                    <c:v>Zone 7</c:v>
                  </c:pt>
                  <c:pt idx="6">
                    <c:v>Zone 8</c:v>
                  </c:pt>
                  <c:pt idx="7">
                    <c:v>Zone 9</c:v>
                  </c:pt>
                  <c:pt idx="8">
                    <c:v>Zone 10</c:v>
                  </c:pt>
                  <c:pt idx="9">
                    <c:v>Zone 11</c:v>
                  </c:pt>
                  <c:pt idx="10">
                    <c:v>Zone 12</c:v>
                  </c:pt>
                  <c:pt idx="13">
                    <c:v>Zone 2</c:v>
                  </c:pt>
                  <c:pt idx="14">
                    <c:v>Zone 3</c:v>
                  </c:pt>
                  <c:pt idx="15">
                    <c:v>Zone 4</c:v>
                  </c:pt>
                  <c:pt idx="16">
                    <c:v>Zone 5</c:v>
                  </c:pt>
                  <c:pt idx="17">
                    <c:v>Zone 6</c:v>
                  </c:pt>
                  <c:pt idx="18">
                    <c:v>Zone 7</c:v>
                  </c:pt>
                  <c:pt idx="19">
                    <c:v>Zone 8</c:v>
                  </c:pt>
                  <c:pt idx="20">
                    <c:v>Zone 9</c:v>
                  </c:pt>
                  <c:pt idx="21">
                    <c:v>Zone 10</c:v>
                  </c:pt>
                  <c:pt idx="22">
                    <c:v>Zone 11</c:v>
                  </c:pt>
                  <c:pt idx="23">
                    <c:v>Zone 12</c:v>
                  </c:pt>
                </c:lvl>
                <c:lvl>
                  <c:pt idx="0">
                    <c:v>Poorest</c:v>
                  </c:pt>
                  <c:pt idx="13">
                    <c:v>Richest</c:v>
                  </c:pt>
                </c:lvl>
              </c:multiLvlStrCache>
            </c:multiLvlStrRef>
          </c:cat>
          <c:val>
            <c:numRef>
              <c:f>Sheet1!$J$27:$J$50</c:f>
              <c:numCache>
                <c:formatCode>General</c:formatCode>
                <c:ptCount val="24"/>
                <c:pt idx="0">
                  <c:v>8</c:v>
                </c:pt>
                <c:pt idx="1">
                  <c:v>6</c:v>
                </c:pt>
              </c:numCache>
            </c:numRef>
          </c:val>
        </c:ser>
        <c:dLbls>
          <c:showLegendKey val="0"/>
          <c:showVal val="0"/>
          <c:showCatName val="0"/>
          <c:showSerName val="0"/>
          <c:showPercent val="0"/>
          <c:showBubbleSize val="0"/>
        </c:dLbls>
        <c:gapWidth val="75"/>
        <c:overlap val="100"/>
        <c:axId val="538011912"/>
        <c:axId val="538011520"/>
      </c:barChart>
      <c:catAx>
        <c:axId val="538011912"/>
        <c:scaling>
          <c:orientation val="minMax"/>
        </c:scaling>
        <c:delete val="0"/>
        <c:axPos val="l"/>
        <c:numFmt formatCode="General" sourceLinked="0"/>
        <c:majorTickMark val="none"/>
        <c:minorTickMark val="none"/>
        <c:tickLblPos val="nextTo"/>
        <c:crossAx val="538011520"/>
        <c:crosses val="autoZero"/>
        <c:auto val="1"/>
        <c:lblAlgn val="ctr"/>
        <c:lblOffset val="100"/>
        <c:noMultiLvlLbl val="0"/>
      </c:catAx>
      <c:valAx>
        <c:axId val="538011520"/>
        <c:scaling>
          <c:orientation val="minMax"/>
          <c:max val="100"/>
        </c:scaling>
        <c:delete val="0"/>
        <c:axPos val="b"/>
        <c:majorGridlines/>
        <c:numFmt formatCode="General" sourceLinked="1"/>
        <c:majorTickMark val="none"/>
        <c:minorTickMark val="none"/>
        <c:tickLblPos val="nextTo"/>
        <c:crossAx val="53801191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51277948630626"/>
          <c:y val="3.0605157770512103E-2"/>
          <c:w val="0.77402603622242971"/>
          <c:h val="0.52536323008763952"/>
        </c:manualLayout>
      </c:layout>
      <c:barChart>
        <c:barDir val="col"/>
        <c:grouping val="clustered"/>
        <c:varyColors val="0"/>
        <c:ser>
          <c:idx val="0"/>
          <c:order val="0"/>
          <c:tx>
            <c:strRef>
              <c:f>'food item consumption'!$O$7</c:f>
              <c:strCache>
                <c:ptCount val="1"/>
                <c:pt idx="0">
                  <c:v>Lait frais</c:v>
                </c:pt>
              </c:strCache>
            </c:strRef>
          </c:tx>
          <c:invertIfNegative val="0"/>
          <c:cat>
            <c:strRef>
              <c:f>'food item consumption'!$P$6:$X$6</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'food item consumption'!$P$7:$X$7</c:f>
              <c:numCache>
                <c:formatCode>General</c:formatCode>
                <c:ptCount val="9"/>
                <c:pt idx="0">
                  <c:v>2.9</c:v>
                </c:pt>
                <c:pt idx="1">
                  <c:v>1.9</c:v>
                </c:pt>
                <c:pt idx="2">
                  <c:v>2.1</c:v>
                </c:pt>
                <c:pt idx="3">
                  <c:v>2.5</c:v>
                </c:pt>
                <c:pt idx="4">
                  <c:v>8</c:v>
                </c:pt>
                <c:pt idx="5">
                  <c:v>7</c:v>
                </c:pt>
                <c:pt idx="6">
                  <c:v>2.7</c:v>
                </c:pt>
                <c:pt idx="7">
                  <c:v>11.7</c:v>
                </c:pt>
                <c:pt idx="8">
                  <c:v>0.5</c:v>
                </c:pt>
              </c:numCache>
            </c:numRef>
          </c:val>
        </c:ser>
        <c:ser>
          <c:idx val="1"/>
          <c:order val="1"/>
          <c:tx>
            <c:strRef>
              <c:f>'food item consumption'!$O$8</c:f>
              <c:strCache>
                <c:ptCount val="1"/>
                <c:pt idx="0">
                  <c:v>Lait caille</c:v>
                </c:pt>
              </c:strCache>
            </c:strRef>
          </c:tx>
          <c:invertIfNegative val="0"/>
          <c:cat>
            <c:strRef>
              <c:f>'food item consumption'!$P$6:$X$6</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'food item consumption'!$P$8:$X$8</c:f>
              <c:numCache>
                <c:formatCode>General</c:formatCode>
                <c:ptCount val="9"/>
                <c:pt idx="0">
                  <c:v>3.1</c:v>
                </c:pt>
                <c:pt idx="1">
                  <c:v>2.8</c:v>
                </c:pt>
                <c:pt idx="2">
                  <c:v>3.3</c:v>
                </c:pt>
                <c:pt idx="3">
                  <c:v>5.4</c:v>
                </c:pt>
                <c:pt idx="4">
                  <c:v>4.5</c:v>
                </c:pt>
                <c:pt idx="5">
                  <c:v>10.1</c:v>
                </c:pt>
                <c:pt idx="6">
                  <c:v>11.7</c:v>
                </c:pt>
                <c:pt idx="7">
                  <c:v>3.1</c:v>
                </c:pt>
                <c:pt idx="8">
                  <c:v>1.4</c:v>
                </c:pt>
              </c:numCache>
            </c:numRef>
          </c:val>
        </c:ser>
        <c:ser>
          <c:idx val="2"/>
          <c:order val="2"/>
          <c:tx>
            <c:strRef>
              <c:f>'food item consumption'!$O$9</c:f>
              <c:strCache>
                <c:ptCount val="1"/>
                <c:pt idx="0">
                  <c:v>Lait en poudre</c:v>
                </c:pt>
              </c:strCache>
            </c:strRef>
          </c:tx>
          <c:invertIfNegative val="0"/>
          <c:cat>
            <c:strRef>
              <c:f>'food item consumption'!$P$6:$X$6</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'food item consumption'!$P$9:$X$9</c:f>
              <c:numCache>
                <c:formatCode>General</c:formatCode>
                <c:ptCount val="9"/>
                <c:pt idx="0">
                  <c:v>3</c:v>
                </c:pt>
                <c:pt idx="1">
                  <c:v>1.1000000000000001</c:v>
                </c:pt>
                <c:pt idx="2">
                  <c:v>0.6</c:v>
                </c:pt>
                <c:pt idx="3">
                  <c:v>1</c:v>
                </c:pt>
                <c:pt idx="4">
                  <c:v>2.8</c:v>
                </c:pt>
                <c:pt idx="5">
                  <c:v>1.6</c:v>
                </c:pt>
                <c:pt idx="6">
                  <c:v>0.8</c:v>
                </c:pt>
                <c:pt idx="7">
                  <c:v>4.3</c:v>
                </c:pt>
                <c:pt idx="8">
                  <c:v>2.2999999999999998</c:v>
                </c:pt>
              </c:numCache>
            </c:numRef>
          </c:val>
        </c:ser>
        <c:ser>
          <c:idx val="3"/>
          <c:order val="3"/>
          <c:tx>
            <c:strRef>
              <c:f>'food item consumption'!$O$10</c:f>
              <c:strCache>
                <c:ptCount val="1"/>
                <c:pt idx="0">
                  <c:v>Lait concentre</c:v>
                </c:pt>
              </c:strCache>
            </c:strRef>
          </c:tx>
          <c:invertIfNegative val="0"/>
          <c:cat>
            <c:strRef>
              <c:f>'food item consumption'!$P$6:$X$6</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'food item consumption'!$P$10:$X$10</c:f>
              <c:numCache>
                <c:formatCode>General</c:formatCode>
                <c:ptCount val="9"/>
                <c:pt idx="0">
                  <c:v>0.7</c:v>
                </c:pt>
                <c:pt idx="1">
                  <c:v>1.1000000000000001</c:v>
                </c:pt>
                <c:pt idx="2">
                  <c:v>0.8</c:v>
                </c:pt>
                <c:pt idx="3">
                  <c:v>0.8</c:v>
                </c:pt>
                <c:pt idx="4">
                  <c:v>0.1</c:v>
                </c:pt>
                <c:pt idx="5">
                  <c:v>0.2</c:v>
                </c:pt>
                <c:pt idx="6">
                  <c:v>0.8</c:v>
                </c:pt>
                <c:pt idx="8">
                  <c:v>0.7</c:v>
                </c:pt>
              </c:numCache>
            </c:numRef>
          </c:val>
        </c:ser>
        <c:dLbls>
          <c:showLegendKey val="0"/>
          <c:showVal val="0"/>
          <c:showCatName val="0"/>
          <c:showSerName val="0"/>
          <c:showPercent val="0"/>
          <c:showBubbleSize val="0"/>
        </c:dLbls>
        <c:gapWidth val="75"/>
        <c:overlap val="-25"/>
        <c:axId val="538012696"/>
        <c:axId val="538011128"/>
      </c:barChart>
      <c:catAx>
        <c:axId val="538012696"/>
        <c:scaling>
          <c:orientation val="minMax"/>
        </c:scaling>
        <c:delete val="0"/>
        <c:axPos val="b"/>
        <c:numFmt formatCode="General" sourceLinked="0"/>
        <c:majorTickMark val="none"/>
        <c:minorTickMark val="none"/>
        <c:tickLblPos val="nextTo"/>
        <c:crossAx val="538011128"/>
        <c:crosses val="autoZero"/>
        <c:auto val="1"/>
        <c:lblAlgn val="ctr"/>
        <c:lblOffset val="100"/>
        <c:noMultiLvlLbl val="0"/>
      </c:catAx>
      <c:valAx>
        <c:axId val="538011128"/>
        <c:scaling>
          <c:orientation val="minMax"/>
        </c:scaling>
        <c:delete val="0"/>
        <c:axPos val="l"/>
        <c:majorGridlines/>
        <c:title>
          <c:tx>
            <c:rich>
              <a:bodyPr rot="-5400000" vert="horz"/>
              <a:lstStyle/>
              <a:p>
                <a:pPr>
                  <a:defRPr/>
                </a:pPr>
                <a:r>
                  <a:rPr lang="en-US"/>
                  <a:t>Kg/year</a:t>
                </a:r>
              </a:p>
            </c:rich>
          </c:tx>
          <c:layout/>
          <c:overlay val="0"/>
        </c:title>
        <c:numFmt formatCode="General" sourceLinked="1"/>
        <c:majorTickMark val="none"/>
        <c:minorTickMark val="none"/>
        <c:tickLblPos val="nextTo"/>
        <c:spPr>
          <a:ln w="9525">
            <a:noFill/>
          </a:ln>
        </c:spPr>
        <c:crossAx val="538012696"/>
        <c:crosses val="autoZero"/>
        <c:crossBetween val="between"/>
      </c:valAx>
    </c:plotArea>
    <c:legend>
      <c:legendPos val="b"/>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45965966754155729"/>
          <c:y val="5.7104841061533976E-2"/>
          <c:w val="0.50105427581031969"/>
          <c:h val="0.79011337124526104"/>
        </c:manualLayout>
      </c:layout>
      <c:barChart>
        <c:barDir val="bar"/>
        <c:grouping val="percentStacked"/>
        <c:varyColors val="0"/>
        <c:ser>
          <c:idx val="0"/>
          <c:order val="0"/>
          <c:tx>
            <c:strRef>
              <c:f>Sheet1!$R$26</c:f>
              <c:strCache>
                <c:ptCount val="1"/>
                <c:pt idx="0">
                  <c:v>Purchased</c:v>
                </c:pt>
              </c:strCache>
            </c:strRef>
          </c:tx>
          <c:invertIfNegative val="0"/>
          <c:cat>
            <c:multiLvlStrRef>
              <c:f>Sheet1!$P$27:$Q$50</c:f>
              <c:multiLvlStrCache>
                <c:ptCount val="24"/>
                <c:lvl>
                  <c:pt idx="0">
                    <c:v>12. South-west maize, sorghum and fruits</c:v>
                  </c:pt>
                  <c:pt idx="1">
                    <c:v>11. South maize, cotton and fruits</c:v>
                  </c:pt>
                  <c:pt idx="2">
                    <c:v>10. Sorghum, millet and cotton</c:v>
                  </c:pt>
                  <c:pt idx="3">
                    <c:v>9. West and central rainfed millet/sorghum</c:v>
                  </c:pt>
                  <c:pt idx="4">
                    <c:v>8. Remittances, sorghum, transhumant livestock rearing</c:v>
                  </c:pt>
                  <c:pt idx="5">
                    <c:v>7. Office du Niger (irrigated rice)</c:v>
                  </c:pt>
                  <c:pt idx="6">
                    <c:v>6. Niger delta - rice and livestock rearing </c:v>
                  </c:pt>
                  <c:pt idx="7">
                    <c:v>5. Dogon plateau -- millet, shallots, wild foods, tourism</c:v>
                  </c:pt>
                  <c:pt idx="8">
                    <c:v>4. Millet and transhumant livestock rearing</c:v>
                  </c:pt>
                  <c:pt idx="9">
                    <c:v>3. Fluvial rice and transhumant livestock rearing</c:v>
                  </c:pt>
                  <c:pt idx="10">
                    <c:v>2. Nomadic and transhumant pastoralism</c:v>
                  </c:pt>
                  <c:pt idx="13">
                    <c:v>12. South-west maize, sorghum and fruits</c:v>
                  </c:pt>
                  <c:pt idx="14">
                    <c:v>11. South maize, cotton and fruits</c:v>
                  </c:pt>
                  <c:pt idx="15">
                    <c:v>10. Sorghum, millet and cotton</c:v>
                  </c:pt>
                  <c:pt idx="16">
                    <c:v>9. West and central rainfed millet/sorghum</c:v>
                  </c:pt>
                  <c:pt idx="17">
                    <c:v>8. Remittances, sorghum, transhumant livestock rearing</c:v>
                  </c:pt>
                  <c:pt idx="18">
                    <c:v>7. Office du Niger (irrigated rice)</c:v>
                  </c:pt>
                  <c:pt idx="19">
                    <c:v>6. Niger delta - rice and livestock rearing </c:v>
                  </c:pt>
                  <c:pt idx="20">
                    <c:v>5. Dogon plateau -- millet, shallots, wild foods, tourism</c:v>
                  </c:pt>
                  <c:pt idx="21">
                    <c:v>4. Millet and transhumant livestock rearing</c:v>
                  </c:pt>
                  <c:pt idx="22">
                    <c:v>3. Fluvial rice and transhumant livestock rearing</c:v>
                  </c:pt>
                  <c:pt idx="23">
                    <c:v>2. Nomadic and transhumant pastoralism</c:v>
                  </c:pt>
                </c:lvl>
                <c:lvl>
                  <c:pt idx="0">
                    <c:v>Poorest</c:v>
                  </c:pt>
                  <c:pt idx="13">
                    <c:v>Richest</c:v>
                  </c:pt>
                </c:lvl>
              </c:multiLvlStrCache>
            </c:multiLvlStrRef>
          </c:cat>
          <c:val>
            <c:numRef>
              <c:f>Sheet1!$R$27:$R$50</c:f>
              <c:numCache>
                <c:formatCode>General</c:formatCode>
                <c:ptCount val="24"/>
                <c:pt idx="0">
                  <c:v>55</c:v>
                </c:pt>
                <c:pt idx="1">
                  <c:v>47</c:v>
                </c:pt>
                <c:pt idx="2">
                  <c:v>55</c:v>
                </c:pt>
                <c:pt idx="3">
                  <c:v>49</c:v>
                </c:pt>
                <c:pt idx="4">
                  <c:v>53</c:v>
                </c:pt>
                <c:pt idx="5">
                  <c:v>54</c:v>
                </c:pt>
                <c:pt idx="6">
                  <c:v>55</c:v>
                </c:pt>
                <c:pt idx="7">
                  <c:v>61</c:v>
                </c:pt>
                <c:pt idx="8">
                  <c:v>63</c:v>
                </c:pt>
                <c:pt idx="9">
                  <c:v>46</c:v>
                </c:pt>
                <c:pt idx="10">
                  <c:v>65</c:v>
                </c:pt>
                <c:pt idx="13">
                  <c:v>0</c:v>
                </c:pt>
                <c:pt idx="14">
                  <c:v>0</c:v>
                </c:pt>
                <c:pt idx="15">
                  <c:v>0</c:v>
                </c:pt>
                <c:pt idx="16">
                  <c:v>6</c:v>
                </c:pt>
                <c:pt idx="17">
                  <c:v>10</c:v>
                </c:pt>
                <c:pt idx="18">
                  <c:v>20</c:v>
                </c:pt>
                <c:pt idx="19">
                  <c:v>4</c:v>
                </c:pt>
                <c:pt idx="20">
                  <c:v>6</c:v>
                </c:pt>
                <c:pt idx="21">
                  <c:v>18</c:v>
                </c:pt>
                <c:pt idx="22">
                  <c:v>21</c:v>
                </c:pt>
                <c:pt idx="23">
                  <c:v>65</c:v>
                </c:pt>
              </c:numCache>
            </c:numRef>
          </c:val>
        </c:ser>
        <c:ser>
          <c:idx val="1"/>
          <c:order val="1"/>
          <c:tx>
            <c:strRef>
              <c:f>Sheet1!$S$26</c:f>
              <c:strCache>
                <c:ptCount val="1"/>
                <c:pt idx="0">
                  <c:v>Own produced (cereals and livestock)</c:v>
                </c:pt>
              </c:strCache>
            </c:strRef>
          </c:tx>
          <c:invertIfNegative val="0"/>
          <c:cat>
            <c:multiLvlStrRef>
              <c:f>Sheet1!$P$27:$Q$50</c:f>
              <c:multiLvlStrCache>
                <c:ptCount val="24"/>
                <c:lvl>
                  <c:pt idx="0">
                    <c:v>12. South-west maize, sorghum and fruits</c:v>
                  </c:pt>
                  <c:pt idx="1">
                    <c:v>11. South maize, cotton and fruits</c:v>
                  </c:pt>
                  <c:pt idx="2">
                    <c:v>10. Sorghum, millet and cotton</c:v>
                  </c:pt>
                  <c:pt idx="3">
                    <c:v>9. West and central rainfed millet/sorghum</c:v>
                  </c:pt>
                  <c:pt idx="4">
                    <c:v>8. Remittances, sorghum, transhumant livestock rearing</c:v>
                  </c:pt>
                  <c:pt idx="5">
                    <c:v>7. Office du Niger (irrigated rice)</c:v>
                  </c:pt>
                  <c:pt idx="6">
                    <c:v>6. Niger delta - rice and livestock rearing </c:v>
                  </c:pt>
                  <c:pt idx="7">
                    <c:v>5. Dogon plateau -- millet, shallots, wild foods, tourism</c:v>
                  </c:pt>
                  <c:pt idx="8">
                    <c:v>4. Millet and transhumant livestock rearing</c:v>
                  </c:pt>
                  <c:pt idx="9">
                    <c:v>3. Fluvial rice and transhumant livestock rearing</c:v>
                  </c:pt>
                  <c:pt idx="10">
                    <c:v>2. Nomadic and transhumant pastoralism</c:v>
                  </c:pt>
                  <c:pt idx="13">
                    <c:v>12. South-west maize, sorghum and fruits</c:v>
                  </c:pt>
                  <c:pt idx="14">
                    <c:v>11. South maize, cotton and fruits</c:v>
                  </c:pt>
                  <c:pt idx="15">
                    <c:v>10. Sorghum, millet and cotton</c:v>
                  </c:pt>
                  <c:pt idx="16">
                    <c:v>9. West and central rainfed millet/sorghum</c:v>
                  </c:pt>
                  <c:pt idx="17">
                    <c:v>8. Remittances, sorghum, transhumant livestock rearing</c:v>
                  </c:pt>
                  <c:pt idx="18">
                    <c:v>7. Office du Niger (irrigated rice)</c:v>
                  </c:pt>
                  <c:pt idx="19">
                    <c:v>6. Niger delta - rice and livestock rearing </c:v>
                  </c:pt>
                  <c:pt idx="20">
                    <c:v>5. Dogon plateau -- millet, shallots, wild foods, tourism</c:v>
                  </c:pt>
                  <c:pt idx="21">
                    <c:v>4. Millet and transhumant livestock rearing</c:v>
                  </c:pt>
                  <c:pt idx="22">
                    <c:v>3. Fluvial rice and transhumant livestock rearing</c:v>
                  </c:pt>
                  <c:pt idx="23">
                    <c:v>2. Nomadic and transhumant pastoralism</c:v>
                  </c:pt>
                </c:lvl>
                <c:lvl>
                  <c:pt idx="0">
                    <c:v>Poorest</c:v>
                  </c:pt>
                  <c:pt idx="13">
                    <c:v>Richest</c:v>
                  </c:pt>
                </c:lvl>
              </c:multiLvlStrCache>
            </c:multiLvlStrRef>
          </c:cat>
          <c:val>
            <c:numRef>
              <c:f>Sheet1!$S$27:$S$50</c:f>
              <c:numCache>
                <c:formatCode>General</c:formatCode>
                <c:ptCount val="24"/>
                <c:pt idx="0">
                  <c:v>25</c:v>
                </c:pt>
                <c:pt idx="1">
                  <c:v>25</c:v>
                </c:pt>
                <c:pt idx="2">
                  <c:v>25</c:v>
                </c:pt>
                <c:pt idx="3">
                  <c:v>32</c:v>
                </c:pt>
                <c:pt idx="4">
                  <c:v>10</c:v>
                </c:pt>
                <c:pt idx="5">
                  <c:v>25</c:v>
                </c:pt>
                <c:pt idx="6">
                  <c:v>25</c:v>
                </c:pt>
                <c:pt idx="7">
                  <c:v>24</c:v>
                </c:pt>
                <c:pt idx="8">
                  <c:v>10</c:v>
                </c:pt>
                <c:pt idx="9">
                  <c:v>25</c:v>
                </c:pt>
                <c:pt idx="10">
                  <c:v>14</c:v>
                </c:pt>
                <c:pt idx="13">
                  <c:v>100</c:v>
                </c:pt>
                <c:pt idx="14">
                  <c:v>100</c:v>
                </c:pt>
                <c:pt idx="15">
                  <c:v>100</c:v>
                </c:pt>
                <c:pt idx="16">
                  <c:v>94</c:v>
                </c:pt>
                <c:pt idx="17">
                  <c:v>90</c:v>
                </c:pt>
                <c:pt idx="18">
                  <c:v>80</c:v>
                </c:pt>
                <c:pt idx="19">
                  <c:v>96</c:v>
                </c:pt>
                <c:pt idx="20">
                  <c:v>94</c:v>
                </c:pt>
                <c:pt idx="21">
                  <c:v>82</c:v>
                </c:pt>
                <c:pt idx="22">
                  <c:v>72</c:v>
                </c:pt>
                <c:pt idx="23">
                  <c:v>30</c:v>
                </c:pt>
              </c:numCache>
            </c:numRef>
          </c:val>
        </c:ser>
        <c:ser>
          <c:idx val="2"/>
          <c:order val="2"/>
          <c:tx>
            <c:strRef>
              <c:f>Sheet1!$T$26</c:f>
              <c:strCache>
                <c:ptCount val="1"/>
                <c:pt idx="0">
                  <c:v>Payments in kind, loans, gifts and other</c:v>
                </c:pt>
              </c:strCache>
            </c:strRef>
          </c:tx>
          <c:invertIfNegative val="0"/>
          <c:cat>
            <c:multiLvlStrRef>
              <c:f>Sheet1!$P$27:$Q$50</c:f>
              <c:multiLvlStrCache>
                <c:ptCount val="24"/>
                <c:lvl>
                  <c:pt idx="0">
                    <c:v>12. South-west maize, sorghum and fruits</c:v>
                  </c:pt>
                  <c:pt idx="1">
                    <c:v>11. South maize, cotton and fruits</c:v>
                  </c:pt>
                  <c:pt idx="2">
                    <c:v>10. Sorghum, millet and cotton</c:v>
                  </c:pt>
                  <c:pt idx="3">
                    <c:v>9. West and central rainfed millet/sorghum</c:v>
                  </c:pt>
                  <c:pt idx="4">
                    <c:v>8. Remittances, sorghum, transhumant livestock rearing</c:v>
                  </c:pt>
                  <c:pt idx="5">
                    <c:v>7. Office du Niger (irrigated rice)</c:v>
                  </c:pt>
                  <c:pt idx="6">
                    <c:v>6. Niger delta - rice and livestock rearing </c:v>
                  </c:pt>
                  <c:pt idx="7">
                    <c:v>5. Dogon plateau -- millet, shallots, wild foods, tourism</c:v>
                  </c:pt>
                  <c:pt idx="8">
                    <c:v>4. Millet and transhumant livestock rearing</c:v>
                  </c:pt>
                  <c:pt idx="9">
                    <c:v>3. Fluvial rice and transhumant livestock rearing</c:v>
                  </c:pt>
                  <c:pt idx="10">
                    <c:v>2. Nomadic and transhumant pastoralism</c:v>
                  </c:pt>
                  <c:pt idx="13">
                    <c:v>12. South-west maize, sorghum and fruits</c:v>
                  </c:pt>
                  <c:pt idx="14">
                    <c:v>11. South maize, cotton and fruits</c:v>
                  </c:pt>
                  <c:pt idx="15">
                    <c:v>10. Sorghum, millet and cotton</c:v>
                  </c:pt>
                  <c:pt idx="16">
                    <c:v>9. West and central rainfed millet/sorghum</c:v>
                  </c:pt>
                  <c:pt idx="17">
                    <c:v>8. Remittances, sorghum, transhumant livestock rearing</c:v>
                  </c:pt>
                  <c:pt idx="18">
                    <c:v>7. Office du Niger (irrigated rice)</c:v>
                  </c:pt>
                  <c:pt idx="19">
                    <c:v>6. Niger delta - rice and livestock rearing </c:v>
                  </c:pt>
                  <c:pt idx="20">
                    <c:v>5. Dogon plateau -- millet, shallots, wild foods, tourism</c:v>
                  </c:pt>
                  <c:pt idx="21">
                    <c:v>4. Millet and transhumant livestock rearing</c:v>
                  </c:pt>
                  <c:pt idx="22">
                    <c:v>3. Fluvial rice and transhumant livestock rearing</c:v>
                  </c:pt>
                  <c:pt idx="23">
                    <c:v>2. Nomadic and transhumant pastoralism</c:v>
                  </c:pt>
                </c:lvl>
                <c:lvl>
                  <c:pt idx="0">
                    <c:v>Poorest</c:v>
                  </c:pt>
                  <c:pt idx="13">
                    <c:v>Richest</c:v>
                  </c:pt>
                </c:lvl>
              </c:multiLvlStrCache>
            </c:multiLvlStrRef>
          </c:cat>
          <c:val>
            <c:numRef>
              <c:f>Sheet1!$T$27:$T$50</c:f>
              <c:numCache>
                <c:formatCode>General</c:formatCode>
                <c:ptCount val="24"/>
                <c:pt idx="0">
                  <c:v>20</c:v>
                </c:pt>
                <c:pt idx="1">
                  <c:v>28</c:v>
                </c:pt>
                <c:pt idx="2">
                  <c:v>20</c:v>
                </c:pt>
                <c:pt idx="3">
                  <c:v>19</c:v>
                </c:pt>
                <c:pt idx="4">
                  <c:v>37</c:v>
                </c:pt>
                <c:pt idx="5">
                  <c:v>21</c:v>
                </c:pt>
                <c:pt idx="6">
                  <c:v>20</c:v>
                </c:pt>
                <c:pt idx="7">
                  <c:v>15</c:v>
                </c:pt>
                <c:pt idx="8">
                  <c:v>27</c:v>
                </c:pt>
                <c:pt idx="9">
                  <c:v>23</c:v>
                </c:pt>
                <c:pt idx="10">
                  <c:v>21</c:v>
                </c:pt>
                <c:pt idx="13">
                  <c:v>0</c:v>
                </c:pt>
                <c:pt idx="14">
                  <c:v>0</c:v>
                </c:pt>
                <c:pt idx="15">
                  <c:v>0</c:v>
                </c:pt>
                <c:pt idx="16">
                  <c:v>0</c:v>
                </c:pt>
                <c:pt idx="17">
                  <c:v>0</c:v>
                </c:pt>
                <c:pt idx="18">
                  <c:v>0</c:v>
                </c:pt>
                <c:pt idx="19">
                  <c:v>0</c:v>
                </c:pt>
                <c:pt idx="20">
                  <c:v>0</c:v>
                </c:pt>
                <c:pt idx="21">
                  <c:v>0</c:v>
                </c:pt>
                <c:pt idx="22">
                  <c:v>7</c:v>
                </c:pt>
                <c:pt idx="23">
                  <c:v>5</c:v>
                </c:pt>
              </c:numCache>
            </c:numRef>
          </c:val>
        </c:ser>
        <c:dLbls>
          <c:showLegendKey val="0"/>
          <c:showVal val="0"/>
          <c:showCatName val="0"/>
          <c:showSerName val="0"/>
          <c:showPercent val="0"/>
          <c:showBubbleSize val="0"/>
        </c:dLbls>
        <c:gapWidth val="150"/>
        <c:overlap val="100"/>
        <c:axId val="536484296"/>
        <c:axId val="536484688"/>
      </c:barChart>
      <c:catAx>
        <c:axId val="536484296"/>
        <c:scaling>
          <c:orientation val="minMax"/>
        </c:scaling>
        <c:delete val="0"/>
        <c:axPos val="l"/>
        <c:numFmt formatCode="General" sourceLinked="0"/>
        <c:majorTickMark val="out"/>
        <c:minorTickMark val="none"/>
        <c:tickLblPos val="nextTo"/>
        <c:crossAx val="536484688"/>
        <c:crosses val="autoZero"/>
        <c:auto val="1"/>
        <c:lblAlgn val="ctr"/>
        <c:lblOffset val="100"/>
        <c:noMultiLvlLbl val="0"/>
      </c:catAx>
      <c:valAx>
        <c:axId val="536484688"/>
        <c:scaling>
          <c:orientation val="minMax"/>
        </c:scaling>
        <c:delete val="0"/>
        <c:axPos val="b"/>
        <c:majorGridlines/>
        <c:numFmt formatCode="0%" sourceLinked="1"/>
        <c:majorTickMark val="out"/>
        <c:minorTickMark val="none"/>
        <c:tickLblPos val="nextTo"/>
        <c:crossAx val="536484296"/>
        <c:crosses val="autoZero"/>
        <c:crossBetween val="between"/>
        <c:majorUnit val="0.2"/>
      </c:valAx>
    </c:plotArea>
    <c:legend>
      <c:legendPos val="r"/>
      <c:layout>
        <c:manualLayout>
          <c:xMode val="edge"/>
          <c:yMode val="edge"/>
          <c:x val="1.9574980015077344E-2"/>
          <c:y val="0.91770008701742467"/>
          <c:w val="0.95296783031533683"/>
          <c:h val="6.5346180489826933E-2"/>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1083020110291"/>
          <c:y val="2.6859944393743236E-2"/>
          <c:w val="0.76698229032346565"/>
          <c:h val="0.55806554586082147"/>
        </c:manualLayout>
      </c:layout>
      <c:barChart>
        <c:barDir val="col"/>
        <c:grouping val="clustered"/>
        <c:varyColors val="0"/>
        <c:ser>
          <c:idx val="0"/>
          <c:order val="0"/>
          <c:tx>
            <c:strRef>
              <c:f>'food item consumption'!$O$25</c:f>
              <c:strCache>
                <c:ptCount val="1"/>
                <c:pt idx="0">
                  <c:v>Viande fraiche</c:v>
                </c:pt>
              </c:strCache>
            </c:strRef>
          </c:tx>
          <c:invertIfNegative val="0"/>
          <c:cat>
            <c:strRef>
              <c:f>'food item consumption'!$P$6:$X$6</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'food item consumption'!$P$25:$X$25</c:f>
              <c:numCache>
                <c:formatCode>General</c:formatCode>
                <c:ptCount val="9"/>
                <c:pt idx="0">
                  <c:v>11.7</c:v>
                </c:pt>
                <c:pt idx="1">
                  <c:v>6.4</c:v>
                </c:pt>
                <c:pt idx="2">
                  <c:v>4.2</c:v>
                </c:pt>
                <c:pt idx="3">
                  <c:v>5.3</c:v>
                </c:pt>
                <c:pt idx="4">
                  <c:v>6.8</c:v>
                </c:pt>
                <c:pt idx="5">
                  <c:v>9.6</c:v>
                </c:pt>
                <c:pt idx="6">
                  <c:v>18.899999999999999</c:v>
                </c:pt>
                <c:pt idx="7">
                  <c:v>23.3</c:v>
                </c:pt>
                <c:pt idx="8">
                  <c:v>11.8</c:v>
                </c:pt>
              </c:numCache>
            </c:numRef>
          </c:val>
        </c:ser>
        <c:ser>
          <c:idx val="1"/>
          <c:order val="1"/>
          <c:tx>
            <c:strRef>
              <c:f>'food item consumption'!$O$26</c:f>
              <c:strCache>
                <c:ptCount val="1"/>
                <c:pt idx="0">
                  <c:v>Poisson frais</c:v>
                </c:pt>
              </c:strCache>
            </c:strRef>
          </c:tx>
          <c:invertIfNegative val="0"/>
          <c:cat>
            <c:strRef>
              <c:f>'food item consumption'!$P$6:$X$6</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'food item consumption'!$P$26:$X$26</c:f>
              <c:numCache>
                <c:formatCode>General</c:formatCode>
                <c:ptCount val="9"/>
                <c:pt idx="0">
                  <c:v>4</c:v>
                </c:pt>
                <c:pt idx="1">
                  <c:v>3.4</c:v>
                </c:pt>
                <c:pt idx="2">
                  <c:v>3.8</c:v>
                </c:pt>
                <c:pt idx="3">
                  <c:v>8.1999999999999993</c:v>
                </c:pt>
                <c:pt idx="4">
                  <c:v>13.8</c:v>
                </c:pt>
                <c:pt idx="5">
                  <c:v>13.1</c:v>
                </c:pt>
                <c:pt idx="6">
                  <c:v>19.600000000000001</c:v>
                </c:pt>
                <c:pt idx="7">
                  <c:v>1.5</c:v>
                </c:pt>
                <c:pt idx="8">
                  <c:v>4.5</c:v>
                </c:pt>
              </c:numCache>
            </c:numRef>
          </c:val>
        </c:ser>
        <c:ser>
          <c:idx val="2"/>
          <c:order val="2"/>
          <c:tx>
            <c:strRef>
              <c:f>'food item consumption'!$O$27</c:f>
              <c:strCache>
                <c:ptCount val="1"/>
                <c:pt idx="0">
                  <c:v>Poulet frais</c:v>
                </c:pt>
              </c:strCache>
            </c:strRef>
          </c:tx>
          <c:invertIfNegative val="0"/>
          <c:cat>
            <c:strRef>
              <c:f>'food item consumption'!$P$6:$X$6</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'food item consumption'!$P$27:$X$27</c:f>
              <c:numCache>
                <c:formatCode>General</c:formatCode>
                <c:ptCount val="9"/>
                <c:pt idx="0">
                  <c:v>2.1</c:v>
                </c:pt>
                <c:pt idx="1">
                  <c:v>1.8</c:v>
                </c:pt>
                <c:pt idx="2">
                  <c:v>2.5</c:v>
                </c:pt>
                <c:pt idx="3">
                  <c:v>2.2000000000000002</c:v>
                </c:pt>
                <c:pt idx="4">
                  <c:v>2.9</c:v>
                </c:pt>
                <c:pt idx="5">
                  <c:v>2.9</c:v>
                </c:pt>
                <c:pt idx="6">
                  <c:v>2.7</c:v>
                </c:pt>
                <c:pt idx="8">
                  <c:v>3.3</c:v>
                </c:pt>
              </c:numCache>
            </c:numRef>
          </c:val>
        </c:ser>
        <c:dLbls>
          <c:showLegendKey val="0"/>
          <c:showVal val="0"/>
          <c:showCatName val="0"/>
          <c:showSerName val="0"/>
          <c:showPercent val="0"/>
          <c:showBubbleSize val="0"/>
        </c:dLbls>
        <c:gapWidth val="75"/>
        <c:overlap val="-25"/>
        <c:axId val="538010344"/>
        <c:axId val="538352944"/>
      </c:barChart>
      <c:catAx>
        <c:axId val="538010344"/>
        <c:scaling>
          <c:orientation val="minMax"/>
        </c:scaling>
        <c:delete val="0"/>
        <c:axPos val="b"/>
        <c:numFmt formatCode="General" sourceLinked="0"/>
        <c:majorTickMark val="none"/>
        <c:minorTickMark val="none"/>
        <c:tickLblPos val="nextTo"/>
        <c:crossAx val="538352944"/>
        <c:crosses val="autoZero"/>
        <c:auto val="1"/>
        <c:lblAlgn val="ctr"/>
        <c:lblOffset val="100"/>
        <c:noMultiLvlLbl val="0"/>
      </c:catAx>
      <c:valAx>
        <c:axId val="538352944"/>
        <c:scaling>
          <c:orientation val="minMax"/>
        </c:scaling>
        <c:delete val="0"/>
        <c:axPos val="l"/>
        <c:majorGridlines/>
        <c:title>
          <c:tx>
            <c:rich>
              <a:bodyPr rot="-5400000" vert="horz"/>
              <a:lstStyle/>
              <a:p>
                <a:pPr>
                  <a:defRPr/>
                </a:pPr>
                <a:r>
                  <a:rPr lang="en-US"/>
                  <a:t>Kg/year</a:t>
                </a:r>
              </a:p>
            </c:rich>
          </c:tx>
          <c:layout/>
          <c:overlay val="0"/>
        </c:title>
        <c:numFmt formatCode="General" sourceLinked="1"/>
        <c:majorTickMark val="none"/>
        <c:minorTickMark val="none"/>
        <c:tickLblPos val="nextTo"/>
        <c:spPr>
          <a:ln w="9525">
            <a:noFill/>
          </a:ln>
        </c:spPr>
        <c:crossAx val="538010344"/>
        <c:crosses val="autoZero"/>
        <c:crossBetween val="between"/>
      </c:valAx>
    </c:plotArea>
    <c:legend>
      <c:legendPos val="b"/>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Anemia!$C$4</c:f>
              <c:strCache>
                <c:ptCount val="1"/>
                <c:pt idx="0">
                  <c:v>Anémie Légère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Anemia!$B$6:$B$12</c:f>
              <c:strCache>
                <c:ptCount val="7"/>
                <c:pt idx="0">
                  <c:v>Bamako</c:v>
                </c:pt>
                <c:pt idx="1">
                  <c:v>Kayes</c:v>
                </c:pt>
                <c:pt idx="2">
                  <c:v>Koulikoro</c:v>
                </c:pt>
                <c:pt idx="3">
                  <c:v>Mopti</c:v>
                </c:pt>
                <c:pt idx="4">
                  <c:v>Ségou</c:v>
                </c:pt>
                <c:pt idx="5">
                  <c:v>Sikasso</c:v>
                </c:pt>
                <c:pt idx="6">
                  <c:v>Mali</c:v>
                </c:pt>
              </c:strCache>
            </c:strRef>
          </c:cat>
          <c:val>
            <c:numRef>
              <c:f>Anemia!$C$6:$C$12</c:f>
              <c:numCache>
                <c:formatCode>0</c:formatCode>
                <c:ptCount val="7"/>
                <c:pt idx="0">
                  <c:v>30.5</c:v>
                </c:pt>
                <c:pt idx="1">
                  <c:v>34</c:v>
                </c:pt>
                <c:pt idx="2">
                  <c:v>38.200000000000003</c:v>
                </c:pt>
                <c:pt idx="3">
                  <c:v>38.799999999999997</c:v>
                </c:pt>
                <c:pt idx="4">
                  <c:v>39.700000000000003</c:v>
                </c:pt>
                <c:pt idx="5">
                  <c:v>37.6</c:v>
                </c:pt>
                <c:pt idx="6">
                  <c:v>36</c:v>
                </c:pt>
              </c:numCache>
            </c:numRef>
          </c:val>
        </c:ser>
        <c:ser>
          <c:idx val="1"/>
          <c:order val="1"/>
          <c:tx>
            <c:strRef>
              <c:f>Anemia!$D$4</c:f>
              <c:strCache>
                <c:ptCount val="1"/>
                <c:pt idx="0">
                  <c:v>Anémie Modérée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Anemia!$B$6:$B$12</c:f>
              <c:strCache>
                <c:ptCount val="7"/>
                <c:pt idx="0">
                  <c:v>Bamako</c:v>
                </c:pt>
                <c:pt idx="1">
                  <c:v>Kayes</c:v>
                </c:pt>
                <c:pt idx="2">
                  <c:v>Koulikoro</c:v>
                </c:pt>
                <c:pt idx="3">
                  <c:v>Mopti</c:v>
                </c:pt>
                <c:pt idx="4">
                  <c:v>Ségou</c:v>
                </c:pt>
                <c:pt idx="5">
                  <c:v>Sikasso</c:v>
                </c:pt>
                <c:pt idx="6">
                  <c:v>Mali</c:v>
                </c:pt>
              </c:strCache>
            </c:strRef>
          </c:cat>
          <c:val>
            <c:numRef>
              <c:f>Anemia!$D$6:$D$12</c:f>
              <c:numCache>
                <c:formatCode>0</c:formatCode>
                <c:ptCount val="7"/>
                <c:pt idx="0">
                  <c:v>14.7</c:v>
                </c:pt>
                <c:pt idx="1">
                  <c:v>24.4</c:v>
                </c:pt>
                <c:pt idx="2">
                  <c:v>25.1</c:v>
                </c:pt>
                <c:pt idx="3">
                  <c:v>29.4</c:v>
                </c:pt>
                <c:pt idx="4">
                  <c:v>24.4</c:v>
                </c:pt>
                <c:pt idx="5">
                  <c:v>22.4</c:v>
                </c:pt>
                <c:pt idx="6">
                  <c:v>22.5</c:v>
                </c:pt>
              </c:numCache>
            </c:numRef>
          </c:val>
        </c:ser>
        <c:ser>
          <c:idx val="2"/>
          <c:order val="2"/>
          <c:tx>
            <c:strRef>
              <c:f>Anemia!$E$4</c:f>
              <c:strCache>
                <c:ptCount val="1"/>
                <c:pt idx="0">
                  <c:v>Anémie Sévère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Anemia!$B$6:$B$12</c:f>
              <c:strCache>
                <c:ptCount val="7"/>
                <c:pt idx="0">
                  <c:v>Bamako</c:v>
                </c:pt>
                <c:pt idx="1">
                  <c:v>Kayes</c:v>
                </c:pt>
                <c:pt idx="2">
                  <c:v>Koulikoro</c:v>
                </c:pt>
                <c:pt idx="3">
                  <c:v>Mopti</c:v>
                </c:pt>
                <c:pt idx="4">
                  <c:v>Ségou</c:v>
                </c:pt>
                <c:pt idx="5">
                  <c:v>Sikasso</c:v>
                </c:pt>
                <c:pt idx="6">
                  <c:v>Mali</c:v>
                </c:pt>
              </c:strCache>
            </c:strRef>
          </c:cat>
          <c:val>
            <c:numRef>
              <c:f>Anemia!$E$6:$E$12</c:f>
              <c:numCache>
                <c:formatCode>0</c:formatCode>
                <c:ptCount val="7"/>
                <c:pt idx="0">
                  <c:v>1.7</c:v>
                </c:pt>
                <c:pt idx="1">
                  <c:v>2.1</c:v>
                </c:pt>
                <c:pt idx="2">
                  <c:v>3.2</c:v>
                </c:pt>
                <c:pt idx="3">
                  <c:v>1.7</c:v>
                </c:pt>
                <c:pt idx="4">
                  <c:v>2.4</c:v>
                </c:pt>
                <c:pt idx="5">
                  <c:v>1</c:v>
                </c:pt>
                <c:pt idx="6">
                  <c:v>1.9</c:v>
                </c:pt>
              </c:numCache>
            </c:numRef>
          </c:val>
        </c:ser>
        <c:dLbls>
          <c:showLegendKey val="0"/>
          <c:showVal val="1"/>
          <c:showCatName val="0"/>
          <c:showSerName val="0"/>
          <c:showPercent val="0"/>
          <c:showBubbleSize val="0"/>
        </c:dLbls>
        <c:gapWidth val="75"/>
        <c:axId val="538351768"/>
        <c:axId val="538349416"/>
      </c:barChart>
      <c:catAx>
        <c:axId val="538351768"/>
        <c:scaling>
          <c:orientation val="minMax"/>
        </c:scaling>
        <c:delete val="0"/>
        <c:axPos val="b"/>
        <c:numFmt formatCode="General" sourceLinked="0"/>
        <c:majorTickMark val="none"/>
        <c:minorTickMark val="none"/>
        <c:tickLblPos val="nextTo"/>
        <c:crossAx val="538349416"/>
        <c:crosses val="autoZero"/>
        <c:auto val="1"/>
        <c:lblAlgn val="ctr"/>
        <c:lblOffset val="100"/>
        <c:noMultiLvlLbl val="0"/>
      </c:catAx>
      <c:valAx>
        <c:axId val="538349416"/>
        <c:scaling>
          <c:orientation val="minMax"/>
        </c:scaling>
        <c:delete val="0"/>
        <c:axPos val="l"/>
        <c:title>
          <c:tx>
            <c:rich>
              <a:bodyPr rot="-5400000" vert="horz"/>
              <a:lstStyle/>
              <a:p>
                <a:pPr>
                  <a:defRPr/>
                </a:pPr>
                <a:r>
                  <a:rPr lang="en-US"/>
                  <a:t>Percent </a:t>
                </a:r>
              </a:p>
            </c:rich>
          </c:tx>
          <c:layout/>
          <c:overlay val="0"/>
        </c:title>
        <c:numFmt formatCode="0" sourceLinked="1"/>
        <c:majorTickMark val="none"/>
        <c:minorTickMark val="none"/>
        <c:tickLblPos val="nextTo"/>
        <c:crossAx val="538351768"/>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v>urbain</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country1!$A$2:$B$6</c:f>
              <c:multiLvlStrCache>
                <c:ptCount val="5"/>
                <c:lvl>
                  <c:pt idx="0">
                    <c:v>Le plus pauvre</c:v>
                  </c:pt>
                  <c:pt idx="1">
                    <c:v>2</c:v>
                  </c:pt>
                  <c:pt idx="2">
                    <c:v>3</c:v>
                  </c:pt>
                  <c:pt idx="3">
                    <c:v>4</c:v>
                  </c:pt>
                  <c:pt idx="4">
                    <c:v>Le plus riche</c:v>
                  </c:pt>
                </c:lvl>
                <c:lvl>
                  <c:pt idx="0">
                    <c:v>Quintile de consommation</c:v>
                  </c:pt>
                </c:lvl>
              </c:multiLvlStrCache>
            </c:multiLvlStrRef>
          </c:cat>
          <c:val>
            <c:numRef>
              <c:f>country1!$D$2:$D$6</c:f>
              <c:numCache>
                <c:formatCode>_(* #,##0_);_(* \(#,##0\);_(* "-"??_);_(@_)</c:formatCode>
                <c:ptCount val="5"/>
                <c:pt idx="0">
                  <c:v>12624.0751953125</c:v>
                </c:pt>
                <c:pt idx="1">
                  <c:v>21867.384765625</c:v>
                </c:pt>
                <c:pt idx="2">
                  <c:v>44881.08984375</c:v>
                </c:pt>
                <c:pt idx="3">
                  <c:v>87160.3359375</c:v>
                </c:pt>
                <c:pt idx="4">
                  <c:v>176953.40625</c:v>
                </c:pt>
              </c:numCache>
            </c:numRef>
          </c:val>
        </c:ser>
        <c:ser>
          <c:idx val="1"/>
          <c:order val="1"/>
          <c:tx>
            <c:v>rural</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country1!$A$2:$B$6</c:f>
              <c:multiLvlStrCache>
                <c:ptCount val="5"/>
                <c:lvl>
                  <c:pt idx="0">
                    <c:v>Le plus pauvre</c:v>
                  </c:pt>
                  <c:pt idx="1">
                    <c:v>2</c:v>
                  </c:pt>
                  <c:pt idx="2">
                    <c:v>3</c:v>
                  </c:pt>
                  <c:pt idx="3">
                    <c:v>4</c:v>
                  </c:pt>
                  <c:pt idx="4">
                    <c:v>Le plus riche</c:v>
                  </c:pt>
                </c:lvl>
                <c:lvl>
                  <c:pt idx="0">
                    <c:v>Quintile de consommation</c:v>
                  </c:pt>
                </c:lvl>
              </c:multiLvlStrCache>
            </c:multiLvlStrRef>
          </c:cat>
          <c:val>
            <c:numRef>
              <c:f>country1!$E$2:$E$6</c:f>
              <c:numCache>
                <c:formatCode>_(* #,##0_);_(* \(#,##0\);_(* "-"??_);_(@_)</c:formatCode>
                <c:ptCount val="5"/>
                <c:pt idx="0">
                  <c:v>254124.390625</c:v>
                </c:pt>
                <c:pt idx="1">
                  <c:v>244913.640625</c:v>
                </c:pt>
                <c:pt idx="2">
                  <c:v>221731.109375</c:v>
                </c:pt>
                <c:pt idx="3">
                  <c:v>179572.578125</c:v>
                </c:pt>
                <c:pt idx="4">
                  <c:v>89718.546875</c:v>
                </c:pt>
              </c:numCache>
            </c:numRef>
          </c:val>
        </c:ser>
        <c:dLbls>
          <c:showLegendKey val="0"/>
          <c:showVal val="0"/>
          <c:showCatName val="0"/>
          <c:showSerName val="0"/>
          <c:showPercent val="0"/>
          <c:showBubbleSize val="0"/>
        </c:dLbls>
        <c:gapWidth val="75"/>
        <c:overlap val="100"/>
        <c:axId val="538349808"/>
        <c:axId val="538771296"/>
      </c:barChart>
      <c:catAx>
        <c:axId val="538349808"/>
        <c:scaling>
          <c:orientation val="minMax"/>
        </c:scaling>
        <c:delete val="0"/>
        <c:axPos val="b"/>
        <c:numFmt formatCode="General" sourceLinked="1"/>
        <c:majorTickMark val="none"/>
        <c:minorTickMark val="none"/>
        <c:tickLblPos val="nextTo"/>
        <c:crossAx val="538771296"/>
        <c:crosses val="autoZero"/>
        <c:auto val="1"/>
        <c:lblAlgn val="ctr"/>
        <c:lblOffset val="100"/>
        <c:noMultiLvlLbl val="0"/>
      </c:catAx>
      <c:valAx>
        <c:axId val="538771296"/>
        <c:scaling>
          <c:orientation val="minMax"/>
        </c:scaling>
        <c:delete val="0"/>
        <c:axPos val="l"/>
        <c:title>
          <c:tx>
            <c:rich>
              <a:bodyPr rot="-5400000" vert="horz"/>
              <a:lstStyle/>
              <a:p>
                <a:pPr>
                  <a:defRPr/>
                </a:pPr>
                <a:r>
                  <a:rPr lang="en-US"/>
                  <a:t>Number of households</a:t>
                </a:r>
              </a:p>
            </c:rich>
          </c:tx>
          <c:layout/>
          <c:overlay val="0"/>
        </c:title>
        <c:numFmt formatCode="_(* #,##0_);_(* \(#,##0\);_(* &quot;-&quot;??_);_(@_)" sourceLinked="1"/>
        <c:majorTickMark val="none"/>
        <c:minorTickMark val="none"/>
        <c:tickLblPos val="nextTo"/>
        <c:crossAx val="538349808"/>
        <c:crosses val="autoZero"/>
        <c:crossBetween val="between"/>
      </c:valAx>
    </c:plotArea>
    <c:legend>
      <c:legendPos val="b"/>
      <c:layout>
        <c:manualLayout>
          <c:xMode val="edge"/>
          <c:yMode val="edge"/>
          <c:x val="0.48212749456084708"/>
          <c:y val="0.91861720218957965"/>
          <c:w val="0.24061667525204208"/>
          <c:h val="7.2964185928371852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'[adept_povineq_3.xls]Table 8'!$J$60:$K$88</c:f>
              <c:multiLvlStrCache>
                <c:ptCount val="29"/>
                <c:lvl>
                  <c:pt idx="0">
                    <c:v>Kayes</c:v>
                  </c:pt>
                  <c:pt idx="1">
                    <c:v>Koulikoro</c:v>
                  </c:pt>
                  <c:pt idx="2">
                    <c:v>Sikasso</c:v>
                  </c:pt>
                  <c:pt idx="3">
                    <c:v>Ségou</c:v>
                  </c:pt>
                  <c:pt idx="4">
                    <c:v>Mopti</c:v>
                  </c:pt>
                  <c:pt idx="5">
                    <c:v>Tombouctou</c:v>
                  </c:pt>
                  <c:pt idx="6">
                    <c:v>Gao</c:v>
                  </c:pt>
                  <c:pt idx="7">
                    <c:v>Kidal</c:v>
                  </c:pt>
                  <c:pt idx="8">
                    <c:v>Bamako</c:v>
                  </c:pt>
                  <c:pt idx="10">
                    <c:v>Kayes</c:v>
                  </c:pt>
                  <c:pt idx="11">
                    <c:v>Koulikoro</c:v>
                  </c:pt>
                  <c:pt idx="12">
                    <c:v>Sikasso</c:v>
                  </c:pt>
                  <c:pt idx="13">
                    <c:v>Ségou</c:v>
                  </c:pt>
                  <c:pt idx="14">
                    <c:v>Mopti</c:v>
                  </c:pt>
                  <c:pt idx="15">
                    <c:v>Tombouctou</c:v>
                  </c:pt>
                  <c:pt idx="16">
                    <c:v>Gao</c:v>
                  </c:pt>
                  <c:pt idx="17">
                    <c:v>Kidal</c:v>
                  </c:pt>
                  <c:pt idx="18">
                    <c:v>Bamako</c:v>
                  </c:pt>
                  <c:pt idx="20">
                    <c:v>Kayes</c:v>
                  </c:pt>
                  <c:pt idx="21">
                    <c:v>Koulikoro</c:v>
                  </c:pt>
                  <c:pt idx="22">
                    <c:v>Sikasso</c:v>
                  </c:pt>
                  <c:pt idx="23">
                    <c:v>Ségou</c:v>
                  </c:pt>
                  <c:pt idx="24">
                    <c:v>Mopti</c:v>
                  </c:pt>
                  <c:pt idx="25">
                    <c:v>Tombouctou</c:v>
                  </c:pt>
                  <c:pt idx="26">
                    <c:v>Gao</c:v>
                  </c:pt>
                  <c:pt idx="27">
                    <c:v>Kidal</c:v>
                  </c:pt>
                  <c:pt idx="28">
                    <c:v>Bamako</c:v>
                  </c:pt>
                </c:lvl>
                <c:lvl>
                  <c:pt idx="0">
                    <c:v>Consommation par habitant</c:v>
                  </c:pt>
                  <c:pt idx="10">
                    <c:v>Consommation par equivalent adulte</c:v>
                  </c:pt>
                  <c:pt idx="20">
                    <c:v>Consommation par equivalent adulte (avec facteur d'echelle)</c:v>
                  </c:pt>
                </c:lvl>
              </c:multiLvlStrCache>
            </c:multiLvlStrRef>
          </c:cat>
          <c:val>
            <c:numRef>
              <c:f>'[adept_povineq_3.xls]Table 8'!$L$60:$L$88</c:f>
              <c:numCache>
                <c:formatCode>0</c:formatCode>
                <c:ptCount val="29"/>
                <c:pt idx="0">
                  <c:v>172.24850000000001</c:v>
                </c:pt>
                <c:pt idx="1">
                  <c:v>128.16830000000002</c:v>
                </c:pt>
                <c:pt idx="2">
                  <c:v>104.1344</c:v>
                </c:pt>
                <c:pt idx="3">
                  <c:v>111.0116</c:v>
                </c:pt>
                <c:pt idx="4">
                  <c:v>116.67460000000001</c:v>
                </c:pt>
                <c:pt idx="5">
                  <c:v>139.99970000000002</c:v>
                </c:pt>
                <c:pt idx="6">
                  <c:v>147.98079999999999</c:v>
                </c:pt>
                <c:pt idx="7">
                  <c:v>217.62620000000001</c:v>
                </c:pt>
                <c:pt idx="8">
                  <c:v>279.4212</c:v>
                </c:pt>
                <c:pt idx="10">
                  <c:v>239.15179999999998</c:v>
                </c:pt>
                <c:pt idx="11">
                  <c:v>175.54660000000001</c:v>
                </c:pt>
                <c:pt idx="12">
                  <c:v>142.93940000000001</c:v>
                </c:pt>
                <c:pt idx="13">
                  <c:v>152.12220000000002</c:v>
                </c:pt>
                <c:pt idx="14">
                  <c:v>162.42520000000002</c:v>
                </c:pt>
                <c:pt idx="15">
                  <c:v>193.9392</c:v>
                </c:pt>
                <c:pt idx="16">
                  <c:v>205.28539999999998</c:v>
                </c:pt>
                <c:pt idx="17">
                  <c:v>299.73220000000003</c:v>
                </c:pt>
                <c:pt idx="18">
                  <c:v>367.25690000000003</c:v>
                </c:pt>
                <c:pt idx="20">
                  <c:v>298.0532</c:v>
                </c:pt>
                <c:pt idx="21">
                  <c:v>220.09450000000001</c:v>
                </c:pt>
                <c:pt idx="22">
                  <c:v>179.09789999999998</c:v>
                </c:pt>
                <c:pt idx="23">
                  <c:v>189.19239999999999</c:v>
                </c:pt>
                <c:pt idx="24">
                  <c:v>196.255</c:v>
                </c:pt>
                <c:pt idx="25">
                  <c:v>230.12899999999999</c:v>
                </c:pt>
                <c:pt idx="26">
                  <c:v>245.09909999999999</c:v>
                </c:pt>
                <c:pt idx="27">
                  <c:v>347.858</c:v>
                </c:pt>
                <c:pt idx="28">
                  <c:v>449.11270000000002</c:v>
                </c:pt>
              </c:numCache>
            </c:numRef>
          </c:val>
        </c:ser>
        <c:dLbls>
          <c:showLegendKey val="0"/>
          <c:showVal val="0"/>
          <c:showCatName val="0"/>
          <c:showSerName val="0"/>
          <c:showPercent val="0"/>
          <c:showBubbleSize val="0"/>
        </c:dLbls>
        <c:gapWidth val="150"/>
        <c:axId val="538772080"/>
        <c:axId val="538772472"/>
      </c:barChart>
      <c:catAx>
        <c:axId val="538772080"/>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a:ea typeface="Times New Roman"/>
                <a:cs typeface="Times New Roman"/>
              </a:defRPr>
            </a:pPr>
            <a:endParaRPr lang="en-US"/>
          </a:p>
        </c:txPr>
        <c:crossAx val="538772472"/>
        <c:crosses val="autoZero"/>
        <c:auto val="1"/>
        <c:lblAlgn val="ctr"/>
        <c:lblOffset val="100"/>
        <c:noMultiLvlLbl val="0"/>
      </c:catAx>
      <c:valAx>
        <c:axId val="538772472"/>
        <c:scaling>
          <c:orientation val="minMax"/>
        </c:scaling>
        <c:delete val="0"/>
        <c:axPos val="l"/>
        <c:title>
          <c:tx>
            <c:rich>
              <a:bodyPr rot="-5400000" vert="horz"/>
              <a:lstStyle/>
              <a:p>
                <a:pPr>
                  <a:defRPr b="1"/>
                </a:pPr>
                <a:r>
                  <a:rPr lang="en-US" b="1"/>
                  <a:t>Consumption (FCFA '000)</a:t>
                </a:r>
              </a:p>
            </c:rich>
          </c:tx>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38772080"/>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'Consumption in 2010'!$B$5</c:f>
              <c:strCache>
                <c:ptCount val="1"/>
                <c:pt idx="0">
                  <c:v>zone</c:v>
                </c:pt>
              </c:strCache>
            </c:strRef>
          </c:tx>
          <c:invertIfNegative val="0"/>
          <c:cat>
            <c:multiLvlStrRef>
              <c:f>'Consumption in 2010'!$A$6:$B$20</c:f>
              <c:multiLvlStrCache>
                <c:ptCount val="15"/>
                <c:lvl>
                  <c:pt idx="0">
                    <c:v>Nomadism and trans-Saharan trade</c:v>
                  </c:pt>
                  <c:pt idx="1">
                    <c:v>Nomdadic and transhumant pastoralism</c:v>
                  </c:pt>
                  <c:pt idx="2">
                    <c:v> Fluvial rice and transhumant livestock rearing (agropastoral)</c:v>
                  </c:pt>
                  <c:pt idx="3">
                    <c:v>Millet and transhumant livestock rearing</c:v>
                  </c:pt>
                  <c:pt idx="4">
                    <c:v>Dogon plateau -- millet, shallots, wild foods and tourism</c:v>
                  </c:pt>
                  <c:pt idx="5">
                    <c:v>Niger delta - rice and livestock rearing (agropastoral)</c:v>
                  </c:pt>
                  <c:pt idx="6">
                    <c:v>Office du Niger (irrigated rice)</c:v>
                  </c:pt>
                  <c:pt idx="7">
                    <c:v>North-west remittances, sorghum and transhumant livestock rearing</c:v>
                  </c:pt>
                  <c:pt idx="8">
                    <c:v>West and cental rainfed millte/sorghum</c:v>
                  </c:pt>
                  <c:pt idx="9">
                    <c:v>Sorghum, millet and cotton</c:v>
                  </c:pt>
                  <c:pt idx="10">
                    <c:v>South maize, cotton and fruits</c:v>
                  </c:pt>
                  <c:pt idx="11">
                    <c:v>South-west maize, sorghum and fruits</c:v>
                  </c:pt>
                  <c:pt idx="12">
                    <c:v>Bamako</c:v>
                  </c:pt>
                  <c:pt idx="14">
                    <c:v>Mali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  </c:v>
                  </c:pt>
                </c:lvl>
              </c:multiLvlStrCache>
            </c:multiLvlStrRef>
          </c:cat>
          <c:val>
            <c:numRef>
              <c:f>'Consumption in 2010'!$B$6:$B$20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4">
                  <c:v>0</c:v>
                </c:pt>
              </c:numCache>
            </c:numRef>
          </c:val>
        </c:ser>
        <c:ser>
          <c:idx val="1"/>
          <c:order val="1"/>
          <c:tx>
            <c:strRef>
              <c:f>'Consumption in 2010'!$C$5</c:f>
              <c:strCache>
                <c:ptCount val="1"/>
                <c:pt idx="0">
                  <c:v>Mean</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'Consumption in 2010'!$A$6:$B$20</c:f>
              <c:multiLvlStrCache>
                <c:ptCount val="15"/>
                <c:lvl>
                  <c:pt idx="0">
                    <c:v>Nomadism and trans-Saharan trade</c:v>
                  </c:pt>
                  <c:pt idx="1">
                    <c:v>Nomdadic and transhumant pastoralism</c:v>
                  </c:pt>
                  <c:pt idx="2">
                    <c:v> Fluvial rice and transhumant livestock rearing (agropastoral)</c:v>
                  </c:pt>
                  <c:pt idx="3">
                    <c:v>Millet and transhumant livestock rearing</c:v>
                  </c:pt>
                  <c:pt idx="4">
                    <c:v>Dogon plateau -- millet, shallots, wild foods and tourism</c:v>
                  </c:pt>
                  <c:pt idx="5">
                    <c:v>Niger delta - rice and livestock rearing (agropastoral)</c:v>
                  </c:pt>
                  <c:pt idx="6">
                    <c:v>Office du Niger (irrigated rice)</c:v>
                  </c:pt>
                  <c:pt idx="7">
                    <c:v>North-west remittances, sorghum and transhumant livestock rearing</c:v>
                  </c:pt>
                  <c:pt idx="8">
                    <c:v>West and cental rainfed millte/sorghum</c:v>
                  </c:pt>
                  <c:pt idx="9">
                    <c:v>Sorghum, millet and cotton</c:v>
                  </c:pt>
                  <c:pt idx="10">
                    <c:v>South maize, cotton and fruits</c:v>
                  </c:pt>
                  <c:pt idx="11">
                    <c:v>South-west maize, sorghum and fruits</c:v>
                  </c:pt>
                  <c:pt idx="12">
                    <c:v>Bamako</c:v>
                  </c:pt>
                  <c:pt idx="14">
                    <c:v>Mali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  </c:v>
                  </c:pt>
                </c:lvl>
              </c:multiLvlStrCache>
            </c:multiLvlStrRef>
          </c:cat>
          <c:val>
            <c:numRef>
              <c:f>'Consumption in 2010'!$C$6:$C$20</c:f>
              <c:numCache>
                <c:formatCode>_(* #,##0_);_(* \(#,##0\);_(* "-"??_);_(@_)</c:formatCode>
                <c:ptCount val="15"/>
                <c:pt idx="0">
                  <c:v>141.55966638067196</c:v>
                </c:pt>
                <c:pt idx="1">
                  <c:v>166.06047128532163</c:v>
                </c:pt>
                <c:pt idx="2">
                  <c:v>131.42070333254051</c:v>
                </c:pt>
                <c:pt idx="3">
                  <c:v>97.954746415804777</c:v>
                </c:pt>
                <c:pt idx="4">
                  <c:v>131.4762253767459</c:v>
                </c:pt>
                <c:pt idx="5">
                  <c:v>142.70581726523881</c:v>
                </c:pt>
                <c:pt idx="6">
                  <c:v>139.37104105094403</c:v>
                </c:pt>
                <c:pt idx="7">
                  <c:v>180.03764531943824</c:v>
                </c:pt>
                <c:pt idx="8">
                  <c:v>123.39149420562316</c:v>
                </c:pt>
                <c:pt idx="9">
                  <c:v>89.179323151987205</c:v>
                </c:pt>
                <c:pt idx="10">
                  <c:v>128.07503313230964</c:v>
                </c:pt>
                <c:pt idx="11">
                  <c:v>124.74886740974772</c:v>
                </c:pt>
                <c:pt idx="12">
                  <c:v>279.42120453275464</c:v>
                </c:pt>
                <c:pt idx="13">
                  <c:v>0</c:v>
                </c:pt>
                <c:pt idx="14">
                  <c:v>145.38706435333825</c:v>
                </c:pt>
              </c:numCache>
            </c:numRef>
          </c:val>
        </c:ser>
        <c:dLbls>
          <c:showLegendKey val="0"/>
          <c:showVal val="0"/>
          <c:showCatName val="0"/>
          <c:showSerName val="0"/>
          <c:showPercent val="0"/>
          <c:showBubbleSize val="0"/>
        </c:dLbls>
        <c:gapWidth val="150"/>
        <c:axId val="538773256"/>
        <c:axId val="538773648"/>
      </c:barChart>
      <c:catAx>
        <c:axId val="538773256"/>
        <c:scaling>
          <c:orientation val="minMax"/>
        </c:scaling>
        <c:delete val="0"/>
        <c:axPos val="l"/>
        <c:numFmt formatCode="General" sourceLinked="1"/>
        <c:majorTickMark val="out"/>
        <c:minorTickMark val="none"/>
        <c:tickLblPos val="nextTo"/>
        <c:crossAx val="538773648"/>
        <c:crosses val="autoZero"/>
        <c:auto val="1"/>
        <c:lblAlgn val="ctr"/>
        <c:lblOffset val="100"/>
        <c:noMultiLvlLbl val="0"/>
      </c:catAx>
      <c:valAx>
        <c:axId val="538773648"/>
        <c:scaling>
          <c:orientation val="minMax"/>
        </c:scaling>
        <c:delete val="0"/>
        <c:axPos val="b"/>
        <c:title>
          <c:tx>
            <c:rich>
              <a:bodyPr/>
              <a:lstStyle/>
              <a:p>
                <a:pPr>
                  <a:defRPr/>
                </a:pPr>
                <a:r>
                  <a:rPr lang="en-US"/>
                  <a:t>Consumption</a:t>
                </a:r>
                <a:r>
                  <a:rPr lang="en-US" baseline="0"/>
                  <a:t> per capita (FCFA '000)</a:t>
                </a:r>
                <a:endParaRPr lang="en-US"/>
              </a:p>
            </c:rich>
          </c:tx>
          <c:layout/>
          <c:overlay val="0"/>
        </c:title>
        <c:numFmt formatCode="#,##0" sourceLinked="0"/>
        <c:majorTickMark val="out"/>
        <c:minorTickMark val="none"/>
        <c:tickLblPos val="nextTo"/>
        <c:crossAx val="538773256"/>
        <c:crosses val="autoZero"/>
        <c:crossBetween val="between"/>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2287923144222357"/>
          <c:y val="3.2701601746457483E-2"/>
          <c:w val="0.44013750544787789"/>
          <c:h val="0.77043012831252067"/>
        </c:manualLayout>
      </c:layout>
      <c:barChart>
        <c:barDir val="col"/>
        <c:grouping val="stacked"/>
        <c:varyColors val="0"/>
        <c:ser>
          <c:idx val="0"/>
          <c:order val="0"/>
          <c:tx>
            <c:strRef>
              <c:f>country2!$C$9</c:f>
              <c:strCache>
                <c:ptCount val="1"/>
                <c:pt idx="0">
                  <c:v>1. Nomadism and trans-Saharan trade</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country2!$C$10:$C$14</c:f>
              <c:numCache>
                <c:formatCode>_(* #,##0_);_(* \(#,##0\);_(* "-"??_);_(@_)</c:formatCode>
                <c:ptCount val="5"/>
                <c:pt idx="0">
                  <c:v>871.62030029296875</c:v>
                </c:pt>
                <c:pt idx="1">
                  <c:v>616.64825439453125</c:v>
                </c:pt>
                <c:pt idx="2">
                  <c:v>662.3472900390625</c:v>
                </c:pt>
                <c:pt idx="3">
                  <c:v>510.95498657226563</c:v>
                </c:pt>
                <c:pt idx="4">
                  <c:v>500.42953491210937</c:v>
                </c:pt>
              </c:numCache>
            </c:numRef>
          </c:val>
        </c:ser>
        <c:ser>
          <c:idx val="1"/>
          <c:order val="1"/>
          <c:tx>
            <c:strRef>
              <c:f>country2!$D$9</c:f>
              <c:strCache>
                <c:ptCount val="1"/>
                <c:pt idx="0">
                  <c:v>2. Nomadic and transhumant pastoralism</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country2!$D$10:$D$14</c:f>
              <c:numCache>
                <c:formatCode>_(* #,##0_);_(* \(#,##0\);_(* "-"??_);_(@_)</c:formatCode>
                <c:ptCount val="5"/>
                <c:pt idx="0">
                  <c:v>5280.455078125</c:v>
                </c:pt>
                <c:pt idx="1">
                  <c:v>9288.9130859375</c:v>
                </c:pt>
                <c:pt idx="2">
                  <c:v>12633.244140625</c:v>
                </c:pt>
                <c:pt idx="3">
                  <c:v>14335.4921875</c:v>
                </c:pt>
                <c:pt idx="4">
                  <c:v>11807.91796875</c:v>
                </c:pt>
              </c:numCache>
            </c:numRef>
          </c:val>
        </c:ser>
        <c:ser>
          <c:idx val="2"/>
          <c:order val="2"/>
          <c:tx>
            <c:strRef>
              <c:f>country2!$E$9</c:f>
              <c:strCache>
                <c:ptCount val="1"/>
                <c:pt idx="0">
                  <c:v>3.  Fluvial rice and transhumant livestock rearing </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country2!$E$10:$E$14</c:f>
              <c:numCache>
                <c:formatCode>_(* #,##0_);_(* \(#,##0\);_(* "-"??_);_(@_)</c:formatCode>
                <c:ptCount val="5"/>
                <c:pt idx="0">
                  <c:v>3686.883544921875</c:v>
                </c:pt>
                <c:pt idx="1">
                  <c:v>4899.658203125</c:v>
                </c:pt>
                <c:pt idx="2">
                  <c:v>5543.70849609375</c:v>
                </c:pt>
                <c:pt idx="3">
                  <c:v>4835.955078125</c:v>
                </c:pt>
                <c:pt idx="4">
                  <c:v>991.78375244140625</c:v>
                </c:pt>
              </c:numCache>
            </c:numRef>
          </c:val>
        </c:ser>
        <c:ser>
          <c:idx val="3"/>
          <c:order val="3"/>
          <c:tx>
            <c:strRef>
              <c:f>country2!$F$9</c:f>
              <c:strCache>
                <c:ptCount val="1"/>
                <c:pt idx="0">
                  <c:v>4. Millet and transhumant livestock rearing</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country2!$F$10:$F$14</c:f>
              <c:numCache>
                <c:formatCode>_(* #,##0_);_(* \(#,##0\);_(* "-"??_);_(@_)</c:formatCode>
                <c:ptCount val="5"/>
                <c:pt idx="0">
                  <c:v>38236.1875</c:v>
                </c:pt>
                <c:pt idx="1">
                  <c:v>29851.287109375</c:v>
                </c:pt>
                <c:pt idx="2">
                  <c:v>21509.06640625</c:v>
                </c:pt>
                <c:pt idx="3">
                  <c:v>11822.1845703125</c:v>
                </c:pt>
                <c:pt idx="4">
                  <c:v>2471.590576171875</c:v>
                </c:pt>
              </c:numCache>
            </c:numRef>
          </c:val>
        </c:ser>
        <c:ser>
          <c:idx val="4"/>
          <c:order val="4"/>
          <c:tx>
            <c:strRef>
              <c:f>country2!$G$9</c:f>
              <c:strCache>
                <c:ptCount val="1"/>
                <c:pt idx="0">
                  <c:v>5. Dogon plateau -- millet, shallots, wild foods, tourism</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country2!$G$10:$G$14</c:f>
              <c:numCache>
                <c:formatCode>_(* #,##0_);_(* \(#,##0\);_(* "-"??_);_(@_)</c:formatCode>
                <c:ptCount val="5"/>
                <c:pt idx="0">
                  <c:v>8334.818359375</c:v>
                </c:pt>
                <c:pt idx="1">
                  <c:v>5477.3984375</c:v>
                </c:pt>
                <c:pt idx="2">
                  <c:v>10293.126953125</c:v>
                </c:pt>
                <c:pt idx="3">
                  <c:v>9440.1220703125</c:v>
                </c:pt>
                <c:pt idx="4">
                  <c:v>6203.16162109375</c:v>
                </c:pt>
              </c:numCache>
            </c:numRef>
          </c:val>
        </c:ser>
        <c:ser>
          <c:idx val="5"/>
          <c:order val="5"/>
          <c:tx>
            <c:strRef>
              <c:f>country2!$H$9</c:f>
              <c:strCache>
                <c:ptCount val="1"/>
                <c:pt idx="0">
                  <c:v>6. Niger delta - rice and livestock rearing </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country2!$H$10:$H$14</c:f>
              <c:numCache>
                <c:formatCode>_(* #,##0_);_(* \(#,##0\);_(* "-"??_);_(@_)</c:formatCode>
                <c:ptCount val="5"/>
                <c:pt idx="0">
                  <c:v>16259.1435546875</c:v>
                </c:pt>
                <c:pt idx="1">
                  <c:v>29302.697265625</c:v>
                </c:pt>
                <c:pt idx="2">
                  <c:v>32457.09765625</c:v>
                </c:pt>
                <c:pt idx="3">
                  <c:v>27904.00390625</c:v>
                </c:pt>
                <c:pt idx="4">
                  <c:v>15694.6669921875</c:v>
                </c:pt>
              </c:numCache>
            </c:numRef>
          </c:val>
        </c:ser>
        <c:ser>
          <c:idx val="6"/>
          <c:order val="6"/>
          <c:tx>
            <c:strRef>
              <c:f>country2!$I$9</c:f>
              <c:strCache>
                <c:ptCount val="1"/>
                <c:pt idx="0">
                  <c:v>7. Office du Niger (irrigated rice)</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country2!$I$10:$I$14</c:f>
              <c:numCache>
                <c:formatCode>_(* #,##0_);_(* \(#,##0\);_(* "-"??_);_(@_)</c:formatCode>
                <c:ptCount val="5"/>
                <c:pt idx="0">
                  <c:v>4990.611328125</c:v>
                </c:pt>
                <c:pt idx="1">
                  <c:v>6436.70556640625</c:v>
                </c:pt>
                <c:pt idx="2">
                  <c:v>12837.0419921875</c:v>
                </c:pt>
                <c:pt idx="3">
                  <c:v>8747.7724609375</c:v>
                </c:pt>
                <c:pt idx="4">
                  <c:v>2958.580078125</c:v>
                </c:pt>
              </c:numCache>
            </c:numRef>
          </c:val>
        </c:ser>
        <c:ser>
          <c:idx val="7"/>
          <c:order val="7"/>
          <c:tx>
            <c:strRef>
              <c:f>country2!$J$9</c:f>
              <c:strCache>
                <c:ptCount val="1"/>
                <c:pt idx="0">
                  <c:v>8. Remittances, sorghum, transhumant livestock rearing</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country2!$J$10:$J$14</c:f>
              <c:numCache>
                <c:formatCode>_(* #,##0_);_(* \(#,##0\);_(* "-"??_);_(@_)</c:formatCode>
                <c:ptCount val="5"/>
                <c:pt idx="0">
                  <c:v>1167.55224609375</c:v>
                </c:pt>
                <c:pt idx="1">
                  <c:v>5222.80810546875</c:v>
                </c:pt>
                <c:pt idx="2">
                  <c:v>12482.9384765625</c:v>
                </c:pt>
                <c:pt idx="3">
                  <c:v>23890.19140625</c:v>
                </c:pt>
                <c:pt idx="4">
                  <c:v>15483.0224609375</c:v>
                </c:pt>
              </c:numCache>
            </c:numRef>
          </c:val>
        </c:ser>
        <c:ser>
          <c:idx val="8"/>
          <c:order val="8"/>
          <c:tx>
            <c:strRef>
              <c:f>country2!$K$9</c:f>
              <c:strCache>
                <c:ptCount val="1"/>
                <c:pt idx="0">
                  <c:v>9. West and central rainfed millet/sorghum</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country2!$K$10:$K$14</c:f>
              <c:numCache>
                <c:formatCode>_(* #,##0_);_(* \(#,##0\);_(* "-"??_);_(@_)</c:formatCode>
                <c:ptCount val="5"/>
                <c:pt idx="0">
                  <c:v>65825.890625</c:v>
                </c:pt>
                <c:pt idx="1">
                  <c:v>63554.9765625</c:v>
                </c:pt>
                <c:pt idx="2">
                  <c:v>65501.48046875</c:v>
                </c:pt>
                <c:pt idx="3">
                  <c:v>49870.5078125</c:v>
                </c:pt>
                <c:pt idx="4">
                  <c:v>31369.8984375</c:v>
                </c:pt>
              </c:numCache>
            </c:numRef>
          </c:val>
        </c:ser>
        <c:ser>
          <c:idx val="9"/>
          <c:order val="9"/>
          <c:tx>
            <c:strRef>
              <c:f>country2!$L$9</c:f>
              <c:strCache>
                <c:ptCount val="1"/>
                <c:pt idx="0">
                  <c:v>10. Sorghum, millet and cotton</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country2!$L$10:$L$14</c:f>
              <c:numCache>
                <c:formatCode>_(* #,##0_);_(* \(#,##0\);_(* "-"??_);_(@_)</c:formatCode>
                <c:ptCount val="5"/>
                <c:pt idx="0">
                  <c:v>45418.0859375</c:v>
                </c:pt>
                <c:pt idx="1">
                  <c:v>22719.576171875</c:v>
                </c:pt>
                <c:pt idx="2">
                  <c:v>14125.6572265625</c:v>
                </c:pt>
                <c:pt idx="3">
                  <c:v>6454.50341796875</c:v>
                </c:pt>
                <c:pt idx="4">
                  <c:v>5744.70263671875</c:v>
                </c:pt>
              </c:numCache>
            </c:numRef>
          </c:val>
        </c:ser>
        <c:ser>
          <c:idx val="10"/>
          <c:order val="10"/>
          <c:tx>
            <c:strRef>
              <c:f>country2!$M$9</c:f>
              <c:strCache>
                <c:ptCount val="1"/>
                <c:pt idx="0">
                  <c:v>11. South maize, cotton and fruits</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country2!$M$10:$M$14</c:f>
              <c:numCache>
                <c:formatCode>_(* #,##0_);_(* \(#,##0\);_(* "-"??_);_(@_)</c:formatCode>
                <c:ptCount val="5"/>
                <c:pt idx="0">
                  <c:v>64416.67578125</c:v>
                </c:pt>
                <c:pt idx="1">
                  <c:v>71820.4140625</c:v>
                </c:pt>
                <c:pt idx="2">
                  <c:v>51473.34375</c:v>
                </c:pt>
                <c:pt idx="3">
                  <c:v>57949.71875</c:v>
                </c:pt>
                <c:pt idx="4">
                  <c:v>40023.11328125</c:v>
                </c:pt>
              </c:numCache>
            </c:numRef>
          </c:val>
        </c:ser>
        <c:ser>
          <c:idx val="11"/>
          <c:order val="11"/>
          <c:tx>
            <c:strRef>
              <c:f>country2!$N$9</c:f>
              <c:strCache>
                <c:ptCount val="1"/>
                <c:pt idx="0">
                  <c:v>12. South-west maize, sorghum and fruits</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country2!$N$10:$N$14</c:f>
              <c:numCache>
                <c:formatCode>_(* #,##0_);_(* \(#,##0\);_(* "-"??_);_(@_)</c:formatCode>
                <c:ptCount val="5"/>
                <c:pt idx="0">
                  <c:v>8448.0634765625</c:v>
                </c:pt>
                <c:pt idx="1">
                  <c:v>11478.6103515625</c:v>
                </c:pt>
                <c:pt idx="2">
                  <c:v>11435.6962890625</c:v>
                </c:pt>
                <c:pt idx="3">
                  <c:v>7963.78076171875</c:v>
                </c:pt>
                <c:pt idx="4">
                  <c:v>3494.871826171875</c:v>
                </c:pt>
              </c:numCache>
            </c:numRef>
          </c:val>
        </c:ser>
        <c:ser>
          <c:idx val="12"/>
          <c:order val="12"/>
          <c:tx>
            <c:strRef>
              <c:f>country2!$O$9</c:f>
              <c:strCache>
                <c:ptCount val="1"/>
                <c:pt idx="0">
                  <c:v>13. Bamako</c:v>
                </c:pt>
              </c:strCache>
            </c:strRef>
          </c:tx>
          <c:invertIfNegative val="0"/>
          <c:cat>
            <c:multiLvlStrRef>
              <c:f>country2!$A$10:$B$14</c:f>
              <c:multiLvlStrCache>
                <c:ptCount val="5"/>
                <c:lvl>
                  <c:pt idx="0">
                    <c:v>Le plus pauvre</c:v>
                  </c:pt>
                  <c:pt idx="1">
                    <c:v>2</c:v>
                  </c:pt>
                  <c:pt idx="2">
                    <c:v>3</c:v>
                  </c:pt>
                  <c:pt idx="3">
                    <c:v>4</c:v>
                  </c:pt>
                  <c:pt idx="4">
                    <c:v>Le plus riche</c:v>
                  </c:pt>
                </c:lvl>
                <c:lvl>
                  <c:pt idx="0">
                    <c:v>Quintile de consommation</c:v>
                  </c:pt>
                </c:lvl>
              </c:multiLvlStrCache>
            </c:multiLvlStrRef>
          </c:cat>
          <c:val>
            <c:numRef>
              <c:f>country2!$O$10:$O$14</c:f>
              <c:numCache>
                <c:formatCode>_(* #,##0_);_(* \(#,##0\);_(* "-"??_);_(@_)</c:formatCode>
                <c:ptCount val="5"/>
                <c:pt idx="0">
                  <c:v>3812.485107421875</c:v>
                </c:pt>
                <c:pt idx="1">
                  <c:v>6111.3388671875</c:v>
                </c:pt>
                <c:pt idx="2">
                  <c:v>15657.4580078125</c:v>
                </c:pt>
                <c:pt idx="3">
                  <c:v>43007.734375</c:v>
                </c:pt>
                <c:pt idx="4">
                  <c:v>129928.203125</c:v>
                </c:pt>
              </c:numCache>
            </c:numRef>
          </c:val>
        </c:ser>
        <c:dLbls>
          <c:showLegendKey val="0"/>
          <c:showVal val="0"/>
          <c:showCatName val="0"/>
          <c:showSerName val="0"/>
          <c:showPercent val="0"/>
          <c:showBubbleSize val="0"/>
        </c:dLbls>
        <c:gapWidth val="150"/>
        <c:overlap val="100"/>
        <c:axId val="538774432"/>
        <c:axId val="538774824"/>
      </c:barChart>
      <c:catAx>
        <c:axId val="538774432"/>
        <c:scaling>
          <c:orientation val="minMax"/>
        </c:scaling>
        <c:delete val="0"/>
        <c:axPos val="b"/>
        <c:numFmt formatCode="General" sourceLinked="0"/>
        <c:majorTickMark val="out"/>
        <c:minorTickMark val="none"/>
        <c:tickLblPos val="nextTo"/>
        <c:crossAx val="538774824"/>
        <c:crosses val="autoZero"/>
        <c:auto val="1"/>
        <c:lblAlgn val="ctr"/>
        <c:lblOffset val="100"/>
        <c:noMultiLvlLbl val="0"/>
      </c:catAx>
      <c:valAx>
        <c:axId val="538774824"/>
        <c:scaling>
          <c:orientation val="minMax"/>
        </c:scaling>
        <c:delete val="0"/>
        <c:axPos val="l"/>
        <c:majorGridlines/>
        <c:title>
          <c:tx>
            <c:rich>
              <a:bodyPr rot="-5400000" vert="horz"/>
              <a:lstStyle/>
              <a:p>
                <a:pPr>
                  <a:defRPr/>
                </a:pPr>
                <a:r>
                  <a:rPr lang="en-US"/>
                  <a:t>Number of households</a:t>
                </a:r>
              </a:p>
            </c:rich>
          </c:tx>
          <c:layout/>
          <c:overlay val="0"/>
        </c:title>
        <c:numFmt formatCode="_(* #,##0_);_(* \(#,##0\);_(* &quot;-&quot;??_);_(@_)" sourceLinked="1"/>
        <c:majorTickMark val="out"/>
        <c:minorTickMark val="none"/>
        <c:tickLblPos val="nextTo"/>
        <c:crossAx val="538774432"/>
        <c:crosses val="autoZero"/>
        <c:crossBetween val="between"/>
      </c:valAx>
    </c:plotArea>
    <c:legend>
      <c:legendPos val="r"/>
      <c:layout>
        <c:manualLayout>
          <c:xMode val="edge"/>
          <c:yMode val="edge"/>
          <c:x val="0.58666217985440561"/>
          <c:y val="2.1806303445503005E-2"/>
          <c:w val="0.33948692716569762"/>
          <c:h val="0.8903108747934245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strRef>
              <c:f>'old line'!$H$75</c:f>
              <c:strCache>
                <c:ptCount val="1"/>
                <c:pt idx="0">
                  <c:v>Food share</c:v>
                </c:pt>
              </c:strCache>
            </c:strRef>
          </c:tx>
          <c:invertIfNegative val="0"/>
          <c:cat>
            <c:multiLvlStrRef>
              <c:f>'old line'!$F$76:$G$93</c:f>
              <c:multiLvlStrCache>
                <c:ptCount val="18"/>
                <c:lvl>
                  <c:pt idx="0">
                    <c:v>Kayes</c:v>
                  </c:pt>
                  <c:pt idx="1">
                    <c:v>Koulikoro</c:v>
                  </c:pt>
                  <c:pt idx="2">
                    <c:v>Sikasso</c:v>
                  </c:pt>
                  <c:pt idx="3">
                    <c:v>Ségou</c:v>
                  </c:pt>
                  <c:pt idx="4">
                    <c:v>Mopti</c:v>
                  </c:pt>
                  <c:pt idx="5">
                    <c:v>Tombouctou</c:v>
                  </c:pt>
                  <c:pt idx="6">
                    <c:v>Gao</c:v>
                  </c:pt>
                  <c:pt idx="7">
                    <c:v>Kidal</c:v>
                  </c:pt>
                  <c:pt idx="8">
                    <c:v>Bamako</c:v>
                  </c:pt>
                  <c:pt idx="11">
                    <c:v>Kayes</c:v>
                  </c:pt>
                  <c:pt idx="12">
                    <c:v>Koulikoro</c:v>
                  </c:pt>
                  <c:pt idx="13">
                    <c:v>Sikasso</c:v>
                  </c:pt>
                  <c:pt idx="14">
                    <c:v>Ségou</c:v>
                  </c:pt>
                  <c:pt idx="15">
                    <c:v>Mopti</c:v>
                  </c:pt>
                  <c:pt idx="16">
                    <c:v>Tombouctou</c:v>
                  </c:pt>
                  <c:pt idx="17">
                    <c:v>Gao</c:v>
                  </c:pt>
                </c:lvl>
                <c:lvl>
                  <c:pt idx="0">
                    <c:v>urban</c:v>
                  </c:pt>
                  <c:pt idx="11">
                    <c:v>rural</c:v>
                  </c:pt>
                </c:lvl>
              </c:multiLvlStrCache>
            </c:multiLvlStrRef>
          </c:cat>
          <c:val>
            <c:numRef>
              <c:f>'old line'!$H$76:$H$93</c:f>
              <c:numCache>
                <c:formatCode>_(* #,##0_);_(* \(#,##0\);_(* "-"??_);_(@_)</c:formatCode>
                <c:ptCount val="18"/>
                <c:pt idx="0">
                  <c:v>108551</c:v>
                </c:pt>
                <c:pt idx="1">
                  <c:v>91615</c:v>
                </c:pt>
                <c:pt idx="2">
                  <c:v>90703</c:v>
                </c:pt>
                <c:pt idx="3">
                  <c:v>80921</c:v>
                </c:pt>
                <c:pt idx="4">
                  <c:v>84133</c:v>
                </c:pt>
                <c:pt idx="5">
                  <c:v>90082</c:v>
                </c:pt>
                <c:pt idx="6">
                  <c:v>90082</c:v>
                </c:pt>
                <c:pt idx="7">
                  <c:v>90082</c:v>
                </c:pt>
                <c:pt idx="8">
                  <c:v>91615</c:v>
                </c:pt>
                <c:pt idx="10">
                  <c:v>0</c:v>
                </c:pt>
                <c:pt idx="11">
                  <c:v>98842</c:v>
                </c:pt>
                <c:pt idx="12">
                  <c:v>83439</c:v>
                </c:pt>
                <c:pt idx="13">
                  <c:v>82600</c:v>
                </c:pt>
                <c:pt idx="14">
                  <c:v>73694</c:v>
                </c:pt>
                <c:pt idx="15">
                  <c:v>76614</c:v>
                </c:pt>
                <c:pt idx="16">
                  <c:v>82052</c:v>
                </c:pt>
                <c:pt idx="17">
                  <c:v>82052</c:v>
                </c:pt>
              </c:numCache>
            </c:numRef>
          </c:val>
        </c:ser>
        <c:ser>
          <c:idx val="1"/>
          <c:order val="1"/>
          <c:tx>
            <c:strRef>
              <c:f>'old line'!$I$75</c:f>
              <c:strCache>
                <c:ptCount val="1"/>
                <c:pt idx="0">
                  <c:v>Non-food share</c:v>
                </c:pt>
              </c:strCache>
            </c:strRef>
          </c:tx>
          <c:invertIfNegative val="0"/>
          <c:cat>
            <c:multiLvlStrRef>
              <c:f>'old line'!$F$76:$G$93</c:f>
              <c:multiLvlStrCache>
                <c:ptCount val="18"/>
                <c:lvl>
                  <c:pt idx="0">
                    <c:v>Kayes</c:v>
                  </c:pt>
                  <c:pt idx="1">
                    <c:v>Koulikoro</c:v>
                  </c:pt>
                  <c:pt idx="2">
                    <c:v>Sikasso</c:v>
                  </c:pt>
                  <c:pt idx="3">
                    <c:v>Ségou</c:v>
                  </c:pt>
                  <c:pt idx="4">
                    <c:v>Mopti</c:v>
                  </c:pt>
                  <c:pt idx="5">
                    <c:v>Tombouctou</c:v>
                  </c:pt>
                  <c:pt idx="6">
                    <c:v>Gao</c:v>
                  </c:pt>
                  <c:pt idx="7">
                    <c:v>Kidal</c:v>
                  </c:pt>
                  <c:pt idx="8">
                    <c:v>Bamako</c:v>
                  </c:pt>
                  <c:pt idx="11">
                    <c:v>Kayes</c:v>
                  </c:pt>
                  <c:pt idx="12">
                    <c:v>Koulikoro</c:v>
                  </c:pt>
                  <c:pt idx="13">
                    <c:v>Sikasso</c:v>
                  </c:pt>
                  <c:pt idx="14">
                    <c:v>Ségou</c:v>
                  </c:pt>
                  <c:pt idx="15">
                    <c:v>Mopti</c:v>
                  </c:pt>
                  <c:pt idx="16">
                    <c:v>Tombouctou</c:v>
                  </c:pt>
                  <c:pt idx="17">
                    <c:v>Gao</c:v>
                  </c:pt>
                </c:lvl>
                <c:lvl>
                  <c:pt idx="0">
                    <c:v>urban</c:v>
                  </c:pt>
                  <c:pt idx="11">
                    <c:v>rural</c:v>
                  </c:pt>
                </c:lvl>
              </c:multiLvlStrCache>
            </c:multiLvlStrRef>
          </c:cat>
          <c:val>
            <c:numRef>
              <c:f>'old line'!$I$76:$I$93</c:f>
              <c:numCache>
                <c:formatCode>_(* #,##0_);_(* \(#,##0\);_(* "-"??_);_(@_)</c:formatCode>
                <c:ptCount val="18"/>
                <c:pt idx="0">
                  <c:v>40460</c:v>
                </c:pt>
                <c:pt idx="1">
                  <c:v>37699</c:v>
                </c:pt>
                <c:pt idx="2">
                  <c:v>58716</c:v>
                </c:pt>
                <c:pt idx="3">
                  <c:v>52726</c:v>
                </c:pt>
                <c:pt idx="4">
                  <c:v>43068</c:v>
                </c:pt>
                <c:pt idx="5">
                  <c:v>22817</c:v>
                </c:pt>
                <c:pt idx="6">
                  <c:v>40556</c:v>
                </c:pt>
                <c:pt idx="7">
                  <c:v>43490</c:v>
                </c:pt>
                <c:pt idx="8">
                  <c:v>44305</c:v>
                </c:pt>
                <c:pt idx="10">
                  <c:v>0</c:v>
                </c:pt>
                <c:pt idx="11">
                  <c:v>23641</c:v>
                </c:pt>
                <c:pt idx="12">
                  <c:v>13922</c:v>
                </c:pt>
                <c:pt idx="13">
                  <c:v>60078</c:v>
                </c:pt>
                <c:pt idx="14">
                  <c:v>27141</c:v>
                </c:pt>
                <c:pt idx="15">
                  <c:v>23555</c:v>
                </c:pt>
                <c:pt idx="16">
                  <c:v>22773</c:v>
                </c:pt>
                <c:pt idx="17">
                  <c:v>13265</c:v>
                </c:pt>
              </c:numCache>
            </c:numRef>
          </c:val>
        </c:ser>
        <c:dLbls>
          <c:showLegendKey val="0"/>
          <c:showVal val="0"/>
          <c:showCatName val="0"/>
          <c:showSerName val="0"/>
          <c:showPercent val="0"/>
          <c:showBubbleSize val="0"/>
        </c:dLbls>
        <c:gapWidth val="75"/>
        <c:overlap val="100"/>
        <c:axId val="538526944"/>
        <c:axId val="538527336"/>
      </c:barChart>
      <c:catAx>
        <c:axId val="538526944"/>
        <c:scaling>
          <c:orientation val="minMax"/>
        </c:scaling>
        <c:delete val="0"/>
        <c:axPos val="b"/>
        <c:numFmt formatCode="General" sourceLinked="0"/>
        <c:majorTickMark val="none"/>
        <c:minorTickMark val="none"/>
        <c:tickLblPos val="nextTo"/>
        <c:crossAx val="538527336"/>
        <c:crosses val="autoZero"/>
        <c:auto val="1"/>
        <c:lblAlgn val="ctr"/>
        <c:lblOffset val="100"/>
        <c:noMultiLvlLbl val="0"/>
      </c:catAx>
      <c:valAx>
        <c:axId val="538527336"/>
        <c:scaling>
          <c:orientation val="minMax"/>
        </c:scaling>
        <c:delete val="0"/>
        <c:axPos val="l"/>
        <c:majorGridlines/>
        <c:numFmt formatCode="_(* #,##0_);_(* \(#,##0\);_(* &quot;-&quot;??_);_(@_)" sourceLinked="1"/>
        <c:majorTickMark val="none"/>
        <c:minorTickMark val="none"/>
        <c:tickLblPos val="nextTo"/>
        <c:crossAx val="538526944"/>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strRef>
              <c:f>newline!$K$22</c:f>
              <c:strCache>
                <c:ptCount val="1"/>
                <c:pt idx="0">
                  <c:v>Food share</c:v>
                </c:pt>
              </c:strCache>
            </c:strRef>
          </c:tx>
          <c:invertIfNegative val="0"/>
          <c:cat>
            <c:multiLvlStrRef>
              <c:f>newline!$I$23:$J$41</c:f>
              <c:multiLvlStrCache>
                <c:ptCount val="19"/>
                <c:lvl>
                  <c:pt idx="0">
                    <c:v>Kayes</c:v>
                  </c:pt>
                  <c:pt idx="1">
                    <c:v>Koulikoro</c:v>
                  </c:pt>
                  <c:pt idx="2">
                    <c:v>Sikasso</c:v>
                  </c:pt>
                  <c:pt idx="3">
                    <c:v>Ségou</c:v>
                  </c:pt>
                  <c:pt idx="4">
                    <c:v>Mopti</c:v>
                  </c:pt>
                  <c:pt idx="5">
                    <c:v>Tombouctou</c:v>
                  </c:pt>
                  <c:pt idx="6">
                    <c:v>Gao</c:v>
                  </c:pt>
                  <c:pt idx="7">
                    <c:v>Kidal</c:v>
                  </c:pt>
                  <c:pt idx="8">
                    <c:v>Bamako</c:v>
                  </c:pt>
                  <c:pt idx="11">
                    <c:v>Kayes</c:v>
                  </c:pt>
                  <c:pt idx="12">
                    <c:v>Koulikoro</c:v>
                  </c:pt>
                  <c:pt idx="13">
                    <c:v>Sikasso</c:v>
                  </c:pt>
                  <c:pt idx="14">
                    <c:v>Ségou</c:v>
                  </c:pt>
                  <c:pt idx="15">
                    <c:v>Mopti</c:v>
                  </c:pt>
                  <c:pt idx="16">
                    <c:v>Tombouctou</c:v>
                  </c:pt>
                  <c:pt idx="17">
                    <c:v>Gao</c:v>
                  </c:pt>
                  <c:pt idx="18">
                    <c:v>Kidal</c:v>
                  </c:pt>
                </c:lvl>
                <c:lvl>
                  <c:pt idx="0">
                    <c:v>urban</c:v>
                  </c:pt>
                  <c:pt idx="11">
                    <c:v>rural</c:v>
                  </c:pt>
                </c:lvl>
              </c:multiLvlStrCache>
            </c:multiLvlStrRef>
          </c:cat>
          <c:val>
            <c:numRef>
              <c:f>newline!$K$23:$K$41</c:f>
              <c:numCache>
                <c:formatCode>_(* #,##0_);_(* \(#,##0\);_(* "-"??_);_(@_)</c:formatCode>
                <c:ptCount val="19"/>
                <c:pt idx="0">
                  <c:v>108551</c:v>
                </c:pt>
                <c:pt idx="1">
                  <c:v>91615</c:v>
                </c:pt>
                <c:pt idx="2">
                  <c:v>90703</c:v>
                </c:pt>
                <c:pt idx="3">
                  <c:v>80921</c:v>
                </c:pt>
                <c:pt idx="4">
                  <c:v>84133</c:v>
                </c:pt>
                <c:pt idx="5">
                  <c:v>90082</c:v>
                </c:pt>
                <c:pt idx="6">
                  <c:v>90082</c:v>
                </c:pt>
                <c:pt idx="7">
                  <c:v>90082</c:v>
                </c:pt>
                <c:pt idx="8">
                  <c:v>91615</c:v>
                </c:pt>
                <c:pt idx="11">
                  <c:v>98842</c:v>
                </c:pt>
                <c:pt idx="12">
                  <c:v>83439</c:v>
                </c:pt>
                <c:pt idx="13">
                  <c:v>82600</c:v>
                </c:pt>
                <c:pt idx="14">
                  <c:v>73694</c:v>
                </c:pt>
                <c:pt idx="15">
                  <c:v>76614</c:v>
                </c:pt>
                <c:pt idx="16">
                  <c:v>82052</c:v>
                </c:pt>
                <c:pt idx="17">
                  <c:v>82052</c:v>
                </c:pt>
                <c:pt idx="18">
                  <c:v>82052</c:v>
                </c:pt>
              </c:numCache>
            </c:numRef>
          </c:val>
        </c:ser>
        <c:ser>
          <c:idx val="1"/>
          <c:order val="1"/>
          <c:tx>
            <c:strRef>
              <c:f>newline!$L$22</c:f>
              <c:strCache>
                <c:ptCount val="1"/>
                <c:pt idx="0">
                  <c:v>Non-food share</c:v>
                </c:pt>
              </c:strCache>
            </c:strRef>
          </c:tx>
          <c:invertIfNegative val="0"/>
          <c:cat>
            <c:multiLvlStrRef>
              <c:f>newline!$I$23:$J$41</c:f>
              <c:multiLvlStrCache>
                <c:ptCount val="19"/>
                <c:lvl>
                  <c:pt idx="0">
                    <c:v>Kayes</c:v>
                  </c:pt>
                  <c:pt idx="1">
                    <c:v>Koulikoro</c:v>
                  </c:pt>
                  <c:pt idx="2">
                    <c:v>Sikasso</c:v>
                  </c:pt>
                  <c:pt idx="3">
                    <c:v>Ségou</c:v>
                  </c:pt>
                  <c:pt idx="4">
                    <c:v>Mopti</c:v>
                  </c:pt>
                  <c:pt idx="5">
                    <c:v>Tombouctou</c:v>
                  </c:pt>
                  <c:pt idx="6">
                    <c:v>Gao</c:v>
                  </c:pt>
                  <c:pt idx="7">
                    <c:v>Kidal</c:v>
                  </c:pt>
                  <c:pt idx="8">
                    <c:v>Bamako</c:v>
                  </c:pt>
                  <c:pt idx="11">
                    <c:v>Kayes</c:v>
                  </c:pt>
                  <c:pt idx="12">
                    <c:v>Koulikoro</c:v>
                  </c:pt>
                  <c:pt idx="13">
                    <c:v>Sikasso</c:v>
                  </c:pt>
                  <c:pt idx="14">
                    <c:v>Ségou</c:v>
                  </c:pt>
                  <c:pt idx="15">
                    <c:v>Mopti</c:v>
                  </c:pt>
                  <c:pt idx="16">
                    <c:v>Tombouctou</c:v>
                  </c:pt>
                  <c:pt idx="17">
                    <c:v>Gao</c:v>
                  </c:pt>
                  <c:pt idx="18">
                    <c:v>Kidal</c:v>
                  </c:pt>
                </c:lvl>
                <c:lvl>
                  <c:pt idx="0">
                    <c:v>urban</c:v>
                  </c:pt>
                  <c:pt idx="11">
                    <c:v>rural</c:v>
                  </c:pt>
                </c:lvl>
              </c:multiLvlStrCache>
            </c:multiLvlStrRef>
          </c:cat>
          <c:val>
            <c:numRef>
              <c:f>newline!$L$23:$L$41</c:f>
              <c:numCache>
                <c:formatCode>_(* #,##0_);_(* \(#,##0\);_(* "-"??_);_(@_)</c:formatCode>
                <c:ptCount val="19"/>
                <c:pt idx="0">
                  <c:v>31598.65334500001</c:v>
                </c:pt>
                <c:pt idx="1">
                  <c:v>26668.668425000011</c:v>
                </c:pt>
                <c:pt idx="2">
                  <c:v>26403.18978500001</c:v>
                </c:pt>
                <c:pt idx="3">
                  <c:v>23555.698495000008</c:v>
                </c:pt>
                <c:pt idx="4">
                  <c:v>24490.695635000007</c:v>
                </c:pt>
                <c:pt idx="5">
                  <c:v>26222.419790000011</c:v>
                </c:pt>
                <c:pt idx="6">
                  <c:v>26222.419790000011</c:v>
                </c:pt>
                <c:pt idx="7">
                  <c:v>26222.419790000011</c:v>
                </c:pt>
                <c:pt idx="8">
                  <c:v>29554.724155000004</c:v>
                </c:pt>
                <c:pt idx="11">
                  <c:v>23124.580109999992</c:v>
                </c:pt>
                <c:pt idx="12">
                  <c:v>16820.301132000008</c:v>
                </c:pt>
                <c:pt idx="13">
                  <c:v>28179.568199999994</c:v>
                </c:pt>
                <c:pt idx="14">
                  <c:v>18382.010277999994</c:v>
                </c:pt>
                <c:pt idx="15">
                  <c:v>19175.564832000004</c:v>
                </c:pt>
                <c:pt idx="16">
                  <c:v>16632.842972000006</c:v>
                </c:pt>
                <c:pt idx="17">
                  <c:v>16632.842972000006</c:v>
                </c:pt>
                <c:pt idx="18">
                  <c:v>16632.842972000006</c:v>
                </c:pt>
              </c:numCache>
            </c:numRef>
          </c:val>
        </c:ser>
        <c:dLbls>
          <c:showLegendKey val="0"/>
          <c:showVal val="0"/>
          <c:showCatName val="0"/>
          <c:showSerName val="0"/>
          <c:showPercent val="0"/>
          <c:showBubbleSize val="0"/>
        </c:dLbls>
        <c:gapWidth val="75"/>
        <c:overlap val="100"/>
        <c:axId val="538528120"/>
        <c:axId val="539090792"/>
      </c:barChart>
      <c:catAx>
        <c:axId val="538528120"/>
        <c:scaling>
          <c:orientation val="minMax"/>
        </c:scaling>
        <c:delete val="0"/>
        <c:axPos val="b"/>
        <c:numFmt formatCode="General" sourceLinked="0"/>
        <c:majorTickMark val="none"/>
        <c:minorTickMark val="none"/>
        <c:tickLblPos val="nextTo"/>
        <c:crossAx val="539090792"/>
        <c:crosses val="autoZero"/>
        <c:auto val="1"/>
        <c:lblAlgn val="ctr"/>
        <c:lblOffset val="100"/>
        <c:noMultiLvlLbl val="0"/>
      </c:catAx>
      <c:valAx>
        <c:axId val="539090792"/>
        <c:scaling>
          <c:orientation val="minMax"/>
        </c:scaling>
        <c:delete val="0"/>
        <c:axPos val="l"/>
        <c:majorGridlines/>
        <c:numFmt formatCode="_(* #,##0_);_(* \(#,##0\);_(* &quot;-&quot;??_);_(@_)" sourceLinked="1"/>
        <c:majorTickMark val="none"/>
        <c:minorTickMark val="none"/>
        <c:tickLblPos val="nextTo"/>
        <c:crossAx val="538528120"/>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'Table 2'!$B$4</c:f>
              <c:strCache>
                <c:ptCount val="1"/>
                <c:pt idx="0">
                  <c:v>2001</c:v>
                </c:pt>
              </c:strCache>
            </c:strRef>
          </c:tx>
          <c:invertIfNegative val="0"/>
          <c:dLbls>
            <c:dLbl>
              <c:idx val="0"/>
              <c:layout/>
              <c:tx>
                <c:rich>
                  <a:bodyPr/>
                  <a:lstStyle/>
                  <a:p>
                    <a:r>
                      <a:rPr lang="en-US"/>
                      <a:t>22.9</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60.3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50.9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2'!$A$5:$A$8</c:f>
              <c:strCache>
                <c:ptCount val="4"/>
                <c:pt idx="0">
                  <c:v>Urban</c:v>
                </c:pt>
                <c:pt idx="1">
                  <c:v>Rural</c:v>
                </c:pt>
                <c:pt idx="3">
                  <c:v>Mali</c:v>
                </c:pt>
              </c:strCache>
            </c:strRef>
          </c:cat>
          <c:val>
            <c:numRef>
              <c:f>'Table 2'!$B$5:$B$8</c:f>
              <c:numCache>
                <c:formatCode>#,###,##0.0</c:formatCode>
                <c:ptCount val="4"/>
                <c:pt idx="0">
                  <c:v>22.754873523951996</c:v>
                </c:pt>
                <c:pt idx="1">
                  <c:v>60.466246511453541</c:v>
                </c:pt>
                <c:pt idx="3">
                  <c:v>51.058887972564641</c:v>
                </c:pt>
              </c:numCache>
            </c:numRef>
          </c:val>
        </c:ser>
        <c:ser>
          <c:idx val="1"/>
          <c:order val="1"/>
          <c:tx>
            <c:strRef>
              <c:f>'Table 2'!$C$4</c:f>
              <c:strCache>
                <c:ptCount val="1"/>
                <c:pt idx="0">
                  <c:v>2006</c:v>
                </c:pt>
              </c:strCache>
            </c:strRef>
          </c:tx>
          <c:invertIfNegative val="0"/>
          <c:dLbls>
            <c:dLbl>
              <c:idx val="0"/>
              <c:layout/>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50.6</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41.7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2'!$A$5:$A$8</c:f>
              <c:strCache>
                <c:ptCount val="4"/>
                <c:pt idx="0">
                  <c:v>Urban</c:v>
                </c:pt>
                <c:pt idx="1">
                  <c:v>Rural</c:v>
                </c:pt>
                <c:pt idx="3">
                  <c:v>Mali</c:v>
                </c:pt>
              </c:strCache>
            </c:strRef>
          </c:cat>
          <c:val>
            <c:numRef>
              <c:f>'Table 2'!$C$5:$C$8</c:f>
              <c:numCache>
                <c:formatCode>#,###,##0.0</c:formatCode>
                <c:ptCount val="4"/>
                <c:pt idx="0">
                  <c:v>14.082710966345227</c:v>
                </c:pt>
                <c:pt idx="1">
                  <c:v>50.485592834988928</c:v>
                </c:pt>
                <c:pt idx="3">
                  <c:v>41.516697866022511</c:v>
                </c:pt>
              </c:numCache>
            </c:numRef>
          </c:val>
        </c:ser>
        <c:ser>
          <c:idx val="2"/>
          <c:order val="2"/>
          <c:tx>
            <c:strRef>
              <c:f>'Table 2'!$D$4</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2'!$A$5:$A$8</c:f>
              <c:strCache>
                <c:ptCount val="4"/>
                <c:pt idx="0">
                  <c:v>Urban</c:v>
                </c:pt>
                <c:pt idx="1">
                  <c:v>Rural</c:v>
                </c:pt>
                <c:pt idx="3">
                  <c:v>Mali</c:v>
                </c:pt>
              </c:strCache>
            </c:strRef>
          </c:cat>
          <c:val>
            <c:numRef>
              <c:f>'Table 2'!$D$5:$D$8</c:f>
              <c:numCache>
                <c:formatCode>#,###,##0.0</c:formatCode>
                <c:ptCount val="4"/>
                <c:pt idx="0">
                  <c:v>13.707934021829292</c:v>
                </c:pt>
                <c:pt idx="1">
                  <c:v>48.858913649608517</c:v>
                </c:pt>
                <c:pt idx="3">
                  <c:v>41.133117996329702</c:v>
                </c:pt>
              </c:numCache>
            </c:numRef>
          </c:val>
        </c:ser>
        <c:dLbls>
          <c:showLegendKey val="0"/>
          <c:showVal val="1"/>
          <c:showCatName val="0"/>
          <c:showSerName val="0"/>
          <c:showPercent val="0"/>
          <c:showBubbleSize val="0"/>
        </c:dLbls>
        <c:gapWidth val="75"/>
        <c:axId val="539091576"/>
        <c:axId val="539091968"/>
      </c:barChart>
      <c:catAx>
        <c:axId val="539091576"/>
        <c:scaling>
          <c:orientation val="minMax"/>
        </c:scaling>
        <c:delete val="0"/>
        <c:axPos val="b"/>
        <c:numFmt formatCode="General" sourceLinked="0"/>
        <c:majorTickMark val="none"/>
        <c:minorTickMark val="none"/>
        <c:tickLblPos val="nextTo"/>
        <c:crossAx val="539091968"/>
        <c:crosses val="autoZero"/>
        <c:auto val="1"/>
        <c:lblAlgn val="ctr"/>
        <c:lblOffset val="100"/>
        <c:noMultiLvlLbl val="0"/>
      </c:catAx>
      <c:valAx>
        <c:axId val="539091968"/>
        <c:scaling>
          <c:orientation val="minMax"/>
        </c:scaling>
        <c:delete val="0"/>
        <c:axPos val="l"/>
        <c:numFmt formatCode="#,###,##0.0" sourceLinked="1"/>
        <c:majorTickMark val="none"/>
        <c:minorTickMark val="none"/>
        <c:tickLblPos val="nextTo"/>
        <c:crossAx val="53909157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2001-2010</a:t>
            </a:r>
          </a:p>
        </c:rich>
      </c:tx>
      <c:layout>
        <c:manualLayout>
          <c:xMode val="edge"/>
          <c:yMode val="edge"/>
          <c:x val="0.47193063310484018"/>
          <c:y val="3.4700315457413249E-2"/>
        </c:manualLayout>
      </c:layout>
      <c:overlay val="0"/>
      <c:spPr>
        <a:noFill/>
        <a:ln w="25400">
          <a:noFill/>
        </a:ln>
      </c:spPr>
    </c:title>
    <c:autoTitleDeleted val="0"/>
    <c:plotArea>
      <c:layout>
        <c:manualLayout>
          <c:layoutTarget val="inner"/>
          <c:xMode val="edge"/>
          <c:yMode val="edge"/>
          <c:x val="9.6491393385747984E-2"/>
          <c:y val="0.17981072555205047"/>
          <c:w val="0.8666681515010819"/>
          <c:h val="0.67823343848580442"/>
        </c:manualLayout>
      </c:layout>
      <c:areaChart>
        <c:grouping val="stacked"/>
        <c:varyColors val="0"/>
        <c:ser>
          <c:idx val="0"/>
          <c:order val="0"/>
          <c:spPr>
            <a:solidFill>
              <a:srgbClr val="FFFFFF"/>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6_DATA'!$B$2:$B$102</c:f>
              <c:numCache>
                <c:formatCode>General</c:formatCode>
                <c:ptCount val="101"/>
                <c:pt idx="0">
                  <c:v>1.4512428045272827</c:v>
                </c:pt>
                <c:pt idx="1">
                  <c:v>2.0192441940307617</c:v>
                </c:pt>
                <c:pt idx="2">
                  <c:v>2.2025418281555176</c:v>
                </c:pt>
                <c:pt idx="3">
                  <c:v>2.7068207263946533</c:v>
                </c:pt>
                <c:pt idx="4">
                  <c:v>2.7249569892883301</c:v>
                </c:pt>
                <c:pt idx="5">
                  <c:v>2.4986357688903809</c:v>
                </c:pt>
                <c:pt idx="6">
                  <c:v>2.3862683773040771</c:v>
                </c:pt>
                <c:pt idx="7">
                  <c:v>2.5544350147247314</c:v>
                </c:pt>
                <c:pt idx="8">
                  <c:v>2.2146501541137695</c:v>
                </c:pt>
                <c:pt idx="9">
                  <c:v>1.931635856628418</c:v>
                </c:pt>
                <c:pt idx="10">
                  <c:v>1.7383655309677124</c:v>
                </c:pt>
                <c:pt idx="11">
                  <c:v>1.9264403581619263</c:v>
                </c:pt>
                <c:pt idx="12">
                  <c:v>2.0009279251098633</c:v>
                </c:pt>
                <c:pt idx="13">
                  <c:v>1.7273558378219604</c:v>
                </c:pt>
                <c:pt idx="14">
                  <c:v>1.8018532991409302</c:v>
                </c:pt>
                <c:pt idx="15">
                  <c:v>1.8869062662124634</c:v>
                </c:pt>
                <c:pt idx="16">
                  <c:v>1.9723104238510132</c:v>
                </c:pt>
                <c:pt idx="17">
                  <c:v>1.8974002599716187</c:v>
                </c:pt>
                <c:pt idx="18">
                  <c:v>1.8241385221481323</c:v>
                </c:pt>
                <c:pt idx="19">
                  <c:v>1.6224956512451172</c:v>
                </c:pt>
                <c:pt idx="20">
                  <c:v>1.5281840562820435</c:v>
                </c:pt>
                <c:pt idx="21">
                  <c:v>1.5955796241760254</c:v>
                </c:pt>
                <c:pt idx="22">
                  <c:v>1.6741074323654175</c:v>
                </c:pt>
                <c:pt idx="23">
                  <c:v>1.6612470149993896</c:v>
                </c:pt>
                <c:pt idx="24">
                  <c:v>1.4664690494537354</c:v>
                </c:pt>
                <c:pt idx="25">
                  <c:v>1.308828592300415</c:v>
                </c:pt>
                <c:pt idx="26">
                  <c:v>1.2976831197738647</c:v>
                </c:pt>
                <c:pt idx="27">
                  <c:v>1.2477974891662598</c:v>
                </c:pt>
                <c:pt idx="28">
                  <c:v>1.2431716918945313</c:v>
                </c:pt>
                <c:pt idx="29">
                  <c:v>1.1355972290039063</c:v>
                </c:pt>
                <c:pt idx="30">
                  <c:v>1.2389435768127441</c:v>
                </c:pt>
                <c:pt idx="31">
                  <c:v>1.2104061841964722</c:v>
                </c:pt>
                <c:pt idx="32">
                  <c:v>1.1084451675415039</c:v>
                </c:pt>
                <c:pt idx="33">
                  <c:v>1.0329495668411255</c:v>
                </c:pt>
                <c:pt idx="34">
                  <c:v>0.94272232055664063</c:v>
                </c:pt>
                <c:pt idx="35">
                  <c:v>1.0149327516555786</c:v>
                </c:pt>
                <c:pt idx="36">
                  <c:v>1.0180926322937012</c:v>
                </c:pt>
                <c:pt idx="37">
                  <c:v>1.0403373241424561</c:v>
                </c:pt>
                <c:pt idx="38">
                  <c:v>0.97779613733291626</c:v>
                </c:pt>
                <c:pt idx="39">
                  <c:v>1.0284091234207153</c:v>
                </c:pt>
                <c:pt idx="40">
                  <c:v>1.063046932220459</c:v>
                </c:pt>
                <c:pt idx="41">
                  <c:v>0.88245773315429688</c:v>
                </c:pt>
                <c:pt idx="42">
                  <c:v>0.79720687866210938</c:v>
                </c:pt>
                <c:pt idx="43">
                  <c:v>0.75889080762863159</c:v>
                </c:pt>
                <c:pt idx="44">
                  <c:v>0.80887329578399658</c:v>
                </c:pt>
                <c:pt idx="45">
                  <c:v>0.83619111776351929</c:v>
                </c:pt>
                <c:pt idx="46">
                  <c:v>0.84487062692642212</c:v>
                </c:pt>
                <c:pt idx="47">
                  <c:v>0.81211227178573608</c:v>
                </c:pt>
                <c:pt idx="48">
                  <c:v>0.86870241165161133</c:v>
                </c:pt>
                <c:pt idx="49">
                  <c:v>0.86250984668731689</c:v>
                </c:pt>
                <c:pt idx="50">
                  <c:v>0.82733798027038574</c:v>
                </c:pt>
                <c:pt idx="51">
                  <c:v>0.69273245334625244</c:v>
                </c:pt>
                <c:pt idx="52">
                  <c:v>0.59489864110946655</c:v>
                </c:pt>
                <c:pt idx="53">
                  <c:v>0.49927309155464172</c:v>
                </c:pt>
                <c:pt idx="54">
                  <c:v>0.56612265110015869</c:v>
                </c:pt>
                <c:pt idx="55">
                  <c:v>0.50453490018844604</c:v>
                </c:pt>
                <c:pt idx="56">
                  <c:v>0.54345327615737915</c:v>
                </c:pt>
                <c:pt idx="57">
                  <c:v>0.57112765312194824</c:v>
                </c:pt>
                <c:pt idx="58">
                  <c:v>0.52097201347351074</c:v>
                </c:pt>
                <c:pt idx="59">
                  <c:v>0.46161150932312012</c:v>
                </c:pt>
                <c:pt idx="60">
                  <c:v>0.31178003549575806</c:v>
                </c:pt>
                <c:pt idx="61">
                  <c:v>0.29863867163658142</c:v>
                </c:pt>
                <c:pt idx="62">
                  <c:v>0.24113205075263977</c:v>
                </c:pt>
                <c:pt idx="63">
                  <c:v>0.12862583994865417</c:v>
                </c:pt>
                <c:pt idx="64">
                  <c:v>7.378377765417099E-2</c:v>
                </c:pt>
                <c:pt idx="65">
                  <c:v>0.19664601981639862</c:v>
                </c:pt>
                <c:pt idx="66">
                  <c:v>0.16748139262199402</c:v>
                </c:pt>
                <c:pt idx="67">
                  <c:v>6.1112411320209503E-2</c:v>
                </c:pt>
                <c:pt idx="68">
                  <c:v>6.7031919956207275E-2</c:v>
                </c:pt>
                <c:pt idx="69">
                  <c:v>6.4225338399410248E-2</c:v>
                </c:pt>
                <c:pt idx="70">
                  <c:v>-9.4457916915416718E-2</c:v>
                </c:pt>
                <c:pt idx="71">
                  <c:v>-0.18357641994953156</c:v>
                </c:pt>
                <c:pt idx="72">
                  <c:v>-0.1692650318145752</c:v>
                </c:pt>
                <c:pt idx="73">
                  <c:v>-0.13118924200534821</c:v>
                </c:pt>
                <c:pt idx="74">
                  <c:v>-0.25039950013160706</c:v>
                </c:pt>
                <c:pt idx="75">
                  <c:v>-0.31389257311820984</c:v>
                </c:pt>
                <c:pt idx="76">
                  <c:v>-0.30680054426193237</c:v>
                </c:pt>
                <c:pt idx="77">
                  <c:v>-0.3427729606628418</c:v>
                </c:pt>
                <c:pt idx="78">
                  <c:v>-0.44661933183670044</c:v>
                </c:pt>
                <c:pt idx="79">
                  <c:v>-0.53219759464263916</c:v>
                </c:pt>
                <c:pt idx="80">
                  <c:v>-0.54719585180282593</c:v>
                </c:pt>
                <c:pt idx="81">
                  <c:v>-0.57669788599014282</c:v>
                </c:pt>
                <c:pt idx="82">
                  <c:v>-0.60091263055801392</c:v>
                </c:pt>
                <c:pt idx="83">
                  <c:v>-0.7188991904258728</c:v>
                </c:pt>
                <c:pt idx="84">
                  <c:v>-0.8064197301864624</c:v>
                </c:pt>
                <c:pt idx="85">
                  <c:v>-0.93713968992233276</c:v>
                </c:pt>
                <c:pt idx="86">
                  <c:v>-0.87564045190811157</c:v>
                </c:pt>
                <c:pt idx="87">
                  <c:v>-0.81098663806915283</c:v>
                </c:pt>
                <c:pt idx="88">
                  <c:v>-0.82293188571929932</c:v>
                </c:pt>
                <c:pt idx="89">
                  <c:v>-0.84397268295288086</c:v>
                </c:pt>
                <c:pt idx="90">
                  <c:v>-0.91946792602539063</c:v>
                </c:pt>
                <c:pt idx="91">
                  <c:v>-0.91377997398376465</c:v>
                </c:pt>
                <c:pt idx="92">
                  <c:v>-0.76558607816696167</c:v>
                </c:pt>
                <c:pt idx="93">
                  <c:v>-0.66695016622543335</c:v>
                </c:pt>
                <c:pt idx="94">
                  <c:v>-0.69881141185760498</c:v>
                </c:pt>
                <c:pt idx="95">
                  <c:v>-0.94539111852645874</c:v>
                </c:pt>
                <c:pt idx="96">
                  <c:v>-1.4415256977081299</c:v>
                </c:pt>
                <c:pt idx="97">
                  <c:v>-1.790203332901001</c:v>
                </c:pt>
                <c:pt idx="98">
                  <c:v>-2.1961166858673096</c:v>
                </c:pt>
                <c:pt idx="99">
                  <c:v>-2.657170295715332</c:v>
                </c:pt>
                <c:pt idx="100">
                  <c:v>-2.6751410961151123</c:v>
                </c:pt>
              </c:numCache>
            </c:numRef>
          </c:val>
        </c:ser>
        <c:ser>
          <c:idx val="1"/>
          <c:order val="1"/>
          <c:spPr>
            <a:solidFill>
              <a:srgbClr val="68AED1"/>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6_DATA'!$C$2:$C$102</c:f>
              <c:numCache>
                <c:formatCode>General</c:formatCode>
                <c:ptCount val="101"/>
                <c:pt idx="0">
                  <c:v>2.4918174743652344</c:v>
                </c:pt>
                <c:pt idx="1">
                  <c:v>2.1325783729553223</c:v>
                </c:pt>
                <c:pt idx="2">
                  <c:v>1.4139558076858521</c:v>
                </c:pt>
                <c:pt idx="3">
                  <c:v>0.89691150188446045</c:v>
                </c:pt>
                <c:pt idx="4">
                  <c:v>0.95743292570114136</c:v>
                </c:pt>
                <c:pt idx="5">
                  <c:v>1.06805419921875</c:v>
                </c:pt>
                <c:pt idx="6">
                  <c:v>0.94019752740859985</c:v>
                </c:pt>
                <c:pt idx="7">
                  <c:v>0.76189970970153809</c:v>
                </c:pt>
                <c:pt idx="8">
                  <c:v>0.91875231266021729</c:v>
                </c:pt>
                <c:pt idx="9">
                  <c:v>0.92830789089202881</c:v>
                </c:pt>
                <c:pt idx="10">
                  <c:v>0.95525908470153809</c:v>
                </c:pt>
                <c:pt idx="11">
                  <c:v>0.65140706300735474</c:v>
                </c:pt>
                <c:pt idx="12">
                  <c:v>0.59891647100448608</c:v>
                </c:pt>
                <c:pt idx="13">
                  <c:v>0.7958870530128479</c:v>
                </c:pt>
                <c:pt idx="14">
                  <c:v>0.64223951101303101</c:v>
                </c:pt>
                <c:pt idx="15">
                  <c:v>0.51381427049636841</c:v>
                </c:pt>
                <c:pt idx="16">
                  <c:v>0.45639070868492126</c:v>
                </c:pt>
                <c:pt idx="17">
                  <c:v>0.56968855857849121</c:v>
                </c:pt>
                <c:pt idx="18">
                  <c:v>0.6901479959487915</c:v>
                </c:pt>
                <c:pt idx="19">
                  <c:v>0.80938029289245605</c:v>
                </c:pt>
                <c:pt idx="20">
                  <c:v>0.88523149490356445</c:v>
                </c:pt>
                <c:pt idx="21">
                  <c:v>0.75294089317321777</c:v>
                </c:pt>
                <c:pt idx="22">
                  <c:v>0.64695054292678833</c:v>
                </c:pt>
                <c:pt idx="23">
                  <c:v>0.66966968774795532</c:v>
                </c:pt>
                <c:pt idx="24">
                  <c:v>0.81147283315658569</c:v>
                </c:pt>
                <c:pt idx="25">
                  <c:v>0.90341752767562866</c:v>
                </c:pt>
                <c:pt idx="26">
                  <c:v>0.87066131830215454</c:v>
                </c:pt>
                <c:pt idx="27">
                  <c:v>0.85428816080093384</c:v>
                </c:pt>
                <c:pt idx="28">
                  <c:v>0.76796764135360718</c:v>
                </c:pt>
                <c:pt idx="29">
                  <c:v>0.86329352855682373</c:v>
                </c:pt>
                <c:pt idx="30">
                  <c:v>0.78308296203613281</c:v>
                </c:pt>
                <c:pt idx="31">
                  <c:v>0.76003116369247437</c:v>
                </c:pt>
                <c:pt idx="32">
                  <c:v>0.76922482252120972</c:v>
                </c:pt>
                <c:pt idx="33">
                  <c:v>0.7510649561882019</c:v>
                </c:pt>
                <c:pt idx="34">
                  <c:v>0.7397809624671936</c:v>
                </c:pt>
                <c:pt idx="35">
                  <c:v>0.70768260955810547</c:v>
                </c:pt>
                <c:pt idx="36">
                  <c:v>0.6684190034866333</c:v>
                </c:pt>
                <c:pt idx="37">
                  <c:v>0.59003192186355591</c:v>
                </c:pt>
                <c:pt idx="38">
                  <c:v>0.60875320434570313</c:v>
                </c:pt>
                <c:pt idx="39">
                  <c:v>0.51553040742874146</c:v>
                </c:pt>
                <c:pt idx="40">
                  <c:v>0.45588606595993042</c:v>
                </c:pt>
                <c:pt idx="41">
                  <c:v>0.59225457906723022</c:v>
                </c:pt>
                <c:pt idx="42">
                  <c:v>0.68866646289825439</c:v>
                </c:pt>
                <c:pt idx="43">
                  <c:v>0.67322039604187012</c:v>
                </c:pt>
                <c:pt idx="44">
                  <c:v>0.57541799545288086</c:v>
                </c:pt>
                <c:pt idx="45">
                  <c:v>0.52405959367752075</c:v>
                </c:pt>
                <c:pt idx="46">
                  <c:v>0.47263577580451965</c:v>
                </c:pt>
                <c:pt idx="47">
                  <c:v>0.52544164657592773</c:v>
                </c:pt>
                <c:pt idx="48">
                  <c:v>0.4587397575378418</c:v>
                </c:pt>
                <c:pt idx="49">
                  <c:v>0.43394646048545837</c:v>
                </c:pt>
                <c:pt idx="50">
                  <c:v>0.48267710208892822</c:v>
                </c:pt>
                <c:pt idx="51">
                  <c:v>0.62194961309432983</c:v>
                </c:pt>
                <c:pt idx="52">
                  <c:v>0.66819483041763306</c:v>
                </c:pt>
                <c:pt idx="53">
                  <c:v>0.71399331092834473</c:v>
                </c:pt>
                <c:pt idx="54">
                  <c:v>0.59498047828674316</c:v>
                </c:pt>
                <c:pt idx="55">
                  <c:v>0.55450379848480225</c:v>
                </c:pt>
                <c:pt idx="56">
                  <c:v>0.5154450535774231</c:v>
                </c:pt>
                <c:pt idx="57">
                  <c:v>0.51302057504653931</c:v>
                </c:pt>
                <c:pt idx="58">
                  <c:v>0.50566035509109497</c:v>
                </c:pt>
                <c:pt idx="59">
                  <c:v>0.51990330219268799</c:v>
                </c:pt>
                <c:pt idx="60">
                  <c:v>0.63593268394470215</c:v>
                </c:pt>
                <c:pt idx="61">
                  <c:v>0.61899477243423462</c:v>
                </c:pt>
                <c:pt idx="62">
                  <c:v>0.59441292285919189</c:v>
                </c:pt>
                <c:pt idx="63">
                  <c:v>0.60166835784912109</c:v>
                </c:pt>
                <c:pt idx="64">
                  <c:v>0.56090438365936279</c:v>
                </c:pt>
                <c:pt idx="65">
                  <c:v>0.39685544371604919</c:v>
                </c:pt>
                <c:pt idx="66">
                  <c:v>0.43208110332489014</c:v>
                </c:pt>
                <c:pt idx="67">
                  <c:v>0.47282013297080994</c:v>
                </c:pt>
                <c:pt idx="68">
                  <c:v>0.43795168399810791</c:v>
                </c:pt>
                <c:pt idx="69">
                  <c:v>0.40344312787055969</c:v>
                </c:pt>
                <c:pt idx="70">
                  <c:v>0.4705028235912323</c:v>
                </c:pt>
                <c:pt idx="71">
                  <c:v>0.47004705667495728</c:v>
                </c:pt>
                <c:pt idx="72">
                  <c:v>0.4152086079120636</c:v>
                </c:pt>
                <c:pt idx="73">
                  <c:v>0.35423922538757324</c:v>
                </c:pt>
                <c:pt idx="74">
                  <c:v>0.39953762292861938</c:v>
                </c:pt>
                <c:pt idx="75">
                  <c:v>0.41423895955085754</c:v>
                </c:pt>
                <c:pt idx="76">
                  <c:v>0.35278081893920898</c:v>
                </c:pt>
                <c:pt idx="77">
                  <c:v>0.29137709736824036</c:v>
                </c:pt>
                <c:pt idx="78">
                  <c:v>0.36234819889068604</c:v>
                </c:pt>
                <c:pt idx="79">
                  <c:v>0.42891627550125122</c:v>
                </c:pt>
                <c:pt idx="80">
                  <c:v>0.37519088387489319</c:v>
                </c:pt>
                <c:pt idx="81">
                  <c:v>0.3733125627040863</c:v>
                </c:pt>
                <c:pt idx="82">
                  <c:v>0.34805774688720703</c:v>
                </c:pt>
                <c:pt idx="83">
                  <c:v>0.43242806196212769</c:v>
                </c:pt>
                <c:pt idx="84">
                  <c:v>0.51312839984893799</c:v>
                </c:pt>
                <c:pt idx="85">
                  <c:v>0.51178592443466187</c:v>
                </c:pt>
                <c:pt idx="86">
                  <c:v>0.4011237621307373</c:v>
                </c:pt>
                <c:pt idx="87">
                  <c:v>0.40402087569236755</c:v>
                </c:pt>
                <c:pt idx="88">
                  <c:v>0.52308768033981323</c:v>
                </c:pt>
                <c:pt idx="89">
                  <c:v>0.52078092098236084</c:v>
                </c:pt>
                <c:pt idx="90">
                  <c:v>0.5729062557220459</c:v>
                </c:pt>
                <c:pt idx="91">
                  <c:v>0.59521335363388062</c:v>
                </c:pt>
                <c:pt idx="92">
                  <c:v>0.42317759990692139</c:v>
                </c:pt>
                <c:pt idx="93">
                  <c:v>0.43029820919036865</c:v>
                </c:pt>
                <c:pt idx="94">
                  <c:v>0.35722014307975769</c:v>
                </c:pt>
                <c:pt idx="95">
                  <c:v>0.58338409662246704</c:v>
                </c:pt>
                <c:pt idx="96">
                  <c:v>0.71509557962417603</c:v>
                </c:pt>
                <c:pt idx="97">
                  <c:v>0.87087619304656982</c:v>
                </c:pt>
                <c:pt idx="98">
                  <c:v>0.82597297430038452</c:v>
                </c:pt>
                <c:pt idx="99">
                  <c:v>0.85143882036209106</c:v>
                </c:pt>
                <c:pt idx="100">
                  <c:v>0.88166046142578125</c:v>
                </c:pt>
              </c:numCache>
            </c:numRef>
          </c:val>
        </c:ser>
        <c:ser>
          <c:idx val="2"/>
          <c:order val="2"/>
          <c:spPr>
            <a:solidFill>
              <a:srgbClr val="68AED1"/>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6_DATA'!$D$2:$D$102</c:f>
              <c:numCache>
                <c:formatCode>General</c:formatCode>
                <c:ptCount val="101"/>
                <c:pt idx="0">
                  <c:v>2.4918174743652344</c:v>
                </c:pt>
                <c:pt idx="1">
                  <c:v>2.1325783729553223</c:v>
                </c:pt>
                <c:pt idx="2">
                  <c:v>1.4139558076858521</c:v>
                </c:pt>
                <c:pt idx="3">
                  <c:v>0.89691150188446045</c:v>
                </c:pt>
                <c:pt idx="4">
                  <c:v>0.95743292570114136</c:v>
                </c:pt>
                <c:pt idx="5">
                  <c:v>1.06805419921875</c:v>
                </c:pt>
                <c:pt idx="6">
                  <c:v>0.94019752740859985</c:v>
                </c:pt>
                <c:pt idx="7">
                  <c:v>0.76189970970153809</c:v>
                </c:pt>
                <c:pt idx="8">
                  <c:v>0.91875231266021729</c:v>
                </c:pt>
                <c:pt idx="9">
                  <c:v>0.92830789089202881</c:v>
                </c:pt>
                <c:pt idx="10">
                  <c:v>0.95525908470153809</c:v>
                </c:pt>
                <c:pt idx="11">
                  <c:v>0.65140706300735474</c:v>
                </c:pt>
                <c:pt idx="12">
                  <c:v>0.59891647100448608</c:v>
                </c:pt>
                <c:pt idx="13">
                  <c:v>0.7958870530128479</c:v>
                </c:pt>
                <c:pt idx="14">
                  <c:v>0.64223951101303101</c:v>
                </c:pt>
                <c:pt idx="15">
                  <c:v>0.51381427049636841</c:v>
                </c:pt>
                <c:pt idx="16">
                  <c:v>0.45639070868492126</c:v>
                </c:pt>
                <c:pt idx="17">
                  <c:v>0.56968855857849121</c:v>
                </c:pt>
                <c:pt idx="18">
                  <c:v>0.6901479959487915</c:v>
                </c:pt>
                <c:pt idx="19">
                  <c:v>0.80938029289245605</c:v>
                </c:pt>
                <c:pt idx="20">
                  <c:v>0.88523149490356445</c:v>
                </c:pt>
                <c:pt idx="21">
                  <c:v>0.75294089317321777</c:v>
                </c:pt>
                <c:pt idx="22">
                  <c:v>0.64695054292678833</c:v>
                </c:pt>
                <c:pt idx="23">
                  <c:v>0.66966968774795532</c:v>
                </c:pt>
                <c:pt idx="24">
                  <c:v>0.81147283315658569</c:v>
                </c:pt>
                <c:pt idx="25">
                  <c:v>0.90341752767562866</c:v>
                </c:pt>
                <c:pt idx="26">
                  <c:v>0.87066131830215454</c:v>
                </c:pt>
                <c:pt idx="27">
                  <c:v>0.85428816080093384</c:v>
                </c:pt>
                <c:pt idx="28">
                  <c:v>0.76796764135360718</c:v>
                </c:pt>
                <c:pt idx="29">
                  <c:v>0.86329352855682373</c:v>
                </c:pt>
                <c:pt idx="30">
                  <c:v>0.78308296203613281</c:v>
                </c:pt>
                <c:pt idx="31">
                  <c:v>0.76003116369247437</c:v>
                </c:pt>
                <c:pt idx="32">
                  <c:v>0.76922482252120972</c:v>
                </c:pt>
                <c:pt idx="33">
                  <c:v>0.7510649561882019</c:v>
                </c:pt>
                <c:pt idx="34">
                  <c:v>0.7397809624671936</c:v>
                </c:pt>
                <c:pt idx="35">
                  <c:v>0.70768260955810547</c:v>
                </c:pt>
                <c:pt idx="36">
                  <c:v>0.6684190034866333</c:v>
                </c:pt>
                <c:pt idx="37">
                  <c:v>0.59003192186355591</c:v>
                </c:pt>
                <c:pt idx="38">
                  <c:v>0.60875320434570313</c:v>
                </c:pt>
                <c:pt idx="39">
                  <c:v>0.51553040742874146</c:v>
                </c:pt>
                <c:pt idx="40">
                  <c:v>0.45588606595993042</c:v>
                </c:pt>
                <c:pt idx="41">
                  <c:v>0.59225457906723022</c:v>
                </c:pt>
                <c:pt idx="42">
                  <c:v>0.68866646289825439</c:v>
                </c:pt>
                <c:pt idx="43">
                  <c:v>0.67322039604187012</c:v>
                </c:pt>
                <c:pt idx="44">
                  <c:v>0.57541799545288086</c:v>
                </c:pt>
                <c:pt idx="45">
                  <c:v>0.52405959367752075</c:v>
                </c:pt>
                <c:pt idx="46">
                  <c:v>0.47263577580451965</c:v>
                </c:pt>
                <c:pt idx="47">
                  <c:v>0.52544164657592773</c:v>
                </c:pt>
                <c:pt idx="48">
                  <c:v>0.4587397575378418</c:v>
                </c:pt>
                <c:pt idx="49">
                  <c:v>0.43394646048545837</c:v>
                </c:pt>
                <c:pt idx="50">
                  <c:v>0.48267710208892822</c:v>
                </c:pt>
                <c:pt idx="51">
                  <c:v>0.62194961309432983</c:v>
                </c:pt>
                <c:pt idx="52">
                  <c:v>0.66819483041763306</c:v>
                </c:pt>
                <c:pt idx="53">
                  <c:v>0.71399331092834473</c:v>
                </c:pt>
                <c:pt idx="54">
                  <c:v>0.59498047828674316</c:v>
                </c:pt>
                <c:pt idx="55">
                  <c:v>0.55450379848480225</c:v>
                </c:pt>
                <c:pt idx="56">
                  <c:v>0.5154450535774231</c:v>
                </c:pt>
                <c:pt idx="57">
                  <c:v>0.51302057504653931</c:v>
                </c:pt>
                <c:pt idx="58">
                  <c:v>0.50566035509109497</c:v>
                </c:pt>
                <c:pt idx="59">
                  <c:v>0.51990330219268799</c:v>
                </c:pt>
                <c:pt idx="60">
                  <c:v>0.63593268394470215</c:v>
                </c:pt>
                <c:pt idx="61">
                  <c:v>0.61899477243423462</c:v>
                </c:pt>
                <c:pt idx="62">
                  <c:v>0.59441292285919189</c:v>
                </c:pt>
                <c:pt idx="63">
                  <c:v>0.60166835784912109</c:v>
                </c:pt>
                <c:pt idx="64">
                  <c:v>0.56090438365936279</c:v>
                </c:pt>
                <c:pt idx="65">
                  <c:v>0.39685544371604919</c:v>
                </c:pt>
                <c:pt idx="66">
                  <c:v>0.43208110332489014</c:v>
                </c:pt>
                <c:pt idx="67">
                  <c:v>0.47282013297080994</c:v>
                </c:pt>
                <c:pt idx="68">
                  <c:v>0.43795168399810791</c:v>
                </c:pt>
                <c:pt idx="69">
                  <c:v>0.40344312787055969</c:v>
                </c:pt>
                <c:pt idx="70">
                  <c:v>0.4705028235912323</c:v>
                </c:pt>
                <c:pt idx="71">
                  <c:v>0.47004705667495728</c:v>
                </c:pt>
                <c:pt idx="72">
                  <c:v>0.4152086079120636</c:v>
                </c:pt>
                <c:pt idx="73">
                  <c:v>0.35423922538757324</c:v>
                </c:pt>
                <c:pt idx="74">
                  <c:v>0.39953762292861938</c:v>
                </c:pt>
                <c:pt idx="75">
                  <c:v>0.41423895955085754</c:v>
                </c:pt>
                <c:pt idx="76">
                  <c:v>0.35278081893920898</c:v>
                </c:pt>
                <c:pt idx="77">
                  <c:v>0.29137709736824036</c:v>
                </c:pt>
                <c:pt idx="78">
                  <c:v>0.36234819889068604</c:v>
                </c:pt>
                <c:pt idx="79">
                  <c:v>0.42891627550125122</c:v>
                </c:pt>
                <c:pt idx="80">
                  <c:v>0.37519088387489319</c:v>
                </c:pt>
                <c:pt idx="81">
                  <c:v>0.3733125627040863</c:v>
                </c:pt>
                <c:pt idx="82">
                  <c:v>0.34805774688720703</c:v>
                </c:pt>
                <c:pt idx="83">
                  <c:v>0.43242806196212769</c:v>
                </c:pt>
                <c:pt idx="84">
                  <c:v>0.51312839984893799</c:v>
                </c:pt>
                <c:pt idx="85">
                  <c:v>0.51178592443466187</c:v>
                </c:pt>
                <c:pt idx="86">
                  <c:v>0.4011237621307373</c:v>
                </c:pt>
                <c:pt idx="87">
                  <c:v>0.40402087569236755</c:v>
                </c:pt>
                <c:pt idx="88">
                  <c:v>0.52308768033981323</c:v>
                </c:pt>
                <c:pt idx="89">
                  <c:v>0.52078092098236084</c:v>
                </c:pt>
                <c:pt idx="90">
                  <c:v>0.5729062557220459</c:v>
                </c:pt>
                <c:pt idx="91">
                  <c:v>0.59521335363388062</c:v>
                </c:pt>
                <c:pt idx="92">
                  <c:v>0.42317759990692139</c:v>
                </c:pt>
                <c:pt idx="93">
                  <c:v>0.43029820919036865</c:v>
                </c:pt>
                <c:pt idx="94">
                  <c:v>0.35722014307975769</c:v>
                </c:pt>
                <c:pt idx="95">
                  <c:v>0.58338409662246704</c:v>
                </c:pt>
                <c:pt idx="96">
                  <c:v>0.71509557962417603</c:v>
                </c:pt>
                <c:pt idx="97">
                  <c:v>0.87087619304656982</c:v>
                </c:pt>
                <c:pt idx="98">
                  <c:v>0.82597297430038452</c:v>
                </c:pt>
                <c:pt idx="99">
                  <c:v>0.85143882036209106</c:v>
                </c:pt>
                <c:pt idx="100">
                  <c:v>0.88166046142578125</c:v>
                </c:pt>
              </c:numCache>
            </c:numRef>
          </c:val>
        </c:ser>
        <c:dLbls>
          <c:showLegendKey val="0"/>
          <c:showVal val="0"/>
          <c:showCatName val="0"/>
          <c:showSerName val="0"/>
          <c:showPercent val="0"/>
          <c:showBubbleSize val="0"/>
        </c:dLbls>
        <c:axId val="539092752"/>
        <c:axId val="539093144"/>
      </c:areaChart>
      <c:catAx>
        <c:axId val="53909275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403579707339139"/>
              <c:y val="0.88012618296529965"/>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093144"/>
        <c:crosses val="autoZero"/>
        <c:auto val="1"/>
        <c:lblAlgn val="ctr"/>
        <c:lblOffset val="100"/>
        <c:tickLblSkip val="3"/>
        <c:tickMarkSkip val="1"/>
        <c:noMultiLvlLbl val="0"/>
      </c:catAx>
      <c:valAx>
        <c:axId val="539093144"/>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p>
            </c:rich>
          </c:tx>
          <c:layout>
            <c:manualLayout>
              <c:xMode val="edge"/>
              <c:yMode val="edge"/>
              <c:x val="2.8070223530399414E-2"/>
              <c:y val="0.31230283911671924"/>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092752"/>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218108553738475"/>
          <c:y val="3.1643788122536633E-2"/>
          <c:w val="0.77026717814119394"/>
          <c:h val="0.66624029042745159"/>
        </c:manualLayout>
      </c:layout>
      <c:barChart>
        <c:barDir val="col"/>
        <c:grouping val="clustered"/>
        <c:varyColors val="0"/>
        <c:ser>
          <c:idx val="2"/>
          <c:order val="0"/>
          <c:tx>
            <c:strRef>
              <c:f>'head of household 2009 census'!$D$24</c:f>
              <c:strCache>
                <c:ptCount val="1"/>
                <c:pt idx="0">
                  <c:v>Net enrollment rate (2011)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'head of household 2009 census'!$A$25:$A$33</c:f>
              <c:strCache>
                <c:ptCount val="9"/>
                <c:pt idx="0">
                  <c:v>Kayes</c:v>
                </c:pt>
                <c:pt idx="1">
                  <c:v>Koulikoro</c:v>
                </c:pt>
                <c:pt idx="2">
                  <c:v>Sikasso</c:v>
                </c:pt>
                <c:pt idx="3">
                  <c:v>Segou</c:v>
                </c:pt>
                <c:pt idx="4">
                  <c:v>Mopti</c:v>
                </c:pt>
                <c:pt idx="5">
                  <c:v>Tombouctou</c:v>
                </c:pt>
                <c:pt idx="6">
                  <c:v>Gao</c:v>
                </c:pt>
                <c:pt idx="7">
                  <c:v>Kidal</c:v>
                </c:pt>
                <c:pt idx="8">
                  <c:v>Bamako</c:v>
                </c:pt>
              </c:strCache>
            </c:strRef>
          </c:cat>
          <c:val>
            <c:numRef>
              <c:f>'head of household 2009 census'!$D$25:$D$33</c:f>
              <c:numCache>
                <c:formatCode>0</c:formatCode>
                <c:ptCount val="9"/>
                <c:pt idx="0">
                  <c:v>63.088849999999994</c:v>
                </c:pt>
                <c:pt idx="1">
                  <c:v>64.310720000000003</c:v>
                </c:pt>
                <c:pt idx="2">
                  <c:v>66.408140000000003</c:v>
                </c:pt>
                <c:pt idx="3">
                  <c:v>59.458080000000002</c:v>
                </c:pt>
                <c:pt idx="4">
                  <c:v>36.133140000000004</c:v>
                </c:pt>
                <c:pt idx="5">
                  <c:v>34.739360000000005</c:v>
                </c:pt>
                <c:pt idx="6">
                  <c:v>67.993939999999995</c:v>
                </c:pt>
                <c:pt idx="7">
                  <c:v>65.69156000000001</c:v>
                </c:pt>
                <c:pt idx="8">
                  <c:v>83.114230000000006</c:v>
                </c:pt>
              </c:numCache>
            </c:numRef>
          </c:val>
        </c:ser>
        <c:dLbls>
          <c:showLegendKey val="0"/>
          <c:showVal val="1"/>
          <c:showCatName val="0"/>
          <c:showSerName val="0"/>
          <c:showPercent val="0"/>
          <c:showBubbleSize val="0"/>
        </c:dLbls>
        <c:gapWidth val="75"/>
        <c:axId val="428204224"/>
        <c:axId val="428203832"/>
      </c:barChart>
      <c:barChart>
        <c:barDir val="col"/>
        <c:grouping val="clustered"/>
        <c:varyColors val="0"/>
        <c:ser>
          <c:idx val="1"/>
          <c:order val="1"/>
          <c:tx>
            <c:v>Living less than 2 km from school</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'head of household 2009 census'!$I$25:$I$33</c:f>
              <c:numCache>
                <c:formatCode>General</c:formatCode>
                <c:ptCount val="9"/>
                <c:pt idx="0">
                  <c:v>86</c:v>
                </c:pt>
                <c:pt idx="1">
                  <c:v>90</c:v>
                </c:pt>
                <c:pt idx="2">
                  <c:v>90</c:v>
                </c:pt>
                <c:pt idx="3">
                  <c:v>82</c:v>
                </c:pt>
                <c:pt idx="4">
                  <c:v>70</c:v>
                </c:pt>
                <c:pt idx="5">
                  <c:v>64</c:v>
                </c:pt>
                <c:pt idx="6">
                  <c:v>87</c:v>
                </c:pt>
                <c:pt idx="7">
                  <c:v>67</c:v>
                </c:pt>
                <c:pt idx="8">
                  <c:v>100</c:v>
                </c:pt>
              </c:numCache>
            </c:numRef>
          </c:val>
        </c:ser>
        <c:dLbls>
          <c:showLegendKey val="0"/>
          <c:showVal val="0"/>
          <c:showCatName val="0"/>
          <c:showSerName val="0"/>
          <c:showPercent val="0"/>
          <c:showBubbleSize val="0"/>
        </c:dLbls>
        <c:gapWidth val="500"/>
        <c:axId val="536485472"/>
        <c:axId val="536485080"/>
      </c:barChart>
      <c:catAx>
        <c:axId val="428204224"/>
        <c:scaling>
          <c:orientation val="minMax"/>
        </c:scaling>
        <c:delete val="0"/>
        <c:axPos val="b"/>
        <c:numFmt formatCode="General" sourceLinked="0"/>
        <c:majorTickMark val="none"/>
        <c:minorTickMark val="none"/>
        <c:tickLblPos val="nextTo"/>
        <c:crossAx val="428203832"/>
        <c:crosses val="autoZero"/>
        <c:auto val="1"/>
        <c:lblAlgn val="ctr"/>
        <c:lblOffset val="100"/>
        <c:noMultiLvlLbl val="0"/>
      </c:catAx>
      <c:valAx>
        <c:axId val="428203832"/>
        <c:scaling>
          <c:orientation val="minMax"/>
        </c:scaling>
        <c:delete val="0"/>
        <c:axPos val="l"/>
        <c:title>
          <c:tx>
            <c:rich>
              <a:bodyPr rot="-5400000" vert="horz"/>
              <a:lstStyle/>
              <a:p>
                <a:pPr>
                  <a:defRPr/>
                </a:pPr>
                <a:r>
                  <a:rPr lang="en-US"/>
                  <a:t>Enrollment rate</a:t>
                </a:r>
              </a:p>
            </c:rich>
          </c:tx>
          <c:layout/>
          <c:overlay val="0"/>
        </c:title>
        <c:numFmt formatCode="0" sourceLinked="1"/>
        <c:majorTickMark val="none"/>
        <c:minorTickMark val="none"/>
        <c:tickLblPos val="nextTo"/>
        <c:crossAx val="428204224"/>
        <c:crosses val="autoZero"/>
        <c:crossBetween val="between"/>
      </c:valAx>
      <c:valAx>
        <c:axId val="536485080"/>
        <c:scaling>
          <c:orientation val="minMax"/>
          <c:max val="100"/>
          <c:min val="0"/>
        </c:scaling>
        <c:delete val="0"/>
        <c:axPos val="r"/>
        <c:title>
          <c:tx>
            <c:rich>
              <a:bodyPr rot="-5400000" vert="horz"/>
              <a:lstStyle/>
              <a:p>
                <a:pPr>
                  <a:defRPr/>
                </a:pPr>
                <a:r>
                  <a:rPr lang="en-US"/>
                  <a:t>Percent living within 2 km</a:t>
                </a:r>
              </a:p>
            </c:rich>
          </c:tx>
          <c:layout/>
          <c:overlay val="0"/>
        </c:title>
        <c:numFmt formatCode="General" sourceLinked="1"/>
        <c:majorTickMark val="out"/>
        <c:minorTickMark val="none"/>
        <c:tickLblPos val="nextTo"/>
        <c:crossAx val="536485472"/>
        <c:crosses val="max"/>
        <c:crossBetween val="between"/>
      </c:valAx>
      <c:catAx>
        <c:axId val="536485472"/>
        <c:scaling>
          <c:orientation val="minMax"/>
        </c:scaling>
        <c:delete val="1"/>
        <c:axPos val="b"/>
        <c:majorTickMark val="out"/>
        <c:minorTickMark val="none"/>
        <c:tickLblPos val="nextTo"/>
        <c:crossAx val="536485080"/>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2001-2006</a:t>
            </a:r>
          </a:p>
        </c:rich>
      </c:tx>
      <c:layout>
        <c:manualLayout>
          <c:xMode val="edge"/>
          <c:yMode val="edge"/>
          <c:x val="0.47193063310484018"/>
          <c:y val="3.4700315457413249E-2"/>
        </c:manualLayout>
      </c:layout>
      <c:overlay val="0"/>
      <c:spPr>
        <a:noFill/>
        <a:ln w="25400">
          <a:noFill/>
        </a:ln>
      </c:spPr>
    </c:title>
    <c:autoTitleDeleted val="0"/>
    <c:plotArea>
      <c:layout>
        <c:manualLayout>
          <c:layoutTarget val="inner"/>
          <c:xMode val="edge"/>
          <c:yMode val="edge"/>
          <c:x val="0.11303863166788551"/>
          <c:y val="0.17981072555205047"/>
          <c:w val="0.83962147287105116"/>
          <c:h val="0.67823343848580442"/>
        </c:manualLayout>
      </c:layout>
      <c:areaChart>
        <c:grouping val="stacked"/>
        <c:varyColors val="0"/>
        <c:ser>
          <c:idx val="0"/>
          <c:order val="0"/>
          <c:spPr>
            <a:solidFill>
              <a:srgbClr val="FFFFFF"/>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6_DATA'!$B$2:$B$102</c:f>
              <c:numCache>
                <c:formatCode>General</c:formatCode>
                <c:ptCount val="101"/>
                <c:pt idx="0">
                  <c:v>0.38028350472450256</c:v>
                </c:pt>
                <c:pt idx="1">
                  <c:v>-4.629400372505188E-2</c:v>
                </c:pt>
                <c:pt idx="2">
                  <c:v>-0.18975876271724701</c:v>
                </c:pt>
                <c:pt idx="3">
                  <c:v>-0.1185833141207695</c:v>
                </c:pt>
                <c:pt idx="4">
                  <c:v>-0.45963931083679199</c:v>
                </c:pt>
                <c:pt idx="5">
                  <c:v>-0.35075029730796814</c:v>
                </c:pt>
                <c:pt idx="6">
                  <c:v>-0.65568840503692627</c:v>
                </c:pt>
                <c:pt idx="7">
                  <c:v>-0.12081176042556763</c:v>
                </c:pt>
                <c:pt idx="8">
                  <c:v>-0.49813035130500793</c:v>
                </c:pt>
                <c:pt idx="9">
                  <c:v>-0.49070486426353455</c:v>
                </c:pt>
                <c:pt idx="10">
                  <c:v>-0.21339713037014008</c:v>
                </c:pt>
                <c:pt idx="11">
                  <c:v>0.21743936836719513</c:v>
                </c:pt>
                <c:pt idx="12">
                  <c:v>0.19551911950111389</c:v>
                </c:pt>
                <c:pt idx="13">
                  <c:v>8.5575282573699951E-2</c:v>
                </c:pt>
                <c:pt idx="14">
                  <c:v>9.0466558933258057E-2</c:v>
                </c:pt>
                <c:pt idx="15">
                  <c:v>0.2761300802230835</c:v>
                </c:pt>
                <c:pt idx="16">
                  <c:v>0.90496337413787842</c:v>
                </c:pt>
                <c:pt idx="17">
                  <c:v>1.1571640968322754</c:v>
                </c:pt>
                <c:pt idx="18">
                  <c:v>1.2596360445022583</c:v>
                </c:pt>
                <c:pt idx="19">
                  <c:v>1.5710430145263672</c:v>
                </c:pt>
                <c:pt idx="20">
                  <c:v>1.6852709054946899</c:v>
                </c:pt>
                <c:pt idx="21">
                  <c:v>1.5198782682418823</c:v>
                </c:pt>
                <c:pt idx="22">
                  <c:v>1.3373035192489624</c:v>
                </c:pt>
                <c:pt idx="23">
                  <c:v>1.3464078903198242</c:v>
                </c:pt>
                <c:pt idx="24">
                  <c:v>1.4696016311645508</c:v>
                </c:pt>
                <c:pt idx="25">
                  <c:v>1.5243408679962158</c:v>
                </c:pt>
                <c:pt idx="26">
                  <c:v>1.3967537879943848</c:v>
                </c:pt>
                <c:pt idx="27">
                  <c:v>1.3296967744827271</c:v>
                </c:pt>
                <c:pt idx="28">
                  <c:v>1.5388979911804199</c:v>
                </c:pt>
                <c:pt idx="29">
                  <c:v>1.4767218828201294</c:v>
                </c:pt>
                <c:pt idx="30">
                  <c:v>1.4550131559371948</c:v>
                </c:pt>
                <c:pt idx="31">
                  <c:v>1.6262307167053223</c:v>
                </c:pt>
                <c:pt idx="32">
                  <c:v>1.5004801750183105</c:v>
                </c:pt>
                <c:pt idx="33">
                  <c:v>1.5722123384475708</c:v>
                </c:pt>
                <c:pt idx="34">
                  <c:v>1.6713645458221436</c:v>
                </c:pt>
                <c:pt idx="35">
                  <c:v>1.7852948904037476</c:v>
                </c:pt>
                <c:pt idx="36">
                  <c:v>1.6788121461868286</c:v>
                </c:pt>
                <c:pt idx="37">
                  <c:v>1.7463060617446899</c:v>
                </c:pt>
                <c:pt idx="38">
                  <c:v>1.6115823984146118</c:v>
                </c:pt>
                <c:pt idx="39">
                  <c:v>1.8302596807479858</c:v>
                </c:pt>
                <c:pt idx="40">
                  <c:v>1.7939012050628662</c:v>
                </c:pt>
                <c:pt idx="41">
                  <c:v>1.6086938381195068</c:v>
                </c:pt>
                <c:pt idx="42">
                  <c:v>1.4619922637939453</c:v>
                </c:pt>
                <c:pt idx="43">
                  <c:v>1.4631531238555908</c:v>
                </c:pt>
                <c:pt idx="44">
                  <c:v>1.5416189432144165</c:v>
                </c:pt>
                <c:pt idx="45">
                  <c:v>1.6730431318283081</c:v>
                </c:pt>
                <c:pt idx="46">
                  <c:v>1.7850830554962158</c:v>
                </c:pt>
                <c:pt idx="47">
                  <c:v>1.886236310005188</c:v>
                </c:pt>
                <c:pt idx="48">
                  <c:v>1.7354366779327393</c:v>
                </c:pt>
                <c:pt idx="49">
                  <c:v>1.7015917301177979</c:v>
                </c:pt>
                <c:pt idx="50">
                  <c:v>1.8356231451034546</c:v>
                </c:pt>
                <c:pt idx="51">
                  <c:v>1.433243989944458</c:v>
                </c:pt>
                <c:pt idx="52">
                  <c:v>1.2683855295181274</c:v>
                </c:pt>
                <c:pt idx="53">
                  <c:v>0.87093150615692139</c:v>
                </c:pt>
                <c:pt idx="54">
                  <c:v>0.86139965057373047</c:v>
                </c:pt>
                <c:pt idx="55">
                  <c:v>0.81716275215148926</c:v>
                </c:pt>
                <c:pt idx="56">
                  <c:v>1.011866569519043</c:v>
                </c:pt>
                <c:pt idx="57">
                  <c:v>1.008463978767395</c:v>
                </c:pt>
                <c:pt idx="58">
                  <c:v>0.95978623628616333</c:v>
                </c:pt>
                <c:pt idx="59">
                  <c:v>0.94064080715179443</c:v>
                </c:pt>
                <c:pt idx="60">
                  <c:v>0.88052701950073242</c:v>
                </c:pt>
                <c:pt idx="61">
                  <c:v>0.65794849395751953</c:v>
                </c:pt>
                <c:pt idx="62">
                  <c:v>0.37522697448730469</c:v>
                </c:pt>
                <c:pt idx="63">
                  <c:v>0.19655032455921173</c:v>
                </c:pt>
                <c:pt idx="64">
                  <c:v>0.44325870275497437</c:v>
                </c:pt>
                <c:pt idx="65">
                  <c:v>0.66870677471160889</c:v>
                </c:pt>
                <c:pt idx="66">
                  <c:v>0.7056204080581665</c:v>
                </c:pt>
                <c:pt idx="67">
                  <c:v>0.68832135200500488</c:v>
                </c:pt>
                <c:pt idx="68">
                  <c:v>0.59005498886108398</c:v>
                </c:pt>
                <c:pt idx="69">
                  <c:v>0.50714516639709473</c:v>
                </c:pt>
                <c:pt idx="70">
                  <c:v>0.2231733649969101</c:v>
                </c:pt>
                <c:pt idx="71">
                  <c:v>-4.6671167016029358E-2</c:v>
                </c:pt>
                <c:pt idx="72">
                  <c:v>0.11121043562889099</c:v>
                </c:pt>
                <c:pt idx="73">
                  <c:v>0.22771553695201874</c:v>
                </c:pt>
                <c:pt idx="74">
                  <c:v>0.18906548619270325</c:v>
                </c:pt>
                <c:pt idx="75">
                  <c:v>7.7416069805622101E-2</c:v>
                </c:pt>
                <c:pt idx="76">
                  <c:v>0.19723504781723022</c:v>
                </c:pt>
                <c:pt idx="77">
                  <c:v>0.22424980998039246</c:v>
                </c:pt>
                <c:pt idx="78">
                  <c:v>0.29135075211524963</c:v>
                </c:pt>
                <c:pt idx="79">
                  <c:v>0.34498089551925659</c:v>
                </c:pt>
                <c:pt idx="80">
                  <c:v>0.14753557741641998</c:v>
                </c:pt>
                <c:pt idx="81">
                  <c:v>9.7070924937725067E-2</c:v>
                </c:pt>
                <c:pt idx="82">
                  <c:v>0.18048030138015747</c:v>
                </c:pt>
                <c:pt idx="83">
                  <c:v>-0.14536288380622864</c:v>
                </c:pt>
                <c:pt idx="84">
                  <c:v>0.15773144364356995</c:v>
                </c:pt>
                <c:pt idx="85">
                  <c:v>-0.41424217820167542</c:v>
                </c:pt>
                <c:pt idx="86">
                  <c:v>-0.10022305697202682</c:v>
                </c:pt>
                <c:pt idx="87">
                  <c:v>0.4488697350025177</c:v>
                </c:pt>
                <c:pt idx="88">
                  <c:v>0.70174878835678101</c:v>
                </c:pt>
                <c:pt idx="89">
                  <c:v>0.47081434726715088</c:v>
                </c:pt>
                <c:pt idx="90">
                  <c:v>0.90886187553405762</c:v>
                </c:pt>
                <c:pt idx="91">
                  <c:v>0.82934272289276123</c:v>
                </c:pt>
                <c:pt idx="92">
                  <c:v>1.296446681022644</c:v>
                </c:pt>
                <c:pt idx="93">
                  <c:v>1.6868376731872559</c:v>
                </c:pt>
                <c:pt idx="94">
                  <c:v>1.1320251226425171</c:v>
                </c:pt>
                <c:pt idx="95">
                  <c:v>1.3094308376312256</c:v>
                </c:pt>
                <c:pt idx="96">
                  <c:v>1.4370025396347046</c:v>
                </c:pt>
                <c:pt idx="97">
                  <c:v>1.2933086156845093</c:v>
                </c:pt>
                <c:pt idx="98">
                  <c:v>1.0880197286605835</c:v>
                </c:pt>
                <c:pt idx="99">
                  <c:v>1.5050544738769531</c:v>
                </c:pt>
                <c:pt idx="100">
                  <c:v>0.79095560312271118</c:v>
                </c:pt>
              </c:numCache>
            </c:numRef>
          </c:val>
        </c:ser>
        <c:ser>
          <c:idx val="1"/>
          <c:order val="1"/>
          <c:spPr>
            <a:solidFill>
              <a:srgbClr val="68AED1"/>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6_DATA'!$C$2:$C$102</c:f>
              <c:numCache>
                <c:formatCode>General</c:formatCode>
                <c:ptCount val="101"/>
                <c:pt idx="0">
                  <c:v>2.9635009765625</c:v>
                </c:pt>
                <c:pt idx="1">
                  <c:v>2.9823019504547119</c:v>
                </c:pt>
                <c:pt idx="2">
                  <c:v>1.6291784048080444</c:v>
                </c:pt>
                <c:pt idx="3">
                  <c:v>1.8291738033294678</c:v>
                </c:pt>
                <c:pt idx="4">
                  <c:v>2.2606439590454102</c:v>
                </c:pt>
                <c:pt idx="5">
                  <c:v>2.1624517440795898</c:v>
                </c:pt>
                <c:pt idx="6">
                  <c:v>2.5563967227935791</c:v>
                </c:pt>
                <c:pt idx="7">
                  <c:v>2.3118007183074951</c:v>
                </c:pt>
                <c:pt idx="8">
                  <c:v>2.548926830291748</c:v>
                </c:pt>
                <c:pt idx="9">
                  <c:v>2.4736974239349365</c:v>
                </c:pt>
                <c:pt idx="10">
                  <c:v>2.217106819152832</c:v>
                </c:pt>
                <c:pt idx="11">
                  <c:v>1.8910692930221558</c:v>
                </c:pt>
                <c:pt idx="12">
                  <c:v>2.06900954246521</c:v>
                </c:pt>
                <c:pt idx="13">
                  <c:v>2.3504745960235596</c:v>
                </c:pt>
                <c:pt idx="14">
                  <c:v>2.391751766204834</c:v>
                </c:pt>
                <c:pt idx="15">
                  <c:v>2.4238989353179932</c:v>
                </c:pt>
                <c:pt idx="16">
                  <c:v>2.0017440319061279</c:v>
                </c:pt>
                <c:pt idx="17">
                  <c:v>1.9262958765029907</c:v>
                </c:pt>
                <c:pt idx="18">
                  <c:v>2.0961124897003174</c:v>
                </c:pt>
                <c:pt idx="19">
                  <c:v>2.0769507884979248</c:v>
                </c:pt>
                <c:pt idx="20">
                  <c:v>2.0234787464141846</c:v>
                </c:pt>
                <c:pt idx="21">
                  <c:v>2.1176156997680664</c:v>
                </c:pt>
                <c:pt idx="22">
                  <c:v>2.3106062412261963</c:v>
                </c:pt>
                <c:pt idx="23">
                  <c:v>2.2714834213256836</c:v>
                </c:pt>
                <c:pt idx="24">
                  <c:v>2.2169415950775146</c:v>
                </c:pt>
                <c:pt idx="25">
                  <c:v>2.1434736251831055</c:v>
                </c:pt>
                <c:pt idx="26">
                  <c:v>2.2045755386352539</c:v>
                </c:pt>
                <c:pt idx="27">
                  <c:v>2.1054229736328125</c:v>
                </c:pt>
                <c:pt idx="28">
                  <c:v>1.9065141677856445</c:v>
                </c:pt>
                <c:pt idx="29">
                  <c:v>2.0059559345245361</c:v>
                </c:pt>
                <c:pt idx="30">
                  <c:v>2.0039486885070801</c:v>
                </c:pt>
                <c:pt idx="31">
                  <c:v>1.839961051940918</c:v>
                </c:pt>
                <c:pt idx="32">
                  <c:v>1.7578812837600708</c:v>
                </c:pt>
                <c:pt idx="33">
                  <c:v>1.6659030914306641</c:v>
                </c:pt>
                <c:pt idx="34">
                  <c:v>1.5836824178695679</c:v>
                </c:pt>
                <c:pt idx="35">
                  <c:v>1.3724219799041748</c:v>
                </c:pt>
                <c:pt idx="36">
                  <c:v>1.3784972429275513</c:v>
                </c:pt>
                <c:pt idx="37">
                  <c:v>1.2846126556396484</c:v>
                </c:pt>
                <c:pt idx="38">
                  <c:v>1.3078010082244873</c:v>
                </c:pt>
                <c:pt idx="39">
                  <c:v>0.95679563283920288</c:v>
                </c:pt>
                <c:pt idx="40">
                  <c:v>0.98797798156738281</c:v>
                </c:pt>
                <c:pt idx="41">
                  <c:v>1.2347131967544556</c:v>
                </c:pt>
                <c:pt idx="42">
                  <c:v>1.3704056739807129</c:v>
                </c:pt>
                <c:pt idx="43">
                  <c:v>1.3488678932189941</c:v>
                </c:pt>
                <c:pt idx="44">
                  <c:v>1.2266472578048706</c:v>
                </c:pt>
                <c:pt idx="45">
                  <c:v>1.0584094524383545</c:v>
                </c:pt>
                <c:pt idx="46">
                  <c:v>0.97420066595077515</c:v>
                </c:pt>
                <c:pt idx="47">
                  <c:v>0.89212274551391602</c:v>
                </c:pt>
                <c:pt idx="48">
                  <c:v>0.99172520637512207</c:v>
                </c:pt>
                <c:pt idx="49">
                  <c:v>0.937721848487854</c:v>
                </c:pt>
                <c:pt idx="50">
                  <c:v>0.80245256423950195</c:v>
                </c:pt>
                <c:pt idx="51">
                  <c:v>1.1360665559768677</c:v>
                </c:pt>
                <c:pt idx="52">
                  <c:v>1.213498592376709</c:v>
                </c:pt>
                <c:pt idx="53">
                  <c:v>1.4530026912689209</c:v>
                </c:pt>
                <c:pt idx="54">
                  <c:v>1.4458404779434204</c:v>
                </c:pt>
                <c:pt idx="55">
                  <c:v>1.3162871599197388</c:v>
                </c:pt>
                <c:pt idx="56">
                  <c:v>1.0975780487060547</c:v>
                </c:pt>
                <c:pt idx="57">
                  <c:v>1.1447422504425049</c:v>
                </c:pt>
                <c:pt idx="58">
                  <c:v>1.1374907493591309</c:v>
                </c:pt>
                <c:pt idx="59">
                  <c:v>1.0795118808746338</c:v>
                </c:pt>
                <c:pt idx="60">
                  <c:v>1.0910923480987549</c:v>
                </c:pt>
                <c:pt idx="61">
                  <c:v>1.2702144384384155</c:v>
                </c:pt>
                <c:pt idx="62">
                  <c:v>1.4747648239135742</c:v>
                </c:pt>
                <c:pt idx="63">
                  <c:v>1.4741922616958618</c:v>
                </c:pt>
                <c:pt idx="64">
                  <c:v>1.0949617624282837</c:v>
                </c:pt>
                <c:pt idx="65">
                  <c:v>0.86189496517181396</c:v>
                </c:pt>
                <c:pt idx="66">
                  <c:v>0.96428465843200684</c:v>
                </c:pt>
                <c:pt idx="67">
                  <c:v>1.049784779548645</c:v>
                </c:pt>
                <c:pt idx="68">
                  <c:v>1.117522120475769</c:v>
                </c:pt>
                <c:pt idx="69">
                  <c:v>1.0930413007736206</c:v>
                </c:pt>
                <c:pt idx="70">
                  <c:v>1.2666797637939453</c:v>
                </c:pt>
                <c:pt idx="71">
                  <c:v>1.4791073799133301</c:v>
                </c:pt>
                <c:pt idx="72">
                  <c:v>1.3014297485351562</c:v>
                </c:pt>
                <c:pt idx="73">
                  <c:v>1.25774085521698</c:v>
                </c:pt>
                <c:pt idx="74">
                  <c:v>1.2502959966659546</c:v>
                </c:pt>
                <c:pt idx="75">
                  <c:v>1.3610097169876099</c:v>
                </c:pt>
                <c:pt idx="76">
                  <c:v>1.1197919845581055</c:v>
                </c:pt>
                <c:pt idx="77">
                  <c:v>1.0661119222640991</c:v>
                </c:pt>
                <c:pt idx="78">
                  <c:v>1.049527645111084</c:v>
                </c:pt>
                <c:pt idx="79">
                  <c:v>0.99397784471511841</c:v>
                </c:pt>
                <c:pt idx="80">
                  <c:v>1.1803654432296753</c:v>
                </c:pt>
                <c:pt idx="81">
                  <c:v>1.1975085735321045</c:v>
                </c:pt>
                <c:pt idx="82">
                  <c:v>1.2655012607574463</c:v>
                </c:pt>
                <c:pt idx="83">
                  <c:v>1.5397775173187256</c:v>
                </c:pt>
                <c:pt idx="84">
                  <c:v>1.4241552352905273</c:v>
                </c:pt>
                <c:pt idx="85">
                  <c:v>1.8336540460586548</c:v>
                </c:pt>
                <c:pt idx="86">
                  <c:v>1.6321818828582764</c:v>
                </c:pt>
                <c:pt idx="87">
                  <c:v>1.3662573099136353</c:v>
                </c:pt>
                <c:pt idx="88">
                  <c:v>1.3058778047561646</c:v>
                </c:pt>
                <c:pt idx="89">
                  <c:v>1.740460991859436</c:v>
                </c:pt>
                <c:pt idx="90">
                  <c:v>1.3593100309371948</c:v>
                </c:pt>
                <c:pt idx="91">
                  <c:v>1.696141242980957</c:v>
                </c:pt>
                <c:pt idx="92">
                  <c:v>1.5175240039825439</c:v>
                </c:pt>
                <c:pt idx="93">
                  <c:v>1.3334680795669556</c:v>
                </c:pt>
                <c:pt idx="94">
                  <c:v>1.4977377653121948</c:v>
                </c:pt>
                <c:pt idx="95">
                  <c:v>1.3654565811157227</c:v>
                </c:pt>
                <c:pt idx="96">
                  <c:v>1.0954504013061523</c:v>
                </c:pt>
                <c:pt idx="97">
                  <c:v>1.7830135822296143</c:v>
                </c:pt>
                <c:pt idx="98">
                  <c:v>1.5425878763198853</c:v>
                </c:pt>
                <c:pt idx="99">
                  <c:v>1.1913779973983765</c:v>
                </c:pt>
                <c:pt idx="100">
                  <c:v>1.8086227178573608</c:v>
                </c:pt>
              </c:numCache>
            </c:numRef>
          </c:val>
        </c:ser>
        <c:ser>
          <c:idx val="2"/>
          <c:order val="2"/>
          <c:spPr>
            <a:solidFill>
              <a:srgbClr val="68AED1"/>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6_DATA'!$D$2:$D$102</c:f>
              <c:numCache>
                <c:formatCode>General</c:formatCode>
                <c:ptCount val="101"/>
                <c:pt idx="0">
                  <c:v>2.9635009765625</c:v>
                </c:pt>
                <c:pt idx="1">
                  <c:v>2.9823019504547119</c:v>
                </c:pt>
                <c:pt idx="2">
                  <c:v>1.6291784048080444</c:v>
                </c:pt>
                <c:pt idx="3">
                  <c:v>1.8291738033294678</c:v>
                </c:pt>
                <c:pt idx="4">
                  <c:v>2.2606439590454102</c:v>
                </c:pt>
                <c:pt idx="5">
                  <c:v>2.1624517440795898</c:v>
                </c:pt>
                <c:pt idx="6">
                  <c:v>2.5563967227935791</c:v>
                </c:pt>
                <c:pt idx="7">
                  <c:v>2.3118007183074951</c:v>
                </c:pt>
                <c:pt idx="8">
                  <c:v>2.548926830291748</c:v>
                </c:pt>
                <c:pt idx="9">
                  <c:v>2.4736974239349365</c:v>
                </c:pt>
                <c:pt idx="10">
                  <c:v>2.217106819152832</c:v>
                </c:pt>
                <c:pt idx="11">
                  <c:v>1.8910692930221558</c:v>
                </c:pt>
                <c:pt idx="12">
                  <c:v>2.06900954246521</c:v>
                </c:pt>
                <c:pt idx="13">
                  <c:v>2.3504745960235596</c:v>
                </c:pt>
                <c:pt idx="14">
                  <c:v>2.391751766204834</c:v>
                </c:pt>
                <c:pt idx="15">
                  <c:v>2.4238989353179932</c:v>
                </c:pt>
                <c:pt idx="16">
                  <c:v>2.0017440319061279</c:v>
                </c:pt>
                <c:pt idx="17">
                  <c:v>1.9262958765029907</c:v>
                </c:pt>
                <c:pt idx="18">
                  <c:v>2.0961124897003174</c:v>
                </c:pt>
                <c:pt idx="19">
                  <c:v>2.0769507884979248</c:v>
                </c:pt>
                <c:pt idx="20">
                  <c:v>2.0234787464141846</c:v>
                </c:pt>
                <c:pt idx="21">
                  <c:v>2.1176156997680664</c:v>
                </c:pt>
                <c:pt idx="22">
                  <c:v>2.3106062412261963</c:v>
                </c:pt>
                <c:pt idx="23">
                  <c:v>2.2714834213256836</c:v>
                </c:pt>
                <c:pt idx="24">
                  <c:v>2.2169415950775146</c:v>
                </c:pt>
                <c:pt idx="25">
                  <c:v>2.1434736251831055</c:v>
                </c:pt>
                <c:pt idx="26">
                  <c:v>2.2045755386352539</c:v>
                </c:pt>
                <c:pt idx="27">
                  <c:v>2.1054229736328125</c:v>
                </c:pt>
                <c:pt idx="28">
                  <c:v>1.9065141677856445</c:v>
                </c:pt>
                <c:pt idx="29">
                  <c:v>2.0059559345245361</c:v>
                </c:pt>
                <c:pt idx="30">
                  <c:v>2.0039486885070801</c:v>
                </c:pt>
                <c:pt idx="31">
                  <c:v>1.839961051940918</c:v>
                </c:pt>
                <c:pt idx="32">
                  <c:v>1.7578812837600708</c:v>
                </c:pt>
                <c:pt idx="33">
                  <c:v>1.6659030914306641</c:v>
                </c:pt>
                <c:pt idx="34">
                  <c:v>1.5836824178695679</c:v>
                </c:pt>
                <c:pt idx="35">
                  <c:v>1.3724219799041748</c:v>
                </c:pt>
                <c:pt idx="36">
                  <c:v>1.3784972429275513</c:v>
                </c:pt>
                <c:pt idx="37">
                  <c:v>1.2846126556396484</c:v>
                </c:pt>
                <c:pt idx="38">
                  <c:v>1.3078010082244873</c:v>
                </c:pt>
                <c:pt idx="39">
                  <c:v>0.95679563283920288</c:v>
                </c:pt>
                <c:pt idx="40">
                  <c:v>0.98797798156738281</c:v>
                </c:pt>
                <c:pt idx="41">
                  <c:v>1.2347131967544556</c:v>
                </c:pt>
                <c:pt idx="42">
                  <c:v>1.3704056739807129</c:v>
                </c:pt>
                <c:pt idx="43">
                  <c:v>1.3488678932189941</c:v>
                </c:pt>
                <c:pt idx="44">
                  <c:v>1.2266472578048706</c:v>
                </c:pt>
                <c:pt idx="45">
                  <c:v>1.0584094524383545</c:v>
                </c:pt>
                <c:pt idx="46">
                  <c:v>0.97420066595077515</c:v>
                </c:pt>
                <c:pt idx="47">
                  <c:v>0.89212274551391602</c:v>
                </c:pt>
                <c:pt idx="48">
                  <c:v>0.99172520637512207</c:v>
                </c:pt>
                <c:pt idx="49">
                  <c:v>0.937721848487854</c:v>
                </c:pt>
                <c:pt idx="50">
                  <c:v>0.80245256423950195</c:v>
                </c:pt>
                <c:pt idx="51">
                  <c:v>1.1360665559768677</c:v>
                </c:pt>
                <c:pt idx="52">
                  <c:v>1.213498592376709</c:v>
                </c:pt>
                <c:pt idx="53">
                  <c:v>1.4530026912689209</c:v>
                </c:pt>
                <c:pt idx="54">
                  <c:v>1.4458404779434204</c:v>
                </c:pt>
                <c:pt idx="55">
                  <c:v>1.3162871599197388</c:v>
                </c:pt>
                <c:pt idx="56">
                  <c:v>1.0975780487060547</c:v>
                </c:pt>
                <c:pt idx="57">
                  <c:v>1.1447422504425049</c:v>
                </c:pt>
                <c:pt idx="58">
                  <c:v>1.1374907493591309</c:v>
                </c:pt>
                <c:pt idx="59">
                  <c:v>1.0795118808746338</c:v>
                </c:pt>
                <c:pt idx="60">
                  <c:v>1.0910923480987549</c:v>
                </c:pt>
                <c:pt idx="61">
                  <c:v>1.2702144384384155</c:v>
                </c:pt>
                <c:pt idx="62">
                  <c:v>1.4747648239135742</c:v>
                </c:pt>
                <c:pt idx="63">
                  <c:v>1.4741922616958618</c:v>
                </c:pt>
                <c:pt idx="64">
                  <c:v>1.0949617624282837</c:v>
                </c:pt>
                <c:pt idx="65">
                  <c:v>0.86189496517181396</c:v>
                </c:pt>
                <c:pt idx="66">
                  <c:v>0.96428465843200684</c:v>
                </c:pt>
                <c:pt idx="67">
                  <c:v>1.049784779548645</c:v>
                </c:pt>
                <c:pt idx="68">
                  <c:v>1.117522120475769</c:v>
                </c:pt>
                <c:pt idx="69">
                  <c:v>1.0930413007736206</c:v>
                </c:pt>
                <c:pt idx="70">
                  <c:v>1.2666797637939453</c:v>
                </c:pt>
                <c:pt idx="71">
                  <c:v>1.4791073799133301</c:v>
                </c:pt>
                <c:pt idx="72">
                  <c:v>1.3014297485351562</c:v>
                </c:pt>
                <c:pt idx="73">
                  <c:v>1.25774085521698</c:v>
                </c:pt>
                <c:pt idx="74">
                  <c:v>1.2502959966659546</c:v>
                </c:pt>
                <c:pt idx="75">
                  <c:v>1.3610097169876099</c:v>
                </c:pt>
                <c:pt idx="76">
                  <c:v>1.1197919845581055</c:v>
                </c:pt>
                <c:pt idx="77">
                  <c:v>1.0661119222640991</c:v>
                </c:pt>
                <c:pt idx="78">
                  <c:v>1.049527645111084</c:v>
                </c:pt>
                <c:pt idx="79">
                  <c:v>0.99397784471511841</c:v>
                </c:pt>
                <c:pt idx="80">
                  <c:v>1.1803654432296753</c:v>
                </c:pt>
                <c:pt idx="81">
                  <c:v>1.1975085735321045</c:v>
                </c:pt>
                <c:pt idx="82">
                  <c:v>1.2655012607574463</c:v>
                </c:pt>
                <c:pt idx="83">
                  <c:v>1.5397775173187256</c:v>
                </c:pt>
                <c:pt idx="84">
                  <c:v>1.4241552352905273</c:v>
                </c:pt>
                <c:pt idx="85">
                  <c:v>1.8336540460586548</c:v>
                </c:pt>
                <c:pt idx="86">
                  <c:v>1.6321818828582764</c:v>
                </c:pt>
                <c:pt idx="87">
                  <c:v>1.3662573099136353</c:v>
                </c:pt>
                <c:pt idx="88">
                  <c:v>1.3058778047561646</c:v>
                </c:pt>
                <c:pt idx="89">
                  <c:v>1.740460991859436</c:v>
                </c:pt>
                <c:pt idx="90">
                  <c:v>1.3593100309371948</c:v>
                </c:pt>
                <c:pt idx="91">
                  <c:v>1.696141242980957</c:v>
                </c:pt>
                <c:pt idx="92">
                  <c:v>1.5175240039825439</c:v>
                </c:pt>
                <c:pt idx="93">
                  <c:v>1.3334680795669556</c:v>
                </c:pt>
                <c:pt idx="94">
                  <c:v>1.4977377653121948</c:v>
                </c:pt>
                <c:pt idx="95">
                  <c:v>1.3654565811157227</c:v>
                </c:pt>
                <c:pt idx="96">
                  <c:v>1.0954504013061523</c:v>
                </c:pt>
                <c:pt idx="97">
                  <c:v>1.7830135822296143</c:v>
                </c:pt>
                <c:pt idx="98">
                  <c:v>1.5425878763198853</c:v>
                </c:pt>
                <c:pt idx="99">
                  <c:v>1.1913779973983765</c:v>
                </c:pt>
                <c:pt idx="100">
                  <c:v>1.8086227178573608</c:v>
                </c:pt>
              </c:numCache>
            </c:numRef>
          </c:val>
        </c:ser>
        <c:dLbls>
          <c:showLegendKey val="0"/>
          <c:showVal val="0"/>
          <c:showCatName val="0"/>
          <c:showSerName val="0"/>
          <c:showPercent val="0"/>
          <c:showBubbleSize val="0"/>
        </c:dLbls>
        <c:axId val="539093928"/>
        <c:axId val="539094320"/>
      </c:areaChart>
      <c:catAx>
        <c:axId val="53909392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31035646732149214"/>
              <c:y val="0.880159596387085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094320"/>
        <c:crosses val="autoZero"/>
        <c:auto val="1"/>
        <c:lblAlgn val="ctr"/>
        <c:lblOffset val="100"/>
        <c:tickLblSkip val="10"/>
        <c:tickMarkSkip val="1"/>
        <c:noMultiLvlLbl val="0"/>
      </c:catAx>
      <c:valAx>
        <c:axId val="539094320"/>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p>
            </c:rich>
          </c:tx>
          <c:layout>
            <c:manualLayout>
              <c:xMode val="edge"/>
              <c:yMode val="edge"/>
              <c:x val="1.003599752916368E-2"/>
              <c:y val="0.12701555869872702"/>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093928"/>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2006-2010</a:t>
            </a:r>
          </a:p>
        </c:rich>
      </c:tx>
      <c:layout>
        <c:manualLayout>
          <c:xMode val="edge"/>
          <c:yMode val="edge"/>
          <c:x val="0.47193063310484018"/>
          <c:y val="3.4700315457413249E-2"/>
        </c:manualLayout>
      </c:layout>
      <c:overlay val="0"/>
      <c:spPr>
        <a:noFill/>
        <a:ln w="25400">
          <a:noFill/>
        </a:ln>
      </c:spPr>
    </c:title>
    <c:autoTitleDeleted val="0"/>
    <c:plotArea>
      <c:layout>
        <c:manualLayout>
          <c:layoutTarget val="inner"/>
          <c:xMode val="edge"/>
          <c:yMode val="edge"/>
          <c:x val="0.10000017132704792"/>
          <c:y val="0.17981072555205047"/>
          <c:w val="0.86315937355978201"/>
          <c:h val="0.67823343848580442"/>
        </c:manualLayout>
      </c:layout>
      <c:areaChart>
        <c:grouping val="stacked"/>
        <c:varyColors val="0"/>
        <c:ser>
          <c:idx val="0"/>
          <c:order val="0"/>
          <c:spPr>
            <a:solidFill>
              <a:srgbClr val="FFFFFF"/>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6_DATA'!$B$2:$B$102</c:f>
              <c:numCache>
                <c:formatCode>General</c:formatCode>
                <c:ptCount val="101"/>
                <c:pt idx="0">
                  <c:v>2.0186629295349121</c:v>
                </c:pt>
                <c:pt idx="1">
                  <c:v>2.5374152660369873</c:v>
                </c:pt>
                <c:pt idx="2">
                  <c:v>4.6108951568603516</c:v>
                </c:pt>
                <c:pt idx="3">
                  <c:v>5.4777731895446777</c:v>
                </c:pt>
                <c:pt idx="4">
                  <c:v>4.929023265838623</c:v>
                </c:pt>
                <c:pt idx="5">
                  <c:v>5.0944914817810059</c:v>
                </c:pt>
                <c:pt idx="6">
                  <c:v>3.8399960994720459</c:v>
                </c:pt>
                <c:pt idx="7">
                  <c:v>3.5109982490539551</c:v>
                </c:pt>
                <c:pt idx="8">
                  <c:v>3.584104061126709</c:v>
                </c:pt>
                <c:pt idx="9">
                  <c:v>2.8865253925323486</c:v>
                </c:pt>
                <c:pt idx="10">
                  <c:v>2.8474574089050293</c:v>
                </c:pt>
                <c:pt idx="11">
                  <c:v>2.4860086441040039</c:v>
                </c:pt>
                <c:pt idx="12">
                  <c:v>2.0398187637329102</c:v>
                </c:pt>
                <c:pt idx="13">
                  <c:v>1.8526837825775146</c:v>
                </c:pt>
                <c:pt idx="14">
                  <c:v>1.8594833612442017</c:v>
                </c:pt>
                <c:pt idx="15">
                  <c:v>1.7498273849487305</c:v>
                </c:pt>
                <c:pt idx="16">
                  <c:v>1.6353703737258911</c:v>
                </c:pt>
                <c:pt idx="17">
                  <c:v>1.3135172128677368</c:v>
                </c:pt>
                <c:pt idx="18">
                  <c:v>1.1026997566223145</c:v>
                </c:pt>
                <c:pt idx="19">
                  <c:v>0.62298828363418579</c:v>
                </c:pt>
                <c:pt idx="20">
                  <c:v>0.82516586780548096</c:v>
                </c:pt>
                <c:pt idx="21">
                  <c:v>0.80274415016174316</c:v>
                </c:pt>
                <c:pt idx="22">
                  <c:v>0.55731552839279175</c:v>
                </c:pt>
                <c:pt idx="23">
                  <c:v>6.9130018353462219E-2</c:v>
                </c:pt>
                <c:pt idx="24">
                  <c:v>-2.8840941376984119E-3</c:v>
                </c:pt>
                <c:pt idx="25">
                  <c:v>0.11388498544692993</c:v>
                </c:pt>
                <c:pt idx="26">
                  <c:v>6.2584392726421356E-2</c:v>
                </c:pt>
                <c:pt idx="27">
                  <c:v>2.8899820521473885E-2</c:v>
                </c:pt>
                <c:pt idx="28">
                  <c:v>0.15578719973564148</c:v>
                </c:pt>
                <c:pt idx="29">
                  <c:v>-6.6785037517547607E-2</c:v>
                </c:pt>
                <c:pt idx="30">
                  <c:v>-0.13727197051048279</c:v>
                </c:pt>
                <c:pt idx="31">
                  <c:v>-0.16744080185890198</c:v>
                </c:pt>
                <c:pt idx="32">
                  <c:v>-0.45018413662910461</c:v>
                </c:pt>
                <c:pt idx="33">
                  <c:v>-0.6438286304473877</c:v>
                </c:pt>
                <c:pt idx="34">
                  <c:v>-0.67534875869750977</c:v>
                </c:pt>
                <c:pt idx="35">
                  <c:v>-0.3402768075466156</c:v>
                </c:pt>
                <c:pt idx="36">
                  <c:v>-0.27632761001586914</c:v>
                </c:pt>
                <c:pt idx="37">
                  <c:v>-0.26935115456581116</c:v>
                </c:pt>
                <c:pt idx="38">
                  <c:v>-0.36053848266601563</c:v>
                </c:pt>
                <c:pt idx="39">
                  <c:v>-0.41730412840843201</c:v>
                </c:pt>
                <c:pt idx="40">
                  <c:v>-0.5492088794708252</c:v>
                </c:pt>
                <c:pt idx="41">
                  <c:v>-0.61916971206665039</c:v>
                </c:pt>
                <c:pt idx="42">
                  <c:v>-0.63776516914367676</c:v>
                </c:pt>
                <c:pt idx="43">
                  <c:v>-0.57133489847183228</c:v>
                </c:pt>
                <c:pt idx="44">
                  <c:v>-0.65695708990097046</c:v>
                </c:pt>
                <c:pt idx="45">
                  <c:v>-0.72973036766052246</c:v>
                </c:pt>
                <c:pt idx="46">
                  <c:v>-0.80967992544174194</c:v>
                </c:pt>
                <c:pt idx="47">
                  <c:v>-0.89758336544036865</c:v>
                </c:pt>
                <c:pt idx="48">
                  <c:v>-0.8826180100440979</c:v>
                </c:pt>
                <c:pt idx="49">
                  <c:v>-0.75173133611679077</c:v>
                </c:pt>
                <c:pt idx="50">
                  <c:v>-0.6535683274269104</c:v>
                </c:pt>
                <c:pt idx="51">
                  <c:v>-0.46488037705421448</c:v>
                </c:pt>
                <c:pt idx="52">
                  <c:v>-0.67913389205932617</c:v>
                </c:pt>
                <c:pt idx="53">
                  <c:v>-0.70179480314254761</c:v>
                </c:pt>
                <c:pt idx="54">
                  <c:v>-0.67583805322647095</c:v>
                </c:pt>
                <c:pt idx="55">
                  <c:v>-0.7706073522567749</c:v>
                </c:pt>
                <c:pt idx="56">
                  <c:v>-0.61633342504501343</c:v>
                </c:pt>
                <c:pt idx="57">
                  <c:v>-0.68450093269348145</c:v>
                </c:pt>
                <c:pt idx="58">
                  <c:v>-0.76404654979705811</c:v>
                </c:pt>
                <c:pt idx="59">
                  <c:v>-0.99041545391082764</c:v>
                </c:pt>
                <c:pt idx="60">
                  <c:v>-1.234076976776123</c:v>
                </c:pt>
                <c:pt idx="61">
                  <c:v>-1.3281567096710205</c:v>
                </c:pt>
                <c:pt idx="62">
                  <c:v>-1.3028879165649414</c:v>
                </c:pt>
                <c:pt idx="63">
                  <c:v>-1.376833438873291</c:v>
                </c:pt>
                <c:pt idx="64">
                  <c:v>-1.5715327262878418</c:v>
                </c:pt>
                <c:pt idx="65">
                  <c:v>-1.8757064342498779</c:v>
                </c:pt>
                <c:pt idx="66">
                  <c:v>-1.8310294151306152</c:v>
                </c:pt>
                <c:pt idx="67">
                  <c:v>-1.7926454544067383</c:v>
                </c:pt>
                <c:pt idx="68">
                  <c:v>-1.6599243879318237</c:v>
                </c:pt>
                <c:pt idx="69">
                  <c:v>-1.7068194150924683</c:v>
                </c:pt>
                <c:pt idx="70">
                  <c:v>-1.7526202201843262</c:v>
                </c:pt>
                <c:pt idx="71">
                  <c:v>-2.0465633869171143</c:v>
                </c:pt>
                <c:pt idx="72">
                  <c:v>-2.184375524520874</c:v>
                </c:pt>
                <c:pt idx="73">
                  <c:v>-2.3439977169036865</c:v>
                </c:pt>
                <c:pt idx="74">
                  <c:v>-2.5095236301422119</c:v>
                </c:pt>
                <c:pt idx="75">
                  <c:v>-2.3922584056854248</c:v>
                </c:pt>
                <c:pt idx="76">
                  <c:v>-2.431464672088623</c:v>
                </c:pt>
                <c:pt idx="77">
                  <c:v>-2.4115452766418457</c:v>
                </c:pt>
                <c:pt idx="78">
                  <c:v>-2.3283336162567139</c:v>
                </c:pt>
                <c:pt idx="79">
                  <c:v>-2.370445728302002</c:v>
                </c:pt>
                <c:pt idx="80">
                  <c:v>-2.6048774719238281</c:v>
                </c:pt>
                <c:pt idx="81">
                  <c:v>-2.8636710643768311</c:v>
                </c:pt>
                <c:pt idx="82">
                  <c:v>-2.8714277744293213</c:v>
                </c:pt>
                <c:pt idx="83">
                  <c:v>-2.4344637393951416</c:v>
                </c:pt>
                <c:pt idx="84">
                  <c:v>-3.0254590511322021</c:v>
                </c:pt>
                <c:pt idx="85">
                  <c:v>-3.1112139225006104</c:v>
                </c:pt>
                <c:pt idx="86">
                  <c:v>-3.8689858913421631</c:v>
                </c:pt>
                <c:pt idx="87">
                  <c:v>-4.2073650360107422</c:v>
                </c:pt>
                <c:pt idx="88">
                  <c:v>-4.0219230651855469</c:v>
                </c:pt>
                <c:pt idx="89">
                  <c:v>-4.2988772392272949</c:v>
                </c:pt>
                <c:pt idx="90">
                  <c:v>-4.706181526184082</c:v>
                </c:pt>
                <c:pt idx="91">
                  <c:v>-5.0762953758239746</c:v>
                </c:pt>
                <c:pt idx="92">
                  <c:v>-5.3864727020263672</c:v>
                </c:pt>
                <c:pt idx="93">
                  <c:v>-5.1213665008544922</c:v>
                </c:pt>
                <c:pt idx="94">
                  <c:v>-4.9836292266845703</c:v>
                </c:pt>
                <c:pt idx="95">
                  <c:v>-5.7627573013305664</c:v>
                </c:pt>
                <c:pt idx="96">
                  <c:v>-6.8557119369506836</c:v>
                </c:pt>
                <c:pt idx="97">
                  <c:v>-7.8397946357727051</c:v>
                </c:pt>
                <c:pt idx="98">
                  <c:v>-8.6123008728027344</c:v>
                </c:pt>
                <c:pt idx="99">
                  <c:v>-9.7517852783203125</c:v>
                </c:pt>
                <c:pt idx="100">
                  <c:v>-10.140908241271973</c:v>
                </c:pt>
              </c:numCache>
            </c:numRef>
          </c:val>
        </c:ser>
        <c:ser>
          <c:idx val="1"/>
          <c:order val="1"/>
          <c:spPr>
            <a:solidFill>
              <a:srgbClr val="68AED1"/>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6_DATA'!$C$2:$C$102</c:f>
              <c:numCache>
                <c:formatCode>General</c:formatCode>
                <c:ptCount val="101"/>
                <c:pt idx="0">
                  <c:v>3.7680003643035889</c:v>
                </c:pt>
                <c:pt idx="1">
                  <c:v>3.7234358787536621</c:v>
                </c:pt>
                <c:pt idx="2">
                  <c:v>2.1432757377624512</c:v>
                </c:pt>
                <c:pt idx="3">
                  <c:v>1.1232479810714722</c:v>
                </c:pt>
                <c:pt idx="4">
                  <c:v>1.7142213582992554</c:v>
                </c:pt>
                <c:pt idx="5">
                  <c:v>1.3803442716598511</c:v>
                </c:pt>
                <c:pt idx="6">
                  <c:v>1.8380154371261597</c:v>
                </c:pt>
                <c:pt idx="7">
                  <c:v>1.2198275327682495</c:v>
                </c:pt>
                <c:pt idx="8">
                  <c:v>1.0873903036117554</c:v>
                </c:pt>
                <c:pt idx="9">
                  <c:v>1.2954813241958618</c:v>
                </c:pt>
                <c:pt idx="10">
                  <c:v>1.0752425193786621</c:v>
                </c:pt>
                <c:pt idx="11">
                  <c:v>1.1116349697113037</c:v>
                </c:pt>
                <c:pt idx="12">
                  <c:v>1.14580237865448</c:v>
                </c:pt>
                <c:pt idx="13">
                  <c:v>0.92861723899841309</c:v>
                </c:pt>
                <c:pt idx="14">
                  <c:v>0.88542449474334717</c:v>
                </c:pt>
                <c:pt idx="15">
                  <c:v>0.72664940357208252</c:v>
                </c:pt>
                <c:pt idx="16">
                  <c:v>0.5550505518913269</c:v>
                </c:pt>
                <c:pt idx="17">
                  <c:v>0.65078723430633545</c:v>
                </c:pt>
                <c:pt idx="18">
                  <c:v>0.62065285444259644</c:v>
                </c:pt>
                <c:pt idx="19">
                  <c:v>0.657073974609375</c:v>
                </c:pt>
                <c:pt idx="20">
                  <c:v>0.34388959407806396</c:v>
                </c:pt>
                <c:pt idx="21">
                  <c:v>0.39221984148025513</c:v>
                </c:pt>
                <c:pt idx="22">
                  <c:v>0.64667725563049316</c:v>
                </c:pt>
                <c:pt idx="23">
                  <c:v>0.8748742938041687</c:v>
                </c:pt>
                <c:pt idx="24">
                  <c:v>0.7081407904624939</c:v>
                </c:pt>
                <c:pt idx="25">
                  <c:v>0.6025012731552124</c:v>
                </c:pt>
                <c:pt idx="26">
                  <c:v>0.70054811239242554</c:v>
                </c:pt>
                <c:pt idx="27">
                  <c:v>0.66390639543533325</c:v>
                </c:pt>
                <c:pt idx="28">
                  <c:v>0.4000256359577179</c:v>
                </c:pt>
                <c:pt idx="29">
                  <c:v>0.62498080730438232</c:v>
                </c:pt>
                <c:pt idx="30">
                  <c:v>0.71492022275924683</c:v>
                </c:pt>
                <c:pt idx="31">
                  <c:v>0.62864506244659424</c:v>
                </c:pt>
                <c:pt idx="32">
                  <c:v>0.69917899370193481</c:v>
                </c:pt>
                <c:pt idx="33">
                  <c:v>0.75291383266448975</c:v>
                </c:pt>
                <c:pt idx="34">
                  <c:v>0.6985049843788147</c:v>
                </c:pt>
                <c:pt idx="35">
                  <c:v>0.45519712567329407</c:v>
                </c:pt>
                <c:pt idx="36">
                  <c:v>0.42157274484634399</c:v>
                </c:pt>
                <c:pt idx="37">
                  <c:v>0.45260465145111084</c:v>
                </c:pt>
                <c:pt idx="38">
                  <c:v>0.48436570167541504</c:v>
                </c:pt>
                <c:pt idx="39">
                  <c:v>0.52151423692703247</c:v>
                </c:pt>
                <c:pt idx="40">
                  <c:v>0.65415090322494507</c:v>
                </c:pt>
                <c:pt idx="41">
                  <c:v>0.59664851427078247</c:v>
                </c:pt>
                <c:pt idx="42">
                  <c:v>0.57765728235244751</c:v>
                </c:pt>
                <c:pt idx="43">
                  <c:v>0.47109076380729675</c:v>
                </c:pt>
                <c:pt idx="44">
                  <c:v>0.56264263391494751</c:v>
                </c:pt>
                <c:pt idx="45">
                  <c:v>0.55136775970458984</c:v>
                </c:pt>
                <c:pt idx="46">
                  <c:v>0.54919880628585815</c:v>
                </c:pt>
                <c:pt idx="47">
                  <c:v>0.60713285207748413</c:v>
                </c:pt>
                <c:pt idx="48">
                  <c:v>0.61012369394302368</c:v>
                </c:pt>
                <c:pt idx="49">
                  <c:v>0.52244311571121216</c:v>
                </c:pt>
                <c:pt idx="50">
                  <c:v>0.49027711153030396</c:v>
                </c:pt>
                <c:pt idx="51">
                  <c:v>0.51889204978942871</c:v>
                </c:pt>
                <c:pt idx="52">
                  <c:v>0.68695962429046631</c:v>
                </c:pt>
                <c:pt idx="53">
                  <c:v>0.67761069536209106</c:v>
                </c:pt>
                <c:pt idx="54">
                  <c:v>0.48015424609184265</c:v>
                </c:pt>
                <c:pt idx="55">
                  <c:v>0.55514174699783325</c:v>
                </c:pt>
                <c:pt idx="56">
                  <c:v>0.47564250230789185</c:v>
                </c:pt>
                <c:pt idx="57">
                  <c:v>0.5538972020149231</c:v>
                </c:pt>
                <c:pt idx="58">
                  <c:v>0.59230726957321167</c:v>
                </c:pt>
                <c:pt idx="59">
                  <c:v>0.76339548826217651</c:v>
                </c:pt>
                <c:pt idx="60">
                  <c:v>0.97973102331161499</c:v>
                </c:pt>
                <c:pt idx="61">
                  <c:v>1.0077590942382812</c:v>
                </c:pt>
                <c:pt idx="62">
                  <c:v>0.91087621450424194</c:v>
                </c:pt>
                <c:pt idx="63">
                  <c:v>0.90076541900634766</c:v>
                </c:pt>
                <c:pt idx="64">
                  <c:v>0.96038740873336792</c:v>
                </c:pt>
                <c:pt idx="65">
                  <c:v>1.1911646127700806</c:v>
                </c:pt>
                <c:pt idx="66">
                  <c:v>1.0676636695861816</c:v>
                </c:pt>
                <c:pt idx="67">
                  <c:v>0.93044519424438477</c:v>
                </c:pt>
                <c:pt idx="68">
                  <c:v>0.83668595552444458</c:v>
                </c:pt>
                <c:pt idx="69">
                  <c:v>0.86381638050079346</c:v>
                </c:pt>
                <c:pt idx="70">
                  <c:v>0.85330492258071899</c:v>
                </c:pt>
                <c:pt idx="71">
                  <c:v>0.95721006393432617</c:v>
                </c:pt>
                <c:pt idx="72">
                  <c:v>0.86913776397705078</c:v>
                </c:pt>
                <c:pt idx="73">
                  <c:v>0.85809558629989624</c:v>
                </c:pt>
                <c:pt idx="74">
                  <c:v>0.87851250171661377</c:v>
                </c:pt>
                <c:pt idx="75">
                  <c:v>0.78789329528808594</c:v>
                </c:pt>
                <c:pt idx="76">
                  <c:v>0.8386070728302002</c:v>
                </c:pt>
                <c:pt idx="77">
                  <c:v>0.78264093399047852</c:v>
                </c:pt>
                <c:pt idx="78">
                  <c:v>0.62204170227050781</c:v>
                </c:pt>
                <c:pt idx="79">
                  <c:v>0.67683178186416626</c:v>
                </c:pt>
                <c:pt idx="80">
                  <c:v>0.80401766300201416</c:v>
                </c:pt>
                <c:pt idx="81">
                  <c:v>0.92381900548934937</c:v>
                </c:pt>
                <c:pt idx="82">
                  <c:v>0.66651225090026855</c:v>
                </c:pt>
                <c:pt idx="83">
                  <c:v>0.40763401985168457</c:v>
                </c:pt>
                <c:pt idx="84">
                  <c:v>0.84064239263534546</c:v>
                </c:pt>
                <c:pt idx="85">
                  <c:v>0.75818580389022827</c:v>
                </c:pt>
                <c:pt idx="86">
                  <c:v>1.1066707372665405</c:v>
                </c:pt>
                <c:pt idx="87">
                  <c:v>1.1605349779129028</c:v>
                </c:pt>
                <c:pt idx="88">
                  <c:v>0.94892895221710205</c:v>
                </c:pt>
                <c:pt idx="89">
                  <c:v>0.83611887693405151</c:v>
                </c:pt>
                <c:pt idx="90">
                  <c:v>1.0195126533508301</c:v>
                </c:pt>
                <c:pt idx="91">
                  <c:v>1.1332712173461914</c:v>
                </c:pt>
                <c:pt idx="92">
                  <c:v>0.89826595783233643</c:v>
                </c:pt>
                <c:pt idx="93">
                  <c:v>0.56321841478347778</c:v>
                </c:pt>
                <c:pt idx="94">
                  <c:v>0.631661057472229</c:v>
                </c:pt>
                <c:pt idx="95">
                  <c:v>1.1781589984893799</c:v>
                </c:pt>
                <c:pt idx="96">
                  <c:v>1.639354944229126</c:v>
                </c:pt>
                <c:pt idx="97">
                  <c:v>1.3145577907562256</c:v>
                </c:pt>
                <c:pt idx="98">
                  <c:v>1.7351884841918945</c:v>
                </c:pt>
                <c:pt idx="99">
                  <c:v>2.0318179130554199</c:v>
                </c:pt>
                <c:pt idx="100">
                  <c:v>2.4225924015045166</c:v>
                </c:pt>
              </c:numCache>
            </c:numRef>
          </c:val>
        </c:ser>
        <c:ser>
          <c:idx val="2"/>
          <c:order val="2"/>
          <c:spPr>
            <a:solidFill>
              <a:srgbClr val="68AED1"/>
            </a:solidFill>
            <a:ln w="3175">
              <a:solidFill>
                <a:srgbClr val="666699"/>
              </a:solidFill>
              <a:prstDash val="solid"/>
            </a:ln>
          </c:spPr>
          <c:cat>
            <c:numRef>
              <c:f>'Figure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'Figure 6_DATA'!$D$2:$D$102</c:f>
              <c:numCache>
                <c:formatCode>General</c:formatCode>
                <c:ptCount val="101"/>
                <c:pt idx="0">
                  <c:v>3.7680003643035889</c:v>
                </c:pt>
                <c:pt idx="1">
                  <c:v>3.7234358787536621</c:v>
                </c:pt>
                <c:pt idx="2">
                  <c:v>2.1432757377624512</c:v>
                </c:pt>
                <c:pt idx="3">
                  <c:v>1.1232479810714722</c:v>
                </c:pt>
                <c:pt idx="4">
                  <c:v>1.7142213582992554</c:v>
                </c:pt>
                <c:pt idx="5">
                  <c:v>1.3803442716598511</c:v>
                </c:pt>
                <c:pt idx="6">
                  <c:v>1.8380154371261597</c:v>
                </c:pt>
                <c:pt idx="7">
                  <c:v>1.2198275327682495</c:v>
                </c:pt>
                <c:pt idx="8">
                  <c:v>1.0873903036117554</c:v>
                </c:pt>
                <c:pt idx="9">
                  <c:v>1.2954813241958618</c:v>
                </c:pt>
                <c:pt idx="10">
                  <c:v>1.0752425193786621</c:v>
                </c:pt>
                <c:pt idx="11">
                  <c:v>1.1116349697113037</c:v>
                </c:pt>
                <c:pt idx="12">
                  <c:v>1.14580237865448</c:v>
                </c:pt>
                <c:pt idx="13">
                  <c:v>0.92861723899841309</c:v>
                </c:pt>
                <c:pt idx="14">
                  <c:v>0.88542449474334717</c:v>
                </c:pt>
                <c:pt idx="15">
                  <c:v>0.72664940357208252</c:v>
                </c:pt>
                <c:pt idx="16">
                  <c:v>0.5550505518913269</c:v>
                </c:pt>
                <c:pt idx="17">
                  <c:v>0.65078723430633545</c:v>
                </c:pt>
                <c:pt idx="18">
                  <c:v>0.62065285444259644</c:v>
                </c:pt>
                <c:pt idx="19">
                  <c:v>0.657073974609375</c:v>
                </c:pt>
                <c:pt idx="20">
                  <c:v>0.34388959407806396</c:v>
                </c:pt>
                <c:pt idx="21">
                  <c:v>0.39221984148025513</c:v>
                </c:pt>
                <c:pt idx="22">
                  <c:v>0.64667725563049316</c:v>
                </c:pt>
                <c:pt idx="23">
                  <c:v>0.8748742938041687</c:v>
                </c:pt>
                <c:pt idx="24">
                  <c:v>0.7081407904624939</c:v>
                </c:pt>
                <c:pt idx="25">
                  <c:v>0.6025012731552124</c:v>
                </c:pt>
                <c:pt idx="26">
                  <c:v>0.70054811239242554</c:v>
                </c:pt>
                <c:pt idx="27">
                  <c:v>0.66390639543533325</c:v>
                </c:pt>
                <c:pt idx="28">
                  <c:v>0.4000256359577179</c:v>
                </c:pt>
                <c:pt idx="29">
                  <c:v>0.62498080730438232</c:v>
                </c:pt>
                <c:pt idx="30">
                  <c:v>0.71492022275924683</c:v>
                </c:pt>
                <c:pt idx="31">
                  <c:v>0.62864506244659424</c:v>
                </c:pt>
                <c:pt idx="32">
                  <c:v>0.69917899370193481</c:v>
                </c:pt>
                <c:pt idx="33">
                  <c:v>0.75291383266448975</c:v>
                </c:pt>
                <c:pt idx="34">
                  <c:v>0.6985049843788147</c:v>
                </c:pt>
                <c:pt idx="35">
                  <c:v>0.45519712567329407</c:v>
                </c:pt>
                <c:pt idx="36">
                  <c:v>0.42157274484634399</c:v>
                </c:pt>
                <c:pt idx="37">
                  <c:v>0.45260465145111084</c:v>
                </c:pt>
                <c:pt idx="38">
                  <c:v>0.48436570167541504</c:v>
                </c:pt>
                <c:pt idx="39">
                  <c:v>0.52151423692703247</c:v>
                </c:pt>
                <c:pt idx="40">
                  <c:v>0.65415090322494507</c:v>
                </c:pt>
                <c:pt idx="41">
                  <c:v>0.59664851427078247</c:v>
                </c:pt>
                <c:pt idx="42">
                  <c:v>0.57765728235244751</c:v>
                </c:pt>
                <c:pt idx="43">
                  <c:v>0.47109076380729675</c:v>
                </c:pt>
                <c:pt idx="44">
                  <c:v>0.56264263391494751</c:v>
                </c:pt>
                <c:pt idx="45">
                  <c:v>0.55136775970458984</c:v>
                </c:pt>
                <c:pt idx="46">
                  <c:v>0.54919880628585815</c:v>
                </c:pt>
                <c:pt idx="47">
                  <c:v>0.60713285207748413</c:v>
                </c:pt>
                <c:pt idx="48">
                  <c:v>0.61012369394302368</c:v>
                </c:pt>
                <c:pt idx="49">
                  <c:v>0.52244311571121216</c:v>
                </c:pt>
                <c:pt idx="50">
                  <c:v>0.49027711153030396</c:v>
                </c:pt>
                <c:pt idx="51">
                  <c:v>0.51889204978942871</c:v>
                </c:pt>
                <c:pt idx="52">
                  <c:v>0.68695962429046631</c:v>
                </c:pt>
                <c:pt idx="53">
                  <c:v>0.67761069536209106</c:v>
                </c:pt>
                <c:pt idx="54">
                  <c:v>0.48015424609184265</c:v>
                </c:pt>
                <c:pt idx="55">
                  <c:v>0.55514174699783325</c:v>
                </c:pt>
                <c:pt idx="56">
                  <c:v>0.47564250230789185</c:v>
                </c:pt>
                <c:pt idx="57">
                  <c:v>0.5538972020149231</c:v>
                </c:pt>
                <c:pt idx="58">
                  <c:v>0.59230726957321167</c:v>
                </c:pt>
                <c:pt idx="59">
                  <c:v>0.76339548826217651</c:v>
                </c:pt>
                <c:pt idx="60">
                  <c:v>0.97973102331161499</c:v>
                </c:pt>
                <c:pt idx="61">
                  <c:v>1.0077590942382812</c:v>
                </c:pt>
                <c:pt idx="62">
                  <c:v>0.91087621450424194</c:v>
                </c:pt>
                <c:pt idx="63">
                  <c:v>0.90076541900634766</c:v>
                </c:pt>
                <c:pt idx="64">
                  <c:v>0.96038740873336792</c:v>
                </c:pt>
                <c:pt idx="65">
                  <c:v>1.1911646127700806</c:v>
                </c:pt>
                <c:pt idx="66">
                  <c:v>1.0676636695861816</c:v>
                </c:pt>
                <c:pt idx="67">
                  <c:v>0.93044519424438477</c:v>
                </c:pt>
                <c:pt idx="68">
                  <c:v>0.83668595552444458</c:v>
                </c:pt>
                <c:pt idx="69">
                  <c:v>0.86381638050079346</c:v>
                </c:pt>
                <c:pt idx="70">
                  <c:v>0.85330492258071899</c:v>
                </c:pt>
                <c:pt idx="71">
                  <c:v>0.95721006393432617</c:v>
                </c:pt>
                <c:pt idx="72">
                  <c:v>0.86913776397705078</c:v>
                </c:pt>
                <c:pt idx="73">
                  <c:v>0.85809558629989624</c:v>
                </c:pt>
                <c:pt idx="74">
                  <c:v>0.87851250171661377</c:v>
                </c:pt>
                <c:pt idx="75">
                  <c:v>0.78789329528808594</c:v>
                </c:pt>
                <c:pt idx="76">
                  <c:v>0.8386070728302002</c:v>
                </c:pt>
                <c:pt idx="77">
                  <c:v>0.78264093399047852</c:v>
                </c:pt>
                <c:pt idx="78">
                  <c:v>0.62204170227050781</c:v>
                </c:pt>
                <c:pt idx="79">
                  <c:v>0.67683178186416626</c:v>
                </c:pt>
                <c:pt idx="80">
                  <c:v>0.80401766300201416</c:v>
                </c:pt>
                <c:pt idx="81">
                  <c:v>0.92381900548934937</c:v>
                </c:pt>
                <c:pt idx="82">
                  <c:v>0.66651225090026855</c:v>
                </c:pt>
                <c:pt idx="83">
                  <c:v>0.40763401985168457</c:v>
                </c:pt>
                <c:pt idx="84">
                  <c:v>0.84064239263534546</c:v>
                </c:pt>
                <c:pt idx="85">
                  <c:v>0.75818580389022827</c:v>
                </c:pt>
                <c:pt idx="86">
                  <c:v>1.1066707372665405</c:v>
                </c:pt>
                <c:pt idx="87">
                  <c:v>1.1605349779129028</c:v>
                </c:pt>
                <c:pt idx="88">
                  <c:v>0.94892895221710205</c:v>
                </c:pt>
                <c:pt idx="89">
                  <c:v>0.83611887693405151</c:v>
                </c:pt>
                <c:pt idx="90">
                  <c:v>1.0195126533508301</c:v>
                </c:pt>
                <c:pt idx="91">
                  <c:v>1.1332712173461914</c:v>
                </c:pt>
                <c:pt idx="92">
                  <c:v>0.89826595783233643</c:v>
                </c:pt>
                <c:pt idx="93">
                  <c:v>0.56321841478347778</c:v>
                </c:pt>
                <c:pt idx="94">
                  <c:v>0.631661057472229</c:v>
                </c:pt>
                <c:pt idx="95">
                  <c:v>1.1781589984893799</c:v>
                </c:pt>
                <c:pt idx="96">
                  <c:v>1.639354944229126</c:v>
                </c:pt>
                <c:pt idx="97">
                  <c:v>1.3145577907562256</c:v>
                </c:pt>
                <c:pt idx="98">
                  <c:v>1.7351884841918945</c:v>
                </c:pt>
                <c:pt idx="99">
                  <c:v>2.0318179130554199</c:v>
                </c:pt>
                <c:pt idx="100">
                  <c:v>2.4225924015045166</c:v>
                </c:pt>
              </c:numCache>
            </c:numRef>
          </c:val>
        </c:ser>
        <c:dLbls>
          <c:showLegendKey val="0"/>
          <c:showVal val="0"/>
          <c:showCatName val="0"/>
          <c:showSerName val="0"/>
          <c:showPercent val="0"/>
          <c:showBubbleSize val="0"/>
        </c:dLbls>
        <c:axId val="539039576"/>
        <c:axId val="539039968"/>
      </c:areaChart>
      <c:catAx>
        <c:axId val="53903957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30503839342367201"/>
              <c:y val="0.8947566407619242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039968"/>
        <c:crosses val="autoZero"/>
        <c:auto val="1"/>
        <c:lblAlgn val="ctr"/>
        <c:lblOffset val="100"/>
        <c:tickLblSkip val="10"/>
        <c:tickMarkSkip val="1"/>
        <c:noMultiLvlLbl val="0"/>
      </c:catAx>
      <c:valAx>
        <c:axId val="539039968"/>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p>
            </c:rich>
          </c:tx>
          <c:layout>
            <c:manualLayout>
              <c:xMode val="edge"/>
              <c:yMode val="edge"/>
              <c:x val="1.4861899462389966E-3"/>
              <c:y val="0.14267100977198696"/>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039576"/>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'Table 9'!$B$6</c:f>
              <c:strCache>
                <c:ptCount val="1"/>
                <c:pt idx="0">
                  <c:v>2001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9'!$A$7:$A$15</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'Table 9'!$B$7:$B$15</c:f>
              <c:numCache>
                <c:formatCode>#,###,##0</c:formatCode>
                <c:ptCount val="9"/>
                <c:pt idx="0">
                  <c:v>58.820405722274124</c:v>
                </c:pt>
                <c:pt idx="1">
                  <c:v>70.463022074931743</c:v>
                </c:pt>
                <c:pt idx="2">
                  <c:v>69.30059384427156</c:v>
                </c:pt>
                <c:pt idx="3">
                  <c:v>36.456805631756502</c:v>
                </c:pt>
                <c:pt idx="4">
                  <c:v>58.298406380599928</c:v>
                </c:pt>
                <c:pt idx="5">
                  <c:v>25.451703780867827</c:v>
                </c:pt>
                <c:pt idx="6">
                  <c:v>27.911961221174881</c:v>
                </c:pt>
                <c:pt idx="7">
                  <c:v>8.336791761616384</c:v>
                </c:pt>
                <c:pt idx="8">
                  <c:v>14.04647745212503</c:v>
                </c:pt>
              </c:numCache>
            </c:numRef>
          </c:val>
        </c:ser>
        <c:ser>
          <c:idx val="1"/>
          <c:order val="1"/>
          <c:tx>
            <c:strRef>
              <c:f>'Table 9'!$C$6</c:f>
              <c:strCache>
                <c:ptCount val="1"/>
                <c:pt idx="0">
                  <c:v>2006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9'!$A$7:$A$15</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'Table 9'!$C$7:$C$15</c:f>
              <c:numCache>
                <c:formatCode>#,###,##0</c:formatCode>
                <c:ptCount val="9"/>
                <c:pt idx="0">
                  <c:v>42.076367758411777</c:v>
                </c:pt>
                <c:pt idx="1">
                  <c:v>44.807151130662902</c:v>
                </c:pt>
                <c:pt idx="2">
                  <c:v>66.053845549575129</c:v>
                </c:pt>
                <c:pt idx="3">
                  <c:v>43.287402204824041</c:v>
                </c:pt>
                <c:pt idx="4">
                  <c:v>39.24996031261297</c:v>
                </c:pt>
                <c:pt idx="5">
                  <c:v>30.327419952464009</c:v>
                </c:pt>
                <c:pt idx="6">
                  <c:v>22.404413385950782</c:v>
                </c:pt>
                <c:pt idx="7">
                  <c:v>0</c:v>
                </c:pt>
                <c:pt idx="8">
                  <c:v>6.1795952614020013</c:v>
                </c:pt>
              </c:numCache>
            </c:numRef>
          </c:val>
        </c:ser>
        <c:ser>
          <c:idx val="2"/>
          <c:order val="2"/>
          <c:tx>
            <c:strRef>
              <c:f>'Table 9'!$D$6</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9'!$A$7:$A$15</c:f>
              <c:strCache>
                <c:ptCount val="9"/>
                <c:pt idx="0">
                  <c:v>Kayes</c:v>
                </c:pt>
                <c:pt idx="1">
                  <c:v>Koulikoro</c:v>
                </c:pt>
                <c:pt idx="2">
                  <c:v>Sikasso</c:v>
                </c:pt>
                <c:pt idx="3">
                  <c:v>Ségou</c:v>
                </c:pt>
                <c:pt idx="4">
                  <c:v>Mopti</c:v>
                </c:pt>
                <c:pt idx="5">
                  <c:v>Tombouctou</c:v>
                </c:pt>
                <c:pt idx="6">
                  <c:v>Gao</c:v>
                </c:pt>
                <c:pt idx="7">
                  <c:v>Kidal</c:v>
                </c:pt>
                <c:pt idx="8">
                  <c:v>Bamako</c:v>
                </c:pt>
              </c:strCache>
            </c:strRef>
          </c:cat>
          <c:val>
            <c:numRef>
              <c:f>'Table 9'!$D$7:$D$15</c:f>
              <c:numCache>
                <c:formatCode>#,###,##0</c:formatCode>
                <c:ptCount val="9"/>
                <c:pt idx="0">
                  <c:v>28.5168472885168</c:v>
                </c:pt>
                <c:pt idx="1">
                  <c:v>46.607279958176981</c:v>
                </c:pt>
                <c:pt idx="2">
                  <c:v>69.135556709807545</c:v>
                </c:pt>
                <c:pt idx="3">
                  <c:v>42.032656166647662</c:v>
                </c:pt>
                <c:pt idx="4">
                  <c:v>46.046119808160334</c:v>
                </c:pt>
                <c:pt idx="5">
                  <c:v>31.110185098019887</c:v>
                </c:pt>
                <c:pt idx="6">
                  <c:v>29.120644348496853</c:v>
                </c:pt>
                <c:pt idx="7">
                  <c:v>14.840420378678237</c:v>
                </c:pt>
                <c:pt idx="8">
                  <c:v>7.590313171845068</c:v>
                </c:pt>
              </c:numCache>
            </c:numRef>
          </c:val>
        </c:ser>
        <c:dLbls>
          <c:showLegendKey val="0"/>
          <c:showVal val="1"/>
          <c:showCatName val="0"/>
          <c:showSerName val="0"/>
          <c:showPercent val="0"/>
          <c:showBubbleSize val="0"/>
        </c:dLbls>
        <c:gapWidth val="75"/>
        <c:axId val="539040752"/>
        <c:axId val="539041144"/>
      </c:barChart>
      <c:catAx>
        <c:axId val="539040752"/>
        <c:scaling>
          <c:orientation val="minMax"/>
        </c:scaling>
        <c:delete val="0"/>
        <c:axPos val="b"/>
        <c:numFmt formatCode="General" sourceLinked="0"/>
        <c:majorTickMark val="none"/>
        <c:minorTickMark val="none"/>
        <c:tickLblPos val="nextTo"/>
        <c:crossAx val="539041144"/>
        <c:crosses val="autoZero"/>
        <c:auto val="1"/>
        <c:lblAlgn val="ctr"/>
        <c:lblOffset val="100"/>
        <c:noMultiLvlLbl val="0"/>
      </c:catAx>
      <c:valAx>
        <c:axId val="539041144"/>
        <c:scaling>
          <c:orientation val="minMax"/>
        </c:scaling>
        <c:delete val="0"/>
        <c:axPos val="l"/>
        <c:title>
          <c:tx>
            <c:rich>
              <a:bodyPr rot="-5400000" vert="horz"/>
              <a:lstStyle/>
              <a:p>
                <a:pPr>
                  <a:defRPr/>
                </a:pPr>
                <a:r>
                  <a:rPr lang="en-US"/>
                  <a:t>Poverty incidnece</a:t>
                </a:r>
              </a:p>
            </c:rich>
          </c:tx>
          <c:layout/>
          <c:overlay val="0"/>
        </c:title>
        <c:numFmt formatCode="#,###,##0" sourceLinked="1"/>
        <c:majorTickMark val="none"/>
        <c:minorTickMark val="none"/>
        <c:tickLblPos val="nextTo"/>
        <c:crossAx val="53904075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cereals!$B$74</c:f>
              <c:strCache>
                <c:ptCount val="1"/>
                <c:pt idx="0">
                  <c:v>mil</c:v>
                </c:pt>
              </c:strCache>
            </c:strRef>
          </c:tx>
          <c:marker>
            <c:symbol val="none"/>
          </c:marker>
          <c:cat>
            <c:strRef>
              <c:f>cereals!$C$73:$P$73</c:f>
              <c:strCache>
                <c:ptCount val="1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2011/2012</c:v>
                </c:pt>
                <c:pt idx="12">
                  <c:v>2012/2013</c:v>
                </c:pt>
                <c:pt idx="13">
                  <c:v>2013/2014</c:v>
                </c:pt>
              </c:strCache>
            </c:strRef>
          </c:cat>
          <c:val>
            <c:numRef>
              <c:f>cereals!$C$74:$P$74</c:f>
              <c:numCache>
                <c:formatCode>0</c:formatCode>
                <c:ptCount val="14"/>
                <c:pt idx="0">
                  <c:v>100.01194931877328</c:v>
                </c:pt>
                <c:pt idx="1">
                  <c:v>95.949138620538989</c:v>
                </c:pt>
                <c:pt idx="2">
                  <c:v>93.434009223844285</c:v>
                </c:pt>
                <c:pt idx="3">
                  <c:v>127.98965164504553</c:v>
                </c:pt>
                <c:pt idx="4">
                  <c:v>107.69791470105753</c:v>
                </c:pt>
                <c:pt idx="5">
                  <c:v>123.98823034979499</c:v>
                </c:pt>
                <c:pt idx="6">
                  <c:v>117.10993177302467</c:v>
                </c:pt>
                <c:pt idx="7">
                  <c:v>118.0840941851703</c:v>
                </c:pt>
                <c:pt idx="8">
                  <c:v>137.61800490030581</c:v>
                </c:pt>
                <c:pt idx="9">
                  <c:v>131.12907210029925</c:v>
                </c:pt>
                <c:pt idx="10">
                  <c:v>125.56819054884947</c:v>
                </c:pt>
                <c:pt idx="11">
                  <c:v>129.69252104355641</c:v>
                </c:pt>
                <c:pt idx="12">
                  <c:v>152.50452131699018</c:v>
                </c:pt>
                <c:pt idx="13">
                  <c:v>96.195374695694639</c:v>
                </c:pt>
              </c:numCache>
            </c:numRef>
          </c:val>
          <c:smooth val="0"/>
        </c:ser>
        <c:ser>
          <c:idx val="1"/>
          <c:order val="1"/>
          <c:tx>
            <c:strRef>
              <c:f>cereals!$B$75</c:f>
              <c:strCache>
                <c:ptCount val="1"/>
                <c:pt idx="0">
                  <c:v>sorgho</c:v>
                </c:pt>
              </c:strCache>
            </c:strRef>
          </c:tx>
          <c:marker>
            <c:symbol val="none"/>
          </c:marker>
          <c:cat>
            <c:strRef>
              <c:f>cereals!$C$73:$P$73</c:f>
              <c:strCache>
                <c:ptCount val="1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2011/2012</c:v>
                </c:pt>
                <c:pt idx="12">
                  <c:v>2012/2013</c:v>
                </c:pt>
                <c:pt idx="13">
                  <c:v>2013/2014</c:v>
                </c:pt>
              </c:strCache>
            </c:strRef>
          </c:cat>
          <c:val>
            <c:numRef>
              <c:f>cereals!$C$75:$P$75</c:f>
              <c:numCache>
                <c:formatCode>0</c:formatCode>
                <c:ptCount val="14"/>
                <c:pt idx="0">
                  <c:v>99.951304778033091</c:v>
                </c:pt>
                <c:pt idx="1">
                  <c:v>84.986881005596189</c:v>
                </c:pt>
                <c:pt idx="2">
                  <c:v>102.23359476254558</c:v>
                </c:pt>
                <c:pt idx="3">
                  <c:v>117.96493345576525</c:v>
                </c:pt>
                <c:pt idx="4">
                  <c:v>100.78944611451683</c:v>
                </c:pt>
                <c:pt idx="5">
                  <c:v>91.308756677382519</c:v>
                </c:pt>
                <c:pt idx="6">
                  <c:v>108.22530567343169</c:v>
                </c:pt>
                <c:pt idx="7">
                  <c:v>122.67864414496015</c:v>
                </c:pt>
                <c:pt idx="8">
                  <c:v>135.50050128406505</c:v>
                </c:pt>
                <c:pt idx="9">
                  <c:v>187.33047232615331</c:v>
                </c:pt>
                <c:pt idx="10">
                  <c:v>155.73998170202984</c:v>
                </c:pt>
                <c:pt idx="11">
                  <c:v>143.1779913448708</c:v>
                </c:pt>
                <c:pt idx="12">
                  <c:v>141.39784935297274</c:v>
                </c:pt>
                <c:pt idx="13">
                  <c:v>92.728339792066265</c:v>
                </c:pt>
              </c:numCache>
            </c:numRef>
          </c:val>
          <c:smooth val="0"/>
        </c:ser>
        <c:ser>
          <c:idx val="2"/>
          <c:order val="2"/>
          <c:tx>
            <c:strRef>
              <c:f>cereals!$B$76</c:f>
              <c:strCache>
                <c:ptCount val="1"/>
                <c:pt idx="0">
                  <c:v>riz paddy</c:v>
                </c:pt>
              </c:strCache>
            </c:strRef>
          </c:tx>
          <c:marker>
            <c:symbol val="none"/>
          </c:marker>
          <c:cat>
            <c:strRef>
              <c:f>cereals!$C$73:$P$73</c:f>
              <c:strCache>
                <c:ptCount val="1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2011/2012</c:v>
                </c:pt>
                <c:pt idx="12">
                  <c:v>2012/2013</c:v>
                </c:pt>
                <c:pt idx="13">
                  <c:v>2013/2014</c:v>
                </c:pt>
              </c:strCache>
            </c:strRef>
          </c:cat>
          <c:val>
            <c:numRef>
              <c:f>cereals!$C$76:$P$76</c:f>
              <c:numCache>
                <c:formatCode>0</c:formatCode>
                <c:ptCount val="14"/>
                <c:pt idx="0">
                  <c:v>100.02444696286611</c:v>
                </c:pt>
                <c:pt idx="1">
                  <c:v>122.56053644240735</c:v>
                </c:pt>
                <c:pt idx="2">
                  <c:v>87.73819023971555</c:v>
                </c:pt>
                <c:pt idx="3">
                  <c:v>118.73752983241152</c:v>
                </c:pt>
                <c:pt idx="4">
                  <c:v>101.30027486509415</c:v>
                </c:pt>
                <c:pt idx="5">
                  <c:v>109.09960251904873</c:v>
                </c:pt>
                <c:pt idx="6">
                  <c:v>118.03701365059135</c:v>
                </c:pt>
                <c:pt idx="7">
                  <c:v>117.15625627162304</c:v>
                </c:pt>
                <c:pt idx="8">
                  <c:v>170.28486286742074</c:v>
                </c:pt>
                <c:pt idx="9">
                  <c:v>198.17099860126498</c:v>
                </c:pt>
                <c:pt idx="10">
                  <c:v>227.06870873465155</c:v>
                </c:pt>
                <c:pt idx="11">
                  <c:v>166.17871443008494</c:v>
                </c:pt>
                <c:pt idx="12">
                  <c:v>177.48446887952201</c:v>
                </c:pt>
                <c:pt idx="13">
                  <c:v>198.89162361000308</c:v>
                </c:pt>
              </c:numCache>
            </c:numRef>
          </c:val>
          <c:smooth val="0"/>
        </c:ser>
        <c:ser>
          <c:idx val="3"/>
          <c:order val="3"/>
          <c:tx>
            <c:strRef>
              <c:f>cereals!$B$77</c:f>
              <c:strCache>
                <c:ptCount val="1"/>
                <c:pt idx="0">
                  <c:v>mais</c:v>
                </c:pt>
              </c:strCache>
            </c:strRef>
          </c:tx>
          <c:marker>
            <c:symbol val="none"/>
          </c:marker>
          <c:cat>
            <c:strRef>
              <c:f>cereals!$C$73:$P$73</c:f>
              <c:strCache>
                <c:ptCount val="1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2011/2012</c:v>
                </c:pt>
                <c:pt idx="12">
                  <c:v>2012/2013</c:v>
                </c:pt>
                <c:pt idx="13">
                  <c:v>2013/2014</c:v>
                </c:pt>
              </c:strCache>
            </c:strRef>
          </c:cat>
          <c:val>
            <c:numRef>
              <c:f>cereals!$C$77:$P$77</c:f>
              <c:numCache>
                <c:formatCode>0</c:formatCode>
                <c:ptCount val="14"/>
                <c:pt idx="0">
                  <c:v>100.03839091146881</c:v>
                </c:pt>
                <c:pt idx="1">
                  <c:v>131.72561366245984</c:v>
                </c:pt>
                <c:pt idx="2">
                  <c:v>154.63399424585251</c:v>
                </c:pt>
                <c:pt idx="3">
                  <c:v>209.16892049231598</c:v>
                </c:pt>
                <c:pt idx="4">
                  <c:v>182.9550590221956</c:v>
                </c:pt>
                <c:pt idx="5">
                  <c:v>244.84834303245449</c:v>
                </c:pt>
                <c:pt idx="6">
                  <c:v>264.23598587828872</c:v>
                </c:pt>
                <c:pt idx="7">
                  <c:v>249.8379940292001</c:v>
                </c:pt>
                <c:pt idx="8">
                  <c:v>243.79878875404489</c:v>
                </c:pt>
                <c:pt idx="9">
                  <c:v>501.97507093499331</c:v>
                </c:pt>
                <c:pt idx="10">
                  <c:v>462.4703419306415</c:v>
                </c:pt>
                <c:pt idx="11">
                  <c:v>414.97914273460924</c:v>
                </c:pt>
                <c:pt idx="12">
                  <c:v>531.42569269163153</c:v>
                </c:pt>
                <c:pt idx="13">
                  <c:v>447.73180692248042</c:v>
                </c:pt>
              </c:numCache>
            </c:numRef>
          </c:val>
          <c:smooth val="0"/>
        </c:ser>
        <c:dLbls>
          <c:showLegendKey val="0"/>
          <c:showVal val="0"/>
          <c:showCatName val="0"/>
          <c:showSerName val="0"/>
          <c:showPercent val="0"/>
          <c:showBubbleSize val="0"/>
        </c:dLbls>
        <c:smooth val="0"/>
        <c:axId val="539041928"/>
        <c:axId val="539042320"/>
      </c:lineChart>
      <c:catAx>
        <c:axId val="539041928"/>
        <c:scaling>
          <c:orientation val="minMax"/>
        </c:scaling>
        <c:delete val="0"/>
        <c:axPos val="b"/>
        <c:numFmt formatCode="General" sourceLinked="0"/>
        <c:majorTickMark val="none"/>
        <c:minorTickMark val="none"/>
        <c:tickLblPos val="nextTo"/>
        <c:crossAx val="539042320"/>
        <c:crosses val="autoZero"/>
        <c:auto val="1"/>
        <c:lblAlgn val="ctr"/>
        <c:lblOffset val="100"/>
        <c:noMultiLvlLbl val="0"/>
      </c:catAx>
      <c:valAx>
        <c:axId val="539042320"/>
        <c:scaling>
          <c:orientation val="minMax"/>
        </c:scaling>
        <c:delete val="0"/>
        <c:axPos val="l"/>
        <c:majorGridlines/>
        <c:title>
          <c:tx>
            <c:rich>
              <a:bodyPr rot="-5400000" vert="horz"/>
              <a:lstStyle/>
              <a:p>
                <a:pPr>
                  <a:defRPr/>
                </a:pPr>
                <a:r>
                  <a:rPr lang="en-US"/>
                  <a:t>Index of production per capita  (2000/1=100)</a:t>
                </a:r>
              </a:p>
            </c:rich>
          </c:tx>
          <c:layout/>
          <c:overlay val="0"/>
        </c:title>
        <c:numFmt formatCode="0" sourceLinked="1"/>
        <c:majorTickMark val="none"/>
        <c:minorTickMark val="none"/>
        <c:tickLblPos val="nextTo"/>
        <c:spPr>
          <a:ln w="9525">
            <a:noFill/>
          </a:ln>
        </c:spPr>
        <c:crossAx val="539041928"/>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cotton!$M$44</c:f>
              <c:strCache>
                <c:ptCount val="1"/>
                <c:pt idx="0">
                  <c:v>   Production (CMDT)</c:v>
                </c:pt>
              </c:strCache>
            </c:strRef>
          </c:tx>
          <c:invertIfNegative val="0"/>
          <c:cat>
            <c:strRef>
              <c:f>cotton!$N$43:$AF$43</c:f>
              <c:strCache>
                <c:ptCount val="19"/>
                <c:pt idx="0">
                  <c:v>1995</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cotton!$N$44:$AF$44</c:f>
              <c:numCache>
                <c:formatCode>_(* #,##0_);_(* \(#,##0\);_(* "-"??_);_(@_)</c:formatCode>
                <c:ptCount val="19"/>
                <c:pt idx="0">
                  <c:v>240252</c:v>
                </c:pt>
                <c:pt idx="1">
                  <c:v>293021</c:v>
                </c:pt>
                <c:pt idx="2">
                  <c:v>405939</c:v>
                </c:pt>
                <c:pt idx="3">
                  <c:v>452047</c:v>
                </c:pt>
                <c:pt idx="4">
                  <c:v>522633</c:v>
                </c:pt>
                <c:pt idx="5">
                  <c:v>518752</c:v>
                </c:pt>
                <c:pt idx="6">
                  <c:v>459798</c:v>
                </c:pt>
                <c:pt idx="7">
                  <c:v>242724</c:v>
                </c:pt>
                <c:pt idx="8">
                  <c:v>570925</c:v>
                </c:pt>
                <c:pt idx="9">
                  <c:v>439772</c:v>
                </c:pt>
                <c:pt idx="10">
                  <c:v>610704</c:v>
                </c:pt>
                <c:pt idx="11">
                  <c:v>585853</c:v>
                </c:pt>
                <c:pt idx="12">
                  <c:v>534390</c:v>
                </c:pt>
                <c:pt idx="13">
                  <c:v>414963</c:v>
                </c:pt>
                <c:pt idx="14">
                  <c:v>201462</c:v>
                </c:pt>
                <c:pt idx="15">
                  <c:v>229019</c:v>
                </c:pt>
                <c:pt idx="16">
                  <c:v>243589</c:v>
                </c:pt>
                <c:pt idx="17">
                  <c:v>445314</c:v>
                </c:pt>
                <c:pt idx="18">
                  <c:v>449646</c:v>
                </c:pt>
              </c:numCache>
            </c:numRef>
          </c:val>
        </c:ser>
        <c:dLbls>
          <c:showLegendKey val="0"/>
          <c:showVal val="0"/>
          <c:showCatName val="0"/>
          <c:showSerName val="0"/>
          <c:showPercent val="0"/>
          <c:showBubbleSize val="0"/>
        </c:dLbls>
        <c:gapWidth val="75"/>
        <c:overlap val="-25"/>
        <c:axId val="539043104"/>
        <c:axId val="539043496"/>
      </c:barChart>
      <c:lineChart>
        <c:grouping val="standard"/>
        <c:varyColors val="0"/>
        <c:ser>
          <c:idx val="1"/>
          <c:order val="1"/>
          <c:tx>
            <c:strRef>
              <c:f>cotton!$M$46</c:f>
              <c:strCache>
                <c:ptCount val="1"/>
                <c:pt idx="0">
                  <c:v>Valuer de la production</c:v>
                </c:pt>
              </c:strCache>
            </c:strRef>
          </c:tx>
          <c:marker>
            <c:symbol val="none"/>
          </c:marker>
          <c:cat>
            <c:strRef>
              <c:f>cotton!$N$43:$AF$43</c:f>
              <c:strCache>
                <c:ptCount val="19"/>
                <c:pt idx="0">
                  <c:v>1995</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cotton!$N$46:$AF$46</c:f>
              <c:numCache>
                <c:formatCode>_(* #,##0.00_);_(* \(#,##0.00\);_(* "-"??_);_(@_)</c:formatCode>
                <c:ptCount val="19"/>
                <c:pt idx="0">
                  <c:v>126.91159893215999</c:v>
                </c:pt>
                <c:pt idx="1">
                  <c:v>132.59524775399998</c:v>
                </c:pt>
                <c:pt idx="2">
                  <c:v>158.66697593999999</c:v>
                </c:pt>
                <c:pt idx="3">
                  <c:v>147.76656</c:v>
                </c:pt>
                <c:pt idx="4">
                  <c:v>150.13884982999997</c:v>
                </c:pt>
                <c:pt idx="5">
                  <c:v>109.07675999999999</c:v>
                </c:pt>
                <c:pt idx="6">
                  <c:v>81.487644261420002</c:v>
                </c:pt>
                <c:pt idx="7">
                  <c:v>138.339765</c:v>
                </c:pt>
                <c:pt idx="8">
                  <c:v>140.85161445720078</c:v>
                </c:pt>
                <c:pt idx="9">
                  <c:v>181.35699687954667</c:v>
                </c:pt>
                <c:pt idx="10">
                  <c:v>143.919123222</c:v>
                </c:pt>
                <c:pt idx="11">
                  <c:v>131.82093287999999</c:v>
                </c:pt>
                <c:pt idx="12">
                  <c:v>109.56769563980001</c:v>
                </c:pt>
                <c:pt idx="13">
                  <c:v>53.819155487600014</c:v>
                </c:pt>
                <c:pt idx="14">
                  <c:v>68.829398702399999</c:v>
                </c:pt>
                <c:pt idx="15">
                  <c:v>106.72223776486301</c:v>
                </c:pt>
                <c:pt idx="16">
                  <c:v>161.63246170601093</c:v>
                </c:pt>
                <c:pt idx="17">
                  <c:v>155.9038073926431</c:v>
                </c:pt>
                <c:pt idx="18">
                  <c:v>139.39062881986854</c:v>
                </c:pt>
              </c:numCache>
            </c:numRef>
          </c:val>
          <c:smooth val="0"/>
        </c:ser>
        <c:dLbls>
          <c:showLegendKey val="0"/>
          <c:showVal val="0"/>
          <c:showCatName val="0"/>
          <c:showSerName val="0"/>
          <c:showPercent val="0"/>
          <c:showBubbleSize val="0"/>
        </c:dLbls>
        <c:marker val="1"/>
        <c:smooth val="0"/>
        <c:axId val="539044280"/>
        <c:axId val="539043888"/>
      </c:lineChart>
      <c:catAx>
        <c:axId val="539043104"/>
        <c:scaling>
          <c:orientation val="minMax"/>
        </c:scaling>
        <c:delete val="0"/>
        <c:axPos val="b"/>
        <c:numFmt formatCode="General" sourceLinked="0"/>
        <c:majorTickMark val="none"/>
        <c:minorTickMark val="none"/>
        <c:tickLblPos val="nextTo"/>
        <c:crossAx val="539043496"/>
        <c:crosses val="autoZero"/>
        <c:auto val="1"/>
        <c:lblAlgn val="ctr"/>
        <c:lblOffset val="100"/>
        <c:noMultiLvlLbl val="0"/>
      </c:catAx>
      <c:valAx>
        <c:axId val="539043496"/>
        <c:scaling>
          <c:orientation val="minMax"/>
        </c:scaling>
        <c:delete val="0"/>
        <c:axPos val="l"/>
        <c:majorGridlines/>
        <c:title>
          <c:tx>
            <c:rich>
              <a:bodyPr rot="-5400000" vert="horz"/>
              <a:lstStyle/>
              <a:p>
                <a:pPr>
                  <a:defRPr/>
                </a:pPr>
                <a:r>
                  <a:rPr lang="en-US"/>
                  <a:t>Production (tons)</a:t>
                </a:r>
              </a:p>
            </c:rich>
          </c:tx>
          <c:layout/>
          <c:overlay val="0"/>
        </c:title>
        <c:numFmt formatCode="_(* #,##0_);_(* \(#,##0\);_(* &quot;-&quot;??_);_(@_)" sourceLinked="1"/>
        <c:majorTickMark val="none"/>
        <c:minorTickMark val="none"/>
        <c:tickLblPos val="nextTo"/>
        <c:spPr>
          <a:ln w="9525">
            <a:noFill/>
          </a:ln>
        </c:spPr>
        <c:crossAx val="539043104"/>
        <c:crosses val="autoZero"/>
        <c:crossBetween val="between"/>
      </c:valAx>
      <c:valAx>
        <c:axId val="539043888"/>
        <c:scaling>
          <c:orientation val="minMax"/>
        </c:scaling>
        <c:delete val="0"/>
        <c:axPos val="r"/>
        <c:title>
          <c:tx>
            <c:rich>
              <a:bodyPr rot="-5400000" vert="horz"/>
              <a:lstStyle/>
              <a:p>
                <a:pPr>
                  <a:defRPr/>
                </a:pPr>
                <a:r>
                  <a:rPr lang="en-US"/>
                  <a:t>value of  production ($ millions)</a:t>
                </a:r>
              </a:p>
            </c:rich>
          </c:tx>
          <c:layout/>
          <c:overlay val="0"/>
        </c:title>
        <c:numFmt formatCode="_(* #,##0.00_);_(* \(#,##0.00\);_(* &quot;-&quot;??_);_(@_)" sourceLinked="1"/>
        <c:majorTickMark val="out"/>
        <c:minorTickMark val="none"/>
        <c:tickLblPos val="nextTo"/>
        <c:crossAx val="539044280"/>
        <c:crosses val="max"/>
        <c:crossBetween val="between"/>
      </c:valAx>
      <c:catAx>
        <c:axId val="539044280"/>
        <c:scaling>
          <c:orientation val="minMax"/>
        </c:scaling>
        <c:delete val="1"/>
        <c:axPos val="b"/>
        <c:numFmt formatCode="General" sourceLinked="1"/>
        <c:majorTickMark val="out"/>
        <c:minorTickMark val="none"/>
        <c:tickLblPos val="nextTo"/>
        <c:crossAx val="539043888"/>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'C:\Users\wb198498\Documents\Mali\Analysis\Migrants\[Number of external migrants.xlsx]Sheet1'!$B$28</c:f>
              <c:strCache>
                <c:ptCount val="1"/>
                <c:pt idx="0">
                  <c:v>Remittances from wokers abroad</c:v>
                </c:pt>
              </c:strCache>
            </c:strRef>
          </c:tx>
          <c:marker>
            <c:symbol val="none"/>
          </c:marker>
          <c:cat>
            <c:numRef>
              <c:f>'C:\Users\wb198498\Documents\Mali\Analysis\Migrants\[Number of external migrants.xlsx]Sheet1'!$C$27:$P$27</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'C:\Users\wb198498\Documents\Mali\Analysis\Migrants\[Number of external migrants.xlsx]Sheet1'!$C$28:$P$28</c:f>
              <c:numCache>
                <c:formatCode>General</c:formatCode>
                <c:ptCount val="14"/>
                <c:pt idx="0">
                  <c:v>100.00000155390165</c:v>
                </c:pt>
                <c:pt idx="1">
                  <c:v>105.76548518482542</c:v>
                </c:pt>
                <c:pt idx="2">
                  <c:v>143.17719649114025</c:v>
                </c:pt>
                <c:pt idx="3">
                  <c:v>124.988146510796</c:v>
                </c:pt>
                <c:pt idx="4">
                  <c:v>113.29586868337218</c:v>
                </c:pt>
                <c:pt idx="5">
                  <c:v>121.73925879782868</c:v>
                </c:pt>
                <c:pt idx="6">
                  <c:v>148.87529355733352</c:v>
                </c:pt>
                <c:pt idx="7">
                  <c:v>202.55001383718209</c:v>
                </c:pt>
                <c:pt idx="8">
                  <c:v>250.68534092318421</c:v>
                </c:pt>
                <c:pt idx="9">
                  <c:v>267.42499010031696</c:v>
                </c:pt>
                <c:pt idx="10">
                  <c:v>286.50602112733407</c:v>
                </c:pt>
                <c:pt idx="11">
                  <c:v>264.11629462844724</c:v>
                </c:pt>
                <c:pt idx="12">
                  <c:v>294.77486572877257</c:v>
                </c:pt>
                <c:pt idx="13">
                  <c:v>286.29021468931472</c:v>
                </c:pt>
              </c:numCache>
            </c:numRef>
          </c:val>
          <c:smooth val="0"/>
        </c:ser>
        <c:dLbls>
          <c:showLegendKey val="0"/>
          <c:showVal val="0"/>
          <c:showCatName val="0"/>
          <c:showSerName val="0"/>
          <c:showPercent val="0"/>
          <c:showBubbleSize val="0"/>
        </c:dLbls>
        <c:smooth val="0"/>
        <c:axId val="539045064"/>
        <c:axId val="539045456"/>
      </c:lineChart>
      <c:catAx>
        <c:axId val="539045064"/>
        <c:scaling>
          <c:orientation val="minMax"/>
        </c:scaling>
        <c:delete val="0"/>
        <c:axPos val="b"/>
        <c:numFmt formatCode="General" sourceLinked="1"/>
        <c:majorTickMark val="none"/>
        <c:minorTickMark val="none"/>
        <c:tickLblPos val="nextTo"/>
        <c:crossAx val="539045456"/>
        <c:crosses val="autoZero"/>
        <c:auto val="1"/>
        <c:lblAlgn val="ctr"/>
        <c:lblOffset val="100"/>
        <c:noMultiLvlLbl val="0"/>
      </c:catAx>
      <c:valAx>
        <c:axId val="539045456"/>
        <c:scaling>
          <c:orientation val="minMax"/>
          <c:max val="300"/>
        </c:scaling>
        <c:delete val="0"/>
        <c:axPos val="l"/>
        <c:majorGridlines/>
        <c:title>
          <c:tx>
            <c:rich>
              <a:bodyPr rot="-5400000" vert="horz"/>
              <a:lstStyle/>
              <a:p>
                <a:pPr>
                  <a:defRPr/>
                </a:pPr>
                <a:r>
                  <a:rPr lang="en-US"/>
                  <a:t>Index (2000=100)</a:t>
                </a:r>
              </a:p>
            </c:rich>
          </c:tx>
          <c:layout/>
          <c:overlay val="0"/>
        </c:title>
        <c:numFmt formatCode="General" sourceLinked="1"/>
        <c:majorTickMark val="none"/>
        <c:minorTickMark val="none"/>
        <c:tickLblPos val="nextTo"/>
        <c:spPr>
          <a:ln w="9525">
            <a:noFill/>
          </a:ln>
        </c:spPr>
        <c:crossAx val="53904506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2: Nomadic and transhumant pastoralism</a:t>
            </a:r>
          </a:p>
        </c:rich>
      </c:tx>
      <c:layout>
        <c:manualLayout>
          <c:xMode val="edge"/>
          <c:yMode val="edge"/>
          <c:x val="0.29649196482018692"/>
          <c:y val="3.4700315457413249E-2"/>
        </c:manualLayout>
      </c:layout>
      <c:overlay val="0"/>
      <c:spPr>
        <a:noFill/>
        <a:ln w="25400">
          <a:noFill/>
        </a:ln>
      </c:spPr>
    </c:title>
    <c:autoTitleDeleted val="0"/>
    <c:plotArea>
      <c:layout>
        <c:manualLayout>
          <c:layoutTarget val="inner"/>
          <c:xMode val="edge"/>
          <c:yMode val="edge"/>
          <c:x val="9.6491393385748025E-2"/>
          <c:y val="0.17981072555205049"/>
          <c:w val="0.86666815150108223"/>
          <c:h val="0.67823343848580486"/>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Liu\AppData\Local\Temp\__ADEPT__59697368656E204C6975__SESSION_40b214521d0f432e8f051008a5d353ec\Modules\poverty\Output\[adept_poverty_3.xls]Figure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Liu\AppData\Local\Temp\__ADEPT__59697368656E204C6975__SESSION_40b214521d0f432e8f051008a5d353ec\Modules\poverty\Output\[adept_poverty_3.xls]Figure 2.1_DATA'!$B$2:$B$102</c:f>
              <c:numCache>
                <c:formatCode>General</c:formatCode>
                <c:ptCount val="101"/>
                <c:pt idx="0">
                  <c:v>-4.3663926124572754</c:v>
                </c:pt>
                <c:pt idx="1">
                  <c:v>-4.3663926124572754</c:v>
                </c:pt>
                <c:pt idx="2">
                  <c:v>-2.8069872856140137</c:v>
                </c:pt>
                <c:pt idx="3">
                  <c:v>-2.4699618816375732</c:v>
                </c:pt>
                <c:pt idx="4">
                  <c:v>-2.4603095054626465</c:v>
                </c:pt>
                <c:pt idx="5">
                  <c:v>-2.5687882900238037</c:v>
                </c:pt>
                <c:pt idx="6">
                  <c:v>-3.44808030128479</c:v>
                </c:pt>
                <c:pt idx="7">
                  <c:v>-2.7498712539672852</c:v>
                </c:pt>
                <c:pt idx="8">
                  <c:v>-2.7440216541290283</c:v>
                </c:pt>
                <c:pt idx="9">
                  <c:v>-2.339397668838501</c:v>
                </c:pt>
                <c:pt idx="10">
                  <c:v>-1.8957575559616089</c:v>
                </c:pt>
                <c:pt idx="11">
                  <c:v>-1.0313479900360107</c:v>
                </c:pt>
                <c:pt idx="12">
                  <c:v>-1.2330180406570435</c:v>
                </c:pt>
                <c:pt idx="13">
                  <c:v>-1.0991033315658569</c:v>
                </c:pt>
                <c:pt idx="14">
                  <c:v>-1.0832312107086182</c:v>
                </c:pt>
                <c:pt idx="15">
                  <c:v>-1.5875568389892578</c:v>
                </c:pt>
                <c:pt idx="16">
                  <c:v>-1.381948709487915</c:v>
                </c:pt>
                <c:pt idx="17">
                  <c:v>-1.2802972793579102</c:v>
                </c:pt>
                <c:pt idx="18">
                  <c:v>-1.9070580005645752</c:v>
                </c:pt>
                <c:pt idx="19">
                  <c:v>-2.1751902103424072</c:v>
                </c:pt>
                <c:pt idx="20">
                  <c:v>-2.9960987567901611</c:v>
                </c:pt>
                <c:pt idx="21">
                  <c:v>-2.9859001636505127</c:v>
                </c:pt>
                <c:pt idx="22">
                  <c:v>-3.3664002418518066</c:v>
                </c:pt>
                <c:pt idx="23">
                  <c:v>-3.6431894302368164</c:v>
                </c:pt>
                <c:pt idx="24">
                  <c:v>-3.574176549911499</c:v>
                </c:pt>
                <c:pt idx="25">
                  <c:v>-3.4245624542236328</c:v>
                </c:pt>
                <c:pt idx="26">
                  <c:v>-3.7311701774597168</c:v>
                </c:pt>
                <c:pt idx="27">
                  <c:v>-3.5412425994873047</c:v>
                </c:pt>
                <c:pt idx="28">
                  <c:v>-3.225703239440918</c:v>
                </c:pt>
                <c:pt idx="29">
                  <c:v>-2.9886209964752197</c:v>
                </c:pt>
                <c:pt idx="30">
                  <c:v>-3.5715606212615967</c:v>
                </c:pt>
                <c:pt idx="31">
                  <c:v>-3.3331706523895264</c:v>
                </c:pt>
                <c:pt idx="32">
                  <c:v>-3.2147190570831299</c:v>
                </c:pt>
                <c:pt idx="33">
                  <c:v>-3.1581566333770752</c:v>
                </c:pt>
                <c:pt idx="34">
                  <c:v>-3.1240594387054443</c:v>
                </c:pt>
                <c:pt idx="35">
                  <c:v>-3.1359870433807373</c:v>
                </c:pt>
                <c:pt idx="36">
                  <c:v>-2.6360311508178711</c:v>
                </c:pt>
                <c:pt idx="37">
                  <c:v>-2.2305505275726318</c:v>
                </c:pt>
                <c:pt idx="38">
                  <c:v>-2.3710083961486816</c:v>
                </c:pt>
                <c:pt idx="39">
                  <c:v>-2.6513960361480713</c:v>
                </c:pt>
                <c:pt idx="40">
                  <c:v>-2.5156595706939697</c:v>
                </c:pt>
                <c:pt idx="41">
                  <c:v>-2.4283978939056396</c:v>
                </c:pt>
                <c:pt idx="42">
                  <c:v>-2.5042946338653564</c:v>
                </c:pt>
                <c:pt idx="43">
                  <c:v>-2.6395285129547119</c:v>
                </c:pt>
                <c:pt idx="44">
                  <c:v>-2.7118182182312012</c:v>
                </c:pt>
                <c:pt idx="45">
                  <c:v>-2.7149732112884521</c:v>
                </c:pt>
                <c:pt idx="46">
                  <c:v>-2.8012857437133789</c:v>
                </c:pt>
                <c:pt idx="47">
                  <c:v>-3.2735493183135986</c:v>
                </c:pt>
                <c:pt idx="48">
                  <c:v>-3.2858445644378662</c:v>
                </c:pt>
                <c:pt idx="49">
                  <c:v>-3.2130460739135742</c:v>
                </c:pt>
                <c:pt idx="50">
                  <c:v>-3.1969270706176758</c:v>
                </c:pt>
                <c:pt idx="51">
                  <c:v>-3.1303818225860596</c:v>
                </c:pt>
                <c:pt idx="52">
                  <c:v>-3.1707723140716553</c:v>
                </c:pt>
                <c:pt idx="53">
                  <c:v>-3.4633550643920898</c:v>
                </c:pt>
                <c:pt idx="54">
                  <c:v>-3.3802802562713623</c:v>
                </c:pt>
                <c:pt idx="55">
                  <c:v>-3.4453001022338867</c:v>
                </c:pt>
                <c:pt idx="56">
                  <c:v>-3.5158748626708984</c:v>
                </c:pt>
                <c:pt idx="57">
                  <c:v>-3.1203327178955078</c:v>
                </c:pt>
                <c:pt idx="58">
                  <c:v>-3.3715243339538574</c:v>
                </c:pt>
                <c:pt idx="59">
                  <c:v>-3.5247650146484375</c:v>
                </c:pt>
                <c:pt idx="60">
                  <c:v>-3.4665591716766357</c:v>
                </c:pt>
                <c:pt idx="61">
                  <c:v>-3.3181357383728027</c:v>
                </c:pt>
                <c:pt idx="62">
                  <c:v>-3.2780759334564209</c:v>
                </c:pt>
                <c:pt idx="63">
                  <c:v>-3.2055654525756836</c:v>
                </c:pt>
                <c:pt idx="64">
                  <c:v>-3.3822948932647705</c:v>
                </c:pt>
                <c:pt idx="65">
                  <c:v>-3.2464098930358887</c:v>
                </c:pt>
                <c:pt idx="66">
                  <c:v>-3.0203087329864502</c:v>
                </c:pt>
                <c:pt idx="67">
                  <c:v>-3.0880551338195801</c:v>
                </c:pt>
                <c:pt idx="68">
                  <c:v>-2.958268404006958</c:v>
                </c:pt>
                <c:pt idx="69">
                  <c:v>-3.2712545394897461</c:v>
                </c:pt>
                <c:pt idx="70">
                  <c:v>-3.1023526191711426</c:v>
                </c:pt>
                <c:pt idx="71">
                  <c:v>-3.4203741550445557</c:v>
                </c:pt>
                <c:pt idx="72">
                  <c:v>-3.575040340423584</c:v>
                </c:pt>
                <c:pt idx="73">
                  <c:v>-3.836838960647583</c:v>
                </c:pt>
                <c:pt idx="74">
                  <c:v>-3.7875597476959229</c:v>
                </c:pt>
                <c:pt idx="75">
                  <c:v>-3.7418022155761719</c:v>
                </c:pt>
                <c:pt idx="76">
                  <c:v>-3.9393022060394287</c:v>
                </c:pt>
                <c:pt idx="77">
                  <c:v>-3.9074447154998779</c:v>
                </c:pt>
                <c:pt idx="78">
                  <c:v>-4.1017417907714844</c:v>
                </c:pt>
                <c:pt idx="79">
                  <c:v>-4.1974735260009766</c:v>
                </c:pt>
                <c:pt idx="80">
                  <c:v>-4.2477893829345703</c:v>
                </c:pt>
                <c:pt idx="81">
                  <c:v>-4.1975455284118652</c:v>
                </c:pt>
                <c:pt idx="82">
                  <c:v>-4.0446701049804687</c:v>
                </c:pt>
                <c:pt idx="83">
                  <c:v>-3.6611568927764893</c:v>
                </c:pt>
                <c:pt idx="84">
                  <c:v>-3.4195964336395264</c:v>
                </c:pt>
                <c:pt idx="85">
                  <c:v>-3.1958813667297363</c:v>
                </c:pt>
                <c:pt idx="86">
                  <c:v>-3.0726158618927002</c:v>
                </c:pt>
                <c:pt idx="87">
                  <c:v>-2.8497028350830078</c:v>
                </c:pt>
                <c:pt idx="88">
                  <c:v>-2.6256954669952393</c:v>
                </c:pt>
                <c:pt idx="89">
                  <c:v>-2.3161823749542236</c:v>
                </c:pt>
                <c:pt idx="90">
                  <c:v>-1.9999103546142578</c:v>
                </c:pt>
                <c:pt idx="91">
                  <c:v>-2.2047364711761475</c:v>
                </c:pt>
                <c:pt idx="92">
                  <c:v>-2.0477180480957031</c:v>
                </c:pt>
                <c:pt idx="93">
                  <c:v>-1.8367428779602051</c:v>
                </c:pt>
                <c:pt idx="94">
                  <c:v>-1.765743613243103</c:v>
                </c:pt>
                <c:pt idx="95">
                  <c:v>-1.7733767032623291</c:v>
                </c:pt>
                <c:pt idx="96">
                  <c:v>-1.6928458213806152</c:v>
                </c:pt>
                <c:pt idx="97">
                  <c:v>-2.39304518699646</c:v>
                </c:pt>
                <c:pt idx="98">
                  <c:v>-3.4942269325256348</c:v>
                </c:pt>
                <c:pt idx="99">
                  <c:v>-6.4183621406555176</c:v>
                </c:pt>
                <c:pt idx="100">
                  <c:v>-6.8956866264343262</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Liu\AppData\Local\Temp\__ADEPT__59697368656E204C6975__SESSION_40b214521d0f432e8f051008a5d353ec\Modules\poverty\Output\[adept_poverty_3.xls]Figure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Liu\AppData\Local\Temp\__ADEPT__59697368656E204C6975__SESSION_40b214521d0f432e8f051008a5d353ec\Modules\poverty\Output\[adept_poverty_3.xls]Figure 2.1_DATA'!$C$2:$C$102</c:f>
              <c:numCache>
                <c:formatCode>General</c:formatCode>
                <c:ptCount val="101"/>
                <c:pt idx="0">
                  <c:v>2.0104749202728271</c:v>
                </c:pt>
                <c:pt idx="1">
                  <c:v>2.0104749202728271</c:v>
                </c:pt>
                <c:pt idx="2">
                  <c:v>0.99307864904403687</c:v>
                </c:pt>
                <c:pt idx="3">
                  <c:v>0.83313953876495361</c:v>
                </c:pt>
                <c:pt idx="4">
                  <c:v>1.0239716768264771</c:v>
                </c:pt>
                <c:pt idx="5">
                  <c:v>1.5161082744598389</c:v>
                </c:pt>
                <c:pt idx="6">
                  <c:v>2.3646390438079834</c:v>
                </c:pt>
                <c:pt idx="7">
                  <c:v>2.0329990386962891</c:v>
                </c:pt>
                <c:pt idx="8">
                  <c:v>2.1986820697784424</c:v>
                </c:pt>
                <c:pt idx="9">
                  <c:v>2.1708035469055176</c:v>
                </c:pt>
                <c:pt idx="10">
                  <c:v>2.0718281269073486</c:v>
                </c:pt>
                <c:pt idx="11">
                  <c:v>1.4863941669464111</c:v>
                </c:pt>
                <c:pt idx="12">
                  <c:v>1.7596714496612549</c:v>
                </c:pt>
                <c:pt idx="13">
                  <c:v>1.7834197282791138</c:v>
                </c:pt>
                <c:pt idx="14">
                  <c:v>1.8032824993133545</c:v>
                </c:pt>
                <c:pt idx="15">
                  <c:v>2.2034249305725098</c:v>
                </c:pt>
                <c:pt idx="16">
                  <c:v>2.0394446849822998</c:v>
                </c:pt>
                <c:pt idx="17">
                  <c:v>1.9641396999359131</c:v>
                </c:pt>
                <c:pt idx="18">
                  <c:v>2.496880054473877</c:v>
                </c:pt>
                <c:pt idx="19">
                  <c:v>2.6497097015380859</c:v>
                </c:pt>
                <c:pt idx="20">
                  <c:v>3.2807402610778809</c:v>
                </c:pt>
                <c:pt idx="21">
                  <c:v>3.2893233299255371</c:v>
                </c:pt>
                <c:pt idx="22">
                  <c:v>3.5901811122894287</c:v>
                </c:pt>
                <c:pt idx="23">
                  <c:v>3.6962437629699707</c:v>
                </c:pt>
                <c:pt idx="24">
                  <c:v>3.4990098476409912</c:v>
                </c:pt>
                <c:pt idx="25">
                  <c:v>3.1261332035064697</c:v>
                </c:pt>
                <c:pt idx="26">
                  <c:v>3.2313492298126221</c:v>
                </c:pt>
                <c:pt idx="27">
                  <c:v>2.84865403175354</c:v>
                </c:pt>
                <c:pt idx="28">
                  <c:v>2.4298114776611328</c:v>
                </c:pt>
                <c:pt idx="29">
                  <c:v>1.9955720901489258</c:v>
                </c:pt>
                <c:pt idx="30">
                  <c:v>2.3833925724029541</c:v>
                </c:pt>
                <c:pt idx="31">
                  <c:v>2.061305046081543</c:v>
                </c:pt>
                <c:pt idx="32">
                  <c:v>1.9646052122116089</c:v>
                </c:pt>
                <c:pt idx="33">
                  <c:v>1.9357243776321411</c:v>
                </c:pt>
                <c:pt idx="34">
                  <c:v>1.9787927865982056</c:v>
                </c:pt>
                <c:pt idx="35">
                  <c:v>1.9753869771957397</c:v>
                </c:pt>
                <c:pt idx="36">
                  <c:v>1.4088475704193115</c:v>
                </c:pt>
                <c:pt idx="37">
                  <c:v>1.1091853380203247</c:v>
                </c:pt>
                <c:pt idx="38">
                  <c:v>1.2726343870162964</c:v>
                </c:pt>
                <c:pt idx="39">
                  <c:v>1.5079333782196045</c:v>
                </c:pt>
                <c:pt idx="40">
                  <c:v>1.4756145477294922</c:v>
                </c:pt>
                <c:pt idx="41">
                  <c:v>1.5158696174621582</c:v>
                </c:pt>
                <c:pt idx="42">
                  <c:v>1.5153423547744751</c:v>
                </c:pt>
                <c:pt idx="43">
                  <c:v>1.57686448097229</c:v>
                </c:pt>
                <c:pt idx="44">
                  <c:v>1.6530345678329468</c:v>
                </c:pt>
                <c:pt idx="45">
                  <c:v>1.6737183332443237</c:v>
                </c:pt>
                <c:pt idx="46">
                  <c:v>1.7496728897094727</c:v>
                </c:pt>
                <c:pt idx="47">
                  <c:v>2.1323206424713135</c:v>
                </c:pt>
                <c:pt idx="48">
                  <c:v>2.1608536243438721</c:v>
                </c:pt>
                <c:pt idx="49">
                  <c:v>2.1404807567596436</c:v>
                </c:pt>
                <c:pt idx="50">
                  <c:v>2.1287627220153809</c:v>
                </c:pt>
                <c:pt idx="51">
                  <c:v>2.0920267105102539</c:v>
                </c:pt>
                <c:pt idx="52">
                  <c:v>2.1196830272674561</c:v>
                </c:pt>
                <c:pt idx="53">
                  <c:v>2.265859842300415</c:v>
                </c:pt>
                <c:pt idx="54">
                  <c:v>2.2193660736083984</c:v>
                </c:pt>
                <c:pt idx="55">
                  <c:v>2.3006784915924072</c:v>
                </c:pt>
                <c:pt idx="56">
                  <c:v>2.3870282173156738</c:v>
                </c:pt>
                <c:pt idx="57">
                  <c:v>1.9209010601043701</c:v>
                </c:pt>
                <c:pt idx="58">
                  <c:v>1.9652668237686157</c:v>
                </c:pt>
                <c:pt idx="59">
                  <c:v>2.0830209255218506</c:v>
                </c:pt>
                <c:pt idx="60">
                  <c:v>2.1075201034545898</c:v>
                </c:pt>
                <c:pt idx="61">
                  <c:v>2.071230411529541</c:v>
                </c:pt>
                <c:pt idx="62">
                  <c:v>1.996950626373291</c:v>
                </c:pt>
                <c:pt idx="63">
                  <c:v>1.9459890127182007</c:v>
                </c:pt>
                <c:pt idx="64">
                  <c:v>1.9529587030410767</c:v>
                </c:pt>
                <c:pt idx="65">
                  <c:v>1.9670298099517822</c:v>
                </c:pt>
                <c:pt idx="66">
                  <c:v>1.658745288848877</c:v>
                </c:pt>
                <c:pt idx="67">
                  <c:v>1.7554059028625488</c:v>
                </c:pt>
                <c:pt idx="68">
                  <c:v>1.6180256605148315</c:v>
                </c:pt>
                <c:pt idx="69">
                  <c:v>1.9219464063644409</c:v>
                </c:pt>
                <c:pt idx="70">
                  <c:v>1.8011890649795532</c:v>
                </c:pt>
                <c:pt idx="71">
                  <c:v>1.9765101671218872</c:v>
                </c:pt>
                <c:pt idx="72">
                  <c:v>2.0271623134613037</c:v>
                </c:pt>
                <c:pt idx="73">
                  <c:v>2.270552396774292</c:v>
                </c:pt>
                <c:pt idx="74">
                  <c:v>2.2920615673065186</c:v>
                </c:pt>
                <c:pt idx="75">
                  <c:v>2.2556238174438477</c:v>
                </c:pt>
                <c:pt idx="76">
                  <c:v>2.2799258232116699</c:v>
                </c:pt>
                <c:pt idx="77">
                  <c:v>2.2457709312438965</c:v>
                </c:pt>
                <c:pt idx="78">
                  <c:v>2.4050538539886475</c:v>
                </c:pt>
                <c:pt idx="79">
                  <c:v>2.4598405361175537</c:v>
                </c:pt>
                <c:pt idx="80">
                  <c:v>2.4065077304840088</c:v>
                </c:pt>
                <c:pt idx="81">
                  <c:v>2.441664457321167</c:v>
                </c:pt>
                <c:pt idx="82">
                  <c:v>2.3709123134613037</c:v>
                </c:pt>
                <c:pt idx="83">
                  <c:v>2.161029577255249</c:v>
                </c:pt>
                <c:pt idx="84">
                  <c:v>1.9351316690444946</c:v>
                </c:pt>
                <c:pt idx="85">
                  <c:v>1.8432630300521851</c:v>
                </c:pt>
                <c:pt idx="86">
                  <c:v>1.7683923244476318</c:v>
                </c:pt>
                <c:pt idx="87">
                  <c:v>1.4495267868041992</c:v>
                </c:pt>
                <c:pt idx="88">
                  <c:v>1.1449551582336426</c:v>
                </c:pt>
                <c:pt idx="89">
                  <c:v>0.90021008253097534</c:v>
                </c:pt>
                <c:pt idx="90">
                  <c:v>0.8337065577507019</c:v>
                </c:pt>
                <c:pt idx="91">
                  <c:v>1.3062325716018677</c:v>
                </c:pt>
                <c:pt idx="92">
                  <c:v>1.4875563383102417</c:v>
                </c:pt>
                <c:pt idx="93">
                  <c:v>1.6076825857162476</c:v>
                </c:pt>
                <c:pt idx="94">
                  <c:v>1.8759282827377319</c:v>
                </c:pt>
                <c:pt idx="95">
                  <c:v>1.9217636585235596</c:v>
                </c:pt>
                <c:pt idx="96">
                  <c:v>2.1836950778961182</c:v>
                </c:pt>
                <c:pt idx="97">
                  <c:v>2.6445801258087158</c:v>
                </c:pt>
                <c:pt idx="98">
                  <c:v>2.8645689487457275</c:v>
                </c:pt>
                <c:pt idx="99">
                  <c:v>5.0418519973754883</c:v>
                </c:pt>
                <c:pt idx="100">
                  <c:v>4.8616538047790527</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Liu\AppData\Local\Temp\__ADEPT__59697368656E204C6975__SESSION_40b214521d0f432e8f051008a5d353ec\Modules\poverty\Output\[adept_poverty_3.xls]Figure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Liu\AppData\Local\Temp\__ADEPT__59697368656E204C6975__SESSION_40b214521d0f432e8f051008a5d353ec\Modules\poverty\Output\[adept_poverty_3.xls]Figure 2.1_DATA'!$D$2:$D$102</c:f>
              <c:numCache>
                <c:formatCode>General</c:formatCode>
                <c:ptCount val="101"/>
                <c:pt idx="0">
                  <c:v>2.0104749202728271</c:v>
                </c:pt>
                <c:pt idx="1">
                  <c:v>2.0104749202728271</c:v>
                </c:pt>
                <c:pt idx="2">
                  <c:v>0.99307864904403687</c:v>
                </c:pt>
                <c:pt idx="3">
                  <c:v>0.83313953876495361</c:v>
                </c:pt>
                <c:pt idx="4">
                  <c:v>1.0239716768264771</c:v>
                </c:pt>
                <c:pt idx="5">
                  <c:v>1.5161082744598389</c:v>
                </c:pt>
                <c:pt idx="6">
                  <c:v>2.3646390438079834</c:v>
                </c:pt>
                <c:pt idx="7">
                  <c:v>2.0329990386962891</c:v>
                </c:pt>
                <c:pt idx="8">
                  <c:v>2.1986820697784424</c:v>
                </c:pt>
                <c:pt idx="9">
                  <c:v>2.1708035469055176</c:v>
                </c:pt>
                <c:pt idx="10">
                  <c:v>2.0718281269073486</c:v>
                </c:pt>
                <c:pt idx="11">
                  <c:v>1.4863941669464111</c:v>
                </c:pt>
                <c:pt idx="12">
                  <c:v>1.7596714496612549</c:v>
                </c:pt>
                <c:pt idx="13">
                  <c:v>1.7834197282791138</c:v>
                </c:pt>
                <c:pt idx="14">
                  <c:v>1.8032824993133545</c:v>
                </c:pt>
                <c:pt idx="15">
                  <c:v>2.2034249305725098</c:v>
                </c:pt>
                <c:pt idx="16">
                  <c:v>2.0394446849822998</c:v>
                </c:pt>
                <c:pt idx="17">
                  <c:v>1.9641396999359131</c:v>
                </c:pt>
                <c:pt idx="18">
                  <c:v>2.496880054473877</c:v>
                </c:pt>
                <c:pt idx="19">
                  <c:v>2.6497097015380859</c:v>
                </c:pt>
                <c:pt idx="20">
                  <c:v>3.2807402610778809</c:v>
                </c:pt>
                <c:pt idx="21">
                  <c:v>3.2893233299255371</c:v>
                </c:pt>
                <c:pt idx="22">
                  <c:v>3.5901811122894287</c:v>
                </c:pt>
                <c:pt idx="23">
                  <c:v>3.6962437629699707</c:v>
                </c:pt>
                <c:pt idx="24">
                  <c:v>3.4990098476409912</c:v>
                </c:pt>
                <c:pt idx="25">
                  <c:v>3.1261332035064697</c:v>
                </c:pt>
                <c:pt idx="26">
                  <c:v>3.2313492298126221</c:v>
                </c:pt>
                <c:pt idx="27">
                  <c:v>2.84865403175354</c:v>
                </c:pt>
                <c:pt idx="28">
                  <c:v>2.4298114776611328</c:v>
                </c:pt>
                <c:pt idx="29">
                  <c:v>1.9955720901489258</c:v>
                </c:pt>
                <c:pt idx="30">
                  <c:v>2.3833925724029541</c:v>
                </c:pt>
                <c:pt idx="31">
                  <c:v>2.061305046081543</c:v>
                </c:pt>
                <c:pt idx="32">
                  <c:v>1.9646052122116089</c:v>
                </c:pt>
                <c:pt idx="33">
                  <c:v>1.9357243776321411</c:v>
                </c:pt>
                <c:pt idx="34">
                  <c:v>1.9787927865982056</c:v>
                </c:pt>
                <c:pt idx="35">
                  <c:v>1.9753869771957397</c:v>
                </c:pt>
                <c:pt idx="36">
                  <c:v>1.4088475704193115</c:v>
                </c:pt>
                <c:pt idx="37">
                  <c:v>1.1091853380203247</c:v>
                </c:pt>
                <c:pt idx="38">
                  <c:v>1.2726343870162964</c:v>
                </c:pt>
                <c:pt idx="39">
                  <c:v>1.5079333782196045</c:v>
                </c:pt>
                <c:pt idx="40">
                  <c:v>1.4756145477294922</c:v>
                </c:pt>
                <c:pt idx="41">
                  <c:v>1.5158696174621582</c:v>
                </c:pt>
                <c:pt idx="42">
                  <c:v>1.5153423547744751</c:v>
                </c:pt>
                <c:pt idx="43">
                  <c:v>1.57686448097229</c:v>
                </c:pt>
                <c:pt idx="44">
                  <c:v>1.6530345678329468</c:v>
                </c:pt>
                <c:pt idx="45">
                  <c:v>1.6737183332443237</c:v>
                </c:pt>
                <c:pt idx="46">
                  <c:v>1.7496728897094727</c:v>
                </c:pt>
                <c:pt idx="47">
                  <c:v>2.1323206424713135</c:v>
                </c:pt>
                <c:pt idx="48">
                  <c:v>2.1608536243438721</c:v>
                </c:pt>
                <c:pt idx="49">
                  <c:v>2.1404807567596436</c:v>
                </c:pt>
                <c:pt idx="50">
                  <c:v>2.1287627220153809</c:v>
                </c:pt>
                <c:pt idx="51">
                  <c:v>2.0920267105102539</c:v>
                </c:pt>
                <c:pt idx="52">
                  <c:v>2.1196830272674561</c:v>
                </c:pt>
                <c:pt idx="53">
                  <c:v>2.265859842300415</c:v>
                </c:pt>
                <c:pt idx="54">
                  <c:v>2.2193660736083984</c:v>
                </c:pt>
                <c:pt idx="55">
                  <c:v>2.3006784915924072</c:v>
                </c:pt>
                <c:pt idx="56">
                  <c:v>2.3870282173156738</c:v>
                </c:pt>
                <c:pt idx="57">
                  <c:v>1.9209010601043701</c:v>
                </c:pt>
                <c:pt idx="58">
                  <c:v>1.9652668237686157</c:v>
                </c:pt>
                <c:pt idx="59">
                  <c:v>2.0830209255218506</c:v>
                </c:pt>
                <c:pt idx="60">
                  <c:v>2.1075201034545898</c:v>
                </c:pt>
                <c:pt idx="61">
                  <c:v>2.071230411529541</c:v>
                </c:pt>
                <c:pt idx="62">
                  <c:v>1.996950626373291</c:v>
                </c:pt>
                <c:pt idx="63">
                  <c:v>1.9459890127182007</c:v>
                </c:pt>
                <c:pt idx="64">
                  <c:v>1.9529587030410767</c:v>
                </c:pt>
                <c:pt idx="65">
                  <c:v>1.9670298099517822</c:v>
                </c:pt>
                <c:pt idx="66">
                  <c:v>1.658745288848877</c:v>
                </c:pt>
                <c:pt idx="67">
                  <c:v>1.7554059028625488</c:v>
                </c:pt>
                <c:pt idx="68">
                  <c:v>1.6180256605148315</c:v>
                </c:pt>
                <c:pt idx="69">
                  <c:v>1.9219464063644409</c:v>
                </c:pt>
                <c:pt idx="70">
                  <c:v>1.8011890649795532</c:v>
                </c:pt>
                <c:pt idx="71">
                  <c:v>1.9765101671218872</c:v>
                </c:pt>
                <c:pt idx="72">
                  <c:v>2.0271623134613037</c:v>
                </c:pt>
                <c:pt idx="73">
                  <c:v>2.270552396774292</c:v>
                </c:pt>
                <c:pt idx="74">
                  <c:v>2.2920615673065186</c:v>
                </c:pt>
                <c:pt idx="75">
                  <c:v>2.2556238174438477</c:v>
                </c:pt>
                <c:pt idx="76">
                  <c:v>2.2799258232116699</c:v>
                </c:pt>
                <c:pt idx="77">
                  <c:v>2.2457709312438965</c:v>
                </c:pt>
                <c:pt idx="78">
                  <c:v>2.4050538539886475</c:v>
                </c:pt>
                <c:pt idx="79">
                  <c:v>2.4598405361175537</c:v>
                </c:pt>
                <c:pt idx="80">
                  <c:v>2.4065077304840088</c:v>
                </c:pt>
                <c:pt idx="81">
                  <c:v>2.441664457321167</c:v>
                </c:pt>
                <c:pt idx="82">
                  <c:v>2.3709123134613037</c:v>
                </c:pt>
                <c:pt idx="83">
                  <c:v>2.161029577255249</c:v>
                </c:pt>
                <c:pt idx="84">
                  <c:v>1.9351316690444946</c:v>
                </c:pt>
                <c:pt idx="85">
                  <c:v>1.8432630300521851</c:v>
                </c:pt>
                <c:pt idx="86">
                  <c:v>1.7683923244476318</c:v>
                </c:pt>
                <c:pt idx="87">
                  <c:v>1.4495267868041992</c:v>
                </c:pt>
                <c:pt idx="88">
                  <c:v>1.1449551582336426</c:v>
                </c:pt>
                <c:pt idx="89">
                  <c:v>0.90021008253097534</c:v>
                </c:pt>
                <c:pt idx="90">
                  <c:v>0.8337065577507019</c:v>
                </c:pt>
                <c:pt idx="91">
                  <c:v>1.3062325716018677</c:v>
                </c:pt>
                <c:pt idx="92">
                  <c:v>1.4875563383102417</c:v>
                </c:pt>
                <c:pt idx="93">
                  <c:v>1.6076825857162476</c:v>
                </c:pt>
                <c:pt idx="94">
                  <c:v>1.8759282827377319</c:v>
                </c:pt>
                <c:pt idx="95">
                  <c:v>1.9217636585235596</c:v>
                </c:pt>
                <c:pt idx="96">
                  <c:v>2.1836950778961182</c:v>
                </c:pt>
                <c:pt idx="97">
                  <c:v>2.6445801258087158</c:v>
                </c:pt>
                <c:pt idx="98">
                  <c:v>2.8645689487457275</c:v>
                </c:pt>
                <c:pt idx="99">
                  <c:v>5.0418519973754883</c:v>
                </c:pt>
                <c:pt idx="100">
                  <c:v>4.8616538047790527</c:v>
                </c:pt>
              </c:numCache>
            </c:numRef>
          </c:val>
        </c:ser>
        <c:dLbls>
          <c:showLegendKey val="0"/>
          <c:showVal val="0"/>
          <c:showCatName val="0"/>
          <c:showSerName val="0"/>
          <c:showPercent val="0"/>
          <c:showBubbleSize val="0"/>
        </c:dLbls>
        <c:axId val="538406976"/>
        <c:axId val="538407368"/>
      </c:areaChart>
      <c:catAx>
        <c:axId val="53840697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403579707339139"/>
              <c:y val="0.8801261829652992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8407368"/>
        <c:crosses val="autoZero"/>
        <c:auto val="1"/>
        <c:lblAlgn val="ctr"/>
        <c:lblOffset val="100"/>
        <c:tickLblSkip val="3"/>
        <c:tickMarkSkip val="1"/>
        <c:noMultiLvlLbl val="0"/>
      </c:catAx>
      <c:valAx>
        <c:axId val="538407368"/>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p.c., %</a:t>
                </a:r>
              </a:p>
            </c:rich>
          </c:tx>
          <c:layout>
            <c:manualLayout>
              <c:xMode val="edge"/>
              <c:yMode val="edge"/>
              <c:x val="2.8070176730648704E-2"/>
              <c:y val="0.21992723441525208"/>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8406976"/>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Zones 3 &amp; 7 :  Fluvial rice and transhumant livestock rearing (agropastoral) &amp; 'Office du Niger' - Irrigated rice</a:t>
            </a:r>
          </a:p>
        </c:rich>
      </c:tx>
      <c:layout>
        <c:manualLayout>
          <c:xMode val="edge"/>
          <c:yMode val="edge"/>
          <c:x val="9.0222222222222218E-2"/>
          <c:y val="2.9350104821802937E-2"/>
        </c:manualLayout>
      </c:layout>
      <c:overlay val="0"/>
      <c:spPr>
        <a:noFill/>
        <a:ln w="25400">
          <a:noFill/>
        </a:ln>
      </c:spPr>
    </c:title>
    <c:autoTitleDeleted val="0"/>
    <c:plotArea>
      <c:layout>
        <c:manualLayout>
          <c:layoutTarget val="inner"/>
          <c:xMode val="edge"/>
          <c:yMode val="edge"/>
          <c:x val="9.6491393385747984E-2"/>
          <c:y val="0.13417218244763507"/>
          <c:w val="0.8666681515010819"/>
          <c:h val="0.77149004907390162"/>
        </c:manualLayout>
      </c:layout>
      <c:areaChart>
        <c:grouping val="stacked"/>
        <c:varyColors val="0"/>
        <c:ser>
          <c:idx val="0"/>
          <c:order val="0"/>
          <c:spPr>
            <a:solidFill>
              <a:srgbClr val="FFFFFF"/>
            </a:solidFill>
            <a:ln w="3175">
              <a:solidFill>
                <a:srgbClr val="666699"/>
              </a:solidFill>
              <a:prstDash val="solid"/>
            </a:ln>
          </c:spPr>
          <c:cat>
            <c:numRef>
              <c:f>'\Users\wb198498\AppData\Local\Temp\__ADEPT__7762313938343938__SESSION_d494931c804a4ce382e976220e1214a4\Modules\povineq\Output\[adept_povineq_3.xls]Figure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'\Users\wb198498\AppData\Local\Temp\__ADEPT__7762313938343938__SESSION_d494931c804a4ce382e976220e1214a4\Modules\povineq\Output\[adept_povineq_3.xls]Figure 6_DATA'!$B$2:$B$102</c:f>
              <c:numCache>
                <c:formatCode>General</c:formatCode>
                <c:ptCount val="101"/>
                <c:pt idx="0">
                  <c:v>-0.68221390247344971</c:v>
                </c:pt>
                <c:pt idx="1">
                  <c:v>-1.9516023397445679</c:v>
                </c:pt>
                <c:pt idx="2">
                  <c:v>-2.8107664585113525</c:v>
                </c:pt>
                <c:pt idx="3">
                  <c:v>-1.4775601625442505</c:v>
                </c:pt>
                <c:pt idx="4">
                  <c:v>-2.4293417930603027</c:v>
                </c:pt>
                <c:pt idx="5">
                  <c:v>-1.8434776067733765</c:v>
                </c:pt>
                <c:pt idx="6">
                  <c:v>-1.8769704103469849</c:v>
                </c:pt>
                <c:pt idx="7">
                  <c:v>-0.4947856068611145</c:v>
                </c:pt>
                <c:pt idx="8">
                  <c:v>0.31886473298072815</c:v>
                </c:pt>
                <c:pt idx="9">
                  <c:v>0.47827503085136414</c:v>
                </c:pt>
                <c:pt idx="10">
                  <c:v>1.293587327003479</c:v>
                </c:pt>
                <c:pt idx="11">
                  <c:v>0.91200840473175049</c:v>
                </c:pt>
                <c:pt idx="12">
                  <c:v>0.96109890937805176</c:v>
                </c:pt>
                <c:pt idx="13">
                  <c:v>0.88977628946304321</c:v>
                </c:pt>
                <c:pt idx="14">
                  <c:v>0.94616991281509399</c:v>
                </c:pt>
                <c:pt idx="15">
                  <c:v>0.58451414108276367</c:v>
                </c:pt>
                <c:pt idx="16">
                  <c:v>0.78786247968673706</c:v>
                </c:pt>
                <c:pt idx="17">
                  <c:v>0.76280802488327026</c:v>
                </c:pt>
                <c:pt idx="18">
                  <c:v>0.41133123636245728</c:v>
                </c:pt>
                <c:pt idx="19">
                  <c:v>0.64398545026779175</c:v>
                </c:pt>
                <c:pt idx="20">
                  <c:v>0.18068651854991913</c:v>
                </c:pt>
                <c:pt idx="21">
                  <c:v>8.0750800669193268E-2</c:v>
                </c:pt>
                <c:pt idx="22">
                  <c:v>0.59689760208129883</c:v>
                </c:pt>
                <c:pt idx="23">
                  <c:v>0.8273962140083313</c:v>
                </c:pt>
                <c:pt idx="24">
                  <c:v>0.83232802152633667</c:v>
                </c:pt>
                <c:pt idx="25">
                  <c:v>0.67894530296325684</c:v>
                </c:pt>
                <c:pt idx="26">
                  <c:v>0.7941744327545166</c:v>
                </c:pt>
                <c:pt idx="27">
                  <c:v>0.74789583683013916</c:v>
                </c:pt>
                <c:pt idx="28">
                  <c:v>0.78725963830947876</c:v>
                </c:pt>
                <c:pt idx="29">
                  <c:v>0.89120233058929443</c:v>
                </c:pt>
                <c:pt idx="30">
                  <c:v>1.007906436920166</c:v>
                </c:pt>
                <c:pt idx="31">
                  <c:v>1.1509835720062256</c:v>
                </c:pt>
                <c:pt idx="32">
                  <c:v>1.3682533502578735</c:v>
                </c:pt>
                <c:pt idx="33">
                  <c:v>1.2740591764450073</c:v>
                </c:pt>
                <c:pt idx="34">
                  <c:v>0.89544039964675903</c:v>
                </c:pt>
                <c:pt idx="35">
                  <c:v>1.1464263200759888</c:v>
                </c:pt>
                <c:pt idx="36">
                  <c:v>0.88680070638656616</c:v>
                </c:pt>
                <c:pt idx="37">
                  <c:v>0.6500813364982605</c:v>
                </c:pt>
                <c:pt idx="38">
                  <c:v>0.43784365057945251</c:v>
                </c:pt>
                <c:pt idx="39">
                  <c:v>0.28319141268730164</c:v>
                </c:pt>
                <c:pt idx="40">
                  <c:v>0.57571744918823242</c:v>
                </c:pt>
                <c:pt idx="41">
                  <c:v>0.49186354875564575</c:v>
                </c:pt>
                <c:pt idx="42">
                  <c:v>0.45122626423835754</c:v>
                </c:pt>
                <c:pt idx="43">
                  <c:v>0.52007424831390381</c:v>
                </c:pt>
                <c:pt idx="44">
                  <c:v>0.86484813690185547</c:v>
                </c:pt>
                <c:pt idx="45">
                  <c:v>0.69634151458740234</c:v>
                </c:pt>
                <c:pt idx="46">
                  <c:v>0.83828020095825195</c:v>
                </c:pt>
                <c:pt idx="47">
                  <c:v>0.58127403259277344</c:v>
                </c:pt>
                <c:pt idx="48">
                  <c:v>0.69681024551391602</c:v>
                </c:pt>
                <c:pt idx="49">
                  <c:v>1.4137854799628258E-2</c:v>
                </c:pt>
                <c:pt idx="50">
                  <c:v>-0.23396776616573334</c:v>
                </c:pt>
                <c:pt idx="51">
                  <c:v>-0.35176897048950195</c:v>
                </c:pt>
                <c:pt idx="52">
                  <c:v>-0.33116483688354492</c:v>
                </c:pt>
                <c:pt idx="53">
                  <c:v>-0.22446909546852112</c:v>
                </c:pt>
                <c:pt idx="54">
                  <c:v>-0.22383961081504822</c:v>
                </c:pt>
                <c:pt idx="55">
                  <c:v>-0.67398238182067871</c:v>
                </c:pt>
                <c:pt idx="56">
                  <c:v>-1.0547183752059937</c:v>
                </c:pt>
                <c:pt idx="57">
                  <c:v>-1.1818045377731323</c:v>
                </c:pt>
                <c:pt idx="58">
                  <c:v>-1.2412996292114258</c:v>
                </c:pt>
                <c:pt idx="59">
                  <c:v>-1.5264444351196289</c:v>
                </c:pt>
                <c:pt idx="60">
                  <c:v>-1.8058804273605347</c:v>
                </c:pt>
                <c:pt idx="61">
                  <c:v>-2.1419460773468018</c:v>
                </c:pt>
                <c:pt idx="62">
                  <c:v>-2.5473182201385498</c:v>
                </c:pt>
                <c:pt idx="63">
                  <c:v>-2.4392104148864746</c:v>
                </c:pt>
                <c:pt idx="64">
                  <c:v>-2.5669870376586914</c:v>
                </c:pt>
                <c:pt idx="65">
                  <c:v>-2.7119283676147461</c:v>
                </c:pt>
                <c:pt idx="66">
                  <c:v>-2.7985861301422119</c:v>
                </c:pt>
                <c:pt idx="67">
                  <c:v>-2.9612762928009033</c:v>
                </c:pt>
                <c:pt idx="68">
                  <c:v>-2.8500287532806396</c:v>
                </c:pt>
                <c:pt idx="69">
                  <c:v>-3.1878173351287842</c:v>
                </c:pt>
                <c:pt idx="70">
                  <c:v>-2.9766299724578857</c:v>
                </c:pt>
                <c:pt idx="71">
                  <c:v>-3.0220623016357422</c:v>
                </c:pt>
                <c:pt idx="72">
                  <c:v>-2.6941728591918945</c:v>
                </c:pt>
                <c:pt idx="73">
                  <c:v>-2.5644915103912354</c:v>
                </c:pt>
                <c:pt idx="74">
                  <c:v>-2.8452491760253906</c:v>
                </c:pt>
                <c:pt idx="75">
                  <c:v>-2.5927309989929199</c:v>
                </c:pt>
                <c:pt idx="76">
                  <c:v>-2.4267685413360596</c:v>
                </c:pt>
                <c:pt idx="77">
                  <c:v>-2.4993832111358643</c:v>
                </c:pt>
                <c:pt idx="78">
                  <c:v>-2.6707696914672852</c:v>
                </c:pt>
                <c:pt idx="79">
                  <c:v>-2.951179027557373</c:v>
                </c:pt>
                <c:pt idx="80">
                  <c:v>-3.233487606048584</c:v>
                </c:pt>
                <c:pt idx="81">
                  <c:v>-4.0316963195800781</c:v>
                </c:pt>
                <c:pt idx="82">
                  <c:v>-4.7578763961791992</c:v>
                </c:pt>
                <c:pt idx="83">
                  <c:v>-4.9882030487060547</c:v>
                </c:pt>
                <c:pt idx="84">
                  <c:v>-5.164973258972168</c:v>
                </c:pt>
                <c:pt idx="85">
                  <c:v>-5.5921144485473633</c:v>
                </c:pt>
                <c:pt idx="86">
                  <c:v>-5.4615917205810547</c:v>
                </c:pt>
                <c:pt idx="87">
                  <c:v>-6.1073789596557617</c:v>
                </c:pt>
                <c:pt idx="88">
                  <c:v>-6.2726073265075684</c:v>
                </c:pt>
                <c:pt idx="89">
                  <c:v>-6.0931448936462402</c:v>
                </c:pt>
                <c:pt idx="90">
                  <c:v>-5.6678371429443359</c:v>
                </c:pt>
                <c:pt idx="91">
                  <c:v>-5.7381548881530762</c:v>
                </c:pt>
                <c:pt idx="92">
                  <c:v>-5.7075948715209961</c:v>
                </c:pt>
                <c:pt idx="93">
                  <c:v>-5.7535314559936523</c:v>
                </c:pt>
                <c:pt idx="94">
                  <c:v>-5.6781187057495117</c:v>
                </c:pt>
                <c:pt idx="95">
                  <c:v>-5.0721120834350586</c:v>
                </c:pt>
                <c:pt idx="96">
                  <c:v>-4.6887874603271484</c:v>
                </c:pt>
                <c:pt idx="97">
                  <c:v>-6.4803695678710938</c:v>
                </c:pt>
                <c:pt idx="98">
                  <c:v>-7.2115564346313477</c:v>
                </c:pt>
                <c:pt idx="99">
                  <c:v>-6.5095434188842773</c:v>
                </c:pt>
                <c:pt idx="100">
                  <c:v>-7.0397696495056152</c:v>
                </c:pt>
              </c:numCache>
            </c:numRef>
          </c:val>
        </c:ser>
        <c:ser>
          <c:idx val="1"/>
          <c:order val="1"/>
          <c:spPr>
            <a:solidFill>
              <a:srgbClr val="68AED1"/>
            </a:solidFill>
            <a:ln w="3175">
              <a:solidFill>
                <a:srgbClr val="666699"/>
              </a:solidFill>
              <a:prstDash val="solid"/>
            </a:ln>
          </c:spPr>
          <c:cat>
            <c:numRef>
              <c:f>'\Users\wb198498\AppData\Local\Temp\__ADEPT__7762313938343938__SESSION_d494931c804a4ce382e976220e1214a4\Modules\povineq\Output\[adept_povineq_3.xls]Figure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'\Users\wb198498\AppData\Local\Temp\__ADEPT__7762313938343938__SESSION_d494931c804a4ce382e976220e1214a4\Modules\povineq\Output\[adept_povineq_3.xls]Figure 6_DATA'!$C$2:$C$102</c:f>
              <c:numCache>
                <c:formatCode>General</c:formatCode>
                <c:ptCount val="101"/>
                <c:pt idx="0">
                  <c:v>1.9127603769302368</c:v>
                </c:pt>
                <c:pt idx="1">
                  <c:v>3.1748440265655518</c:v>
                </c:pt>
                <c:pt idx="2">
                  <c:v>4.9858365058898926</c:v>
                </c:pt>
                <c:pt idx="3">
                  <c:v>4.0639381408691406</c:v>
                </c:pt>
                <c:pt idx="4">
                  <c:v>4.6605291366577148</c:v>
                </c:pt>
                <c:pt idx="5">
                  <c:v>4.0048274993896484</c:v>
                </c:pt>
                <c:pt idx="6">
                  <c:v>4.6398019790649414</c:v>
                </c:pt>
                <c:pt idx="7">
                  <c:v>3.4232397079467773</c:v>
                </c:pt>
                <c:pt idx="8">
                  <c:v>2.6362676620483398</c:v>
                </c:pt>
                <c:pt idx="9">
                  <c:v>2.141836404800415</c:v>
                </c:pt>
                <c:pt idx="10">
                  <c:v>1.3574526309967041</c:v>
                </c:pt>
                <c:pt idx="11">
                  <c:v>1.8236035108566284</c:v>
                </c:pt>
                <c:pt idx="12">
                  <c:v>1.7720211744308472</c:v>
                </c:pt>
                <c:pt idx="13">
                  <c:v>2.0071804523468018</c:v>
                </c:pt>
                <c:pt idx="14">
                  <c:v>2.0922248363494873</c:v>
                </c:pt>
                <c:pt idx="15">
                  <c:v>2.535435676574707</c:v>
                </c:pt>
                <c:pt idx="16">
                  <c:v>2.5010232925415039</c:v>
                </c:pt>
                <c:pt idx="17">
                  <c:v>2.7087845802307129</c:v>
                </c:pt>
                <c:pt idx="18">
                  <c:v>3.2033927440643311</c:v>
                </c:pt>
                <c:pt idx="19">
                  <c:v>3.2109756469726562</c:v>
                </c:pt>
                <c:pt idx="20">
                  <c:v>3.7993285655975342</c:v>
                </c:pt>
                <c:pt idx="21">
                  <c:v>3.7851955890655518</c:v>
                </c:pt>
                <c:pt idx="22">
                  <c:v>3.2642576694488525</c:v>
                </c:pt>
                <c:pt idx="23">
                  <c:v>3.2068412303924561</c:v>
                </c:pt>
                <c:pt idx="24">
                  <c:v>3.1783368587493896</c:v>
                </c:pt>
                <c:pt idx="25">
                  <c:v>3.1486794948577881</c:v>
                </c:pt>
                <c:pt idx="26">
                  <c:v>3.1212191581726074</c:v>
                </c:pt>
                <c:pt idx="27">
                  <c:v>3.1418442726135254</c:v>
                </c:pt>
                <c:pt idx="28">
                  <c:v>3.2316875457763672</c:v>
                </c:pt>
                <c:pt idx="29">
                  <c:v>3.1188807487487793</c:v>
                </c:pt>
                <c:pt idx="30">
                  <c:v>2.9055020809173584</c:v>
                </c:pt>
                <c:pt idx="31">
                  <c:v>2.9209260940551758</c:v>
                </c:pt>
                <c:pt idx="32">
                  <c:v>2.7742059230804443</c:v>
                </c:pt>
                <c:pt idx="33">
                  <c:v>2.8653895854949951</c:v>
                </c:pt>
                <c:pt idx="34">
                  <c:v>3.155501127243042</c:v>
                </c:pt>
                <c:pt idx="35">
                  <c:v>2.9389309883117676</c:v>
                </c:pt>
                <c:pt idx="36">
                  <c:v>2.8776981830596924</c:v>
                </c:pt>
                <c:pt idx="37">
                  <c:v>2.9593250751495361</c:v>
                </c:pt>
                <c:pt idx="38">
                  <c:v>3.1010167598724365</c:v>
                </c:pt>
                <c:pt idx="39">
                  <c:v>3.2476089000701904</c:v>
                </c:pt>
                <c:pt idx="40">
                  <c:v>2.8047738075256348</c:v>
                </c:pt>
                <c:pt idx="41">
                  <c:v>2.5815563201904297</c:v>
                </c:pt>
                <c:pt idx="42">
                  <c:v>2.5462331771850586</c:v>
                </c:pt>
                <c:pt idx="43">
                  <c:v>2.532989501953125</c:v>
                </c:pt>
                <c:pt idx="44">
                  <c:v>2.0296211242675781</c:v>
                </c:pt>
                <c:pt idx="45">
                  <c:v>1.9954445362091064</c:v>
                </c:pt>
                <c:pt idx="46">
                  <c:v>1.6760047674179077</c:v>
                </c:pt>
                <c:pt idx="47">
                  <c:v>1.8422073125839233</c:v>
                </c:pt>
                <c:pt idx="48">
                  <c:v>1.6785653829574585</c:v>
                </c:pt>
                <c:pt idx="49">
                  <c:v>2.2208123207092285</c:v>
                </c:pt>
                <c:pt idx="50">
                  <c:v>2.5113551616668701</c:v>
                </c:pt>
                <c:pt idx="51">
                  <c:v>2.6409420967102051</c:v>
                </c:pt>
                <c:pt idx="52">
                  <c:v>2.6004157066345215</c:v>
                </c:pt>
                <c:pt idx="53">
                  <c:v>2.5045654773712158</c:v>
                </c:pt>
                <c:pt idx="54">
                  <c:v>2.4869985580444336</c:v>
                </c:pt>
                <c:pt idx="55">
                  <c:v>2.8580677509307861</c:v>
                </c:pt>
                <c:pt idx="56">
                  <c:v>3.0843880176544189</c:v>
                </c:pt>
                <c:pt idx="57">
                  <c:v>3.0588092803955078</c:v>
                </c:pt>
                <c:pt idx="58">
                  <c:v>3.0204157829284668</c:v>
                </c:pt>
                <c:pt idx="59">
                  <c:v>3.0855236053466797</c:v>
                </c:pt>
                <c:pt idx="60">
                  <c:v>3.0807781219482422</c:v>
                </c:pt>
                <c:pt idx="61">
                  <c:v>3.1954717636108398</c:v>
                </c:pt>
                <c:pt idx="62">
                  <c:v>3.3847265243530273</c:v>
                </c:pt>
                <c:pt idx="63">
                  <c:v>3.0986478328704834</c:v>
                </c:pt>
                <c:pt idx="64">
                  <c:v>3.0942656993865967</c:v>
                </c:pt>
                <c:pt idx="65">
                  <c:v>2.8631834983825684</c:v>
                </c:pt>
                <c:pt idx="66">
                  <c:v>2.8816568851470947</c:v>
                </c:pt>
                <c:pt idx="67">
                  <c:v>2.873377799987793</c:v>
                </c:pt>
                <c:pt idx="68">
                  <c:v>2.5530853271484375</c:v>
                </c:pt>
                <c:pt idx="69">
                  <c:v>2.6591019630432129</c:v>
                </c:pt>
                <c:pt idx="70">
                  <c:v>2.5491092205047607</c:v>
                </c:pt>
                <c:pt idx="71">
                  <c:v>2.5275149345397949</c:v>
                </c:pt>
                <c:pt idx="72">
                  <c:v>2.0391263961791992</c:v>
                </c:pt>
                <c:pt idx="73">
                  <c:v>1.8518177270889282</c:v>
                </c:pt>
                <c:pt idx="74">
                  <c:v>2.0409631729125977</c:v>
                </c:pt>
                <c:pt idx="75">
                  <c:v>1.8029134273529053</c:v>
                </c:pt>
                <c:pt idx="76">
                  <c:v>1.6715009212493896</c:v>
                </c:pt>
                <c:pt idx="77">
                  <c:v>1.6969432830810547</c:v>
                </c:pt>
                <c:pt idx="78">
                  <c:v>1.8714966773986816</c:v>
                </c:pt>
                <c:pt idx="79">
                  <c:v>2.09702467918396</c:v>
                </c:pt>
                <c:pt idx="80">
                  <c:v>2.3295948505401611</c:v>
                </c:pt>
                <c:pt idx="81">
                  <c:v>3.0110232830047607</c:v>
                </c:pt>
                <c:pt idx="82">
                  <c:v>3.6180045604705811</c:v>
                </c:pt>
                <c:pt idx="83">
                  <c:v>3.6044325828552246</c:v>
                </c:pt>
                <c:pt idx="84">
                  <c:v>3.6602425575256348</c:v>
                </c:pt>
                <c:pt idx="85">
                  <c:v>3.8598027229309082</c:v>
                </c:pt>
                <c:pt idx="86">
                  <c:v>3.6324825286865234</c:v>
                </c:pt>
                <c:pt idx="87">
                  <c:v>3.7591819763183594</c:v>
                </c:pt>
                <c:pt idx="88">
                  <c:v>3.3658936023712158</c:v>
                </c:pt>
                <c:pt idx="89">
                  <c:v>2.9565656185150146</c:v>
                </c:pt>
                <c:pt idx="90">
                  <c:v>2.3217189311981201</c:v>
                </c:pt>
                <c:pt idx="91">
                  <c:v>2.2391085624694824</c:v>
                </c:pt>
                <c:pt idx="92">
                  <c:v>2.1500658988952637</c:v>
                </c:pt>
                <c:pt idx="93">
                  <c:v>2.1909470558166504</c:v>
                </c:pt>
                <c:pt idx="94">
                  <c:v>2.076289176940918</c:v>
                </c:pt>
                <c:pt idx="95">
                  <c:v>1.6771512031555176</c:v>
                </c:pt>
                <c:pt idx="96">
                  <c:v>1.5588924884796143</c:v>
                </c:pt>
                <c:pt idx="97">
                  <c:v>2.9761240482330322</c:v>
                </c:pt>
                <c:pt idx="98">
                  <c:v>3.7590515613555908</c:v>
                </c:pt>
                <c:pt idx="99">
                  <c:v>3.684002161026001</c:v>
                </c:pt>
                <c:pt idx="100">
                  <c:v>3.9782650470733643</c:v>
                </c:pt>
              </c:numCache>
            </c:numRef>
          </c:val>
        </c:ser>
        <c:ser>
          <c:idx val="2"/>
          <c:order val="2"/>
          <c:spPr>
            <a:solidFill>
              <a:srgbClr val="68AED1"/>
            </a:solidFill>
            <a:ln w="3175">
              <a:solidFill>
                <a:srgbClr val="666699"/>
              </a:solidFill>
              <a:prstDash val="solid"/>
            </a:ln>
          </c:spPr>
          <c:cat>
            <c:numRef>
              <c:f>'\Users\wb198498\AppData\Local\Temp\__ADEPT__7762313938343938__SESSION_d494931c804a4ce382e976220e1214a4\Modules\povineq\Output\[adept_povineq_3.xls]Figure 6_DATA'!$A$2:$A$102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'\Users\wb198498\AppData\Local\Temp\__ADEPT__7762313938343938__SESSION_d494931c804a4ce382e976220e1214a4\Modules\povineq\Output\[adept_povineq_3.xls]Figure 6_DATA'!$D$2:$D$102</c:f>
              <c:numCache>
                <c:formatCode>General</c:formatCode>
                <c:ptCount val="101"/>
                <c:pt idx="0">
                  <c:v>1.9127603769302368</c:v>
                </c:pt>
                <c:pt idx="1">
                  <c:v>3.1748440265655518</c:v>
                </c:pt>
                <c:pt idx="2">
                  <c:v>4.9858365058898926</c:v>
                </c:pt>
                <c:pt idx="3">
                  <c:v>4.0639381408691406</c:v>
                </c:pt>
                <c:pt idx="4">
                  <c:v>4.6605291366577148</c:v>
                </c:pt>
                <c:pt idx="5">
                  <c:v>4.0048274993896484</c:v>
                </c:pt>
                <c:pt idx="6">
                  <c:v>4.6398019790649414</c:v>
                </c:pt>
                <c:pt idx="7">
                  <c:v>3.4232397079467773</c:v>
                </c:pt>
                <c:pt idx="8">
                  <c:v>2.6362676620483398</c:v>
                </c:pt>
                <c:pt idx="9">
                  <c:v>2.141836404800415</c:v>
                </c:pt>
                <c:pt idx="10">
                  <c:v>1.3574526309967041</c:v>
                </c:pt>
                <c:pt idx="11">
                  <c:v>1.8236035108566284</c:v>
                </c:pt>
                <c:pt idx="12">
                  <c:v>1.7720211744308472</c:v>
                </c:pt>
                <c:pt idx="13">
                  <c:v>2.0071804523468018</c:v>
                </c:pt>
                <c:pt idx="14">
                  <c:v>2.0922248363494873</c:v>
                </c:pt>
                <c:pt idx="15">
                  <c:v>2.535435676574707</c:v>
                </c:pt>
                <c:pt idx="16">
                  <c:v>2.5010232925415039</c:v>
                </c:pt>
                <c:pt idx="17">
                  <c:v>2.7087845802307129</c:v>
                </c:pt>
                <c:pt idx="18">
                  <c:v>3.2033927440643311</c:v>
                </c:pt>
                <c:pt idx="19">
                  <c:v>3.2109756469726562</c:v>
                </c:pt>
                <c:pt idx="20">
                  <c:v>3.7993285655975342</c:v>
                </c:pt>
                <c:pt idx="21">
                  <c:v>3.7851955890655518</c:v>
                </c:pt>
                <c:pt idx="22">
                  <c:v>3.2642576694488525</c:v>
                </c:pt>
                <c:pt idx="23">
                  <c:v>3.2068412303924561</c:v>
                </c:pt>
                <c:pt idx="24">
                  <c:v>3.1783368587493896</c:v>
                </c:pt>
                <c:pt idx="25">
                  <c:v>3.1486794948577881</c:v>
                </c:pt>
                <c:pt idx="26">
                  <c:v>3.1212191581726074</c:v>
                </c:pt>
                <c:pt idx="27">
                  <c:v>3.1418442726135254</c:v>
                </c:pt>
                <c:pt idx="28">
                  <c:v>3.2316875457763672</c:v>
                </c:pt>
                <c:pt idx="29">
                  <c:v>3.1188807487487793</c:v>
                </c:pt>
                <c:pt idx="30">
                  <c:v>2.9055020809173584</c:v>
                </c:pt>
                <c:pt idx="31">
                  <c:v>2.9209260940551758</c:v>
                </c:pt>
                <c:pt idx="32">
                  <c:v>2.7742059230804443</c:v>
                </c:pt>
                <c:pt idx="33">
                  <c:v>2.8653895854949951</c:v>
                </c:pt>
                <c:pt idx="34">
                  <c:v>3.155501127243042</c:v>
                </c:pt>
                <c:pt idx="35">
                  <c:v>2.9389309883117676</c:v>
                </c:pt>
                <c:pt idx="36">
                  <c:v>2.8776981830596924</c:v>
                </c:pt>
                <c:pt idx="37">
                  <c:v>2.9593250751495361</c:v>
                </c:pt>
                <c:pt idx="38">
                  <c:v>3.1010167598724365</c:v>
                </c:pt>
                <c:pt idx="39">
                  <c:v>3.2476089000701904</c:v>
                </c:pt>
                <c:pt idx="40">
                  <c:v>2.8047738075256348</c:v>
                </c:pt>
                <c:pt idx="41">
                  <c:v>2.5815563201904297</c:v>
                </c:pt>
                <c:pt idx="42">
                  <c:v>2.5462331771850586</c:v>
                </c:pt>
                <c:pt idx="43">
                  <c:v>2.532989501953125</c:v>
                </c:pt>
                <c:pt idx="44">
                  <c:v>2.0296211242675781</c:v>
                </c:pt>
                <c:pt idx="45">
                  <c:v>1.9954445362091064</c:v>
                </c:pt>
                <c:pt idx="46">
                  <c:v>1.6760047674179077</c:v>
                </c:pt>
                <c:pt idx="47">
                  <c:v>1.8422073125839233</c:v>
                </c:pt>
                <c:pt idx="48">
                  <c:v>1.6785653829574585</c:v>
                </c:pt>
                <c:pt idx="49">
                  <c:v>2.2208123207092285</c:v>
                </c:pt>
                <c:pt idx="50">
                  <c:v>2.5113551616668701</c:v>
                </c:pt>
                <c:pt idx="51">
                  <c:v>2.6409420967102051</c:v>
                </c:pt>
                <c:pt idx="52">
                  <c:v>2.6004157066345215</c:v>
                </c:pt>
                <c:pt idx="53">
                  <c:v>2.5045654773712158</c:v>
                </c:pt>
                <c:pt idx="54">
                  <c:v>2.4869985580444336</c:v>
                </c:pt>
                <c:pt idx="55">
                  <c:v>2.8580677509307861</c:v>
                </c:pt>
                <c:pt idx="56">
                  <c:v>3.0843880176544189</c:v>
                </c:pt>
                <c:pt idx="57">
                  <c:v>3.0588092803955078</c:v>
                </c:pt>
                <c:pt idx="58">
                  <c:v>3.0204157829284668</c:v>
                </c:pt>
                <c:pt idx="59">
                  <c:v>3.0855236053466797</c:v>
                </c:pt>
                <c:pt idx="60">
                  <c:v>3.0807781219482422</c:v>
                </c:pt>
                <c:pt idx="61">
                  <c:v>3.1954717636108398</c:v>
                </c:pt>
                <c:pt idx="62">
                  <c:v>3.3847265243530273</c:v>
                </c:pt>
                <c:pt idx="63">
                  <c:v>3.0986478328704834</c:v>
                </c:pt>
                <c:pt idx="64">
                  <c:v>3.0942656993865967</c:v>
                </c:pt>
                <c:pt idx="65">
                  <c:v>2.8631834983825684</c:v>
                </c:pt>
                <c:pt idx="66">
                  <c:v>2.8816568851470947</c:v>
                </c:pt>
                <c:pt idx="67">
                  <c:v>2.873377799987793</c:v>
                </c:pt>
                <c:pt idx="68">
                  <c:v>2.5530853271484375</c:v>
                </c:pt>
                <c:pt idx="69">
                  <c:v>2.6591019630432129</c:v>
                </c:pt>
                <c:pt idx="70">
                  <c:v>2.5491092205047607</c:v>
                </c:pt>
                <c:pt idx="71">
                  <c:v>2.5275149345397949</c:v>
                </c:pt>
                <c:pt idx="72">
                  <c:v>2.0391263961791992</c:v>
                </c:pt>
                <c:pt idx="73">
                  <c:v>1.8518177270889282</c:v>
                </c:pt>
                <c:pt idx="74">
                  <c:v>2.0409631729125977</c:v>
                </c:pt>
                <c:pt idx="75">
                  <c:v>1.8029134273529053</c:v>
                </c:pt>
                <c:pt idx="76">
                  <c:v>1.6715009212493896</c:v>
                </c:pt>
                <c:pt idx="77">
                  <c:v>1.6969432830810547</c:v>
                </c:pt>
                <c:pt idx="78">
                  <c:v>1.8714966773986816</c:v>
                </c:pt>
                <c:pt idx="79">
                  <c:v>2.09702467918396</c:v>
                </c:pt>
                <c:pt idx="80">
                  <c:v>2.3295948505401611</c:v>
                </c:pt>
                <c:pt idx="81">
                  <c:v>3.0110232830047607</c:v>
                </c:pt>
                <c:pt idx="82">
                  <c:v>3.6180045604705811</c:v>
                </c:pt>
                <c:pt idx="83">
                  <c:v>3.6044325828552246</c:v>
                </c:pt>
                <c:pt idx="84">
                  <c:v>3.6602425575256348</c:v>
                </c:pt>
                <c:pt idx="85">
                  <c:v>3.8598027229309082</c:v>
                </c:pt>
                <c:pt idx="86">
                  <c:v>3.6324825286865234</c:v>
                </c:pt>
                <c:pt idx="87">
                  <c:v>3.7591819763183594</c:v>
                </c:pt>
                <c:pt idx="88">
                  <c:v>3.3658936023712158</c:v>
                </c:pt>
                <c:pt idx="89">
                  <c:v>2.9565656185150146</c:v>
                </c:pt>
                <c:pt idx="90">
                  <c:v>2.3217189311981201</c:v>
                </c:pt>
                <c:pt idx="91">
                  <c:v>2.2391085624694824</c:v>
                </c:pt>
                <c:pt idx="92">
                  <c:v>2.1500658988952637</c:v>
                </c:pt>
                <c:pt idx="93">
                  <c:v>2.1909470558166504</c:v>
                </c:pt>
                <c:pt idx="94">
                  <c:v>2.076289176940918</c:v>
                </c:pt>
                <c:pt idx="95">
                  <c:v>1.6771512031555176</c:v>
                </c:pt>
                <c:pt idx="96">
                  <c:v>1.5588924884796143</c:v>
                </c:pt>
                <c:pt idx="97">
                  <c:v>2.9761240482330322</c:v>
                </c:pt>
                <c:pt idx="98">
                  <c:v>3.7590515613555908</c:v>
                </c:pt>
                <c:pt idx="99">
                  <c:v>3.684002161026001</c:v>
                </c:pt>
                <c:pt idx="100">
                  <c:v>3.9782650470733643</c:v>
                </c:pt>
              </c:numCache>
            </c:numRef>
          </c:val>
        </c:ser>
        <c:dLbls>
          <c:showLegendKey val="0"/>
          <c:showVal val="0"/>
          <c:showCatName val="0"/>
          <c:showSerName val="0"/>
          <c:showPercent val="0"/>
          <c:showBubbleSize val="0"/>
        </c:dLbls>
        <c:axId val="538403840"/>
        <c:axId val="538403448"/>
      </c:areaChart>
      <c:catAx>
        <c:axId val="53840384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403579707339139"/>
              <c:y val="0.92033731397674667"/>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8403448"/>
        <c:crosses val="autoZero"/>
        <c:auto val="1"/>
        <c:lblAlgn val="ctr"/>
        <c:lblOffset val="100"/>
        <c:tickLblSkip val="3"/>
        <c:tickMarkSkip val="1"/>
        <c:noMultiLvlLbl val="0"/>
      </c:catAx>
      <c:valAx>
        <c:axId val="538403448"/>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p.c., %</a:t>
                </a:r>
              </a:p>
            </c:rich>
          </c:tx>
          <c:layout>
            <c:manualLayout>
              <c:xMode val="edge"/>
              <c:yMode val="edge"/>
              <c:x val="2.8070176730648704E-2"/>
              <c:y val="0.1914669544811571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8403840"/>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4: Millet and transhumant livestock rearing</a:t>
            </a:r>
          </a:p>
        </c:rich>
      </c:tx>
      <c:layout>
        <c:manualLayout>
          <c:xMode val="edge"/>
          <c:yMode val="edge"/>
          <c:x val="0.27076097066814014"/>
          <c:y val="2.2082018927444796E-2"/>
        </c:manualLayout>
      </c:layout>
      <c:overlay val="0"/>
      <c:spPr>
        <a:noFill/>
        <a:ln w="25400">
          <a:noFill/>
        </a:ln>
      </c:spPr>
    </c:title>
    <c:autoTitleDeleted val="0"/>
    <c:plotArea>
      <c:layout>
        <c:manualLayout>
          <c:layoutTarget val="inner"/>
          <c:xMode val="edge"/>
          <c:yMode val="edge"/>
          <c:x val="9.6491393385748025E-2"/>
          <c:y val="0.17981072555205049"/>
          <c:w val="0.86666815150108223"/>
          <c:h val="0.67823343848580486"/>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Liu\AppData\Local\Temp\__ADEPT__59697368656E204C6975__SESSION_40b214521d0f432e8f051008a5d353ec\Modules\poverty\Output\[adept_poverty_5.xls]Figure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Liu\AppData\Local\Temp\__ADEPT__59697368656E204C6975__SESSION_40b214521d0f432e8f051008a5d353ec\Modules\poverty\Output\[adept_poverty_5.xls]Figure 2.1_DATA'!$B$2:$B$102</c:f>
              <c:numCache>
                <c:formatCode>General</c:formatCode>
                <c:ptCount val="101"/>
                <c:pt idx="0">
                  <c:v>-2.8766939640045166</c:v>
                </c:pt>
                <c:pt idx="1">
                  <c:v>-3.1493711471557617</c:v>
                </c:pt>
                <c:pt idx="2">
                  <c:v>-2.892996072769165</c:v>
                </c:pt>
                <c:pt idx="3">
                  <c:v>-3.3149540424346924</c:v>
                </c:pt>
                <c:pt idx="4">
                  <c:v>-2.2332477569580078</c:v>
                </c:pt>
                <c:pt idx="5">
                  <c:v>-2.2785477638244629</c:v>
                </c:pt>
                <c:pt idx="6">
                  <c:v>-1.7947564125061035</c:v>
                </c:pt>
                <c:pt idx="7">
                  <c:v>-1.085652232170105</c:v>
                </c:pt>
                <c:pt idx="8">
                  <c:v>-0.32031422853469849</c:v>
                </c:pt>
                <c:pt idx="9">
                  <c:v>-0.75256168842315674</c:v>
                </c:pt>
                <c:pt idx="10">
                  <c:v>-1.1186673641204834</c:v>
                </c:pt>
                <c:pt idx="11">
                  <c:v>-0.97927439212799072</c:v>
                </c:pt>
                <c:pt idx="12">
                  <c:v>-0.58607274293899536</c:v>
                </c:pt>
                <c:pt idx="13">
                  <c:v>-0.62854534387588501</c:v>
                </c:pt>
                <c:pt idx="14">
                  <c:v>-0.3369196355342865</c:v>
                </c:pt>
                <c:pt idx="15">
                  <c:v>-0.1808818131685257</c:v>
                </c:pt>
                <c:pt idx="16">
                  <c:v>-0.12446555495262146</c:v>
                </c:pt>
                <c:pt idx="17">
                  <c:v>0.16080357134342194</c:v>
                </c:pt>
                <c:pt idx="18">
                  <c:v>4.7304045408964157E-2</c:v>
                </c:pt>
                <c:pt idx="19">
                  <c:v>-0.12084268778562546</c:v>
                </c:pt>
                <c:pt idx="20">
                  <c:v>-0.15615126490592957</c:v>
                </c:pt>
                <c:pt idx="21">
                  <c:v>-0.2201676070690155</c:v>
                </c:pt>
                <c:pt idx="22">
                  <c:v>0.19772343337535858</c:v>
                </c:pt>
                <c:pt idx="23">
                  <c:v>0.175530806183815</c:v>
                </c:pt>
                <c:pt idx="24">
                  <c:v>0.34464016556739807</c:v>
                </c:pt>
                <c:pt idx="25">
                  <c:v>0.47662869095802307</c:v>
                </c:pt>
                <c:pt idx="26">
                  <c:v>0.47585320472717285</c:v>
                </c:pt>
                <c:pt idx="27">
                  <c:v>0.3811153769493103</c:v>
                </c:pt>
                <c:pt idx="28">
                  <c:v>0.28331989049911499</c:v>
                </c:pt>
                <c:pt idx="29">
                  <c:v>0.34064900875091553</c:v>
                </c:pt>
                <c:pt idx="30">
                  <c:v>0.62273901700973511</c:v>
                </c:pt>
                <c:pt idx="31">
                  <c:v>0.91209971904754639</c:v>
                </c:pt>
                <c:pt idx="32">
                  <c:v>0.9762798547744751</c:v>
                </c:pt>
                <c:pt idx="33">
                  <c:v>0.96780455112457275</c:v>
                </c:pt>
                <c:pt idx="34">
                  <c:v>0.7510409951210022</c:v>
                </c:pt>
                <c:pt idx="35">
                  <c:v>0.49938774108886719</c:v>
                </c:pt>
                <c:pt idx="36">
                  <c:v>0.33012127876281738</c:v>
                </c:pt>
                <c:pt idx="37">
                  <c:v>0.28234109282493591</c:v>
                </c:pt>
                <c:pt idx="38">
                  <c:v>0.36904263496398926</c:v>
                </c:pt>
                <c:pt idx="39">
                  <c:v>0.58460479974746704</c:v>
                </c:pt>
                <c:pt idx="40">
                  <c:v>0.28380689024925232</c:v>
                </c:pt>
                <c:pt idx="41">
                  <c:v>0.44829082489013672</c:v>
                </c:pt>
                <c:pt idx="42">
                  <c:v>0.40940296649932861</c:v>
                </c:pt>
                <c:pt idx="43">
                  <c:v>0.34354078769683838</c:v>
                </c:pt>
                <c:pt idx="44">
                  <c:v>0.57764440774917603</c:v>
                </c:pt>
                <c:pt idx="45">
                  <c:v>0.49488130211830139</c:v>
                </c:pt>
                <c:pt idx="46">
                  <c:v>0.26120451092720032</c:v>
                </c:pt>
                <c:pt idx="47">
                  <c:v>0.38365077972412109</c:v>
                </c:pt>
                <c:pt idx="48">
                  <c:v>0.44795936346054077</c:v>
                </c:pt>
                <c:pt idx="49">
                  <c:v>0.34530425071716309</c:v>
                </c:pt>
                <c:pt idx="50">
                  <c:v>0.548331618309021</c:v>
                </c:pt>
                <c:pt idx="51">
                  <c:v>0.55200576782226563</c:v>
                </c:pt>
                <c:pt idx="52">
                  <c:v>0.16357123851776123</c:v>
                </c:pt>
                <c:pt idx="53">
                  <c:v>-3.8443174213171005E-2</c:v>
                </c:pt>
                <c:pt idx="54">
                  <c:v>9.0828657150268555E-2</c:v>
                </c:pt>
                <c:pt idx="55">
                  <c:v>-4.9660943448543549E-2</c:v>
                </c:pt>
                <c:pt idx="56">
                  <c:v>-4.8782393336296082E-2</c:v>
                </c:pt>
                <c:pt idx="57">
                  <c:v>-0.15368048846721649</c:v>
                </c:pt>
                <c:pt idx="58">
                  <c:v>2.5169728323817253E-2</c:v>
                </c:pt>
                <c:pt idx="59">
                  <c:v>0.2492644339799881</c:v>
                </c:pt>
                <c:pt idx="60">
                  <c:v>0.14081534743309021</c:v>
                </c:pt>
                <c:pt idx="61">
                  <c:v>0.2401563972234726</c:v>
                </c:pt>
                <c:pt idx="62">
                  <c:v>0.28288081288337708</c:v>
                </c:pt>
                <c:pt idx="63">
                  <c:v>0.28360354900360107</c:v>
                </c:pt>
                <c:pt idx="64">
                  <c:v>0.1123623326420784</c:v>
                </c:pt>
                <c:pt idx="65">
                  <c:v>0.18600770831108093</c:v>
                </c:pt>
                <c:pt idx="66">
                  <c:v>-0.13664098083972931</c:v>
                </c:pt>
                <c:pt idx="67">
                  <c:v>-0.34345987439155579</c:v>
                </c:pt>
                <c:pt idx="68">
                  <c:v>-0.43006455898284912</c:v>
                </c:pt>
                <c:pt idx="69">
                  <c:v>-0.74863553047180176</c:v>
                </c:pt>
                <c:pt idx="70">
                  <c:v>-0.65755385160446167</c:v>
                </c:pt>
                <c:pt idx="71">
                  <c:v>-0.85363537073135376</c:v>
                </c:pt>
                <c:pt idx="72">
                  <c:v>-0.91873127222061157</c:v>
                </c:pt>
                <c:pt idx="73">
                  <c:v>-1.1815440654754639</c:v>
                </c:pt>
                <c:pt idx="74">
                  <c:v>-1.4142765998840332</c:v>
                </c:pt>
                <c:pt idx="75">
                  <c:v>-1.50534987449646</c:v>
                </c:pt>
                <c:pt idx="76">
                  <c:v>-1.9051432609558105</c:v>
                </c:pt>
                <c:pt idx="77">
                  <c:v>-1.9227030277252197</c:v>
                </c:pt>
                <c:pt idx="78">
                  <c:v>-2.160733699798584</c:v>
                </c:pt>
                <c:pt idx="79">
                  <c:v>-2.5531599521636963</c:v>
                </c:pt>
                <c:pt idx="80">
                  <c:v>-2.4912190437316895</c:v>
                </c:pt>
                <c:pt idx="81">
                  <c:v>-2.612858772277832</c:v>
                </c:pt>
                <c:pt idx="82">
                  <c:v>-2.5710158348083496</c:v>
                </c:pt>
                <c:pt idx="83">
                  <c:v>-2.7697405815124512</c:v>
                </c:pt>
                <c:pt idx="84">
                  <c:v>-2.6642055511474609</c:v>
                </c:pt>
                <c:pt idx="85">
                  <c:v>-2.8671753406524658</c:v>
                </c:pt>
                <c:pt idx="86">
                  <c:v>-2.5535237789154053</c:v>
                </c:pt>
                <c:pt idx="87">
                  <c:v>-2.7456154823303223</c:v>
                </c:pt>
                <c:pt idx="88">
                  <c:v>-3.0097169876098633</c:v>
                </c:pt>
                <c:pt idx="89">
                  <c:v>-3.0882027149200439</c:v>
                </c:pt>
                <c:pt idx="90">
                  <c:v>-3.3682010173797607</c:v>
                </c:pt>
                <c:pt idx="91">
                  <c:v>-3.0026960372924805</c:v>
                </c:pt>
                <c:pt idx="92">
                  <c:v>-3.2209103107452393</c:v>
                </c:pt>
                <c:pt idx="93">
                  <c:v>-3.6823205947875977</c:v>
                </c:pt>
                <c:pt idx="94">
                  <c:v>-4.3345489501953125</c:v>
                </c:pt>
                <c:pt idx="95">
                  <c:v>-4.592160701751709</c:v>
                </c:pt>
                <c:pt idx="96">
                  <c:v>-4.951596736907959</c:v>
                </c:pt>
                <c:pt idx="97">
                  <c:v>-5.1585879325866699</c:v>
                </c:pt>
                <c:pt idx="98">
                  <c:v>-5.8197007179260254</c:v>
                </c:pt>
                <c:pt idx="99">
                  <c:v>-6.7202696800231934</c:v>
                </c:pt>
                <c:pt idx="100">
                  <c:v>-6.3944206237792969</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Liu\AppData\Local\Temp\__ADEPT__59697368656E204C6975__SESSION_40b214521d0f432e8f051008a5d353ec\Modules\poverty\Output\[adept_poverty_5.xls]Figure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Liu\AppData\Local\Temp\__ADEPT__59697368656E204C6975__SESSION_40b214521d0f432e8f051008a5d353ec\Modules\poverty\Output\[adept_poverty_5.xls]Figure 2.1_DATA'!$C$2:$C$102</c:f>
              <c:numCache>
                <c:formatCode>General</c:formatCode>
                <c:ptCount val="101"/>
                <c:pt idx="0">
                  <c:v>4.1211042404174805</c:v>
                </c:pt>
                <c:pt idx="1">
                  <c:v>4.0705337524414062</c:v>
                </c:pt>
                <c:pt idx="2">
                  <c:v>3.2185275554656982</c:v>
                </c:pt>
                <c:pt idx="3">
                  <c:v>3.7227213382720947</c:v>
                </c:pt>
                <c:pt idx="4">
                  <c:v>2.9161479473114014</c:v>
                </c:pt>
                <c:pt idx="5">
                  <c:v>3.171187162399292</c:v>
                </c:pt>
                <c:pt idx="6">
                  <c:v>3.2979660034179687</c:v>
                </c:pt>
                <c:pt idx="7">
                  <c:v>2.8634748458862305</c:v>
                </c:pt>
                <c:pt idx="8">
                  <c:v>2.3214423656463623</c:v>
                </c:pt>
                <c:pt idx="9">
                  <c:v>2.6900420188903809</c:v>
                </c:pt>
                <c:pt idx="10">
                  <c:v>3.1418099403381348</c:v>
                </c:pt>
                <c:pt idx="11">
                  <c:v>3.226038932800293</c:v>
                </c:pt>
                <c:pt idx="12">
                  <c:v>2.8499109745025635</c:v>
                </c:pt>
                <c:pt idx="13">
                  <c:v>2.9745292663574219</c:v>
                </c:pt>
                <c:pt idx="14">
                  <c:v>2.4805073738098145</c:v>
                </c:pt>
                <c:pt idx="15">
                  <c:v>2.3678278923034668</c:v>
                </c:pt>
                <c:pt idx="16">
                  <c:v>2.1621570587158203</c:v>
                </c:pt>
                <c:pt idx="17">
                  <c:v>1.7035994529724121</c:v>
                </c:pt>
                <c:pt idx="18">
                  <c:v>1.8969578742980957</c:v>
                </c:pt>
                <c:pt idx="19">
                  <c:v>1.954625129699707</c:v>
                </c:pt>
                <c:pt idx="20">
                  <c:v>1.9817767143249512</c:v>
                </c:pt>
                <c:pt idx="21">
                  <c:v>2.0446617603302002</c:v>
                </c:pt>
                <c:pt idx="22">
                  <c:v>1.5391318798065186</c:v>
                </c:pt>
                <c:pt idx="23">
                  <c:v>1.449567437171936</c:v>
                </c:pt>
                <c:pt idx="24">
                  <c:v>1.1508544683456421</c:v>
                </c:pt>
                <c:pt idx="25">
                  <c:v>1.0251299142837524</c:v>
                </c:pt>
                <c:pt idx="26">
                  <c:v>1.0819259881973267</c:v>
                </c:pt>
                <c:pt idx="27">
                  <c:v>1.134675145149231</c:v>
                </c:pt>
                <c:pt idx="28">
                  <c:v>1.3269286155700684</c:v>
                </c:pt>
                <c:pt idx="29">
                  <c:v>1.2858749628067017</c:v>
                </c:pt>
                <c:pt idx="30">
                  <c:v>0.96179342269897461</c:v>
                </c:pt>
                <c:pt idx="31">
                  <c:v>0.67365562915802002</c:v>
                </c:pt>
                <c:pt idx="32">
                  <c:v>0.67683672904968262</c:v>
                </c:pt>
                <c:pt idx="33">
                  <c:v>0.6887962818145752</c:v>
                </c:pt>
                <c:pt idx="34">
                  <c:v>0.81756699085235596</c:v>
                </c:pt>
                <c:pt idx="35">
                  <c:v>1.0076508522033691</c:v>
                </c:pt>
                <c:pt idx="36">
                  <c:v>1.1736410856246948</c:v>
                </c:pt>
                <c:pt idx="37">
                  <c:v>1.2880038022994995</c:v>
                </c:pt>
                <c:pt idx="38">
                  <c:v>1.267709493637085</c:v>
                </c:pt>
                <c:pt idx="39">
                  <c:v>1.0408941507339478</c:v>
                </c:pt>
                <c:pt idx="40">
                  <c:v>1.2017686367034912</c:v>
                </c:pt>
                <c:pt idx="41">
                  <c:v>1.1242541074752808</c:v>
                </c:pt>
                <c:pt idx="42">
                  <c:v>1.2098674774169922</c:v>
                </c:pt>
                <c:pt idx="43">
                  <c:v>1.2871147394180298</c:v>
                </c:pt>
                <c:pt idx="44">
                  <c:v>1.160852313041687</c:v>
                </c:pt>
                <c:pt idx="45">
                  <c:v>1.1530499458312988</c:v>
                </c:pt>
                <c:pt idx="46">
                  <c:v>1.4072196483612061</c:v>
                </c:pt>
                <c:pt idx="47">
                  <c:v>1.209513783454895</c:v>
                </c:pt>
                <c:pt idx="48">
                  <c:v>1.1950384378433228</c:v>
                </c:pt>
                <c:pt idx="49">
                  <c:v>1.2861032485961914</c:v>
                </c:pt>
                <c:pt idx="50">
                  <c:v>1.1026332378387451</c:v>
                </c:pt>
                <c:pt idx="51">
                  <c:v>1.1298383474349976</c:v>
                </c:pt>
                <c:pt idx="52">
                  <c:v>1.4942574501037598</c:v>
                </c:pt>
                <c:pt idx="53">
                  <c:v>1.603824257850647</c:v>
                </c:pt>
                <c:pt idx="54">
                  <c:v>1.5474538803100586</c:v>
                </c:pt>
                <c:pt idx="55">
                  <c:v>1.6631928682327271</c:v>
                </c:pt>
                <c:pt idx="56">
                  <c:v>1.6648601293563843</c:v>
                </c:pt>
                <c:pt idx="57">
                  <c:v>1.7181227207183838</c:v>
                </c:pt>
                <c:pt idx="58">
                  <c:v>1.5776028633117676</c:v>
                </c:pt>
                <c:pt idx="59">
                  <c:v>1.3904787302017212</c:v>
                </c:pt>
                <c:pt idx="60">
                  <c:v>1.4673470258712769</c:v>
                </c:pt>
                <c:pt idx="61">
                  <c:v>1.3383142948150635</c:v>
                </c:pt>
                <c:pt idx="62">
                  <c:v>1.2603199481964111</c:v>
                </c:pt>
                <c:pt idx="63">
                  <c:v>1.2626450061798096</c:v>
                </c:pt>
                <c:pt idx="64">
                  <c:v>1.3489181995391846</c:v>
                </c:pt>
                <c:pt idx="65">
                  <c:v>1.2585235834121704</c:v>
                </c:pt>
                <c:pt idx="66">
                  <c:v>1.5634363889694214</c:v>
                </c:pt>
                <c:pt idx="67">
                  <c:v>1.6559650897979736</c:v>
                </c:pt>
                <c:pt idx="68">
                  <c:v>1.6957846879959106</c:v>
                </c:pt>
                <c:pt idx="69">
                  <c:v>1.9347724914550781</c:v>
                </c:pt>
                <c:pt idx="70">
                  <c:v>1.6827688217163086</c:v>
                </c:pt>
                <c:pt idx="71">
                  <c:v>1.7390666007995605</c:v>
                </c:pt>
                <c:pt idx="72">
                  <c:v>1.7218775749206543</c:v>
                </c:pt>
                <c:pt idx="73">
                  <c:v>1.8377751111984253</c:v>
                </c:pt>
                <c:pt idx="74">
                  <c:v>1.984122633934021</c:v>
                </c:pt>
                <c:pt idx="75">
                  <c:v>1.9569665193557739</c:v>
                </c:pt>
                <c:pt idx="76">
                  <c:v>2.1097772121429443</c:v>
                </c:pt>
                <c:pt idx="77">
                  <c:v>2.0128085613250732</c:v>
                </c:pt>
                <c:pt idx="78">
                  <c:v>2.1613020896911621</c:v>
                </c:pt>
                <c:pt idx="79">
                  <c:v>2.4204938411712646</c:v>
                </c:pt>
                <c:pt idx="80">
                  <c:v>2.0841569900512695</c:v>
                </c:pt>
                <c:pt idx="81">
                  <c:v>1.984386682510376</c:v>
                </c:pt>
                <c:pt idx="82">
                  <c:v>1.8270889520645142</c:v>
                </c:pt>
                <c:pt idx="83">
                  <c:v>1.9331998825073242</c:v>
                </c:pt>
                <c:pt idx="84">
                  <c:v>1.615500807762146</c:v>
                </c:pt>
                <c:pt idx="85">
                  <c:v>1.5436199903488159</c:v>
                </c:pt>
                <c:pt idx="86">
                  <c:v>1.1595513820648193</c:v>
                </c:pt>
                <c:pt idx="87">
                  <c:v>1.201441764831543</c:v>
                </c:pt>
                <c:pt idx="88">
                  <c:v>1.3758492469787598</c:v>
                </c:pt>
                <c:pt idx="89">
                  <c:v>1.4826008081436157</c:v>
                </c:pt>
                <c:pt idx="90">
                  <c:v>1.597075343132019</c:v>
                </c:pt>
                <c:pt idx="91">
                  <c:v>1.1913846731185913</c:v>
                </c:pt>
                <c:pt idx="92">
                  <c:v>1.3030714988708496</c:v>
                </c:pt>
                <c:pt idx="93">
                  <c:v>1.3252049684524536</c:v>
                </c:pt>
                <c:pt idx="94">
                  <c:v>1.7570909261703491</c:v>
                </c:pt>
                <c:pt idx="95">
                  <c:v>2.2162582874298096</c:v>
                </c:pt>
                <c:pt idx="96">
                  <c:v>2.6162607669830322</c:v>
                </c:pt>
                <c:pt idx="97">
                  <c:v>2.2978019714355469</c:v>
                </c:pt>
                <c:pt idx="98">
                  <c:v>2.809150218963623</c:v>
                </c:pt>
                <c:pt idx="99">
                  <c:v>2.9909882545471191</c:v>
                </c:pt>
                <c:pt idx="100">
                  <c:v>2.7201025485992432</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Liu\AppData\Local\Temp\__ADEPT__59697368656E204C6975__SESSION_40b214521d0f432e8f051008a5d353ec\Modules\poverty\Output\[adept_poverty_5.xls]Figure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Liu\AppData\Local\Temp\__ADEPT__59697368656E204C6975__SESSION_40b214521d0f432e8f051008a5d353ec\Modules\poverty\Output\[adept_poverty_5.xls]Figure 2.1_DATA'!$D$2:$D$102</c:f>
              <c:numCache>
                <c:formatCode>General</c:formatCode>
                <c:ptCount val="101"/>
                <c:pt idx="0">
                  <c:v>4.1211042404174805</c:v>
                </c:pt>
                <c:pt idx="1">
                  <c:v>4.0705337524414062</c:v>
                </c:pt>
                <c:pt idx="2">
                  <c:v>3.2185275554656982</c:v>
                </c:pt>
                <c:pt idx="3">
                  <c:v>3.7227213382720947</c:v>
                </c:pt>
                <c:pt idx="4">
                  <c:v>2.9161479473114014</c:v>
                </c:pt>
                <c:pt idx="5">
                  <c:v>3.171187162399292</c:v>
                </c:pt>
                <c:pt idx="6">
                  <c:v>3.2979660034179687</c:v>
                </c:pt>
                <c:pt idx="7">
                  <c:v>2.8634748458862305</c:v>
                </c:pt>
                <c:pt idx="8">
                  <c:v>2.3214423656463623</c:v>
                </c:pt>
                <c:pt idx="9">
                  <c:v>2.6900420188903809</c:v>
                </c:pt>
                <c:pt idx="10">
                  <c:v>3.1418099403381348</c:v>
                </c:pt>
                <c:pt idx="11">
                  <c:v>3.226038932800293</c:v>
                </c:pt>
                <c:pt idx="12">
                  <c:v>2.8499109745025635</c:v>
                </c:pt>
                <c:pt idx="13">
                  <c:v>2.9745292663574219</c:v>
                </c:pt>
                <c:pt idx="14">
                  <c:v>2.4805073738098145</c:v>
                </c:pt>
                <c:pt idx="15">
                  <c:v>2.3678278923034668</c:v>
                </c:pt>
                <c:pt idx="16">
                  <c:v>2.1621570587158203</c:v>
                </c:pt>
                <c:pt idx="17">
                  <c:v>1.7035994529724121</c:v>
                </c:pt>
                <c:pt idx="18">
                  <c:v>1.8969578742980957</c:v>
                </c:pt>
                <c:pt idx="19">
                  <c:v>1.954625129699707</c:v>
                </c:pt>
                <c:pt idx="20">
                  <c:v>1.9817767143249512</c:v>
                </c:pt>
                <c:pt idx="21">
                  <c:v>2.0446617603302002</c:v>
                </c:pt>
                <c:pt idx="22">
                  <c:v>1.5391318798065186</c:v>
                </c:pt>
                <c:pt idx="23">
                  <c:v>1.449567437171936</c:v>
                </c:pt>
                <c:pt idx="24">
                  <c:v>1.1508544683456421</c:v>
                </c:pt>
                <c:pt idx="25">
                  <c:v>1.0251299142837524</c:v>
                </c:pt>
                <c:pt idx="26">
                  <c:v>1.0819259881973267</c:v>
                </c:pt>
                <c:pt idx="27">
                  <c:v>1.134675145149231</c:v>
                </c:pt>
                <c:pt idx="28">
                  <c:v>1.3269286155700684</c:v>
                </c:pt>
                <c:pt idx="29">
                  <c:v>1.2858749628067017</c:v>
                </c:pt>
                <c:pt idx="30">
                  <c:v>0.96179342269897461</c:v>
                </c:pt>
                <c:pt idx="31">
                  <c:v>0.67365562915802002</c:v>
                </c:pt>
                <c:pt idx="32">
                  <c:v>0.67683672904968262</c:v>
                </c:pt>
                <c:pt idx="33">
                  <c:v>0.6887962818145752</c:v>
                </c:pt>
                <c:pt idx="34">
                  <c:v>0.81756699085235596</c:v>
                </c:pt>
                <c:pt idx="35">
                  <c:v>1.0076508522033691</c:v>
                </c:pt>
                <c:pt idx="36">
                  <c:v>1.1736410856246948</c:v>
                </c:pt>
                <c:pt idx="37">
                  <c:v>1.2880038022994995</c:v>
                </c:pt>
                <c:pt idx="38">
                  <c:v>1.267709493637085</c:v>
                </c:pt>
                <c:pt idx="39">
                  <c:v>1.0408941507339478</c:v>
                </c:pt>
                <c:pt idx="40">
                  <c:v>1.2017686367034912</c:v>
                </c:pt>
                <c:pt idx="41">
                  <c:v>1.1242541074752808</c:v>
                </c:pt>
                <c:pt idx="42">
                  <c:v>1.2098674774169922</c:v>
                </c:pt>
                <c:pt idx="43">
                  <c:v>1.2871147394180298</c:v>
                </c:pt>
                <c:pt idx="44">
                  <c:v>1.160852313041687</c:v>
                </c:pt>
                <c:pt idx="45">
                  <c:v>1.1530499458312988</c:v>
                </c:pt>
                <c:pt idx="46">
                  <c:v>1.4072196483612061</c:v>
                </c:pt>
                <c:pt idx="47">
                  <c:v>1.209513783454895</c:v>
                </c:pt>
                <c:pt idx="48">
                  <c:v>1.1950384378433228</c:v>
                </c:pt>
                <c:pt idx="49">
                  <c:v>1.2861032485961914</c:v>
                </c:pt>
                <c:pt idx="50">
                  <c:v>1.1026332378387451</c:v>
                </c:pt>
                <c:pt idx="51">
                  <c:v>1.1298383474349976</c:v>
                </c:pt>
                <c:pt idx="52">
                  <c:v>1.4942574501037598</c:v>
                </c:pt>
                <c:pt idx="53">
                  <c:v>1.603824257850647</c:v>
                </c:pt>
                <c:pt idx="54">
                  <c:v>1.5474538803100586</c:v>
                </c:pt>
                <c:pt idx="55">
                  <c:v>1.6631928682327271</c:v>
                </c:pt>
                <c:pt idx="56">
                  <c:v>1.6648601293563843</c:v>
                </c:pt>
                <c:pt idx="57">
                  <c:v>1.7181227207183838</c:v>
                </c:pt>
                <c:pt idx="58">
                  <c:v>1.5776028633117676</c:v>
                </c:pt>
                <c:pt idx="59">
                  <c:v>1.3904787302017212</c:v>
                </c:pt>
                <c:pt idx="60">
                  <c:v>1.4673470258712769</c:v>
                </c:pt>
                <c:pt idx="61">
                  <c:v>1.3383142948150635</c:v>
                </c:pt>
                <c:pt idx="62">
                  <c:v>1.2603199481964111</c:v>
                </c:pt>
                <c:pt idx="63">
                  <c:v>1.2626450061798096</c:v>
                </c:pt>
                <c:pt idx="64">
                  <c:v>1.3489181995391846</c:v>
                </c:pt>
                <c:pt idx="65">
                  <c:v>1.2585235834121704</c:v>
                </c:pt>
                <c:pt idx="66">
                  <c:v>1.5634363889694214</c:v>
                </c:pt>
                <c:pt idx="67">
                  <c:v>1.6559650897979736</c:v>
                </c:pt>
                <c:pt idx="68">
                  <c:v>1.6957846879959106</c:v>
                </c:pt>
                <c:pt idx="69">
                  <c:v>1.9347724914550781</c:v>
                </c:pt>
                <c:pt idx="70">
                  <c:v>1.6827688217163086</c:v>
                </c:pt>
                <c:pt idx="71">
                  <c:v>1.7390666007995605</c:v>
                </c:pt>
                <c:pt idx="72">
                  <c:v>1.7218775749206543</c:v>
                </c:pt>
                <c:pt idx="73">
                  <c:v>1.8377751111984253</c:v>
                </c:pt>
                <c:pt idx="74">
                  <c:v>1.984122633934021</c:v>
                </c:pt>
                <c:pt idx="75">
                  <c:v>1.9569665193557739</c:v>
                </c:pt>
                <c:pt idx="76">
                  <c:v>2.1097772121429443</c:v>
                </c:pt>
                <c:pt idx="77">
                  <c:v>2.0128085613250732</c:v>
                </c:pt>
                <c:pt idx="78">
                  <c:v>2.1613020896911621</c:v>
                </c:pt>
                <c:pt idx="79">
                  <c:v>2.4204938411712646</c:v>
                </c:pt>
                <c:pt idx="80">
                  <c:v>2.0841569900512695</c:v>
                </c:pt>
                <c:pt idx="81">
                  <c:v>1.984386682510376</c:v>
                </c:pt>
                <c:pt idx="82">
                  <c:v>1.8270889520645142</c:v>
                </c:pt>
                <c:pt idx="83">
                  <c:v>1.9331998825073242</c:v>
                </c:pt>
                <c:pt idx="84">
                  <c:v>1.615500807762146</c:v>
                </c:pt>
                <c:pt idx="85">
                  <c:v>1.5436199903488159</c:v>
                </c:pt>
                <c:pt idx="86">
                  <c:v>1.1595513820648193</c:v>
                </c:pt>
                <c:pt idx="87">
                  <c:v>1.201441764831543</c:v>
                </c:pt>
                <c:pt idx="88">
                  <c:v>1.3758492469787598</c:v>
                </c:pt>
                <c:pt idx="89">
                  <c:v>1.4826008081436157</c:v>
                </c:pt>
                <c:pt idx="90">
                  <c:v>1.597075343132019</c:v>
                </c:pt>
                <c:pt idx="91">
                  <c:v>1.1913846731185913</c:v>
                </c:pt>
                <c:pt idx="92">
                  <c:v>1.3030714988708496</c:v>
                </c:pt>
                <c:pt idx="93">
                  <c:v>1.3252049684524536</c:v>
                </c:pt>
                <c:pt idx="94">
                  <c:v>1.7570909261703491</c:v>
                </c:pt>
                <c:pt idx="95">
                  <c:v>2.2162582874298096</c:v>
                </c:pt>
                <c:pt idx="96">
                  <c:v>2.6162607669830322</c:v>
                </c:pt>
                <c:pt idx="97">
                  <c:v>2.2978019714355469</c:v>
                </c:pt>
                <c:pt idx="98">
                  <c:v>2.809150218963623</c:v>
                </c:pt>
                <c:pt idx="99">
                  <c:v>2.9909882545471191</c:v>
                </c:pt>
                <c:pt idx="100">
                  <c:v>2.7201025485992432</c:v>
                </c:pt>
              </c:numCache>
            </c:numRef>
          </c:val>
        </c:ser>
        <c:dLbls>
          <c:showLegendKey val="0"/>
          <c:showVal val="0"/>
          <c:showCatName val="0"/>
          <c:showSerName val="0"/>
          <c:showPercent val="0"/>
          <c:showBubbleSize val="0"/>
        </c:dLbls>
        <c:axId val="539589056"/>
        <c:axId val="539589448"/>
      </c:areaChart>
      <c:catAx>
        <c:axId val="53958905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403579707339139"/>
              <c:y val="0.8801261829652992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589448"/>
        <c:crosses val="autoZero"/>
        <c:auto val="1"/>
        <c:lblAlgn val="ctr"/>
        <c:lblOffset val="100"/>
        <c:tickLblSkip val="3"/>
        <c:tickMarkSkip val="1"/>
        <c:noMultiLvlLbl val="0"/>
      </c:catAx>
      <c:valAx>
        <c:axId val="539589448"/>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r>
                  <a:rPr lang="en-US" sz="1000" b="1" i="0" u="none" strike="noStrike" baseline="0">
                    <a:effectLst/>
                  </a:rPr>
                  <a:t>p.c.</a:t>
                </a:r>
                <a:r>
                  <a:rPr lang="en-US"/>
                  <a:t>, %</a:t>
                </a:r>
              </a:p>
            </c:rich>
          </c:tx>
          <c:layout>
            <c:manualLayout>
              <c:xMode val="edge"/>
              <c:yMode val="edge"/>
              <c:x val="2.8070176730648704E-2"/>
              <c:y val="0.2346329506168557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589056"/>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6: Niger delta/lakes - rice and livestock rearing (agropastoral)</a:t>
            </a:r>
          </a:p>
        </c:rich>
      </c:tx>
      <c:layout>
        <c:manualLayout>
          <c:xMode val="edge"/>
          <c:yMode val="edge"/>
          <c:x val="0.17784795321637428"/>
          <c:y val="3.4700315457413249E-2"/>
        </c:manualLayout>
      </c:layout>
      <c:overlay val="0"/>
      <c:spPr>
        <a:noFill/>
        <a:ln w="25400">
          <a:noFill/>
        </a:ln>
      </c:spPr>
    </c:title>
    <c:autoTitleDeleted val="0"/>
    <c:plotArea>
      <c:layout>
        <c:manualLayout>
          <c:layoutTarget val="inner"/>
          <c:xMode val="edge"/>
          <c:yMode val="edge"/>
          <c:x val="0.10000017132704792"/>
          <c:y val="0.17981072555205049"/>
          <c:w val="0.86315937355978267"/>
          <c:h val="0.67823343848580486"/>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Liu\AppData\Local\Temp\__ADEPT__59697368656E204C6975__SESSION_40b214521d0f432e8f051008a5d353ec\Modules\poverty\Output\[adept_poverty_7.xls]Figure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Liu\AppData\Local\Temp\__ADEPT__59697368656E204C6975__SESSION_40b214521d0f432e8f051008a5d353ec\Modules\poverty\Output\[adept_poverty_7.xls]Figure 2.1_DATA'!$B$2:$B$102</c:f>
              <c:numCache>
                <c:formatCode>General</c:formatCode>
                <c:ptCount val="101"/>
                <c:pt idx="0">
                  <c:v>-1.9293537139892578</c:v>
                </c:pt>
                <c:pt idx="1">
                  <c:v>-2.3501532077789307</c:v>
                </c:pt>
                <c:pt idx="2">
                  <c:v>-0.77285170555114746</c:v>
                </c:pt>
                <c:pt idx="3">
                  <c:v>-2.2628974914550781</c:v>
                </c:pt>
                <c:pt idx="4">
                  <c:v>-2.332033634185791</c:v>
                </c:pt>
                <c:pt idx="5">
                  <c:v>-2.4361157417297363</c:v>
                </c:pt>
                <c:pt idx="6">
                  <c:v>-1.8129733800888062</c:v>
                </c:pt>
                <c:pt idx="7">
                  <c:v>-2.0616867542266846</c:v>
                </c:pt>
                <c:pt idx="8">
                  <c:v>-2.2475731372833252</c:v>
                </c:pt>
                <c:pt idx="9">
                  <c:v>-2.6064515113830566</c:v>
                </c:pt>
                <c:pt idx="10">
                  <c:v>-2.9739816188812256</c:v>
                </c:pt>
                <c:pt idx="11">
                  <c:v>-3.8151190280914307</c:v>
                </c:pt>
                <c:pt idx="12">
                  <c:v>-3.5245943069458008</c:v>
                </c:pt>
                <c:pt idx="13">
                  <c:v>-3.5947675704956055</c:v>
                </c:pt>
                <c:pt idx="14">
                  <c:v>-2.9590840339660645</c:v>
                </c:pt>
                <c:pt idx="15">
                  <c:v>-3.0898072719573975</c:v>
                </c:pt>
                <c:pt idx="16">
                  <c:v>-3.2587807178497314</c:v>
                </c:pt>
                <c:pt idx="17">
                  <c:v>-2.8730778694152832</c:v>
                </c:pt>
                <c:pt idx="18">
                  <c:v>-2.727625846862793</c:v>
                </c:pt>
                <c:pt idx="19">
                  <c:v>-2.6814277172088623</c:v>
                </c:pt>
                <c:pt idx="20">
                  <c:v>-2.6508607864379883</c:v>
                </c:pt>
                <c:pt idx="21">
                  <c:v>-2.5266880989074707</c:v>
                </c:pt>
                <c:pt idx="22">
                  <c:v>-2.4783265590667725</c:v>
                </c:pt>
                <c:pt idx="23">
                  <c:v>-2.4706656932830811</c:v>
                </c:pt>
                <c:pt idx="24">
                  <c:v>-2.5304596424102783</c:v>
                </c:pt>
                <c:pt idx="25">
                  <c:v>-2.3986165523529053</c:v>
                </c:pt>
                <c:pt idx="26">
                  <c:v>-2.2546799182891846</c:v>
                </c:pt>
                <c:pt idx="27">
                  <c:v>-2.6600532531738281</c:v>
                </c:pt>
                <c:pt idx="28">
                  <c:v>-2.8759963512420654</c:v>
                </c:pt>
                <c:pt idx="29">
                  <c:v>-2.7846860885620117</c:v>
                </c:pt>
                <c:pt idx="30">
                  <c:v>-2.6203460693359375</c:v>
                </c:pt>
                <c:pt idx="31">
                  <c:v>-2.5200779438018799</c:v>
                </c:pt>
                <c:pt idx="32">
                  <c:v>-2.4004874229431152</c:v>
                </c:pt>
                <c:pt idx="33">
                  <c:v>-2.3471546173095703</c:v>
                </c:pt>
                <c:pt idx="34">
                  <c:v>-2.1616005897521973</c:v>
                </c:pt>
                <c:pt idx="35">
                  <c:v>-2.0893924236297607</c:v>
                </c:pt>
                <c:pt idx="36">
                  <c:v>-2.0798606872558594</c:v>
                </c:pt>
                <c:pt idx="37">
                  <c:v>-2.1709885597229004</c:v>
                </c:pt>
                <c:pt idx="38">
                  <c:v>-2.0768857002258301</c:v>
                </c:pt>
                <c:pt idx="39">
                  <c:v>-2.1088643074035645</c:v>
                </c:pt>
                <c:pt idx="40">
                  <c:v>-2.3388721942901611</c:v>
                </c:pt>
                <c:pt idx="41">
                  <c:v>-2.5925180912017822</c:v>
                </c:pt>
                <c:pt idx="42">
                  <c:v>-2.6925535202026367</c:v>
                </c:pt>
                <c:pt idx="43">
                  <c:v>-2.7583985328674316</c:v>
                </c:pt>
                <c:pt idx="44">
                  <c:v>-2.9856767654418945</c:v>
                </c:pt>
                <c:pt idx="45">
                  <c:v>-3.273604154586792</c:v>
                </c:pt>
                <c:pt idx="46">
                  <c:v>-3.2611813545227051</c:v>
                </c:pt>
                <c:pt idx="47">
                  <c:v>-3.3041071891784668</c:v>
                </c:pt>
                <c:pt idx="48">
                  <c:v>-3.4252471923828125</c:v>
                </c:pt>
                <c:pt idx="49">
                  <c:v>-3.4517359733581543</c:v>
                </c:pt>
                <c:pt idx="50">
                  <c:v>-3.4870781898498535</c:v>
                </c:pt>
                <c:pt idx="51">
                  <c:v>-3.4435582160949707</c:v>
                </c:pt>
                <c:pt idx="52">
                  <c:v>-3.2321977615356445</c:v>
                </c:pt>
                <c:pt idx="53">
                  <c:v>-3.2718186378479004</c:v>
                </c:pt>
                <c:pt idx="54">
                  <c:v>-3.1212892532348633</c:v>
                </c:pt>
                <c:pt idx="55">
                  <c:v>-3.3108432292938232</c:v>
                </c:pt>
                <c:pt idx="56">
                  <c:v>-3.1084327697753906</c:v>
                </c:pt>
                <c:pt idx="57">
                  <c:v>-3.0774173736572266</c:v>
                </c:pt>
                <c:pt idx="58">
                  <c:v>-2.9747543334960937</c:v>
                </c:pt>
                <c:pt idx="59">
                  <c:v>-2.9967260360717773</c:v>
                </c:pt>
                <c:pt idx="60">
                  <c:v>-2.8408133983612061</c:v>
                </c:pt>
                <c:pt idx="61">
                  <c:v>-2.9485409259796143</c:v>
                </c:pt>
                <c:pt idx="62">
                  <c:v>-2.7707931995391846</c:v>
                </c:pt>
                <c:pt idx="63">
                  <c:v>-2.6497511863708496</c:v>
                </c:pt>
                <c:pt idx="64">
                  <c:v>-2.5394015312194824</c:v>
                </c:pt>
                <c:pt idx="65">
                  <c:v>-2.5633649826049805</c:v>
                </c:pt>
                <c:pt idx="66">
                  <c:v>-2.6218020915985107</c:v>
                </c:pt>
                <c:pt idx="67">
                  <c:v>-2.841547966003418</c:v>
                </c:pt>
                <c:pt idx="68">
                  <c:v>-2.98935866355896</c:v>
                </c:pt>
                <c:pt idx="69">
                  <c:v>-2.9913170337677002</c:v>
                </c:pt>
                <c:pt idx="70">
                  <c:v>-2.7863273620605469</c:v>
                </c:pt>
                <c:pt idx="71">
                  <c:v>-3.0364120006561279</c:v>
                </c:pt>
                <c:pt idx="72">
                  <c:v>-3.0948860645294189</c:v>
                </c:pt>
                <c:pt idx="73">
                  <c:v>-3.15582275390625</c:v>
                </c:pt>
                <c:pt idx="74">
                  <c:v>-3.0478522777557373</c:v>
                </c:pt>
                <c:pt idx="75">
                  <c:v>-3.0708911418914795</c:v>
                </c:pt>
                <c:pt idx="76">
                  <c:v>-2.9490704536437988</c:v>
                </c:pt>
                <c:pt idx="77">
                  <c:v>-2.9503843784332275</c:v>
                </c:pt>
                <c:pt idx="78">
                  <c:v>-2.8036153316497803</c:v>
                </c:pt>
                <c:pt idx="79">
                  <c:v>-2.8694572448730469</c:v>
                </c:pt>
                <c:pt idx="80">
                  <c:v>-2.9247033596038818</c:v>
                </c:pt>
                <c:pt idx="81">
                  <c:v>-2.9224472045898437</c:v>
                </c:pt>
                <c:pt idx="82">
                  <c:v>-2.8837504386901855</c:v>
                </c:pt>
                <c:pt idx="83">
                  <c:v>-3.1365389823913574</c:v>
                </c:pt>
                <c:pt idx="84">
                  <c:v>-3.0769591331481934</c:v>
                </c:pt>
                <c:pt idx="85">
                  <c:v>-3.1888809204101562</c:v>
                </c:pt>
                <c:pt idx="86">
                  <c:v>-3.267643928527832</c:v>
                </c:pt>
                <c:pt idx="87">
                  <c:v>-3.1641438007354736</c:v>
                </c:pt>
                <c:pt idx="88">
                  <c:v>-3.4041252136230469</c:v>
                </c:pt>
                <c:pt idx="89">
                  <c:v>-3.299238920211792</c:v>
                </c:pt>
                <c:pt idx="90">
                  <c:v>-3.2177038192749023</c:v>
                </c:pt>
                <c:pt idx="91">
                  <c:v>-3.2784314155578613</c:v>
                </c:pt>
                <c:pt idx="92">
                  <c:v>-3.0957226753234863</c:v>
                </c:pt>
                <c:pt idx="93">
                  <c:v>-3.286583423614502</c:v>
                </c:pt>
                <c:pt idx="94">
                  <c:v>-3.5256915092468262</c:v>
                </c:pt>
                <c:pt idx="95">
                  <c:v>-3.4677510261535645</c:v>
                </c:pt>
                <c:pt idx="96">
                  <c:v>-3.3607707023620605</c:v>
                </c:pt>
                <c:pt idx="97">
                  <c:v>-4.5784950256347656</c:v>
                </c:pt>
                <c:pt idx="98">
                  <c:v>-7.8062219619750977</c:v>
                </c:pt>
                <c:pt idx="99">
                  <c:v>-12.215806007385254</c:v>
                </c:pt>
                <c:pt idx="100">
                  <c:v>-12.447924613952637</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Liu\AppData\Local\Temp\__ADEPT__59697368656E204C6975__SESSION_40b214521d0f432e8f051008a5d353ec\Modules\poverty\Output\[adept_poverty_7.xls]Figure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Liu\AppData\Local\Temp\__ADEPT__59697368656E204C6975__SESSION_40b214521d0f432e8f051008a5d353ec\Modules\poverty\Output\[adept_poverty_7.xls]Figure 2.1_DATA'!$C$2:$C$102</c:f>
              <c:numCache>
                <c:formatCode>General</c:formatCode>
                <c:ptCount val="101"/>
                <c:pt idx="0">
                  <c:v>5.3845853805541992</c:v>
                </c:pt>
                <c:pt idx="1">
                  <c:v>5.8206825256347656</c:v>
                </c:pt>
                <c:pt idx="2">
                  <c:v>2.3306198120117187</c:v>
                </c:pt>
                <c:pt idx="3">
                  <c:v>3.7985928058624268</c:v>
                </c:pt>
                <c:pt idx="4">
                  <c:v>3.5966391563415527</c:v>
                </c:pt>
                <c:pt idx="5">
                  <c:v>3.2094995975494385</c:v>
                </c:pt>
                <c:pt idx="6">
                  <c:v>2.7296037673950195</c:v>
                </c:pt>
                <c:pt idx="7">
                  <c:v>2.8921012878417969</c:v>
                </c:pt>
                <c:pt idx="8">
                  <c:v>2.9417121410369873</c:v>
                </c:pt>
                <c:pt idx="9">
                  <c:v>3.0852384567260742</c:v>
                </c:pt>
                <c:pt idx="10">
                  <c:v>2.8634703159332275</c:v>
                </c:pt>
                <c:pt idx="11">
                  <c:v>3.1848840713500977</c:v>
                </c:pt>
                <c:pt idx="12">
                  <c:v>2.6890394687652588</c:v>
                </c:pt>
                <c:pt idx="13">
                  <c:v>2.4229047298431396</c:v>
                </c:pt>
                <c:pt idx="14">
                  <c:v>1.5623712539672852</c:v>
                </c:pt>
                <c:pt idx="15">
                  <c:v>1.5888065099716187</c:v>
                </c:pt>
                <c:pt idx="16">
                  <c:v>1.7003763914108276</c:v>
                </c:pt>
                <c:pt idx="17">
                  <c:v>1.2601957321166992</c:v>
                </c:pt>
                <c:pt idx="18">
                  <c:v>1.1585292816162109</c:v>
                </c:pt>
                <c:pt idx="19">
                  <c:v>1.2026042938232422</c:v>
                </c:pt>
                <c:pt idx="20">
                  <c:v>1.3166223764419556</c:v>
                </c:pt>
                <c:pt idx="21">
                  <c:v>1.3241544961929321</c:v>
                </c:pt>
                <c:pt idx="22">
                  <c:v>1.3992289304733276</c:v>
                </c:pt>
                <c:pt idx="23">
                  <c:v>1.3967883586883545</c:v>
                </c:pt>
                <c:pt idx="24">
                  <c:v>1.4001775979995728</c:v>
                </c:pt>
                <c:pt idx="25">
                  <c:v>1.260016918182373</c:v>
                </c:pt>
                <c:pt idx="26">
                  <c:v>1.1640093326568604</c:v>
                </c:pt>
                <c:pt idx="27">
                  <c:v>1.4155807495117187</c:v>
                </c:pt>
                <c:pt idx="28">
                  <c:v>1.5297806262969971</c:v>
                </c:pt>
                <c:pt idx="29">
                  <c:v>1.4248588085174561</c:v>
                </c:pt>
                <c:pt idx="30">
                  <c:v>1.339056134223938</c:v>
                </c:pt>
                <c:pt idx="31">
                  <c:v>1.2968111038208008</c:v>
                </c:pt>
                <c:pt idx="32">
                  <c:v>1.1088607311248779</c:v>
                </c:pt>
                <c:pt idx="33">
                  <c:v>1.0097005367279053</c:v>
                </c:pt>
                <c:pt idx="34">
                  <c:v>0.79509764909744263</c:v>
                </c:pt>
                <c:pt idx="35">
                  <c:v>0.7639847993850708</c:v>
                </c:pt>
                <c:pt idx="36">
                  <c:v>0.79206210374832153</c:v>
                </c:pt>
                <c:pt idx="37">
                  <c:v>0.95221221446990967</c:v>
                </c:pt>
                <c:pt idx="38">
                  <c:v>0.89838385581970215</c:v>
                </c:pt>
                <c:pt idx="39">
                  <c:v>0.9118267297744751</c:v>
                </c:pt>
                <c:pt idx="40">
                  <c:v>1.0585582256317139</c:v>
                </c:pt>
                <c:pt idx="41">
                  <c:v>1.2431716918945313</c:v>
                </c:pt>
                <c:pt idx="42">
                  <c:v>1.2970718145370483</c:v>
                </c:pt>
                <c:pt idx="43">
                  <c:v>1.3410608768463135</c:v>
                </c:pt>
                <c:pt idx="44">
                  <c:v>1.5395153760910034</c:v>
                </c:pt>
                <c:pt idx="45">
                  <c:v>1.7633984088897705</c:v>
                </c:pt>
                <c:pt idx="46">
                  <c:v>1.7250279188156128</c:v>
                </c:pt>
                <c:pt idx="47">
                  <c:v>1.7788233757019043</c:v>
                </c:pt>
                <c:pt idx="48">
                  <c:v>1.8922865390777588</c:v>
                </c:pt>
                <c:pt idx="49">
                  <c:v>1.8242146968841553</c:v>
                </c:pt>
                <c:pt idx="50">
                  <c:v>1.8442977666854858</c:v>
                </c:pt>
                <c:pt idx="51">
                  <c:v>1.7852855920791626</c:v>
                </c:pt>
                <c:pt idx="52">
                  <c:v>1.5589820146560669</c:v>
                </c:pt>
                <c:pt idx="53">
                  <c:v>1.5548512935638428</c:v>
                </c:pt>
                <c:pt idx="54">
                  <c:v>1.30113685131073</c:v>
                </c:pt>
                <c:pt idx="55">
                  <c:v>1.4428226947784424</c:v>
                </c:pt>
                <c:pt idx="56">
                  <c:v>1.2446177005767822</c:v>
                </c:pt>
                <c:pt idx="57">
                  <c:v>1.2543931007385254</c:v>
                </c:pt>
                <c:pt idx="58">
                  <c:v>1.1368575096130371</c:v>
                </c:pt>
                <c:pt idx="59">
                  <c:v>1.1941264867782593</c:v>
                </c:pt>
                <c:pt idx="60">
                  <c:v>1.0259491205215454</c:v>
                </c:pt>
                <c:pt idx="61">
                  <c:v>1.0658210515975952</c:v>
                </c:pt>
                <c:pt idx="62">
                  <c:v>0.83950597047805786</c:v>
                </c:pt>
                <c:pt idx="63">
                  <c:v>0.72466361522674561</c:v>
                </c:pt>
                <c:pt idx="64">
                  <c:v>0.6875002384185791</c:v>
                </c:pt>
                <c:pt idx="65">
                  <c:v>0.70189052820205688</c:v>
                </c:pt>
                <c:pt idx="66">
                  <c:v>0.67120581865310669</c:v>
                </c:pt>
                <c:pt idx="67">
                  <c:v>0.80776780843734741</c:v>
                </c:pt>
                <c:pt idx="68">
                  <c:v>0.96451061964035034</c:v>
                </c:pt>
                <c:pt idx="69">
                  <c:v>1.0008045434951782</c:v>
                </c:pt>
                <c:pt idx="70">
                  <c:v>0.72242778539657593</c:v>
                </c:pt>
                <c:pt idx="71">
                  <c:v>0.86139851808547974</c:v>
                </c:pt>
                <c:pt idx="72">
                  <c:v>0.77865928411483765</c:v>
                </c:pt>
                <c:pt idx="73">
                  <c:v>0.7313726544380188</c:v>
                </c:pt>
                <c:pt idx="74">
                  <c:v>0.55300569534301758</c:v>
                </c:pt>
                <c:pt idx="75">
                  <c:v>0.64731210470199585</c:v>
                </c:pt>
                <c:pt idx="76">
                  <c:v>0.71509194374084473</c:v>
                </c:pt>
                <c:pt idx="77">
                  <c:v>0.84332126379013062</c:v>
                </c:pt>
                <c:pt idx="78">
                  <c:v>0.72722393274307251</c:v>
                </c:pt>
                <c:pt idx="79">
                  <c:v>0.94052153825759888</c:v>
                </c:pt>
                <c:pt idx="80">
                  <c:v>1.0033735036849976</c:v>
                </c:pt>
                <c:pt idx="81">
                  <c:v>1.0864355564117432</c:v>
                </c:pt>
                <c:pt idx="82">
                  <c:v>1.0544686317443848</c:v>
                </c:pt>
                <c:pt idx="83">
                  <c:v>1.1962336301803589</c:v>
                </c:pt>
                <c:pt idx="84">
                  <c:v>1.0345396995544434</c:v>
                </c:pt>
                <c:pt idx="85">
                  <c:v>1.1536167860031128</c:v>
                </c:pt>
                <c:pt idx="86">
                  <c:v>1.1364388465881348</c:v>
                </c:pt>
                <c:pt idx="87">
                  <c:v>0.98477870225906372</c:v>
                </c:pt>
                <c:pt idx="88">
                  <c:v>1.180090069770813</c:v>
                </c:pt>
                <c:pt idx="89">
                  <c:v>1.0659035444259644</c:v>
                </c:pt>
                <c:pt idx="90">
                  <c:v>1.1653444766998291</c:v>
                </c:pt>
                <c:pt idx="91">
                  <c:v>1.1784781217575073</c:v>
                </c:pt>
                <c:pt idx="92">
                  <c:v>1.2710878849029541</c:v>
                </c:pt>
                <c:pt idx="93">
                  <c:v>1.3859201669692993</c:v>
                </c:pt>
                <c:pt idx="94">
                  <c:v>1.7810771465301514</c:v>
                </c:pt>
                <c:pt idx="95">
                  <c:v>2.2619831562042236</c:v>
                </c:pt>
                <c:pt idx="96">
                  <c:v>2.3767826557159424</c:v>
                </c:pt>
                <c:pt idx="97">
                  <c:v>3.1472232341766357</c:v>
                </c:pt>
                <c:pt idx="98">
                  <c:v>5.2542166709899902</c:v>
                </c:pt>
                <c:pt idx="99">
                  <c:v>6.0713315010070801</c:v>
                </c:pt>
                <c:pt idx="100">
                  <c:v>5.9252562522888184</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Liu\AppData\Local\Temp\__ADEPT__59697368656E204C6975__SESSION_40b214521d0f432e8f051008a5d353ec\Modules\poverty\Output\[adept_poverty_7.xls]Figure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Liu\AppData\Local\Temp\__ADEPT__59697368656E204C6975__SESSION_40b214521d0f432e8f051008a5d353ec\Modules\poverty\Output\[adept_poverty_7.xls]Figure 2.1_DATA'!$D$2:$D$102</c:f>
              <c:numCache>
                <c:formatCode>General</c:formatCode>
                <c:ptCount val="101"/>
                <c:pt idx="0">
                  <c:v>5.3845853805541992</c:v>
                </c:pt>
                <c:pt idx="1">
                  <c:v>5.8206825256347656</c:v>
                </c:pt>
                <c:pt idx="2">
                  <c:v>2.3306198120117187</c:v>
                </c:pt>
                <c:pt idx="3">
                  <c:v>3.7985928058624268</c:v>
                </c:pt>
                <c:pt idx="4">
                  <c:v>3.5966391563415527</c:v>
                </c:pt>
                <c:pt idx="5">
                  <c:v>3.2094995975494385</c:v>
                </c:pt>
                <c:pt idx="6">
                  <c:v>2.7296037673950195</c:v>
                </c:pt>
                <c:pt idx="7">
                  <c:v>2.8921012878417969</c:v>
                </c:pt>
                <c:pt idx="8">
                  <c:v>2.9417121410369873</c:v>
                </c:pt>
                <c:pt idx="9">
                  <c:v>3.0852384567260742</c:v>
                </c:pt>
                <c:pt idx="10">
                  <c:v>2.8634703159332275</c:v>
                </c:pt>
                <c:pt idx="11">
                  <c:v>3.1848840713500977</c:v>
                </c:pt>
                <c:pt idx="12">
                  <c:v>2.6890394687652588</c:v>
                </c:pt>
                <c:pt idx="13">
                  <c:v>2.4229047298431396</c:v>
                </c:pt>
                <c:pt idx="14">
                  <c:v>1.5623712539672852</c:v>
                </c:pt>
                <c:pt idx="15">
                  <c:v>1.5888065099716187</c:v>
                </c:pt>
                <c:pt idx="16">
                  <c:v>1.7003763914108276</c:v>
                </c:pt>
                <c:pt idx="17">
                  <c:v>1.2601957321166992</c:v>
                </c:pt>
                <c:pt idx="18">
                  <c:v>1.1585292816162109</c:v>
                </c:pt>
                <c:pt idx="19">
                  <c:v>1.2026042938232422</c:v>
                </c:pt>
                <c:pt idx="20">
                  <c:v>1.3166223764419556</c:v>
                </c:pt>
                <c:pt idx="21">
                  <c:v>1.3241544961929321</c:v>
                </c:pt>
                <c:pt idx="22">
                  <c:v>1.3992289304733276</c:v>
                </c:pt>
                <c:pt idx="23">
                  <c:v>1.3967883586883545</c:v>
                </c:pt>
                <c:pt idx="24">
                  <c:v>1.4001775979995728</c:v>
                </c:pt>
                <c:pt idx="25">
                  <c:v>1.260016918182373</c:v>
                </c:pt>
                <c:pt idx="26">
                  <c:v>1.1640093326568604</c:v>
                </c:pt>
                <c:pt idx="27">
                  <c:v>1.4155807495117187</c:v>
                </c:pt>
                <c:pt idx="28">
                  <c:v>1.5297806262969971</c:v>
                </c:pt>
                <c:pt idx="29">
                  <c:v>1.4248588085174561</c:v>
                </c:pt>
                <c:pt idx="30">
                  <c:v>1.339056134223938</c:v>
                </c:pt>
                <c:pt idx="31">
                  <c:v>1.2968111038208008</c:v>
                </c:pt>
                <c:pt idx="32">
                  <c:v>1.1088607311248779</c:v>
                </c:pt>
                <c:pt idx="33">
                  <c:v>1.0097005367279053</c:v>
                </c:pt>
                <c:pt idx="34">
                  <c:v>0.79509764909744263</c:v>
                </c:pt>
                <c:pt idx="35">
                  <c:v>0.7639847993850708</c:v>
                </c:pt>
                <c:pt idx="36">
                  <c:v>0.79206210374832153</c:v>
                </c:pt>
                <c:pt idx="37">
                  <c:v>0.95221221446990967</c:v>
                </c:pt>
                <c:pt idx="38">
                  <c:v>0.89838385581970215</c:v>
                </c:pt>
                <c:pt idx="39">
                  <c:v>0.9118267297744751</c:v>
                </c:pt>
                <c:pt idx="40">
                  <c:v>1.0585582256317139</c:v>
                </c:pt>
                <c:pt idx="41">
                  <c:v>1.2431716918945313</c:v>
                </c:pt>
                <c:pt idx="42">
                  <c:v>1.2970718145370483</c:v>
                </c:pt>
                <c:pt idx="43">
                  <c:v>1.3410608768463135</c:v>
                </c:pt>
                <c:pt idx="44">
                  <c:v>1.5395153760910034</c:v>
                </c:pt>
                <c:pt idx="45">
                  <c:v>1.7633984088897705</c:v>
                </c:pt>
                <c:pt idx="46">
                  <c:v>1.7250279188156128</c:v>
                </c:pt>
                <c:pt idx="47">
                  <c:v>1.7788233757019043</c:v>
                </c:pt>
                <c:pt idx="48">
                  <c:v>1.8922865390777588</c:v>
                </c:pt>
                <c:pt idx="49">
                  <c:v>1.8242146968841553</c:v>
                </c:pt>
                <c:pt idx="50">
                  <c:v>1.8442977666854858</c:v>
                </c:pt>
                <c:pt idx="51">
                  <c:v>1.7852855920791626</c:v>
                </c:pt>
                <c:pt idx="52">
                  <c:v>1.5589820146560669</c:v>
                </c:pt>
                <c:pt idx="53">
                  <c:v>1.5548512935638428</c:v>
                </c:pt>
                <c:pt idx="54">
                  <c:v>1.30113685131073</c:v>
                </c:pt>
                <c:pt idx="55">
                  <c:v>1.4428226947784424</c:v>
                </c:pt>
                <c:pt idx="56">
                  <c:v>1.2446177005767822</c:v>
                </c:pt>
                <c:pt idx="57">
                  <c:v>1.2543931007385254</c:v>
                </c:pt>
                <c:pt idx="58">
                  <c:v>1.1368575096130371</c:v>
                </c:pt>
                <c:pt idx="59">
                  <c:v>1.1941264867782593</c:v>
                </c:pt>
                <c:pt idx="60">
                  <c:v>1.0259491205215454</c:v>
                </c:pt>
                <c:pt idx="61">
                  <c:v>1.0658210515975952</c:v>
                </c:pt>
                <c:pt idx="62">
                  <c:v>0.83950597047805786</c:v>
                </c:pt>
                <c:pt idx="63">
                  <c:v>0.72466361522674561</c:v>
                </c:pt>
                <c:pt idx="64">
                  <c:v>0.6875002384185791</c:v>
                </c:pt>
                <c:pt idx="65">
                  <c:v>0.70189052820205688</c:v>
                </c:pt>
                <c:pt idx="66">
                  <c:v>0.67120581865310669</c:v>
                </c:pt>
                <c:pt idx="67">
                  <c:v>0.80776780843734741</c:v>
                </c:pt>
                <c:pt idx="68">
                  <c:v>0.96451061964035034</c:v>
                </c:pt>
                <c:pt idx="69">
                  <c:v>1.0008045434951782</c:v>
                </c:pt>
                <c:pt idx="70">
                  <c:v>0.72242778539657593</c:v>
                </c:pt>
                <c:pt idx="71">
                  <c:v>0.86139851808547974</c:v>
                </c:pt>
                <c:pt idx="72">
                  <c:v>0.77865928411483765</c:v>
                </c:pt>
                <c:pt idx="73">
                  <c:v>0.7313726544380188</c:v>
                </c:pt>
                <c:pt idx="74">
                  <c:v>0.55300569534301758</c:v>
                </c:pt>
                <c:pt idx="75">
                  <c:v>0.64731210470199585</c:v>
                </c:pt>
                <c:pt idx="76">
                  <c:v>0.71509194374084473</c:v>
                </c:pt>
                <c:pt idx="77">
                  <c:v>0.84332126379013062</c:v>
                </c:pt>
                <c:pt idx="78">
                  <c:v>0.72722393274307251</c:v>
                </c:pt>
                <c:pt idx="79">
                  <c:v>0.94052153825759888</c:v>
                </c:pt>
                <c:pt idx="80">
                  <c:v>1.0033735036849976</c:v>
                </c:pt>
                <c:pt idx="81">
                  <c:v>1.0864355564117432</c:v>
                </c:pt>
                <c:pt idx="82">
                  <c:v>1.0544686317443848</c:v>
                </c:pt>
                <c:pt idx="83">
                  <c:v>1.1962336301803589</c:v>
                </c:pt>
                <c:pt idx="84">
                  <c:v>1.0345396995544434</c:v>
                </c:pt>
                <c:pt idx="85">
                  <c:v>1.1536167860031128</c:v>
                </c:pt>
                <c:pt idx="86">
                  <c:v>1.1364388465881348</c:v>
                </c:pt>
                <c:pt idx="87">
                  <c:v>0.98477870225906372</c:v>
                </c:pt>
                <c:pt idx="88">
                  <c:v>1.180090069770813</c:v>
                </c:pt>
                <c:pt idx="89">
                  <c:v>1.0659035444259644</c:v>
                </c:pt>
                <c:pt idx="90">
                  <c:v>1.1653444766998291</c:v>
                </c:pt>
                <c:pt idx="91">
                  <c:v>1.1784781217575073</c:v>
                </c:pt>
                <c:pt idx="92">
                  <c:v>1.2710878849029541</c:v>
                </c:pt>
                <c:pt idx="93">
                  <c:v>1.3859201669692993</c:v>
                </c:pt>
                <c:pt idx="94">
                  <c:v>1.7810771465301514</c:v>
                </c:pt>
                <c:pt idx="95">
                  <c:v>2.2619831562042236</c:v>
                </c:pt>
                <c:pt idx="96">
                  <c:v>2.3767826557159424</c:v>
                </c:pt>
                <c:pt idx="97">
                  <c:v>3.1472232341766357</c:v>
                </c:pt>
                <c:pt idx="98">
                  <c:v>5.2542166709899902</c:v>
                </c:pt>
                <c:pt idx="99">
                  <c:v>6.0713315010070801</c:v>
                </c:pt>
                <c:pt idx="100">
                  <c:v>5.9252562522888184</c:v>
                </c:pt>
              </c:numCache>
            </c:numRef>
          </c:val>
        </c:ser>
        <c:dLbls>
          <c:showLegendKey val="0"/>
          <c:showVal val="0"/>
          <c:showCatName val="0"/>
          <c:showSerName val="0"/>
          <c:showPercent val="0"/>
          <c:showBubbleSize val="0"/>
        </c:dLbls>
        <c:axId val="539592584"/>
        <c:axId val="539592976"/>
      </c:areaChart>
      <c:catAx>
        <c:axId val="5395925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57901860440415"/>
              <c:y val="0.8801261829652992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592976"/>
        <c:crosses val="autoZero"/>
        <c:auto val="1"/>
        <c:lblAlgn val="ctr"/>
        <c:lblOffset val="100"/>
        <c:tickLblSkip val="3"/>
        <c:tickMarkSkip val="1"/>
        <c:noMultiLvlLbl val="0"/>
      </c:catAx>
      <c:valAx>
        <c:axId val="539592976"/>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r>
                  <a:rPr lang="en-US" sz="1000" b="1" i="0" u="none" strike="noStrike" baseline="0">
                    <a:effectLst/>
                  </a:rPr>
                  <a:t>p.c.</a:t>
                </a:r>
                <a:r>
                  <a:rPr lang="en-US"/>
                  <a:t>, %</a:t>
                </a:r>
              </a:p>
            </c:rich>
          </c:tx>
          <c:layout>
            <c:manualLayout>
              <c:xMode val="edge"/>
              <c:yMode val="edge"/>
              <c:x val="3.0408468223907428E-2"/>
              <c:y val="0.21247976487968945"/>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592584"/>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on gaps'!$AB$4</c:f>
              <c:strCache>
                <c:ptCount val="1"/>
                <c:pt idx="0">
                  <c:v>Ecoles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gaps'!$AB$5:$AB$13</c:f>
              <c:numCache>
                <c:formatCode>_(* #,##0_);_(* \(#,##0\);_(* "-"??_);_(@_)</c:formatCode>
                <c:ptCount val="9"/>
                <c:pt idx="0">
                  <c:v>336.0992042815202</c:v>
                </c:pt>
                <c:pt idx="1">
                  <c:v>-189.5169127580341</c:v>
                </c:pt>
                <c:pt idx="2">
                  <c:v>-91.822322875636559</c:v>
                </c:pt>
                <c:pt idx="3">
                  <c:v>-17.010184522398468</c:v>
                </c:pt>
                <c:pt idx="4">
                  <c:v>6.9683388290690109</c:v>
                </c:pt>
                <c:pt idx="5">
                  <c:v>-90.47807307370725</c:v>
                </c:pt>
                <c:pt idx="6">
                  <c:v>204.45734051561129</c:v>
                </c:pt>
                <c:pt idx="7">
                  <c:v>-68.191450242548854</c:v>
                </c:pt>
                <c:pt idx="8">
                  <c:v>-90.505940153875187</c:v>
                </c:pt>
              </c:numCache>
            </c:numRef>
          </c:val>
        </c:ser>
        <c:ser>
          <c:idx val="1"/>
          <c:order val="1"/>
          <c:tx>
            <c:strRef>
              <c:f>'Figure on gaps'!$AC$4</c:f>
              <c:strCache>
                <c:ptCount val="1"/>
                <c:pt idx="0">
                  <c:v>Salles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gaps'!$AC$5:$AC$13</c:f>
              <c:numCache>
                <c:formatCode>_(* #,##0_);_(* \(#,##0\);_(* "-"??_);_(@_)</c:formatCode>
                <c:ptCount val="9"/>
                <c:pt idx="0">
                  <c:v>928.298148814196</c:v>
                </c:pt>
                <c:pt idx="1">
                  <c:v>-499.80581119242919</c:v>
                </c:pt>
                <c:pt idx="2">
                  <c:v>-384.94275277041152</c:v>
                </c:pt>
                <c:pt idx="3">
                  <c:v>-70.754241468738954</c:v>
                </c:pt>
                <c:pt idx="4">
                  <c:v>-187.58036355019161</c:v>
                </c:pt>
                <c:pt idx="5">
                  <c:v>217.11948042267429</c:v>
                </c:pt>
                <c:pt idx="6">
                  <c:v>433.36431020760529</c:v>
                </c:pt>
                <c:pt idx="7">
                  <c:v>-410.85529266350483</c:v>
                </c:pt>
                <c:pt idx="8">
                  <c:v>-24.843477799195849</c:v>
                </c:pt>
              </c:numCache>
            </c:numRef>
          </c:val>
        </c:ser>
        <c:ser>
          <c:idx val="2"/>
          <c:order val="2"/>
          <c:tx>
            <c:strRef>
              <c:f>'Figure on gaps'!$AD$4</c:f>
              <c:strCache>
                <c:ptCount val="1"/>
                <c:pt idx="0">
                  <c:v>Groupes
Pédagogiques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gaps'!$AD$5:$AD$13</c:f>
              <c:numCache>
                <c:formatCode>_(* #,##0_);_(* \(#,##0\);_(* "-"??_);_(@_)</c:formatCode>
                <c:ptCount val="9"/>
                <c:pt idx="0">
                  <c:v>1595.7293354803551</c:v>
                </c:pt>
                <c:pt idx="1">
                  <c:v>-937.50562446483116</c:v>
                </c:pt>
                <c:pt idx="2">
                  <c:v>-464.54509290561049</c:v>
                </c:pt>
                <c:pt idx="3">
                  <c:v>-88.858105370897093</c:v>
                </c:pt>
                <c:pt idx="4">
                  <c:v>-238.91183667652879</c:v>
                </c:pt>
                <c:pt idx="5">
                  <c:v>144.65869894698571</c:v>
                </c:pt>
                <c:pt idx="6">
                  <c:v>918.58963527285505</c:v>
                </c:pt>
                <c:pt idx="7">
                  <c:v>-542.23003378144222</c:v>
                </c:pt>
                <c:pt idx="8">
                  <c:v>-386.9269765008832</c:v>
                </c:pt>
              </c:numCache>
            </c:numRef>
          </c:val>
        </c:ser>
        <c:ser>
          <c:idx val="3"/>
          <c:order val="3"/>
          <c:tx>
            <c:strRef>
              <c:f>'Figure on gaps'!$AE$4</c:f>
              <c:strCache>
                <c:ptCount val="1"/>
                <c:pt idx="0">
                  <c:v>Maîtres
chargés de
cours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gaps'!$AE$5:$AE$13</c:f>
              <c:numCache>
                <c:formatCode>_(* #,##0_);_(* \(#,##0\);_(* "-"??_);_(@_)</c:formatCode>
                <c:ptCount val="9"/>
                <c:pt idx="0">
                  <c:v>963.00096123576532</c:v>
                </c:pt>
                <c:pt idx="1">
                  <c:v>-519.02918914402721</c:v>
                </c:pt>
                <c:pt idx="2">
                  <c:v>-314.68509430285809</c:v>
                </c:pt>
                <c:pt idx="3">
                  <c:v>-69.394827529910799</c:v>
                </c:pt>
                <c:pt idx="4">
                  <c:v>-94.694291486077447</c:v>
                </c:pt>
                <c:pt idx="5">
                  <c:v>295.12506215359781</c:v>
                </c:pt>
                <c:pt idx="6">
                  <c:v>459.11977994940202</c:v>
                </c:pt>
                <c:pt idx="7">
                  <c:v>-615.42868822523087</c:v>
                </c:pt>
                <c:pt idx="8">
                  <c:v>-104.0137126506576</c:v>
                </c:pt>
              </c:numCache>
            </c:numRef>
          </c:val>
        </c:ser>
        <c:dLbls>
          <c:showLegendKey val="0"/>
          <c:showVal val="0"/>
          <c:showCatName val="0"/>
          <c:showSerName val="0"/>
          <c:showPercent val="0"/>
          <c:showBubbleSize val="0"/>
        </c:dLbls>
        <c:gapWidth val="75"/>
        <c:overlap val="-25"/>
        <c:axId val="536486256"/>
        <c:axId val="536486648"/>
      </c:barChart>
      <c:catAx>
        <c:axId val="536486256"/>
        <c:scaling>
          <c:orientation val="minMax"/>
        </c:scaling>
        <c:delete val="0"/>
        <c:axPos val="b"/>
        <c:numFmt formatCode="General" sourceLinked="0"/>
        <c:majorTickMark val="none"/>
        <c:minorTickMark val="none"/>
        <c:tickLblPos val="nextTo"/>
        <c:crossAx val="536486648"/>
        <c:crosses val="autoZero"/>
        <c:auto val="1"/>
        <c:lblAlgn val="ctr"/>
        <c:lblOffset val="100"/>
        <c:noMultiLvlLbl val="0"/>
      </c:catAx>
      <c:valAx>
        <c:axId val="536486648"/>
        <c:scaling>
          <c:orientation val="minMax"/>
        </c:scaling>
        <c:delete val="0"/>
        <c:axPos val="l"/>
        <c:majorGridlines/>
        <c:numFmt formatCode="_(* #,##0_);_(* \(#,##0\);_(* &quot;-&quot;??_);_(@_)" sourceLinked="1"/>
        <c:majorTickMark val="none"/>
        <c:minorTickMark val="none"/>
        <c:tickLblPos val="nextTo"/>
        <c:spPr>
          <a:ln w="9525">
            <a:noFill/>
          </a:ln>
        </c:spPr>
        <c:crossAx val="536486256"/>
        <c:crosses val="autoZero"/>
        <c:crossBetween val="between"/>
      </c:valAx>
    </c:plotArea>
    <c:legend>
      <c:legendPos val="b"/>
      <c:layout>
        <c:manualLayout>
          <c:xMode val="edge"/>
          <c:yMode val="edge"/>
          <c:x val="0.197520529191928"/>
          <c:y val="0.80900863780030097"/>
          <c:w val="0.64251447218551505"/>
          <c:h val="0.16546487847283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8: North-west remittances, sorghum, and transhumant livestock rearing</a:t>
            </a:r>
          </a:p>
        </c:rich>
      </c:tx>
      <c:layout>
        <c:manualLayout>
          <c:xMode val="edge"/>
          <c:yMode val="edge"/>
          <c:x val="0.14601169590643276"/>
          <c:y val="3.4700315457413249E-2"/>
        </c:manualLayout>
      </c:layout>
      <c:overlay val="0"/>
      <c:spPr>
        <a:noFill/>
        <a:ln w="25400">
          <a:noFill/>
        </a:ln>
      </c:spPr>
    </c:title>
    <c:autoTitleDeleted val="0"/>
    <c:plotArea>
      <c:layout>
        <c:manualLayout>
          <c:layoutTarget val="inner"/>
          <c:xMode val="edge"/>
          <c:yMode val="edge"/>
          <c:x val="0.10175456029769787"/>
          <c:y val="0.17981072555205049"/>
          <c:w val="0.86140498458913239"/>
          <c:h val="0.67823343848580486"/>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Liu\AppData\Local\Temp\__ADEPT__59697368656E204C6975__SESSION_40b214521d0f432e8f051008a5d353ec\Modules\poverty\Output\[adept_poverty_9.xls]Figure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Liu\AppData\Local\Temp\__ADEPT__59697368656E204C6975__SESSION_40b214521d0f432e8f051008a5d353ec\Modules\poverty\Output\[adept_poverty_9.xls]Figure 2.1_DATA'!$B$2:$B$102</c:f>
              <c:numCache>
                <c:formatCode>General</c:formatCode>
                <c:ptCount val="101"/>
                <c:pt idx="0">
                  <c:v>4.2278590202331543</c:v>
                </c:pt>
                <c:pt idx="1">
                  <c:v>4.0359330177307129</c:v>
                </c:pt>
                <c:pt idx="2">
                  <c:v>1.2472331523895264</c:v>
                </c:pt>
                <c:pt idx="3">
                  <c:v>4.637453556060791</c:v>
                </c:pt>
                <c:pt idx="4">
                  <c:v>6.3211312294006348</c:v>
                </c:pt>
                <c:pt idx="5">
                  <c:v>6.0118293762207031</c:v>
                </c:pt>
                <c:pt idx="6">
                  <c:v>6.0042858123779297</c:v>
                </c:pt>
                <c:pt idx="7">
                  <c:v>5.9077239036560059</c:v>
                </c:pt>
                <c:pt idx="8">
                  <c:v>5.7230210304260254</c:v>
                </c:pt>
                <c:pt idx="9">
                  <c:v>6.3900628089904785</c:v>
                </c:pt>
                <c:pt idx="10">
                  <c:v>6.0520358085632324</c:v>
                </c:pt>
                <c:pt idx="11">
                  <c:v>5.1802659034729004</c:v>
                </c:pt>
                <c:pt idx="12">
                  <c:v>5.3821535110473633</c:v>
                </c:pt>
                <c:pt idx="13">
                  <c:v>5.1196551322937012</c:v>
                </c:pt>
                <c:pt idx="14">
                  <c:v>5.0824313163757324</c:v>
                </c:pt>
                <c:pt idx="15">
                  <c:v>4.6785092353820801</c:v>
                </c:pt>
                <c:pt idx="16">
                  <c:v>3.9573166370391846</c:v>
                </c:pt>
                <c:pt idx="17">
                  <c:v>3.7569537162780762</c:v>
                </c:pt>
                <c:pt idx="18">
                  <c:v>3.5150065422058105</c:v>
                </c:pt>
                <c:pt idx="19">
                  <c:v>3.388472318649292</c:v>
                </c:pt>
                <c:pt idx="20">
                  <c:v>3.1860141754150391</c:v>
                </c:pt>
                <c:pt idx="21">
                  <c:v>3.1916646957397461</c:v>
                </c:pt>
                <c:pt idx="22">
                  <c:v>2.8324565887451172</c:v>
                </c:pt>
                <c:pt idx="23">
                  <c:v>2.5970602035522461</c:v>
                </c:pt>
                <c:pt idx="24">
                  <c:v>2.2273774147033691</c:v>
                </c:pt>
                <c:pt idx="25">
                  <c:v>2.0245468616485596</c:v>
                </c:pt>
                <c:pt idx="26">
                  <c:v>2.3874421119689941</c:v>
                </c:pt>
                <c:pt idx="27">
                  <c:v>2.6113181114196777</c:v>
                </c:pt>
                <c:pt idx="28">
                  <c:v>2.8423976898193359</c:v>
                </c:pt>
                <c:pt idx="29">
                  <c:v>2.8984055519104004</c:v>
                </c:pt>
                <c:pt idx="30">
                  <c:v>2.8232126235961914</c:v>
                </c:pt>
                <c:pt idx="31">
                  <c:v>3.0815985202789307</c:v>
                </c:pt>
                <c:pt idx="32">
                  <c:v>3.3305976390838623</c:v>
                </c:pt>
                <c:pt idx="33">
                  <c:v>3.5924017429351807</c:v>
                </c:pt>
                <c:pt idx="34">
                  <c:v>3.7176177501678467</c:v>
                </c:pt>
                <c:pt idx="35">
                  <c:v>3.6263480186462402</c:v>
                </c:pt>
                <c:pt idx="36">
                  <c:v>3.7763547897338867</c:v>
                </c:pt>
                <c:pt idx="37">
                  <c:v>3.9957754611968994</c:v>
                </c:pt>
                <c:pt idx="38">
                  <c:v>4.1298294067382812</c:v>
                </c:pt>
                <c:pt idx="39">
                  <c:v>4.065497875213623</c:v>
                </c:pt>
                <c:pt idx="40">
                  <c:v>4.2449312210083008</c:v>
                </c:pt>
                <c:pt idx="41">
                  <c:v>4.2441763877868652</c:v>
                </c:pt>
                <c:pt idx="42">
                  <c:v>4.3728122711181641</c:v>
                </c:pt>
                <c:pt idx="43">
                  <c:v>4.313812255859375</c:v>
                </c:pt>
                <c:pt idx="44">
                  <c:v>4.3954277038574219</c:v>
                </c:pt>
                <c:pt idx="45">
                  <c:v>4.5313806533813477</c:v>
                </c:pt>
                <c:pt idx="46">
                  <c:v>4.6357054710388184</c:v>
                </c:pt>
                <c:pt idx="47">
                  <c:v>4.8498601913452148</c:v>
                </c:pt>
                <c:pt idx="48">
                  <c:v>4.8915019035339355</c:v>
                </c:pt>
                <c:pt idx="49">
                  <c:v>5.097710132598877</c:v>
                </c:pt>
                <c:pt idx="50">
                  <c:v>5.320284366607666</c:v>
                </c:pt>
                <c:pt idx="51">
                  <c:v>5.2460813522338867</c:v>
                </c:pt>
                <c:pt idx="52">
                  <c:v>4.9352025985717773</c:v>
                </c:pt>
                <c:pt idx="53">
                  <c:v>4.7106118202209473</c:v>
                </c:pt>
                <c:pt idx="54">
                  <c:v>4.6666817665100098</c:v>
                </c:pt>
                <c:pt idx="55">
                  <c:v>4.1141462326049805</c:v>
                </c:pt>
                <c:pt idx="56">
                  <c:v>3.7779121398925781</c:v>
                </c:pt>
                <c:pt idx="57">
                  <c:v>3.787062406539917</c:v>
                </c:pt>
                <c:pt idx="58">
                  <c:v>3.8229444026947021</c:v>
                </c:pt>
                <c:pt idx="59">
                  <c:v>3.3426680564880371</c:v>
                </c:pt>
                <c:pt idx="60">
                  <c:v>3.1823892593383789</c:v>
                </c:pt>
                <c:pt idx="61">
                  <c:v>2.9204933643341064</c:v>
                </c:pt>
                <c:pt idx="62">
                  <c:v>2.6439638137817383</c:v>
                </c:pt>
                <c:pt idx="63">
                  <c:v>2.5249178409576416</c:v>
                </c:pt>
                <c:pt idx="64">
                  <c:v>2.4885616302490234</c:v>
                </c:pt>
                <c:pt idx="65">
                  <c:v>2.6384434700012207</c:v>
                </c:pt>
                <c:pt idx="66">
                  <c:v>2.6717634201049805</c:v>
                </c:pt>
                <c:pt idx="67">
                  <c:v>2.245497465133667</c:v>
                </c:pt>
                <c:pt idx="68">
                  <c:v>2.078822135925293</c:v>
                </c:pt>
                <c:pt idx="69">
                  <c:v>1.7601751089096069</c:v>
                </c:pt>
                <c:pt idx="70">
                  <c:v>1.7098106145858765</c:v>
                </c:pt>
                <c:pt idx="71">
                  <c:v>1.6895614862442017</c:v>
                </c:pt>
                <c:pt idx="72">
                  <c:v>1.6389389038085937</c:v>
                </c:pt>
                <c:pt idx="73">
                  <c:v>1.5700932741165161</c:v>
                </c:pt>
                <c:pt idx="74">
                  <c:v>1.2178515195846558</c:v>
                </c:pt>
                <c:pt idx="75">
                  <c:v>0.46096909046173096</c:v>
                </c:pt>
                <c:pt idx="76">
                  <c:v>0.14537441730499268</c:v>
                </c:pt>
                <c:pt idx="77">
                  <c:v>7.4979826807975769E-2</c:v>
                </c:pt>
                <c:pt idx="78">
                  <c:v>0.13299910724163055</c:v>
                </c:pt>
                <c:pt idx="79">
                  <c:v>0.26499906182289124</c:v>
                </c:pt>
                <c:pt idx="80">
                  <c:v>0.35059180855751038</c:v>
                </c:pt>
                <c:pt idx="81">
                  <c:v>1.965118944644928E-2</c:v>
                </c:pt>
                <c:pt idx="82">
                  <c:v>-0.30827540159225464</c:v>
                </c:pt>
                <c:pt idx="83">
                  <c:v>-0.31574550271034241</c:v>
                </c:pt>
                <c:pt idx="84">
                  <c:v>-0.84330803155899048</c:v>
                </c:pt>
                <c:pt idx="85">
                  <c:v>-0.83272701501846313</c:v>
                </c:pt>
                <c:pt idx="86">
                  <c:v>-0.83879846334457397</c:v>
                </c:pt>
                <c:pt idx="87">
                  <c:v>-0.68025785684585571</c:v>
                </c:pt>
                <c:pt idx="88">
                  <c:v>-0.66742920875549316</c:v>
                </c:pt>
                <c:pt idx="89">
                  <c:v>-0.52995866537094116</c:v>
                </c:pt>
                <c:pt idx="90">
                  <c:v>-1.6604129076004028</c:v>
                </c:pt>
                <c:pt idx="91">
                  <c:v>-2.0688936710357666</c:v>
                </c:pt>
                <c:pt idx="92">
                  <c:v>-2.2185566425323486</c:v>
                </c:pt>
                <c:pt idx="93">
                  <c:v>-4.2013683319091797</c:v>
                </c:pt>
                <c:pt idx="94">
                  <c:v>-4.3862762451171875</c:v>
                </c:pt>
                <c:pt idx="95">
                  <c:v>-4.955601692199707</c:v>
                </c:pt>
                <c:pt idx="96">
                  <c:v>-5.2735047340393066</c:v>
                </c:pt>
                <c:pt idx="97">
                  <c:v>-5.7031617164611816</c:v>
                </c:pt>
                <c:pt idx="98">
                  <c:v>-5.8607587814331055</c:v>
                </c:pt>
                <c:pt idx="99">
                  <c:v>-6.9548459053039551</c:v>
                </c:pt>
                <c:pt idx="100">
                  <c:v>-7.066594123840332</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Liu\AppData\Local\Temp\__ADEPT__59697368656E204C6975__SESSION_40b214521d0f432e8f051008a5d353ec\Modules\poverty\Output\[adept_poverty_9.xls]Figure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Liu\AppData\Local\Temp\__ADEPT__59697368656E204C6975__SESSION_40b214521d0f432e8f051008a5d353ec\Modules\poverty\Output\[adept_poverty_9.xls]Figure 2.1_DATA'!$C$2:$C$102</c:f>
              <c:numCache>
                <c:formatCode>General</c:formatCode>
                <c:ptCount val="101"/>
                <c:pt idx="0">
                  <c:v>9.9434881210327148</c:v>
                </c:pt>
                <c:pt idx="1">
                  <c:v>9.3035783767700195</c:v>
                </c:pt>
                <c:pt idx="2">
                  <c:v>9.0627479553222656</c:v>
                </c:pt>
                <c:pt idx="3">
                  <c:v>5.9636993408203125</c:v>
                </c:pt>
                <c:pt idx="4">
                  <c:v>3.5810935497283936</c:v>
                </c:pt>
                <c:pt idx="5">
                  <c:v>3.4859955310821533</c:v>
                </c:pt>
                <c:pt idx="6">
                  <c:v>3.4218146800994873</c:v>
                </c:pt>
                <c:pt idx="7">
                  <c:v>3.3208322525024414</c:v>
                </c:pt>
                <c:pt idx="8">
                  <c:v>3.4341435432434082</c:v>
                </c:pt>
                <c:pt idx="9">
                  <c:v>2.5861577987670898</c:v>
                </c:pt>
                <c:pt idx="10">
                  <c:v>2.7872204780578613</c:v>
                </c:pt>
                <c:pt idx="11">
                  <c:v>3.512876033782959</c:v>
                </c:pt>
                <c:pt idx="12">
                  <c:v>3.0971760749816895</c:v>
                </c:pt>
                <c:pt idx="13">
                  <c:v>3.1749448776245117</c:v>
                </c:pt>
                <c:pt idx="14">
                  <c:v>2.9429049491882324</c:v>
                </c:pt>
                <c:pt idx="15">
                  <c:v>3.0958819389343262</c:v>
                </c:pt>
                <c:pt idx="16">
                  <c:v>3.5007233619689941</c:v>
                </c:pt>
                <c:pt idx="17">
                  <c:v>3.5279133319854736</c:v>
                </c:pt>
                <c:pt idx="18">
                  <c:v>3.3332467079162598</c:v>
                </c:pt>
                <c:pt idx="19">
                  <c:v>3.1964237689971924</c:v>
                </c:pt>
                <c:pt idx="20">
                  <c:v>3.1860449314117432</c:v>
                </c:pt>
                <c:pt idx="21">
                  <c:v>3.0677289962768555</c:v>
                </c:pt>
                <c:pt idx="22">
                  <c:v>3.2256855964660645</c:v>
                </c:pt>
                <c:pt idx="23">
                  <c:v>3.3716905117034912</c:v>
                </c:pt>
                <c:pt idx="24">
                  <c:v>3.4839999675750732</c:v>
                </c:pt>
                <c:pt idx="25">
                  <c:v>3.5259041786193848</c:v>
                </c:pt>
                <c:pt idx="26">
                  <c:v>3.0937950611114502</c:v>
                </c:pt>
                <c:pt idx="27">
                  <c:v>2.6981689929962158</c:v>
                </c:pt>
                <c:pt idx="28">
                  <c:v>2.372938871383667</c:v>
                </c:pt>
                <c:pt idx="29">
                  <c:v>2.2768349647521973</c:v>
                </c:pt>
                <c:pt idx="30">
                  <c:v>2.2558310031890869</c:v>
                </c:pt>
                <c:pt idx="31">
                  <c:v>1.8638782501220703</c:v>
                </c:pt>
                <c:pt idx="32">
                  <c:v>1.6565095186233521</c:v>
                </c:pt>
                <c:pt idx="33">
                  <c:v>1.4561927318572998</c:v>
                </c:pt>
                <c:pt idx="34">
                  <c:v>1.4346537590026855</c:v>
                </c:pt>
                <c:pt idx="35">
                  <c:v>1.5381269454956055</c:v>
                </c:pt>
                <c:pt idx="36">
                  <c:v>1.3581421375274658</c:v>
                </c:pt>
                <c:pt idx="37">
                  <c:v>1.2067784070968628</c:v>
                </c:pt>
                <c:pt idx="38">
                  <c:v>1.1761337518692017</c:v>
                </c:pt>
                <c:pt idx="39">
                  <c:v>1.3120392560958862</c:v>
                </c:pt>
                <c:pt idx="40">
                  <c:v>1.2201468944549561</c:v>
                </c:pt>
                <c:pt idx="41">
                  <c:v>1.2298682928085327</c:v>
                </c:pt>
                <c:pt idx="42">
                  <c:v>1.2271797657012939</c:v>
                </c:pt>
                <c:pt idx="43">
                  <c:v>1.2153704166412354</c:v>
                </c:pt>
                <c:pt idx="44">
                  <c:v>1.1860644817352295</c:v>
                </c:pt>
                <c:pt idx="45">
                  <c:v>1.0982602834701538</c:v>
                </c:pt>
                <c:pt idx="46">
                  <c:v>1.0764520168304443</c:v>
                </c:pt>
                <c:pt idx="47">
                  <c:v>0.89327311515808105</c:v>
                </c:pt>
                <c:pt idx="48">
                  <c:v>0.87084901332855225</c:v>
                </c:pt>
                <c:pt idx="49">
                  <c:v>0.75755321979522705</c:v>
                </c:pt>
                <c:pt idx="50">
                  <c:v>0.61039489507675171</c:v>
                </c:pt>
                <c:pt idx="51">
                  <c:v>0.70844572782516479</c:v>
                </c:pt>
                <c:pt idx="52">
                  <c:v>1.0058408975601196</c:v>
                </c:pt>
                <c:pt idx="53">
                  <c:v>1.1870923042297363</c:v>
                </c:pt>
                <c:pt idx="54">
                  <c:v>1.2990014553070068</c:v>
                </c:pt>
                <c:pt idx="55">
                  <c:v>1.7960537672042847</c:v>
                </c:pt>
                <c:pt idx="56">
                  <c:v>2.0563645362854004</c:v>
                </c:pt>
                <c:pt idx="57">
                  <c:v>1.9898208379745483</c:v>
                </c:pt>
                <c:pt idx="58">
                  <c:v>1.9835038185119629</c:v>
                </c:pt>
                <c:pt idx="59">
                  <c:v>2.2534341812133789</c:v>
                </c:pt>
                <c:pt idx="60">
                  <c:v>2.3491339683532715</c:v>
                </c:pt>
                <c:pt idx="61">
                  <c:v>2.5974447727203369</c:v>
                </c:pt>
                <c:pt idx="62">
                  <c:v>2.8128652572631836</c:v>
                </c:pt>
                <c:pt idx="63">
                  <c:v>2.7848324775695801</c:v>
                </c:pt>
                <c:pt idx="64">
                  <c:v>2.6450529098510742</c:v>
                </c:pt>
                <c:pt idx="65">
                  <c:v>2.2820005416870117</c:v>
                </c:pt>
                <c:pt idx="66">
                  <c:v>2.0794377326965332</c:v>
                </c:pt>
                <c:pt idx="67">
                  <c:v>2.2510073184967041</c:v>
                </c:pt>
                <c:pt idx="68">
                  <c:v>2.2593464851379395</c:v>
                </c:pt>
                <c:pt idx="69">
                  <c:v>2.4557151794433594</c:v>
                </c:pt>
                <c:pt idx="70">
                  <c:v>2.481126070022583</c:v>
                </c:pt>
                <c:pt idx="71">
                  <c:v>2.1921758651733398</c:v>
                </c:pt>
                <c:pt idx="72">
                  <c:v>2.0875885486602783</c:v>
                </c:pt>
                <c:pt idx="73">
                  <c:v>2.0224685668945313</c:v>
                </c:pt>
                <c:pt idx="74">
                  <c:v>2.3323478698730469</c:v>
                </c:pt>
                <c:pt idx="75">
                  <c:v>2.9512374401092529</c:v>
                </c:pt>
                <c:pt idx="76">
                  <c:v>3.2934591770172119</c:v>
                </c:pt>
                <c:pt idx="77">
                  <c:v>3.3908500671386719</c:v>
                </c:pt>
                <c:pt idx="78">
                  <c:v>3.3386251926422119</c:v>
                </c:pt>
                <c:pt idx="79">
                  <c:v>3.2499279975891113</c:v>
                </c:pt>
                <c:pt idx="80">
                  <c:v>3.0695950984954834</c:v>
                </c:pt>
                <c:pt idx="81">
                  <c:v>3.1085569858551025</c:v>
                </c:pt>
                <c:pt idx="82">
                  <c:v>3.2462754249572754</c:v>
                </c:pt>
                <c:pt idx="83">
                  <c:v>3.0897157192230225</c:v>
                </c:pt>
                <c:pt idx="84">
                  <c:v>3.3864278793334961</c:v>
                </c:pt>
                <c:pt idx="85">
                  <c:v>3.2863008975982666</c:v>
                </c:pt>
                <c:pt idx="86">
                  <c:v>3.2412483692169189</c:v>
                </c:pt>
                <c:pt idx="87">
                  <c:v>2.8112900257110596</c:v>
                </c:pt>
                <c:pt idx="88">
                  <c:v>2.6901135444641113</c:v>
                </c:pt>
                <c:pt idx="89">
                  <c:v>2.272179126739502</c:v>
                </c:pt>
                <c:pt idx="90">
                  <c:v>2.9718351364135742</c:v>
                </c:pt>
                <c:pt idx="91">
                  <c:v>3.3872473239898682</c:v>
                </c:pt>
                <c:pt idx="92">
                  <c:v>3.4711432456970215</c:v>
                </c:pt>
                <c:pt idx="93">
                  <c:v>5.1293797492980957</c:v>
                </c:pt>
                <c:pt idx="94">
                  <c:v>4.8294601440429687</c:v>
                </c:pt>
                <c:pt idx="95">
                  <c:v>4.9269165992736816</c:v>
                </c:pt>
                <c:pt idx="96">
                  <c:v>5.0751948356628418</c:v>
                </c:pt>
                <c:pt idx="97">
                  <c:v>4.8038702011108398</c:v>
                </c:pt>
                <c:pt idx="98">
                  <c:v>3.3659946918487549</c:v>
                </c:pt>
                <c:pt idx="99">
                  <c:v>3.8430836200714111</c:v>
                </c:pt>
                <c:pt idx="100">
                  <c:v>3.8820457458496094</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Liu\AppData\Local\Temp\__ADEPT__59697368656E204C6975__SESSION_40b214521d0f432e8f051008a5d353ec\Modules\poverty\Output\[adept_poverty_9.xls]Figure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Liu\AppData\Local\Temp\__ADEPT__59697368656E204C6975__SESSION_40b214521d0f432e8f051008a5d353ec\Modules\poverty\Output\[adept_poverty_9.xls]Figure 2.1_DATA'!$D$2:$D$102</c:f>
              <c:numCache>
                <c:formatCode>General</c:formatCode>
                <c:ptCount val="101"/>
                <c:pt idx="0">
                  <c:v>9.9434881210327148</c:v>
                </c:pt>
                <c:pt idx="1">
                  <c:v>9.3035783767700195</c:v>
                </c:pt>
                <c:pt idx="2">
                  <c:v>9.0627479553222656</c:v>
                </c:pt>
                <c:pt idx="3">
                  <c:v>5.9636993408203125</c:v>
                </c:pt>
                <c:pt idx="4">
                  <c:v>3.5810935497283936</c:v>
                </c:pt>
                <c:pt idx="5">
                  <c:v>3.4859955310821533</c:v>
                </c:pt>
                <c:pt idx="6">
                  <c:v>3.4218146800994873</c:v>
                </c:pt>
                <c:pt idx="7">
                  <c:v>3.3208322525024414</c:v>
                </c:pt>
                <c:pt idx="8">
                  <c:v>3.4341435432434082</c:v>
                </c:pt>
                <c:pt idx="9">
                  <c:v>2.5861577987670898</c:v>
                </c:pt>
                <c:pt idx="10">
                  <c:v>2.7872204780578613</c:v>
                </c:pt>
                <c:pt idx="11">
                  <c:v>3.512876033782959</c:v>
                </c:pt>
                <c:pt idx="12">
                  <c:v>3.0971760749816895</c:v>
                </c:pt>
                <c:pt idx="13">
                  <c:v>3.1749448776245117</c:v>
                </c:pt>
                <c:pt idx="14">
                  <c:v>2.9429049491882324</c:v>
                </c:pt>
                <c:pt idx="15">
                  <c:v>3.0958819389343262</c:v>
                </c:pt>
                <c:pt idx="16">
                  <c:v>3.5007233619689941</c:v>
                </c:pt>
                <c:pt idx="17">
                  <c:v>3.5279133319854736</c:v>
                </c:pt>
                <c:pt idx="18">
                  <c:v>3.3332467079162598</c:v>
                </c:pt>
                <c:pt idx="19">
                  <c:v>3.1964237689971924</c:v>
                </c:pt>
                <c:pt idx="20">
                  <c:v>3.1860449314117432</c:v>
                </c:pt>
                <c:pt idx="21">
                  <c:v>3.0677289962768555</c:v>
                </c:pt>
                <c:pt idx="22">
                  <c:v>3.2256855964660645</c:v>
                </c:pt>
                <c:pt idx="23">
                  <c:v>3.3716905117034912</c:v>
                </c:pt>
                <c:pt idx="24">
                  <c:v>3.4839999675750732</c:v>
                </c:pt>
                <c:pt idx="25">
                  <c:v>3.5259041786193848</c:v>
                </c:pt>
                <c:pt idx="26">
                  <c:v>3.0937950611114502</c:v>
                </c:pt>
                <c:pt idx="27">
                  <c:v>2.6981689929962158</c:v>
                </c:pt>
                <c:pt idx="28">
                  <c:v>2.372938871383667</c:v>
                </c:pt>
                <c:pt idx="29">
                  <c:v>2.2768349647521973</c:v>
                </c:pt>
                <c:pt idx="30">
                  <c:v>2.2558310031890869</c:v>
                </c:pt>
                <c:pt idx="31">
                  <c:v>1.8638782501220703</c:v>
                </c:pt>
                <c:pt idx="32">
                  <c:v>1.6565095186233521</c:v>
                </c:pt>
                <c:pt idx="33">
                  <c:v>1.4561927318572998</c:v>
                </c:pt>
                <c:pt idx="34">
                  <c:v>1.4346537590026855</c:v>
                </c:pt>
                <c:pt idx="35">
                  <c:v>1.5381269454956055</c:v>
                </c:pt>
                <c:pt idx="36">
                  <c:v>1.3581421375274658</c:v>
                </c:pt>
                <c:pt idx="37">
                  <c:v>1.2067784070968628</c:v>
                </c:pt>
                <c:pt idx="38">
                  <c:v>1.1761337518692017</c:v>
                </c:pt>
                <c:pt idx="39">
                  <c:v>1.3120392560958862</c:v>
                </c:pt>
                <c:pt idx="40">
                  <c:v>1.2201468944549561</c:v>
                </c:pt>
                <c:pt idx="41">
                  <c:v>1.2298682928085327</c:v>
                </c:pt>
                <c:pt idx="42">
                  <c:v>1.2271797657012939</c:v>
                </c:pt>
                <c:pt idx="43">
                  <c:v>1.2153704166412354</c:v>
                </c:pt>
                <c:pt idx="44">
                  <c:v>1.1860644817352295</c:v>
                </c:pt>
                <c:pt idx="45">
                  <c:v>1.0982602834701538</c:v>
                </c:pt>
                <c:pt idx="46">
                  <c:v>1.0764520168304443</c:v>
                </c:pt>
                <c:pt idx="47">
                  <c:v>0.89327311515808105</c:v>
                </c:pt>
                <c:pt idx="48">
                  <c:v>0.87084901332855225</c:v>
                </c:pt>
                <c:pt idx="49">
                  <c:v>0.75755321979522705</c:v>
                </c:pt>
                <c:pt idx="50">
                  <c:v>0.61039489507675171</c:v>
                </c:pt>
                <c:pt idx="51">
                  <c:v>0.70844572782516479</c:v>
                </c:pt>
                <c:pt idx="52">
                  <c:v>1.0058408975601196</c:v>
                </c:pt>
                <c:pt idx="53">
                  <c:v>1.1870923042297363</c:v>
                </c:pt>
                <c:pt idx="54">
                  <c:v>1.2990014553070068</c:v>
                </c:pt>
                <c:pt idx="55">
                  <c:v>1.7960537672042847</c:v>
                </c:pt>
                <c:pt idx="56">
                  <c:v>2.0563645362854004</c:v>
                </c:pt>
                <c:pt idx="57">
                  <c:v>1.9898208379745483</c:v>
                </c:pt>
                <c:pt idx="58">
                  <c:v>1.9835038185119629</c:v>
                </c:pt>
                <c:pt idx="59">
                  <c:v>2.2534341812133789</c:v>
                </c:pt>
                <c:pt idx="60">
                  <c:v>2.3491339683532715</c:v>
                </c:pt>
                <c:pt idx="61">
                  <c:v>2.5974447727203369</c:v>
                </c:pt>
                <c:pt idx="62">
                  <c:v>2.8128652572631836</c:v>
                </c:pt>
                <c:pt idx="63">
                  <c:v>2.7848324775695801</c:v>
                </c:pt>
                <c:pt idx="64">
                  <c:v>2.6450529098510742</c:v>
                </c:pt>
                <c:pt idx="65">
                  <c:v>2.2820005416870117</c:v>
                </c:pt>
                <c:pt idx="66">
                  <c:v>2.0794377326965332</c:v>
                </c:pt>
                <c:pt idx="67">
                  <c:v>2.2510073184967041</c:v>
                </c:pt>
                <c:pt idx="68">
                  <c:v>2.2593464851379395</c:v>
                </c:pt>
                <c:pt idx="69">
                  <c:v>2.4557151794433594</c:v>
                </c:pt>
                <c:pt idx="70">
                  <c:v>2.481126070022583</c:v>
                </c:pt>
                <c:pt idx="71">
                  <c:v>2.1921758651733398</c:v>
                </c:pt>
                <c:pt idx="72">
                  <c:v>2.0875885486602783</c:v>
                </c:pt>
                <c:pt idx="73">
                  <c:v>2.0224685668945313</c:v>
                </c:pt>
                <c:pt idx="74">
                  <c:v>2.3323478698730469</c:v>
                </c:pt>
                <c:pt idx="75">
                  <c:v>2.9512374401092529</c:v>
                </c:pt>
                <c:pt idx="76">
                  <c:v>3.2934591770172119</c:v>
                </c:pt>
                <c:pt idx="77">
                  <c:v>3.3908500671386719</c:v>
                </c:pt>
                <c:pt idx="78">
                  <c:v>3.3386251926422119</c:v>
                </c:pt>
                <c:pt idx="79">
                  <c:v>3.2499279975891113</c:v>
                </c:pt>
                <c:pt idx="80">
                  <c:v>3.0695950984954834</c:v>
                </c:pt>
                <c:pt idx="81">
                  <c:v>3.1085569858551025</c:v>
                </c:pt>
                <c:pt idx="82">
                  <c:v>3.2462754249572754</c:v>
                </c:pt>
                <c:pt idx="83">
                  <c:v>3.0897157192230225</c:v>
                </c:pt>
                <c:pt idx="84">
                  <c:v>3.3864278793334961</c:v>
                </c:pt>
                <c:pt idx="85">
                  <c:v>3.2863008975982666</c:v>
                </c:pt>
                <c:pt idx="86">
                  <c:v>3.2412483692169189</c:v>
                </c:pt>
                <c:pt idx="87">
                  <c:v>2.8112900257110596</c:v>
                </c:pt>
                <c:pt idx="88">
                  <c:v>2.6901135444641113</c:v>
                </c:pt>
                <c:pt idx="89">
                  <c:v>2.272179126739502</c:v>
                </c:pt>
                <c:pt idx="90">
                  <c:v>2.9718351364135742</c:v>
                </c:pt>
                <c:pt idx="91">
                  <c:v>3.3872473239898682</c:v>
                </c:pt>
                <c:pt idx="92">
                  <c:v>3.4711432456970215</c:v>
                </c:pt>
                <c:pt idx="93">
                  <c:v>5.1293797492980957</c:v>
                </c:pt>
                <c:pt idx="94">
                  <c:v>4.8294601440429687</c:v>
                </c:pt>
                <c:pt idx="95">
                  <c:v>4.9269165992736816</c:v>
                </c:pt>
                <c:pt idx="96">
                  <c:v>5.0751948356628418</c:v>
                </c:pt>
                <c:pt idx="97">
                  <c:v>4.8038702011108398</c:v>
                </c:pt>
                <c:pt idx="98">
                  <c:v>3.3659946918487549</c:v>
                </c:pt>
                <c:pt idx="99">
                  <c:v>3.8430836200714111</c:v>
                </c:pt>
                <c:pt idx="100">
                  <c:v>3.8820457458496094</c:v>
                </c:pt>
              </c:numCache>
            </c:numRef>
          </c:val>
        </c:ser>
        <c:dLbls>
          <c:showLegendKey val="0"/>
          <c:showVal val="0"/>
          <c:showCatName val="0"/>
          <c:showSerName val="0"/>
          <c:showPercent val="0"/>
          <c:showBubbleSize val="0"/>
        </c:dLbls>
        <c:axId val="540049080"/>
        <c:axId val="540049472"/>
      </c:areaChart>
      <c:catAx>
        <c:axId val="54004908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57901860440415"/>
              <c:y val="0.8801261829652992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049472"/>
        <c:crosses val="autoZero"/>
        <c:auto val="1"/>
        <c:lblAlgn val="ctr"/>
        <c:lblOffset val="100"/>
        <c:tickLblSkip val="3"/>
        <c:tickMarkSkip val="1"/>
        <c:noMultiLvlLbl val="0"/>
      </c:catAx>
      <c:valAx>
        <c:axId val="540049472"/>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r>
                  <a:rPr lang="en-US" sz="1000" b="1" i="0" u="none" strike="noStrike" baseline="0">
                    <a:effectLst/>
                  </a:rPr>
                  <a:t>p.c.</a:t>
                </a:r>
                <a:r>
                  <a:rPr lang="en-US"/>
                  <a:t>, %</a:t>
                </a:r>
              </a:p>
            </c:rich>
          </c:tx>
          <c:layout>
            <c:manualLayout>
              <c:xMode val="edge"/>
              <c:yMode val="edge"/>
              <c:x val="2.8070223530399414E-2"/>
              <c:y val="0.31230283911671947"/>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049080"/>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9: West and central rainfed millet/sorghum</a:t>
            </a:r>
          </a:p>
        </c:rich>
      </c:tx>
      <c:layout>
        <c:manualLayout>
          <c:xMode val="edge"/>
          <c:yMode val="edge"/>
          <c:x val="0.26842178938159039"/>
          <c:y val="3.0494216614090432E-2"/>
        </c:manualLayout>
      </c:layout>
      <c:overlay val="0"/>
      <c:spPr>
        <a:noFill/>
        <a:ln w="25400">
          <a:noFill/>
        </a:ln>
      </c:spPr>
    </c:title>
    <c:autoTitleDeleted val="0"/>
    <c:plotArea>
      <c:layout>
        <c:manualLayout>
          <c:layoutTarget val="inner"/>
          <c:xMode val="edge"/>
          <c:yMode val="edge"/>
          <c:x val="9.6491393385748025E-2"/>
          <c:y val="0.17981072555205049"/>
          <c:w val="0.86666815150108223"/>
          <c:h val="0.67823343848580486"/>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Liu\AppData\Local\Temp\__ADEPT__59697368656E204C6975__SESSION_40b214521d0f432e8f051008a5d353ec\Modules\poverty\Output\[adept_poverty_10.xls]Figure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Liu\AppData\Local\Temp\__ADEPT__59697368656E204C6975__SESSION_40b214521d0f432e8f051008a5d353ec\Modules\poverty\Output\[adept_poverty_10.xls]Figure 2.1_DATA'!$B$2:$B$102</c:f>
              <c:numCache>
                <c:formatCode>General</c:formatCode>
                <c:ptCount val="101"/>
                <c:pt idx="0">
                  <c:v>0.27419343590736389</c:v>
                </c:pt>
                <c:pt idx="1">
                  <c:v>0.34888246655464172</c:v>
                </c:pt>
                <c:pt idx="2">
                  <c:v>0.14161244034767151</c:v>
                </c:pt>
                <c:pt idx="3">
                  <c:v>0.8739851713180542</c:v>
                </c:pt>
                <c:pt idx="4">
                  <c:v>1.2513643503189087</c:v>
                </c:pt>
                <c:pt idx="5">
                  <c:v>0.32132315635681152</c:v>
                </c:pt>
                <c:pt idx="6">
                  <c:v>0.63863515853881836</c:v>
                </c:pt>
                <c:pt idx="7">
                  <c:v>1.0527324676513672</c:v>
                </c:pt>
                <c:pt idx="8">
                  <c:v>0.51073580980300903</c:v>
                </c:pt>
                <c:pt idx="9">
                  <c:v>0.21384616196155548</c:v>
                </c:pt>
                <c:pt idx="10">
                  <c:v>0.65677821636199951</c:v>
                </c:pt>
                <c:pt idx="11">
                  <c:v>0.66633516550064087</c:v>
                </c:pt>
                <c:pt idx="12">
                  <c:v>0.66691803932189941</c:v>
                </c:pt>
                <c:pt idx="13">
                  <c:v>0.97425365447998047</c:v>
                </c:pt>
                <c:pt idx="14">
                  <c:v>0.95338129997253418</c:v>
                </c:pt>
                <c:pt idx="15">
                  <c:v>0.83748281002044678</c:v>
                </c:pt>
                <c:pt idx="16">
                  <c:v>0.72960525751113892</c:v>
                </c:pt>
                <c:pt idx="17">
                  <c:v>0.85475879907608032</c:v>
                </c:pt>
                <c:pt idx="18">
                  <c:v>0.690238356590271</c:v>
                </c:pt>
                <c:pt idx="19">
                  <c:v>0.67275559902191162</c:v>
                </c:pt>
                <c:pt idx="20">
                  <c:v>0.69872605800628662</c:v>
                </c:pt>
                <c:pt idx="21">
                  <c:v>0.58199572563171387</c:v>
                </c:pt>
                <c:pt idx="22">
                  <c:v>0.55319821834564209</c:v>
                </c:pt>
                <c:pt idx="23">
                  <c:v>0.31501519680023193</c:v>
                </c:pt>
                <c:pt idx="24">
                  <c:v>0.3826216459274292</c:v>
                </c:pt>
                <c:pt idx="25">
                  <c:v>0.33993148803710938</c:v>
                </c:pt>
                <c:pt idx="26">
                  <c:v>0.36285734176635742</c:v>
                </c:pt>
                <c:pt idx="27">
                  <c:v>0.36103767156600952</c:v>
                </c:pt>
                <c:pt idx="28">
                  <c:v>0.49976488947868347</c:v>
                </c:pt>
                <c:pt idx="29">
                  <c:v>0.6615644097328186</c:v>
                </c:pt>
                <c:pt idx="30">
                  <c:v>0.547801673412323</c:v>
                </c:pt>
                <c:pt idx="31">
                  <c:v>0.41467240452766418</c:v>
                </c:pt>
                <c:pt idx="32">
                  <c:v>0.23495382070541382</c:v>
                </c:pt>
                <c:pt idx="33">
                  <c:v>0.15133216977119446</c:v>
                </c:pt>
                <c:pt idx="34">
                  <c:v>0.31011494994163513</c:v>
                </c:pt>
                <c:pt idx="35">
                  <c:v>0.41380113363265991</c:v>
                </c:pt>
                <c:pt idx="36">
                  <c:v>0.24321167171001434</c:v>
                </c:pt>
                <c:pt idx="37">
                  <c:v>0.18295988440513611</c:v>
                </c:pt>
                <c:pt idx="38">
                  <c:v>0.25502428412437439</c:v>
                </c:pt>
                <c:pt idx="39">
                  <c:v>8.6655169725418091E-2</c:v>
                </c:pt>
                <c:pt idx="40">
                  <c:v>5.6592438369989395E-2</c:v>
                </c:pt>
                <c:pt idx="41">
                  <c:v>1.0102464817464352E-2</c:v>
                </c:pt>
                <c:pt idx="42">
                  <c:v>-0.12131612747907639</c:v>
                </c:pt>
                <c:pt idx="43">
                  <c:v>-0.20796535909175873</c:v>
                </c:pt>
                <c:pt idx="44">
                  <c:v>-0.18822185695171356</c:v>
                </c:pt>
                <c:pt idx="45">
                  <c:v>-0.34009090065956116</c:v>
                </c:pt>
                <c:pt idx="46">
                  <c:v>-0.35213679075241089</c:v>
                </c:pt>
                <c:pt idx="47">
                  <c:v>-0.33764013648033142</c:v>
                </c:pt>
                <c:pt idx="48">
                  <c:v>-0.28410884737968445</c:v>
                </c:pt>
                <c:pt idx="49">
                  <c:v>-0.29952946305274963</c:v>
                </c:pt>
                <c:pt idx="50">
                  <c:v>-0.52067369222640991</c:v>
                </c:pt>
                <c:pt idx="51">
                  <c:v>-0.41935569047927856</c:v>
                </c:pt>
                <c:pt idx="52">
                  <c:v>-0.62480044364929199</c:v>
                </c:pt>
                <c:pt idx="53">
                  <c:v>-0.65987294912338257</c:v>
                </c:pt>
                <c:pt idx="54">
                  <c:v>-0.6429145336151123</c:v>
                </c:pt>
                <c:pt idx="55">
                  <c:v>-0.62790447473526001</c:v>
                </c:pt>
                <c:pt idx="56">
                  <c:v>-0.652088463306427</c:v>
                </c:pt>
                <c:pt idx="57">
                  <c:v>-0.74186825752258301</c:v>
                </c:pt>
                <c:pt idx="58">
                  <c:v>-0.6761741042137146</c:v>
                </c:pt>
                <c:pt idx="59">
                  <c:v>-0.39076393842697144</c:v>
                </c:pt>
                <c:pt idx="60">
                  <c:v>-0.34482479095458984</c:v>
                </c:pt>
                <c:pt idx="61">
                  <c:v>-0.50142693519592285</c:v>
                </c:pt>
                <c:pt idx="62">
                  <c:v>-0.65192592144012451</c:v>
                </c:pt>
                <c:pt idx="63">
                  <c:v>-0.87944501638412476</c:v>
                </c:pt>
                <c:pt idx="64">
                  <c:v>-1.0145647525787354</c:v>
                </c:pt>
                <c:pt idx="65">
                  <c:v>-0.964424729347229</c:v>
                </c:pt>
                <c:pt idx="66">
                  <c:v>-1.0521746873855591</c:v>
                </c:pt>
                <c:pt idx="67">
                  <c:v>-1.0459855794906616</c:v>
                </c:pt>
                <c:pt idx="68">
                  <c:v>-1.1668118238449097</c:v>
                </c:pt>
                <c:pt idx="69">
                  <c:v>-1.323241114616394</c:v>
                </c:pt>
                <c:pt idx="70">
                  <c:v>-1.3667198419570923</c:v>
                </c:pt>
                <c:pt idx="71">
                  <c:v>-1.4848595857620239</c:v>
                </c:pt>
                <c:pt idx="72">
                  <c:v>-1.8365018367767334</c:v>
                </c:pt>
                <c:pt idx="73">
                  <c:v>-1.9860947132110596</c:v>
                </c:pt>
                <c:pt idx="74">
                  <c:v>-2.2105381488800049</c:v>
                </c:pt>
                <c:pt idx="75">
                  <c:v>-2.4237537384033203</c:v>
                </c:pt>
                <c:pt idx="76">
                  <c:v>-2.6002683639526367</c:v>
                </c:pt>
                <c:pt idx="77">
                  <c:v>-2.6639678478240967</c:v>
                </c:pt>
                <c:pt idx="78">
                  <c:v>-2.7665793895721436</c:v>
                </c:pt>
                <c:pt idx="79">
                  <c:v>-2.8234226703643799</c:v>
                </c:pt>
                <c:pt idx="80">
                  <c:v>-2.7140147686004639</c:v>
                </c:pt>
                <c:pt idx="81">
                  <c:v>-2.8261189460754395</c:v>
                </c:pt>
                <c:pt idx="82">
                  <c:v>-2.9023313522338867</c:v>
                </c:pt>
                <c:pt idx="83">
                  <c:v>-2.972609281539917</c:v>
                </c:pt>
                <c:pt idx="84">
                  <c:v>-3.1312074661254883</c:v>
                </c:pt>
                <c:pt idx="85">
                  <c:v>-3.3404762744903564</c:v>
                </c:pt>
                <c:pt idx="86">
                  <c:v>-3.1639053821563721</c:v>
                </c:pt>
                <c:pt idx="87">
                  <c:v>-3.3367476463317871</c:v>
                </c:pt>
                <c:pt idx="88">
                  <c:v>-3.1268575191497803</c:v>
                </c:pt>
                <c:pt idx="89">
                  <c:v>-2.8058707714080811</c:v>
                </c:pt>
                <c:pt idx="90">
                  <c:v>-2.8794553279876709</c:v>
                </c:pt>
                <c:pt idx="91">
                  <c:v>-3.1413886547088623</c:v>
                </c:pt>
                <c:pt idx="92">
                  <c:v>-3.201462984085083</c:v>
                </c:pt>
                <c:pt idx="93">
                  <c:v>-3.4186844825744629</c:v>
                </c:pt>
                <c:pt idx="94">
                  <c:v>-3.4668848514556885</c:v>
                </c:pt>
                <c:pt idx="95">
                  <c:v>-3.9019856452941895</c:v>
                </c:pt>
                <c:pt idx="96">
                  <c:v>-4.7012090682983398</c:v>
                </c:pt>
                <c:pt idx="97">
                  <c:v>-5.3476681709289551</c:v>
                </c:pt>
                <c:pt idx="98">
                  <c:v>-5.3940773010253906</c:v>
                </c:pt>
                <c:pt idx="99">
                  <c:v>-4.878633975982666</c:v>
                </c:pt>
                <c:pt idx="100">
                  <c:v>-4.9548921585083008</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Liu\AppData\Local\Temp\__ADEPT__59697368656E204C6975__SESSION_40b214521d0f432e8f051008a5d353ec\Modules\poverty\Output\[adept_poverty_10.xls]Figure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Liu\AppData\Local\Temp\__ADEPT__59697368656E204C6975__SESSION_40b214521d0f432e8f051008a5d353ec\Modules\poverty\Output\[adept_poverty_10.xls]Figure 2.1_DATA'!$C$2:$C$102</c:f>
              <c:numCache>
                <c:formatCode>General</c:formatCode>
                <c:ptCount val="101"/>
                <c:pt idx="0">
                  <c:v>2.499030590057373</c:v>
                </c:pt>
                <c:pt idx="1">
                  <c:v>2.4564712047576904</c:v>
                </c:pt>
                <c:pt idx="2">
                  <c:v>2.810960054397583</c:v>
                </c:pt>
                <c:pt idx="3">
                  <c:v>1.9434828758239746</c:v>
                </c:pt>
                <c:pt idx="4">
                  <c:v>1.6068333387374878</c:v>
                </c:pt>
                <c:pt idx="5">
                  <c:v>2.4242863655090332</c:v>
                </c:pt>
                <c:pt idx="6">
                  <c:v>2.1245944499969482</c:v>
                </c:pt>
                <c:pt idx="7">
                  <c:v>1.8914368152618408</c:v>
                </c:pt>
                <c:pt idx="8">
                  <c:v>2.2997400760650635</c:v>
                </c:pt>
                <c:pt idx="9">
                  <c:v>2.5583798885345459</c:v>
                </c:pt>
                <c:pt idx="10">
                  <c:v>1.7421140670776367</c:v>
                </c:pt>
                <c:pt idx="11">
                  <c:v>1.5646736621856689</c:v>
                </c:pt>
                <c:pt idx="12">
                  <c:v>1.5217440128326416</c:v>
                </c:pt>
                <c:pt idx="13">
                  <c:v>1.1359381675720215</c:v>
                </c:pt>
                <c:pt idx="14">
                  <c:v>1.0960767269134521</c:v>
                </c:pt>
                <c:pt idx="15">
                  <c:v>1.1293123960494995</c:v>
                </c:pt>
                <c:pt idx="16">
                  <c:v>1.1793107986450195</c:v>
                </c:pt>
                <c:pt idx="17">
                  <c:v>1.0341063737869263</c:v>
                </c:pt>
                <c:pt idx="18">
                  <c:v>1.0827299356460571</c:v>
                </c:pt>
                <c:pt idx="19">
                  <c:v>0.99041926860809326</c:v>
                </c:pt>
                <c:pt idx="20">
                  <c:v>0.92364346981048584</c:v>
                </c:pt>
                <c:pt idx="21">
                  <c:v>0.99728542566299438</c:v>
                </c:pt>
                <c:pt idx="22">
                  <c:v>0.94130730628967285</c:v>
                </c:pt>
                <c:pt idx="23">
                  <c:v>1.0804316997528076</c:v>
                </c:pt>
                <c:pt idx="24">
                  <c:v>0.92184591293334961</c:v>
                </c:pt>
                <c:pt idx="25">
                  <c:v>0.90375012159347534</c:v>
                </c:pt>
                <c:pt idx="26">
                  <c:v>0.92688828706741333</c:v>
                </c:pt>
                <c:pt idx="27">
                  <c:v>0.87055397033691406</c:v>
                </c:pt>
                <c:pt idx="28">
                  <c:v>0.72367650270462036</c:v>
                </c:pt>
                <c:pt idx="29">
                  <c:v>0.6107904314994812</c:v>
                </c:pt>
                <c:pt idx="30">
                  <c:v>0.72538530826568604</c:v>
                </c:pt>
                <c:pt idx="31">
                  <c:v>0.86639142036437988</c:v>
                </c:pt>
                <c:pt idx="32">
                  <c:v>0.94705873727798462</c:v>
                </c:pt>
                <c:pt idx="33">
                  <c:v>0.93477404117584229</c:v>
                </c:pt>
                <c:pt idx="34">
                  <c:v>0.81459498405456543</c:v>
                </c:pt>
                <c:pt idx="35">
                  <c:v>0.7002558708190918</c:v>
                </c:pt>
                <c:pt idx="36">
                  <c:v>0.8329346776008606</c:v>
                </c:pt>
                <c:pt idx="37">
                  <c:v>0.84008967876434326</c:v>
                </c:pt>
                <c:pt idx="38">
                  <c:v>0.79566401243209839</c:v>
                </c:pt>
                <c:pt idx="39">
                  <c:v>0.87082189321517944</c:v>
                </c:pt>
                <c:pt idx="40">
                  <c:v>0.90905481576919556</c:v>
                </c:pt>
                <c:pt idx="41">
                  <c:v>0.92083841562271118</c:v>
                </c:pt>
                <c:pt idx="42">
                  <c:v>0.99681746959686279</c:v>
                </c:pt>
                <c:pt idx="43">
                  <c:v>1.0275589227676392</c:v>
                </c:pt>
                <c:pt idx="44">
                  <c:v>0.9237591028213501</c:v>
                </c:pt>
                <c:pt idx="45">
                  <c:v>0.95758950710296631</c:v>
                </c:pt>
                <c:pt idx="46">
                  <c:v>0.91597604751586914</c:v>
                </c:pt>
                <c:pt idx="47">
                  <c:v>0.83269113302230835</c:v>
                </c:pt>
                <c:pt idx="48">
                  <c:v>0.75299865007400513</c:v>
                </c:pt>
                <c:pt idx="49">
                  <c:v>0.71413445472717285</c:v>
                </c:pt>
                <c:pt idx="50">
                  <c:v>0.83278447389602661</c:v>
                </c:pt>
                <c:pt idx="51">
                  <c:v>0.76172435283660889</c:v>
                </c:pt>
                <c:pt idx="52">
                  <c:v>0.90602946281433105</c:v>
                </c:pt>
                <c:pt idx="53">
                  <c:v>0.89966124296188354</c:v>
                </c:pt>
                <c:pt idx="54">
                  <c:v>0.8533320426940918</c:v>
                </c:pt>
                <c:pt idx="55">
                  <c:v>0.75684666633605957</c:v>
                </c:pt>
                <c:pt idx="56">
                  <c:v>0.72151666879653931</c:v>
                </c:pt>
                <c:pt idx="57">
                  <c:v>0.73265498876571655</c:v>
                </c:pt>
                <c:pt idx="58">
                  <c:v>0.66812121868133545</c:v>
                </c:pt>
                <c:pt idx="59">
                  <c:v>0.38005664944648743</c:v>
                </c:pt>
                <c:pt idx="60">
                  <c:v>0.36868047714233398</c:v>
                </c:pt>
                <c:pt idx="61">
                  <c:v>0.46489840745925903</c:v>
                </c:pt>
                <c:pt idx="62">
                  <c:v>0.5414358377456665</c:v>
                </c:pt>
                <c:pt idx="63">
                  <c:v>0.69601362943649292</c:v>
                </c:pt>
                <c:pt idx="64">
                  <c:v>0.70582073926925659</c:v>
                </c:pt>
                <c:pt idx="65">
                  <c:v>0.59100908041000366</c:v>
                </c:pt>
                <c:pt idx="66">
                  <c:v>0.60939717292785645</c:v>
                </c:pt>
                <c:pt idx="67">
                  <c:v>0.55295717716217041</c:v>
                </c:pt>
                <c:pt idx="68">
                  <c:v>0.56590938568115234</c:v>
                </c:pt>
                <c:pt idx="69">
                  <c:v>0.59304636716842651</c:v>
                </c:pt>
                <c:pt idx="70">
                  <c:v>0.53730237483978271</c:v>
                </c:pt>
                <c:pt idx="71">
                  <c:v>0.55938237905502319</c:v>
                </c:pt>
                <c:pt idx="72">
                  <c:v>0.69390100240707397</c:v>
                </c:pt>
                <c:pt idx="73">
                  <c:v>0.68117213249206543</c:v>
                </c:pt>
                <c:pt idx="74">
                  <c:v>0.81518006324768066</c:v>
                </c:pt>
                <c:pt idx="75">
                  <c:v>0.86858499050140381</c:v>
                </c:pt>
                <c:pt idx="76">
                  <c:v>0.96138668060302734</c:v>
                </c:pt>
                <c:pt idx="77">
                  <c:v>0.91811960935592651</c:v>
                </c:pt>
                <c:pt idx="78">
                  <c:v>0.98487091064453125</c:v>
                </c:pt>
                <c:pt idx="79">
                  <c:v>0.98801922798156738</c:v>
                </c:pt>
                <c:pt idx="80">
                  <c:v>0.78567427396774292</c:v>
                </c:pt>
                <c:pt idx="81">
                  <c:v>0.8180396556854248</c:v>
                </c:pt>
                <c:pt idx="82">
                  <c:v>0.67633640766143799</c:v>
                </c:pt>
                <c:pt idx="83">
                  <c:v>0.66614139080047607</c:v>
                </c:pt>
                <c:pt idx="84">
                  <c:v>0.95783698558807373</c:v>
                </c:pt>
                <c:pt idx="85">
                  <c:v>1.1223222017288208</c:v>
                </c:pt>
                <c:pt idx="86">
                  <c:v>0.85659903287887573</c:v>
                </c:pt>
                <c:pt idx="87">
                  <c:v>0.99440526962280273</c:v>
                </c:pt>
                <c:pt idx="88">
                  <c:v>0.8023989200592041</c:v>
                </c:pt>
                <c:pt idx="89">
                  <c:v>0.63381862640380859</c:v>
                </c:pt>
                <c:pt idx="90">
                  <c:v>0.93534576892852783</c:v>
                </c:pt>
                <c:pt idx="91">
                  <c:v>1.25806725025177</c:v>
                </c:pt>
                <c:pt idx="92">
                  <c:v>1.1902364492416382</c:v>
                </c:pt>
                <c:pt idx="93">
                  <c:v>1.2700814008712769</c:v>
                </c:pt>
                <c:pt idx="94">
                  <c:v>1.4918919801712036</c:v>
                </c:pt>
                <c:pt idx="95">
                  <c:v>1.5188368558883667</c:v>
                </c:pt>
                <c:pt idx="96">
                  <c:v>1.7905235290527344</c:v>
                </c:pt>
                <c:pt idx="97">
                  <c:v>1.6829155683517456</c:v>
                </c:pt>
                <c:pt idx="98">
                  <c:v>1.5531011819839478</c:v>
                </c:pt>
                <c:pt idx="99">
                  <c:v>1.036591649055481</c:v>
                </c:pt>
                <c:pt idx="100">
                  <c:v>1.2542680501937866</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Liu\AppData\Local\Temp\__ADEPT__59697368656E204C6975__SESSION_40b214521d0f432e8f051008a5d353ec\Modules\poverty\Output\[adept_poverty_10.xls]Figure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Liu\AppData\Local\Temp\__ADEPT__59697368656E204C6975__SESSION_40b214521d0f432e8f051008a5d353ec\Modules\poverty\Output\[adept_poverty_10.xls]Figure 2.1_DATA'!$D$2:$D$102</c:f>
              <c:numCache>
                <c:formatCode>General</c:formatCode>
                <c:ptCount val="101"/>
                <c:pt idx="0">
                  <c:v>2.499030590057373</c:v>
                </c:pt>
                <c:pt idx="1">
                  <c:v>2.4564712047576904</c:v>
                </c:pt>
                <c:pt idx="2">
                  <c:v>2.810960054397583</c:v>
                </c:pt>
                <c:pt idx="3">
                  <c:v>1.9434828758239746</c:v>
                </c:pt>
                <c:pt idx="4">
                  <c:v>1.6068333387374878</c:v>
                </c:pt>
                <c:pt idx="5">
                  <c:v>2.4242863655090332</c:v>
                </c:pt>
                <c:pt idx="6">
                  <c:v>2.1245944499969482</c:v>
                </c:pt>
                <c:pt idx="7">
                  <c:v>1.8914368152618408</c:v>
                </c:pt>
                <c:pt idx="8">
                  <c:v>2.2997400760650635</c:v>
                </c:pt>
                <c:pt idx="9">
                  <c:v>2.5583798885345459</c:v>
                </c:pt>
                <c:pt idx="10">
                  <c:v>1.7421140670776367</c:v>
                </c:pt>
                <c:pt idx="11">
                  <c:v>1.5646736621856689</c:v>
                </c:pt>
                <c:pt idx="12">
                  <c:v>1.5217440128326416</c:v>
                </c:pt>
                <c:pt idx="13">
                  <c:v>1.1359381675720215</c:v>
                </c:pt>
                <c:pt idx="14">
                  <c:v>1.0960767269134521</c:v>
                </c:pt>
                <c:pt idx="15">
                  <c:v>1.1293123960494995</c:v>
                </c:pt>
                <c:pt idx="16">
                  <c:v>1.1793107986450195</c:v>
                </c:pt>
                <c:pt idx="17">
                  <c:v>1.0341063737869263</c:v>
                </c:pt>
                <c:pt idx="18">
                  <c:v>1.0827299356460571</c:v>
                </c:pt>
                <c:pt idx="19">
                  <c:v>0.99041926860809326</c:v>
                </c:pt>
                <c:pt idx="20">
                  <c:v>0.92364346981048584</c:v>
                </c:pt>
                <c:pt idx="21">
                  <c:v>0.99728542566299438</c:v>
                </c:pt>
                <c:pt idx="22">
                  <c:v>0.94130730628967285</c:v>
                </c:pt>
                <c:pt idx="23">
                  <c:v>1.0804316997528076</c:v>
                </c:pt>
                <c:pt idx="24">
                  <c:v>0.92184591293334961</c:v>
                </c:pt>
                <c:pt idx="25">
                  <c:v>0.90375012159347534</c:v>
                </c:pt>
                <c:pt idx="26">
                  <c:v>0.92688828706741333</c:v>
                </c:pt>
                <c:pt idx="27">
                  <c:v>0.87055397033691406</c:v>
                </c:pt>
                <c:pt idx="28">
                  <c:v>0.72367650270462036</c:v>
                </c:pt>
                <c:pt idx="29">
                  <c:v>0.6107904314994812</c:v>
                </c:pt>
                <c:pt idx="30">
                  <c:v>0.72538530826568604</c:v>
                </c:pt>
                <c:pt idx="31">
                  <c:v>0.86639142036437988</c:v>
                </c:pt>
                <c:pt idx="32">
                  <c:v>0.94705873727798462</c:v>
                </c:pt>
                <c:pt idx="33">
                  <c:v>0.93477404117584229</c:v>
                </c:pt>
                <c:pt idx="34">
                  <c:v>0.81459498405456543</c:v>
                </c:pt>
                <c:pt idx="35">
                  <c:v>0.7002558708190918</c:v>
                </c:pt>
                <c:pt idx="36">
                  <c:v>0.8329346776008606</c:v>
                </c:pt>
                <c:pt idx="37">
                  <c:v>0.84008967876434326</c:v>
                </c:pt>
                <c:pt idx="38">
                  <c:v>0.79566401243209839</c:v>
                </c:pt>
                <c:pt idx="39">
                  <c:v>0.87082189321517944</c:v>
                </c:pt>
                <c:pt idx="40">
                  <c:v>0.90905481576919556</c:v>
                </c:pt>
                <c:pt idx="41">
                  <c:v>0.92083841562271118</c:v>
                </c:pt>
                <c:pt idx="42">
                  <c:v>0.99681746959686279</c:v>
                </c:pt>
                <c:pt idx="43">
                  <c:v>1.0275589227676392</c:v>
                </c:pt>
                <c:pt idx="44">
                  <c:v>0.9237591028213501</c:v>
                </c:pt>
                <c:pt idx="45">
                  <c:v>0.95758950710296631</c:v>
                </c:pt>
                <c:pt idx="46">
                  <c:v>0.91597604751586914</c:v>
                </c:pt>
                <c:pt idx="47">
                  <c:v>0.83269113302230835</c:v>
                </c:pt>
                <c:pt idx="48">
                  <c:v>0.75299865007400513</c:v>
                </c:pt>
                <c:pt idx="49">
                  <c:v>0.71413445472717285</c:v>
                </c:pt>
                <c:pt idx="50">
                  <c:v>0.83278447389602661</c:v>
                </c:pt>
                <c:pt idx="51">
                  <c:v>0.76172435283660889</c:v>
                </c:pt>
                <c:pt idx="52">
                  <c:v>0.90602946281433105</c:v>
                </c:pt>
                <c:pt idx="53">
                  <c:v>0.89966124296188354</c:v>
                </c:pt>
                <c:pt idx="54">
                  <c:v>0.8533320426940918</c:v>
                </c:pt>
                <c:pt idx="55">
                  <c:v>0.75684666633605957</c:v>
                </c:pt>
                <c:pt idx="56">
                  <c:v>0.72151666879653931</c:v>
                </c:pt>
                <c:pt idx="57">
                  <c:v>0.73265498876571655</c:v>
                </c:pt>
                <c:pt idx="58">
                  <c:v>0.66812121868133545</c:v>
                </c:pt>
                <c:pt idx="59">
                  <c:v>0.38005664944648743</c:v>
                </c:pt>
                <c:pt idx="60">
                  <c:v>0.36868047714233398</c:v>
                </c:pt>
                <c:pt idx="61">
                  <c:v>0.46489840745925903</c:v>
                </c:pt>
                <c:pt idx="62">
                  <c:v>0.5414358377456665</c:v>
                </c:pt>
                <c:pt idx="63">
                  <c:v>0.69601362943649292</c:v>
                </c:pt>
                <c:pt idx="64">
                  <c:v>0.70582073926925659</c:v>
                </c:pt>
                <c:pt idx="65">
                  <c:v>0.59100908041000366</c:v>
                </c:pt>
                <c:pt idx="66">
                  <c:v>0.60939717292785645</c:v>
                </c:pt>
                <c:pt idx="67">
                  <c:v>0.55295717716217041</c:v>
                </c:pt>
                <c:pt idx="68">
                  <c:v>0.56590938568115234</c:v>
                </c:pt>
                <c:pt idx="69">
                  <c:v>0.59304636716842651</c:v>
                </c:pt>
                <c:pt idx="70">
                  <c:v>0.53730237483978271</c:v>
                </c:pt>
                <c:pt idx="71">
                  <c:v>0.55938237905502319</c:v>
                </c:pt>
                <c:pt idx="72">
                  <c:v>0.69390100240707397</c:v>
                </c:pt>
                <c:pt idx="73">
                  <c:v>0.68117213249206543</c:v>
                </c:pt>
                <c:pt idx="74">
                  <c:v>0.81518006324768066</c:v>
                </c:pt>
                <c:pt idx="75">
                  <c:v>0.86858499050140381</c:v>
                </c:pt>
                <c:pt idx="76">
                  <c:v>0.96138668060302734</c:v>
                </c:pt>
                <c:pt idx="77">
                  <c:v>0.91811960935592651</c:v>
                </c:pt>
                <c:pt idx="78">
                  <c:v>0.98487091064453125</c:v>
                </c:pt>
                <c:pt idx="79">
                  <c:v>0.98801922798156738</c:v>
                </c:pt>
                <c:pt idx="80">
                  <c:v>0.78567427396774292</c:v>
                </c:pt>
                <c:pt idx="81">
                  <c:v>0.8180396556854248</c:v>
                </c:pt>
                <c:pt idx="82">
                  <c:v>0.67633640766143799</c:v>
                </c:pt>
                <c:pt idx="83">
                  <c:v>0.66614139080047607</c:v>
                </c:pt>
                <c:pt idx="84">
                  <c:v>0.95783698558807373</c:v>
                </c:pt>
                <c:pt idx="85">
                  <c:v>1.1223222017288208</c:v>
                </c:pt>
                <c:pt idx="86">
                  <c:v>0.85659903287887573</c:v>
                </c:pt>
                <c:pt idx="87">
                  <c:v>0.99440526962280273</c:v>
                </c:pt>
                <c:pt idx="88">
                  <c:v>0.8023989200592041</c:v>
                </c:pt>
                <c:pt idx="89">
                  <c:v>0.63381862640380859</c:v>
                </c:pt>
                <c:pt idx="90">
                  <c:v>0.93534576892852783</c:v>
                </c:pt>
                <c:pt idx="91">
                  <c:v>1.25806725025177</c:v>
                </c:pt>
                <c:pt idx="92">
                  <c:v>1.1902364492416382</c:v>
                </c:pt>
                <c:pt idx="93">
                  <c:v>1.2700814008712769</c:v>
                </c:pt>
                <c:pt idx="94">
                  <c:v>1.4918919801712036</c:v>
                </c:pt>
                <c:pt idx="95">
                  <c:v>1.5188368558883667</c:v>
                </c:pt>
                <c:pt idx="96">
                  <c:v>1.7905235290527344</c:v>
                </c:pt>
                <c:pt idx="97">
                  <c:v>1.6829155683517456</c:v>
                </c:pt>
                <c:pt idx="98">
                  <c:v>1.5531011819839478</c:v>
                </c:pt>
                <c:pt idx="99">
                  <c:v>1.036591649055481</c:v>
                </c:pt>
                <c:pt idx="100">
                  <c:v>1.2542680501937866</c:v>
                </c:pt>
              </c:numCache>
            </c:numRef>
          </c:val>
        </c:ser>
        <c:dLbls>
          <c:showLegendKey val="0"/>
          <c:showVal val="0"/>
          <c:showCatName val="0"/>
          <c:showSerName val="0"/>
          <c:showPercent val="0"/>
          <c:showBubbleSize val="0"/>
        </c:dLbls>
        <c:axId val="540052608"/>
        <c:axId val="540053000"/>
      </c:areaChart>
      <c:catAx>
        <c:axId val="54005260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403579707339139"/>
              <c:y val="0.8801261829652992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053000"/>
        <c:crosses val="autoZero"/>
        <c:auto val="1"/>
        <c:lblAlgn val="ctr"/>
        <c:lblOffset val="100"/>
        <c:tickLblSkip val="3"/>
        <c:tickMarkSkip val="1"/>
        <c:noMultiLvlLbl val="0"/>
      </c:catAx>
      <c:valAx>
        <c:axId val="540053000"/>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r>
                  <a:rPr lang="en-US" sz="1000" b="1" i="0" u="none" strike="noStrike" baseline="0">
                    <a:effectLst/>
                  </a:rPr>
                  <a:t>p.c.</a:t>
                </a:r>
                <a:r>
                  <a:rPr lang="en-US"/>
                  <a:t>, %</a:t>
                </a:r>
              </a:p>
            </c:rich>
          </c:tx>
          <c:layout>
            <c:manualLayout>
              <c:xMode val="edge"/>
              <c:yMode val="edge"/>
              <c:x val="2.8070223530399414E-2"/>
              <c:y val="0.31230283911671947"/>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052608"/>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10: Sorghum, millet, and cotton</a:t>
            </a:r>
          </a:p>
        </c:rich>
      </c:tx>
      <c:layout>
        <c:manualLayout>
          <c:xMode val="edge"/>
          <c:yMode val="edge"/>
          <c:x val="0.30818787125293545"/>
          <c:y val="3.4700315457413249E-2"/>
        </c:manualLayout>
      </c:layout>
      <c:overlay val="0"/>
      <c:spPr>
        <a:noFill/>
        <a:ln w="25400">
          <a:noFill/>
        </a:ln>
      </c:spPr>
    </c:title>
    <c:autoTitleDeleted val="0"/>
    <c:plotArea>
      <c:layout>
        <c:manualLayout>
          <c:layoutTarget val="inner"/>
          <c:xMode val="edge"/>
          <c:yMode val="edge"/>
          <c:x val="0.10175456029769787"/>
          <c:y val="0.17981072555205049"/>
          <c:w val="0.86140498458913239"/>
          <c:h val="0.67823343848580486"/>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Liu\AppData\Local\Temp\__ADEPT__59697368656E204C6975__SESSION_40b214521d0f432e8f051008a5d353ec\Modules\poverty\Output\[adept_poverty_11.xls]Figure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Liu\AppData\Local\Temp\__ADEPT__59697368656E204C6975__SESSION_40b214521d0f432e8f051008a5d353ec\Modules\poverty\Output\[adept_poverty_11.xls]Figure 2.1_DATA'!$B$2:$B$102</c:f>
              <c:numCache>
                <c:formatCode>General</c:formatCode>
                <c:ptCount val="101"/>
                <c:pt idx="0">
                  <c:v>-10.530905723571777</c:v>
                </c:pt>
                <c:pt idx="1">
                  <c:v>-9.7956314086914062</c:v>
                </c:pt>
                <c:pt idx="2">
                  <c:v>-4.5113716125488281</c:v>
                </c:pt>
                <c:pt idx="3">
                  <c:v>-3.1527361869812012</c:v>
                </c:pt>
                <c:pt idx="4">
                  <c:v>-3.1309797763824463</c:v>
                </c:pt>
                <c:pt idx="5">
                  <c:v>-2.9035458564758301</c:v>
                </c:pt>
                <c:pt idx="6">
                  <c:v>-2.1307549476623535</c:v>
                </c:pt>
                <c:pt idx="7">
                  <c:v>-1.9548263549804687</c:v>
                </c:pt>
                <c:pt idx="8">
                  <c:v>-2.0410387516021729</c:v>
                </c:pt>
                <c:pt idx="9">
                  <c:v>-2.1782388687133789</c:v>
                </c:pt>
                <c:pt idx="10">
                  <c:v>-1.9888501167297363</c:v>
                </c:pt>
                <c:pt idx="11">
                  <c:v>-1.8377542495727539</c:v>
                </c:pt>
                <c:pt idx="12">
                  <c:v>-1.836577296257019</c:v>
                </c:pt>
                <c:pt idx="13">
                  <c:v>-1.8921500444412231</c:v>
                </c:pt>
                <c:pt idx="14">
                  <c:v>-1.8702194690704346</c:v>
                </c:pt>
                <c:pt idx="15">
                  <c:v>-1.7653577327728271</c:v>
                </c:pt>
                <c:pt idx="16">
                  <c:v>-1.8114748001098633</c:v>
                </c:pt>
                <c:pt idx="17">
                  <c:v>-2.4913415908813477</c:v>
                </c:pt>
                <c:pt idx="18">
                  <c:v>-2.3426287174224854</c:v>
                </c:pt>
                <c:pt idx="19">
                  <c:v>-2.2719364166259766</c:v>
                </c:pt>
                <c:pt idx="20">
                  <c:v>-2.6823339462280273</c:v>
                </c:pt>
                <c:pt idx="21">
                  <c:v>-2.9953365325927734</c:v>
                </c:pt>
                <c:pt idx="22">
                  <c:v>-3.261333703994751</c:v>
                </c:pt>
                <c:pt idx="23">
                  <c:v>-3.5381364822387695</c:v>
                </c:pt>
                <c:pt idx="24">
                  <c:v>-3.4720804691314697</c:v>
                </c:pt>
                <c:pt idx="25">
                  <c:v>-3.5268096923828125</c:v>
                </c:pt>
                <c:pt idx="26">
                  <c:v>-3.6481320858001709</c:v>
                </c:pt>
                <c:pt idx="27">
                  <c:v>-3.8675978183746338</c:v>
                </c:pt>
                <c:pt idx="28">
                  <c:v>-3.7830431461334229</c:v>
                </c:pt>
                <c:pt idx="29">
                  <c:v>-3.7840173244476318</c:v>
                </c:pt>
                <c:pt idx="30">
                  <c:v>-4.1603498458862305</c:v>
                </c:pt>
                <c:pt idx="31">
                  <c:v>-4.1724061965942383</c:v>
                </c:pt>
                <c:pt idx="32">
                  <c:v>-4.2960820198059082</c:v>
                </c:pt>
                <c:pt idx="33">
                  <c:v>-4.2995209693908691</c:v>
                </c:pt>
                <c:pt idx="34">
                  <c:v>-4.1917438507080078</c:v>
                </c:pt>
                <c:pt idx="35">
                  <c:v>-4.2834324836730957</c:v>
                </c:pt>
                <c:pt idx="36">
                  <c:v>-4.380826473236084</c:v>
                </c:pt>
                <c:pt idx="37">
                  <c:v>-4.4841995239257812</c:v>
                </c:pt>
                <c:pt idx="38">
                  <c:v>-4.6943759918212891</c:v>
                </c:pt>
                <c:pt idx="39">
                  <c:v>-4.756871223449707</c:v>
                </c:pt>
                <c:pt idx="40">
                  <c:v>-4.8472480773925781</c:v>
                </c:pt>
                <c:pt idx="41">
                  <c:v>-4.9428400993347168</c:v>
                </c:pt>
                <c:pt idx="42">
                  <c:v>-4.9145841598510742</c:v>
                </c:pt>
                <c:pt idx="43">
                  <c:v>-5.0164175033569336</c:v>
                </c:pt>
                <c:pt idx="44">
                  <c:v>-4.9659018516540527</c:v>
                </c:pt>
                <c:pt idx="45">
                  <c:v>-5.3397555351257324</c:v>
                </c:pt>
                <c:pt idx="46">
                  <c:v>-5.3827061653137207</c:v>
                </c:pt>
                <c:pt idx="47">
                  <c:v>-5.5133419036865234</c:v>
                </c:pt>
                <c:pt idx="48">
                  <c:v>-5.4191570281982422</c:v>
                </c:pt>
                <c:pt idx="49">
                  <c:v>-5.3682265281677246</c:v>
                </c:pt>
                <c:pt idx="50">
                  <c:v>-5.3183765411376953</c:v>
                </c:pt>
                <c:pt idx="51">
                  <c:v>-5.2361240386962891</c:v>
                </c:pt>
                <c:pt idx="52">
                  <c:v>-5.2469038963317871</c:v>
                </c:pt>
                <c:pt idx="53">
                  <c:v>-5.090601921081543</c:v>
                </c:pt>
                <c:pt idx="54">
                  <c:v>-5.2119202613830566</c:v>
                </c:pt>
                <c:pt idx="55">
                  <c:v>-5.1684470176696777</c:v>
                </c:pt>
                <c:pt idx="56">
                  <c:v>-5.1933135986328125</c:v>
                </c:pt>
                <c:pt idx="57">
                  <c:v>-5.3943362236022949</c:v>
                </c:pt>
                <c:pt idx="58">
                  <c:v>-5.2291216850280762</c:v>
                </c:pt>
                <c:pt idx="59">
                  <c:v>-5.625521183013916</c:v>
                </c:pt>
                <c:pt idx="60">
                  <c:v>-5.7697076797485352</c:v>
                </c:pt>
                <c:pt idx="61">
                  <c:v>-5.4947829246520996</c:v>
                </c:pt>
                <c:pt idx="62">
                  <c:v>-5.2996892929077148</c:v>
                </c:pt>
                <c:pt idx="63">
                  <c:v>-5.1921248435974121</c:v>
                </c:pt>
                <c:pt idx="64">
                  <c:v>-5.4254179000854492</c:v>
                </c:pt>
                <c:pt idx="65">
                  <c:v>-5.5413684844970703</c:v>
                </c:pt>
                <c:pt idx="66">
                  <c:v>-5.6724553108215332</c:v>
                </c:pt>
                <c:pt idx="67">
                  <c:v>-5.7934765815734863</c:v>
                </c:pt>
                <c:pt idx="68">
                  <c:v>-5.8000531196594238</c:v>
                </c:pt>
                <c:pt idx="69">
                  <c:v>-5.9287452697753906</c:v>
                </c:pt>
                <c:pt idx="70">
                  <c:v>-6.0336174964904785</c:v>
                </c:pt>
                <c:pt idx="71">
                  <c:v>-6.0575838088989258</c:v>
                </c:pt>
                <c:pt idx="72">
                  <c:v>-5.9562849998474121</c:v>
                </c:pt>
                <c:pt idx="73">
                  <c:v>-5.7001686096191406</c:v>
                </c:pt>
                <c:pt idx="74">
                  <c:v>-5.5603547096252441</c:v>
                </c:pt>
                <c:pt idx="75">
                  <c:v>-5.7653026580810547</c:v>
                </c:pt>
                <c:pt idx="76">
                  <c:v>-6.0916075706481934</c:v>
                </c:pt>
                <c:pt idx="77">
                  <c:v>-6.1978473663330078</c:v>
                </c:pt>
                <c:pt idx="78">
                  <c:v>-5.9841647148132324</c:v>
                </c:pt>
                <c:pt idx="79">
                  <c:v>-6.0164852142333984</c:v>
                </c:pt>
                <c:pt idx="80">
                  <c:v>-6.1666970252990723</c:v>
                </c:pt>
                <c:pt idx="81">
                  <c:v>-6.4134702682495117</c:v>
                </c:pt>
                <c:pt idx="82">
                  <c:v>-6.6459951400756836</c:v>
                </c:pt>
                <c:pt idx="83">
                  <c:v>-6.4103031158447266</c:v>
                </c:pt>
                <c:pt idx="84">
                  <c:v>-6.3241453170776367</c:v>
                </c:pt>
                <c:pt idx="85">
                  <c:v>-6.5967278480529785</c:v>
                </c:pt>
                <c:pt idx="86">
                  <c:v>-7.3156118392944336</c:v>
                </c:pt>
                <c:pt idx="87">
                  <c:v>-7.7386541366577148</c:v>
                </c:pt>
                <c:pt idx="88">
                  <c:v>-7.9766473770141602</c:v>
                </c:pt>
                <c:pt idx="89">
                  <c:v>-8.0567789077758789</c:v>
                </c:pt>
                <c:pt idx="90">
                  <c:v>-7.9812154769897461</c:v>
                </c:pt>
                <c:pt idx="91">
                  <c:v>-7.981689453125</c:v>
                </c:pt>
                <c:pt idx="92">
                  <c:v>-8.218658447265625</c:v>
                </c:pt>
                <c:pt idx="93">
                  <c:v>-8.2109231948852539</c:v>
                </c:pt>
                <c:pt idx="94">
                  <c:v>-8.6901378631591797</c:v>
                </c:pt>
                <c:pt idx="95">
                  <c:v>-8.7279605865478516</c:v>
                </c:pt>
                <c:pt idx="96">
                  <c:v>-8.7992238998413086</c:v>
                </c:pt>
                <c:pt idx="97">
                  <c:v>-7.0519752502441406</c:v>
                </c:pt>
                <c:pt idx="98">
                  <c:v>-8.4040307998657227</c:v>
                </c:pt>
                <c:pt idx="99">
                  <c:v>-9.9548807144165039</c:v>
                </c:pt>
                <c:pt idx="100">
                  <c:v>-10.076294898986816</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Liu\AppData\Local\Temp\__ADEPT__59697368656E204C6975__SESSION_40b214521d0f432e8f051008a5d353ec\Modules\poverty\Output\[adept_poverty_11.xls]Figure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Liu\AppData\Local\Temp\__ADEPT__59697368656E204C6975__SESSION_40b214521d0f432e8f051008a5d353ec\Modules\poverty\Output\[adept_poverty_11.xls]Figure 2.1_DATA'!$C$2:$C$102</c:f>
              <c:numCache>
                <c:formatCode>General</c:formatCode>
                <c:ptCount val="101"/>
                <c:pt idx="0">
                  <c:v>5.9900341033935547</c:v>
                </c:pt>
                <c:pt idx="1">
                  <c:v>5.548180103302002</c:v>
                </c:pt>
                <c:pt idx="2">
                  <c:v>2.4434852600097656</c:v>
                </c:pt>
                <c:pt idx="3">
                  <c:v>1.8604543209075928</c:v>
                </c:pt>
                <c:pt idx="4">
                  <c:v>1.9732104539871216</c:v>
                </c:pt>
                <c:pt idx="5">
                  <c:v>1.8248908519744873</c:v>
                </c:pt>
                <c:pt idx="6">
                  <c:v>0.97746366262435913</c:v>
                </c:pt>
                <c:pt idx="7">
                  <c:v>0.92568564414978027</c:v>
                </c:pt>
                <c:pt idx="8">
                  <c:v>1.0373860597610474</c:v>
                </c:pt>
                <c:pt idx="9">
                  <c:v>1.1942942142486572</c:v>
                </c:pt>
                <c:pt idx="10">
                  <c:v>1.2226699590682983</c:v>
                </c:pt>
                <c:pt idx="11">
                  <c:v>0.92968112230300903</c:v>
                </c:pt>
                <c:pt idx="12">
                  <c:v>1.0098080635070801</c:v>
                </c:pt>
                <c:pt idx="13">
                  <c:v>1.1979160308837891</c:v>
                </c:pt>
                <c:pt idx="14">
                  <c:v>1.2160482406616211</c:v>
                </c:pt>
                <c:pt idx="15">
                  <c:v>1.3278558254241943</c:v>
                </c:pt>
                <c:pt idx="16">
                  <c:v>1.5084354877471924</c:v>
                </c:pt>
                <c:pt idx="17">
                  <c:v>2.0343630313873291</c:v>
                </c:pt>
                <c:pt idx="18">
                  <c:v>2.0020415782928467</c:v>
                </c:pt>
                <c:pt idx="19">
                  <c:v>1.7516100406646729</c:v>
                </c:pt>
                <c:pt idx="20">
                  <c:v>2.123650074005127</c:v>
                </c:pt>
                <c:pt idx="21">
                  <c:v>2.2794492244720459</c:v>
                </c:pt>
                <c:pt idx="22">
                  <c:v>2.4092695713043213</c:v>
                </c:pt>
                <c:pt idx="23">
                  <c:v>2.5045604705810547</c:v>
                </c:pt>
                <c:pt idx="24">
                  <c:v>2.4473593235015869</c:v>
                </c:pt>
                <c:pt idx="25">
                  <c:v>2.4997618198394775</c:v>
                </c:pt>
                <c:pt idx="26">
                  <c:v>2.5051205158233643</c:v>
                </c:pt>
                <c:pt idx="27">
                  <c:v>2.6387321949005127</c:v>
                </c:pt>
                <c:pt idx="28">
                  <c:v>2.3809478282928467</c:v>
                </c:pt>
                <c:pt idx="29">
                  <c:v>2.175856351852417</c:v>
                </c:pt>
                <c:pt idx="30">
                  <c:v>2.2110705375671387</c:v>
                </c:pt>
                <c:pt idx="31">
                  <c:v>2.0841994285583496</c:v>
                </c:pt>
                <c:pt idx="32">
                  <c:v>1.9594411849975586</c:v>
                </c:pt>
                <c:pt idx="33">
                  <c:v>1.8718074560165405</c:v>
                </c:pt>
                <c:pt idx="34">
                  <c:v>1.6369273662567139</c:v>
                </c:pt>
                <c:pt idx="35">
                  <c:v>1.6621016263961792</c:v>
                </c:pt>
                <c:pt idx="36">
                  <c:v>1.6809895038604736</c:v>
                </c:pt>
                <c:pt idx="37">
                  <c:v>1.7168627977371216</c:v>
                </c:pt>
                <c:pt idx="38">
                  <c:v>1.9086606502532959</c:v>
                </c:pt>
                <c:pt idx="39">
                  <c:v>1.9690107107162476</c:v>
                </c:pt>
                <c:pt idx="40">
                  <c:v>2.0090622901916504</c:v>
                </c:pt>
                <c:pt idx="41">
                  <c:v>2.0417592525482178</c:v>
                </c:pt>
                <c:pt idx="42">
                  <c:v>1.8927127122879028</c:v>
                </c:pt>
                <c:pt idx="43">
                  <c:v>2.0413467884063721</c:v>
                </c:pt>
                <c:pt idx="44">
                  <c:v>1.9779318571090698</c:v>
                </c:pt>
                <c:pt idx="45">
                  <c:v>2.311152458190918</c:v>
                </c:pt>
                <c:pt idx="46">
                  <c:v>2.4248459339141846</c:v>
                </c:pt>
                <c:pt idx="47">
                  <c:v>2.5487668514251709</c:v>
                </c:pt>
                <c:pt idx="48">
                  <c:v>2.3976054191589355</c:v>
                </c:pt>
                <c:pt idx="49">
                  <c:v>2.3487162590026855</c:v>
                </c:pt>
                <c:pt idx="50">
                  <c:v>2.257882833480835</c:v>
                </c:pt>
                <c:pt idx="51">
                  <c:v>2.1834132671356201</c:v>
                </c:pt>
                <c:pt idx="52">
                  <c:v>2.2284393310546875</c:v>
                </c:pt>
                <c:pt idx="53">
                  <c:v>1.9867669343948364</c:v>
                </c:pt>
                <c:pt idx="54">
                  <c:v>2.0187439918518066</c:v>
                </c:pt>
                <c:pt idx="55">
                  <c:v>1.9455645084381104</c:v>
                </c:pt>
                <c:pt idx="56">
                  <c:v>2.0107061862945557</c:v>
                </c:pt>
                <c:pt idx="57">
                  <c:v>2.1060740947723389</c:v>
                </c:pt>
                <c:pt idx="58">
                  <c:v>1.9300861358642578</c:v>
                </c:pt>
                <c:pt idx="59">
                  <c:v>2.0152914524078369</c:v>
                </c:pt>
                <c:pt idx="60">
                  <c:v>2.2140583992004395</c:v>
                </c:pt>
                <c:pt idx="61">
                  <c:v>1.9613444805145264</c:v>
                </c:pt>
                <c:pt idx="62">
                  <c:v>1.7743641138076782</c:v>
                </c:pt>
                <c:pt idx="63">
                  <c:v>1.6142953634262085</c:v>
                </c:pt>
                <c:pt idx="64">
                  <c:v>1.7528867721557617</c:v>
                </c:pt>
                <c:pt idx="65">
                  <c:v>1.7839705944061279</c:v>
                </c:pt>
                <c:pt idx="66">
                  <c:v>1.8605951070785522</c:v>
                </c:pt>
                <c:pt idx="67">
                  <c:v>1.9102252721786499</c:v>
                </c:pt>
                <c:pt idx="68">
                  <c:v>1.866875171661377</c:v>
                </c:pt>
                <c:pt idx="69">
                  <c:v>1.9220179319381714</c:v>
                </c:pt>
                <c:pt idx="70">
                  <c:v>1.9477012157440186</c:v>
                </c:pt>
                <c:pt idx="71">
                  <c:v>1.9855188131332397</c:v>
                </c:pt>
                <c:pt idx="72">
                  <c:v>1.8904924392700195</c:v>
                </c:pt>
                <c:pt idx="73">
                  <c:v>1.6750521659851074</c:v>
                </c:pt>
                <c:pt idx="74">
                  <c:v>1.6422066688537598</c:v>
                </c:pt>
                <c:pt idx="75">
                  <c:v>1.7617610692977905</c:v>
                </c:pt>
                <c:pt idx="76">
                  <c:v>1.882420539855957</c:v>
                </c:pt>
                <c:pt idx="77">
                  <c:v>1.9719401597976685</c:v>
                </c:pt>
                <c:pt idx="78">
                  <c:v>1.8081942796707153</c:v>
                </c:pt>
                <c:pt idx="79">
                  <c:v>1.9368076324462891</c:v>
                </c:pt>
                <c:pt idx="80">
                  <c:v>2.0610413551330566</c:v>
                </c:pt>
                <c:pt idx="81">
                  <c:v>2.3098685741424561</c:v>
                </c:pt>
                <c:pt idx="82">
                  <c:v>2.5005147457122803</c:v>
                </c:pt>
                <c:pt idx="83">
                  <c:v>2.2599406242370605</c:v>
                </c:pt>
                <c:pt idx="84">
                  <c:v>2.1847691535949707</c:v>
                </c:pt>
                <c:pt idx="85">
                  <c:v>2.4268093109130859</c:v>
                </c:pt>
                <c:pt idx="86">
                  <c:v>3.0051896572113037</c:v>
                </c:pt>
                <c:pt idx="87">
                  <c:v>3.2996535301208496</c:v>
                </c:pt>
                <c:pt idx="88">
                  <c:v>3.4506003856658936</c:v>
                </c:pt>
                <c:pt idx="89">
                  <c:v>3.2617897987365723</c:v>
                </c:pt>
                <c:pt idx="90">
                  <c:v>2.9811322689056396</c:v>
                </c:pt>
                <c:pt idx="91">
                  <c:v>2.8492717742919922</c:v>
                </c:pt>
                <c:pt idx="92">
                  <c:v>2.8019857406616211</c:v>
                </c:pt>
                <c:pt idx="93">
                  <c:v>2.3786091804504395</c:v>
                </c:pt>
                <c:pt idx="94">
                  <c:v>2.9266524314880371</c:v>
                </c:pt>
                <c:pt idx="95">
                  <c:v>2.8967328071594238</c:v>
                </c:pt>
                <c:pt idx="96">
                  <c:v>3.2924849987030029</c:v>
                </c:pt>
                <c:pt idx="97">
                  <c:v>1.7850674390792847</c:v>
                </c:pt>
                <c:pt idx="98">
                  <c:v>3.3116440773010254</c:v>
                </c:pt>
                <c:pt idx="99">
                  <c:v>2.4166102409362793</c:v>
                </c:pt>
                <c:pt idx="100">
                  <c:v>2.8351211547851563</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Liu\AppData\Local\Temp\__ADEPT__59697368656E204C6975__SESSION_40b214521d0f432e8f051008a5d353ec\Modules\poverty\Output\[adept_poverty_11.xls]Figure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Liu\AppData\Local\Temp\__ADEPT__59697368656E204C6975__SESSION_40b214521d0f432e8f051008a5d353ec\Modules\poverty\Output\[adept_poverty_11.xls]Figure 2.1_DATA'!$D$2:$D$102</c:f>
              <c:numCache>
                <c:formatCode>General</c:formatCode>
                <c:ptCount val="101"/>
                <c:pt idx="0">
                  <c:v>5.9900341033935547</c:v>
                </c:pt>
                <c:pt idx="1">
                  <c:v>5.548180103302002</c:v>
                </c:pt>
                <c:pt idx="2">
                  <c:v>2.4434852600097656</c:v>
                </c:pt>
                <c:pt idx="3">
                  <c:v>1.8604543209075928</c:v>
                </c:pt>
                <c:pt idx="4">
                  <c:v>1.9732104539871216</c:v>
                </c:pt>
                <c:pt idx="5">
                  <c:v>1.8248908519744873</c:v>
                </c:pt>
                <c:pt idx="6">
                  <c:v>0.97746366262435913</c:v>
                </c:pt>
                <c:pt idx="7">
                  <c:v>0.92568564414978027</c:v>
                </c:pt>
                <c:pt idx="8">
                  <c:v>1.0373860597610474</c:v>
                </c:pt>
                <c:pt idx="9">
                  <c:v>1.1942942142486572</c:v>
                </c:pt>
                <c:pt idx="10">
                  <c:v>1.2226699590682983</c:v>
                </c:pt>
                <c:pt idx="11">
                  <c:v>0.92968112230300903</c:v>
                </c:pt>
                <c:pt idx="12">
                  <c:v>1.0098080635070801</c:v>
                </c:pt>
                <c:pt idx="13">
                  <c:v>1.1979160308837891</c:v>
                </c:pt>
                <c:pt idx="14">
                  <c:v>1.2160482406616211</c:v>
                </c:pt>
                <c:pt idx="15">
                  <c:v>1.3278558254241943</c:v>
                </c:pt>
                <c:pt idx="16">
                  <c:v>1.5084354877471924</c:v>
                </c:pt>
                <c:pt idx="17">
                  <c:v>2.0343630313873291</c:v>
                </c:pt>
                <c:pt idx="18">
                  <c:v>2.0020415782928467</c:v>
                </c:pt>
                <c:pt idx="19">
                  <c:v>1.7516100406646729</c:v>
                </c:pt>
                <c:pt idx="20">
                  <c:v>2.123650074005127</c:v>
                </c:pt>
                <c:pt idx="21">
                  <c:v>2.2794492244720459</c:v>
                </c:pt>
                <c:pt idx="22">
                  <c:v>2.4092695713043213</c:v>
                </c:pt>
                <c:pt idx="23">
                  <c:v>2.5045604705810547</c:v>
                </c:pt>
                <c:pt idx="24">
                  <c:v>2.4473593235015869</c:v>
                </c:pt>
                <c:pt idx="25">
                  <c:v>2.4997618198394775</c:v>
                </c:pt>
                <c:pt idx="26">
                  <c:v>2.5051205158233643</c:v>
                </c:pt>
                <c:pt idx="27">
                  <c:v>2.6387321949005127</c:v>
                </c:pt>
                <c:pt idx="28">
                  <c:v>2.3809478282928467</c:v>
                </c:pt>
                <c:pt idx="29">
                  <c:v>2.175856351852417</c:v>
                </c:pt>
                <c:pt idx="30">
                  <c:v>2.2110705375671387</c:v>
                </c:pt>
                <c:pt idx="31">
                  <c:v>2.0841994285583496</c:v>
                </c:pt>
                <c:pt idx="32">
                  <c:v>1.9594411849975586</c:v>
                </c:pt>
                <c:pt idx="33">
                  <c:v>1.8718074560165405</c:v>
                </c:pt>
                <c:pt idx="34">
                  <c:v>1.6369273662567139</c:v>
                </c:pt>
                <c:pt idx="35">
                  <c:v>1.6621016263961792</c:v>
                </c:pt>
                <c:pt idx="36">
                  <c:v>1.6809895038604736</c:v>
                </c:pt>
                <c:pt idx="37">
                  <c:v>1.7168627977371216</c:v>
                </c:pt>
                <c:pt idx="38">
                  <c:v>1.9086606502532959</c:v>
                </c:pt>
                <c:pt idx="39">
                  <c:v>1.9690107107162476</c:v>
                </c:pt>
                <c:pt idx="40">
                  <c:v>2.0090622901916504</c:v>
                </c:pt>
                <c:pt idx="41">
                  <c:v>2.0417592525482178</c:v>
                </c:pt>
                <c:pt idx="42">
                  <c:v>1.8927127122879028</c:v>
                </c:pt>
                <c:pt idx="43">
                  <c:v>2.0413467884063721</c:v>
                </c:pt>
                <c:pt idx="44">
                  <c:v>1.9779318571090698</c:v>
                </c:pt>
                <c:pt idx="45">
                  <c:v>2.311152458190918</c:v>
                </c:pt>
                <c:pt idx="46">
                  <c:v>2.4248459339141846</c:v>
                </c:pt>
                <c:pt idx="47">
                  <c:v>2.5487668514251709</c:v>
                </c:pt>
                <c:pt idx="48">
                  <c:v>2.3976054191589355</c:v>
                </c:pt>
                <c:pt idx="49">
                  <c:v>2.3487162590026855</c:v>
                </c:pt>
                <c:pt idx="50">
                  <c:v>2.257882833480835</c:v>
                </c:pt>
                <c:pt idx="51">
                  <c:v>2.1834132671356201</c:v>
                </c:pt>
                <c:pt idx="52">
                  <c:v>2.2284393310546875</c:v>
                </c:pt>
                <c:pt idx="53">
                  <c:v>1.9867669343948364</c:v>
                </c:pt>
                <c:pt idx="54">
                  <c:v>2.0187439918518066</c:v>
                </c:pt>
                <c:pt idx="55">
                  <c:v>1.9455645084381104</c:v>
                </c:pt>
                <c:pt idx="56">
                  <c:v>2.0107061862945557</c:v>
                </c:pt>
                <c:pt idx="57">
                  <c:v>2.1060740947723389</c:v>
                </c:pt>
                <c:pt idx="58">
                  <c:v>1.9300861358642578</c:v>
                </c:pt>
                <c:pt idx="59">
                  <c:v>2.0152914524078369</c:v>
                </c:pt>
                <c:pt idx="60">
                  <c:v>2.2140583992004395</c:v>
                </c:pt>
                <c:pt idx="61">
                  <c:v>1.9613444805145264</c:v>
                </c:pt>
                <c:pt idx="62">
                  <c:v>1.7743641138076782</c:v>
                </c:pt>
                <c:pt idx="63">
                  <c:v>1.6142953634262085</c:v>
                </c:pt>
                <c:pt idx="64">
                  <c:v>1.7528867721557617</c:v>
                </c:pt>
                <c:pt idx="65">
                  <c:v>1.7839705944061279</c:v>
                </c:pt>
                <c:pt idx="66">
                  <c:v>1.8605951070785522</c:v>
                </c:pt>
                <c:pt idx="67">
                  <c:v>1.9102252721786499</c:v>
                </c:pt>
                <c:pt idx="68">
                  <c:v>1.866875171661377</c:v>
                </c:pt>
                <c:pt idx="69">
                  <c:v>1.9220179319381714</c:v>
                </c:pt>
                <c:pt idx="70">
                  <c:v>1.9477012157440186</c:v>
                </c:pt>
                <c:pt idx="71">
                  <c:v>1.9855188131332397</c:v>
                </c:pt>
                <c:pt idx="72">
                  <c:v>1.8904924392700195</c:v>
                </c:pt>
                <c:pt idx="73">
                  <c:v>1.6750521659851074</c:v>
                </c:pt>
                <c:pt idx="74">
                  <c:v>1.6422066688537598</c:v>
                </c:pt>
                <c:pt idx="75">
                  <c:v>1.7617610692977905</c:v>
                </c:pt>
                <c:pt idx="76">
                  <c:v>1.882420539855957</c:v>
                </c:pt>
                <c:pt idx="77">
                  <c:v>1.9719401597976685</c:v>
                </c:pt>
                <c:pt idx="78">
                  <c:v>1.8081942796707153</c:v>
                </c:pt>
                <c:pt idx="79">
                  <c:v>1.9368076324462891</c:v>
                </c:pt>
                <c:pt idx="80">
                  <c:v>2.0610413551330566</c:v>
                </c:pt>
                <c:pt idx="81">
                  <c:v>2.3098685741424561</c:v>
                </c:pt>
                <c:pt idx="82">
                  <c:v>2.5005147457122803</c:v>
                </c:pt>
                <c:pt idx="83">
                  <c:v>2.2599406242370605</c:v>
                </c:pt>
                <c:pt idx="84">
                  <c:v>2.1847691535949707</c:v>
                </c:pt>
                <c:pt idx="85">
                  <c:v>2.4268093109130859</c:v>
                </c:pt>
                <c:pt idx="86">
                  <c:v>3.0051896572113037</c:v>
                </c:pt>
                <c:pt idx="87">
                  <c:v>3.2996535301208496</c:v>
                </c:pt>
                <c:pt idx="88">
                  <c:v>3.4506003856658936</c:v>
                </c:pt>
                <c:pt idx="89">
                  <c:v>3.2617897987365723</c:v>
                </c:pt>
                <c:pt idx="90">
                  <c:v>2.9811322689056396</c:v>
                </c:pt>
                <c:pt idx="91">
                  <c:v>2.8492717742919922</c:v>
                </c:pt>
                <c:pt idx="92">
                  <c:v>2.8019857406616211</c:v>
                </c:pt>
                <c:pt idx="93">
                  <c:v>2.3786091804504395</c:v>
                </c:pt>
                <c:pt idx="94">
                  <c:v>2.9266524314880371</c:v>
                </c:pt>
                <c:pt idx="95">
                  <c:v>2.8967328071594238</c:v>
                </c:pt>
                <c:pt idx="96">
                  <c:v>3.2924849987030029</c:v>
                </c:pt>
                <c:pt idx="97">
                  <c:v>1.7850674390792847</c:v>
                </c:pt>
                <c:pt idx="98">
                  <c:v>3.3116440773010254</c:v>
                </c:pt>
                <c:pt idx="99">
                  <c:v>2.4166102409362793</c:v>
                </c:pt>
                <c:pt idx="100">
                  <c:v>2.8351211547851563</c:v>
                </c:pt>
              </c:numCache>
            </c:numRef>
          </c:val>
        </c:ser>
        <c:dLbls>
          <c:showLegendKey val="0"/>
          <c:showVal val="0"/>
          <c:showCatName val="0"/>
          <c:showSerName val="0"/>
          <c:showPercent val="0"/>
          <c:showBubbleSize val="0"/>
        </c:dLbls>
        <c:axId val="539594936"/>
        <c:axId val="540118328"/>
      </c:areaChart>
      <c:catAx>
        <c:axId val="53959493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57901860440415"/>
              <c:y val="0.8801261829652992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118328"/>
        <c:crosses val="autoZero"/>
        <c:auto val="1"/>
        <c:lblAlgn val="ctr"/>
        <c:lblOffset val="100"/>
        <c:tickLblSkip val="3"/>
        <c:tickMarkSkip val="1"/>
        <c:noMultiLvlLbl val="0"/>
      </c:catAx>
      <c:valAx>
        <c:axId val="540118328"/>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r>
                  <a:rPr lang="en-US" sz="1000" b="1" i="0" u="none" strike="noStrike" baseline="0">
                    <a:effectLst/>
                  </a:rPr>
                  <a:t>p.c.</a:t>
                </a:r>
                <a:r>
                  <a:rPr lang="en-US"/>
                  <a:t>, %</a:t>
                </a:r>
              </a:p>
            </c:rich>
          </c:tx>
          <c:layout>
            <c:manualLayout>
              <c:xMode val="edge"/>
              <c:yMode val="edge"/>
              <c:x val="2.8070176730648704E-2"/>
              <c:y val="0.24033780128628959"/>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39594936"/>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11: South maize, cotton, and fruits</a:t>
            </a:r>
          </a:p>
        </c:rich>
      </c:tx>
      <c:layout>
        <c:manualLayout>
          <c:xMode val="edge"/>
          <c:yMode val="edge"/>
          <c:x val="0.33157968411843253"/>
          <c:y val="3.4700315457413249E-2"/>
        </c:manualLayout>
      </c:layout>
      <c:overlay val="0"/>
      <c:spPr>
        <a:noFill/>
        <a:ln w="25400">
          <a:noFill/>
        </a:ln>
      </c:spPr>
    </c:title>
    <c:autoTitleDeleted val="0"/>
    <c:plotArea>
      <c:layout>
        <c:manualLayout>
          <c:layoutTarget val="inner"/>
          <c:xMode val="edge"/>
          <c:yMode val="edge"/>
          <c:x val="9.6491393385748025E-2"/>
          <c:y val="0.17981072555205049"/>
          <c:w val="0.86666815150108223"/>
          <c:h val="0.67823343848580486"/>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Liu\AppData\Local\Temp\__ADEPT__59697368656E204C6975__SESSION_40b214521d0f432e8f051008a5d353ec\Modules\poverty\Output\[adept_poverty_12.xls]Figure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Liu\AppData\Local\Temp\__ADEPT__59697368656E204C6975__SESSION_40b214521d0f432e8f051008a5d353ec\Modules\poverty\Output\[adept_poverty_12.xls]Figure 2.1_DATA'!$B$2:$B$102</c:f>
              <c:numCache>
                <c:formatCode>General</c:formatCode>
                <c:ptCount val="101"/>
                <c:pt idx="0">
                  <c:v>3.5041272640228271</c:v>
                </c:pt>
                <c:pt idx="1">
                  <c:v>3.4139931201934814</c:v>
                </c:pt>
                <c:pt idx="2">
                  <c:v>6.5013518333435059</c:v>
                </c:pt>
                <c:pt idx="3">
                  <c:v>5.800041675567627</c:v>
                </c:pt>
                <c:pt idx="4">
                  <c:v>5.6914863586425781</c:v>
                </c:pt>
                <c:pt idx="5">
                  <c:v>6.1213202476501465</c:v>
                </c:pt>
                <c:pt idx="6">
                  <c:v>6.7924842834472656</c:v>
                </c:pt>
                <c:pt idx="7">
                  <c:v>6.9943203926086426</c:v>
                </c:pt>
                <c:pt idx="8">
                  <c:v>6.745232105255127</c:v>
                </c:pt>
                <c:pt idx="9">
                  <c:v>6.4035587310791016</c:v>
                </c:pt>
                <c:pt idx="10">
                  <c:v>6.2420663833618164</c:v>
                </c:pt>
                <c:pt idx="11">
                  <c:v>6.0113515853881836</c:v>
                </c:pt>
                <c:pt idx="12">
                  <c:v>6.2154712677001953</c:v>
                </c:pt>
                <c:pt idx="13">
                  <c:v>5.9969930648803711</c:v>
                </c:pt>
                <c:pt idx="14">
                  <c:v>5.902214527130127</c:v>
                </c:pt>
                <c:pt idx="15">
                  <c:v>5.9591045379638672</c:v>
                </c:pt>
                <c:pt idx="16">
                  <c:v>5.9575333595275879</c:v>
                </c:pt>
                <c:pt idx="17">
                  <c:v>6.0014262199401855</c:v>
                </c:pt>
                <c:pt idx="18">
                  <c:v>5.6762681007385254</c:v>
                </c:pt>
                <c:pt idx="19">
                  <c:v>5.250758171081543</c:v>
                </c:pt>
                <c:pt idx="20">
                  <c:v>5.030540943145752</c:v>
                </c:pt>
                <c:pt idx="21">
                  <c:v>5.0009474754333496</c:v>
                </c:pt>
                <c:pt idx="22">
                  <c:v>4.9867663383483887</c:v>
                </c:pt>
                <c:pt idx="23">
                  <c:v>4.8965988159179687</c:v>
                </c:pt>
                <c:pt idx="24">
                  <c:v>4.8599724769592285</c:v>
                </c:pt>
                <c:pt idx="25">
                  <c:v>4.9159555435180664</c:v>
                </c:pt>
                <c:pt idx="26">
                  <c:v>4.8198952674865723</c:v>
                </c:pt>
                <c:pt idx="27">
                  <c:v>4.9430685043334961</c:v>
                </c:pt>
                <c:pt idx="28">
                  <c:v>4.5901117324829102</c:v>
                </c:pt>
                <c:pt idx="29">
                  <c:v>4.1587462425231934</c:v>
                </c:pt>
                <c:pt idx="30">
                  <c:v>4.0739884376525879</c:v>
                </c:pt>
                <c:pt idx="31">
                  <c:v>3.7392008304595947</c:v>
                </c:pt>
                <c:pt idx="32">
                  <c:v>3.7966132164001465</c:v>
                </c:pt>
                <c:pt idx="33">
                  <c:v>3.7939560413360596</c:v>
                </c:pt>
                <c:pt idx="34">
                  <c:v>3.8480651378631592</c:v>
                </c:pt>
                <c:pt idx="35">
                  <c:v>3.8536593914031982</c:v>
                </c:pt>
                <c:pt idx="36">
                  <c:v>3.637470006942749</c:v>
                </c:pt>
                <c:pt idx="37">
                  <c:v>3.610565185546875</c:v>
                </c:pt>
                <c:pt idx="38">
                  <c:v>3.5158846378326416</c:v>
                </c:pt>
                <c:pt idx="39">
                  <c:v>3.5979211330413818</c:v>
                </c:pt>
                <c:pt idx="40">
                  <c:v>3.5548911094665527</c:v>
                </c:pt>
                <c:pt idx="41">
                  <c:v>3.6360268592834473</c:v>
                </c:pt>
                <c:pt idx="42">
                  <c:v>3.6824774742126465</c:v>
                </c:pt>
                <c:pt idx="43">
                  <c:v>3.6860361099243164</c:v>
                </c:pt>
                <c:pt idx="44">
                  <c:v>3.8009929656982422</c:v>
                </c:pt>
                <c:pt idx="45">
                  <c:v>3.8731396198272705</c:v>
                </c:pt>
                <c:pt idx="46">
                  <c:v>3.6508176326751709</c:v>
                </c:pt>
                <c:pt idx="47">
                  <c:v>3.5467357635498047</c:v>
                </c:pt>
                <c:pt idx="48">
                  <c:v>3.5314991474151611</c:v>
                </c:pt>
                <c:pt idx="49">
                  <c:v>3.4337441921234131</c:v>
                </c:pt>
                <c:pt idx="50">
                  <c:v>3.2905573844909668</c:v>
                </c:pt>
                <c:pt idx="51">
                  <c:v>2.8467071056365967</c:v>
                </c:pt>
                <c:pt idx="52">
                  <c:v>3.0122287273406982</c:v>
                </c:pt>
                <c:pt idx="53">
                  <c:v>3.0369763374328613</c:v>
                </c:pt>
                <c:pt idx="54">
                  <c:v>3.2235667705535889</c:v>
                </c:pt>
                <c:pt idx="55">
                  <c:v>3.0506172180175781</c:v>
                </c:pt>
                <c:pt idx="56">
                  <c:v>2.9201598167419434</c:v>
                </c:pt>
                <c:pt idx="57">
                  <c:v>2.8927958011627197</c:v>
                </c:pt>
                <c:pt idx="58">
                  <c:v>2.75038743019104</c:v>
                </c:pt>
                <c:pt idx="59">
                  <c:v>2.7810254096984863</c:v>
                </c:pt>
                <c:pt idx="60">
                  <c:v>2.7271437644958496</c:v>
                </c:pt>
                <c:pt idx="61">
                  <c:v>2.5961577892303467</c:v>
                </c:pt>
                <c:pt idx="62">
                  <c:v>2.4687857627868652</c:v>
                </c:pt>
                <c:pt idx="63">
                  <c:v>2.6653149127960205</c:v>
                </c:pt>
                <c:pt idx="64">
                  <c:v>2.7928638458251953</c:v>
                </c:pt>
                <c:pt idx="65">
                  <c:v>2.8665783405303955</c:v>
                </c:pt>
                <c:pt idx="66">
                  <c:v>2.945598840713501</c:v>
                </c:pt>
                <c:pt idx="67">
                  <c:v>2.5060350894927979</c:v>
                </c:pt>
                <c:pt idx="68">
                  <c:v>2.1575920581817627</c:v>
                </c:pt>
                <c:pt idx="69">
                  <c:v>1.9144840240478516</c:v>
                </c:pt>
                <c:pt idx="70">
                  <c:v>1.9212225675582886</c:v>
                </c:pt>
                <c:pt idx="71">
                  <c:v>2.0671136379241943</c:v>
                </c:pt>
                <c:pt idx="72">
                  <c:v>1.9678069353103638</c:v>
                </c:pt>
                <c:pt idx="73">
                  <c:v>1.9351664781570435</c:v>
                </c:pt>
                <c:pt idx="74">
                  <c:v>2.0445382595062256</c:v>
                </c:pt>
                <c:pt idx="75">
                  <c:v>1.8566074371337891</c:v>
                </c:pt>
                <c:pt idx="76">
                  <c:v>1.6025259494781494</c:v>
                </c:pt>
                <c:pt idx="77">
                  <c:v>1.5166161060333252</c:v>
                </c:pt>
                <c:pt idx="78">
                  <c:v>1.3999348878860474</c:v>
                </c:pt>
                <c:pt idx="79">
                  <c:v>1.7424507141113281</c:v>
                </c:pt>
                <c:pt idx="80">
                  <c:v>1.5468356609344482</c:v>
                </c:pt>
                <c:pt idx="81">
                  <c:v>1.2787072658538818</c:v>
                </c:pt>
                <c:pt idx="82">
                  <c:v>1.1108107566833496</c:v>
                </c:pt>
                <c:pt idx="83">
                  <c:v>0.84147453308105469</c:v>
                </c:pt>
                <c:pt idx="84">
                  <c:v>0.71318954229354858</c:v>
                </c:pt>
                <c:pt idx="85">
                  <c:v>0.62208950519561768</c:v>
                </c:pt>
                <c:pt idx="86">
                  <c:v>0.47064721584320068</c:v>
                </c:pt>
                <c:pt idx="87">
                  <c:v>8.8915497064590454E-2</c:v>
                </c:pt>
                <c:pt idx="88">
                  <c:v>-0.1654718816280365</c:v>
                </c:pt>
                <c:pt idx="89">
                  <c:v>-4.4385951012372971E-2</c:v>
                </c:pt>
                <c:pt idx="90">
                  <c:v>-0.45549032092094421</c:v>
                </c:pt>
                <c:pt idx="91">
                  <c:v>-0.25281354784965515</c:v>
                </c:pt>
                <c:pt idx="92">
                  <c:v>-0.38382184505462646</c:v>
                </c:pt>
                <c:pt idx="93">
                  <c:v>-0.92143237590789795</c:v>
                </c:pt>
                <c:pt idx="94">
                  <c:v>-0.78758001327514648</c:v>
                </c:pt>
                <c:pt idx="95">
                  <c:v>-0.65840113162994385</c:v>
                </c:pt>
                <c:pt idx="96">
                  <c:v>-1.4210497140884399</c:v>
                </c:pt>
                <c:pt idx="97">
                  <c:v>-2.1632070541381836</c:v>
                </c:pt>
                <c:pt idx="98">
                  <c:v>-4.3299751281738281</c:v>
                </c:pt>
                <c:pt idx="99">
                  <c:v>-4.6523289680480957</c:v>
                </c:pt>
                <c:pt idx="100">
                  <c:v>-4.7401890754699707</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Liu\AppData\Local\Temp\__ADEPT__59697368656E204C6975__SESSION_40b214521d0f432e8f051008a5d353ec\Modules\poverty\Output\[adept_poverty_12.xls]Figure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Liu\AppData\Local\Temp\__ADEPT__59697368656E204C6975__SESSION_40b214521d0f432e8f051008a5d353ec\Modules\poverty\Output\[adept_poverty_12.xls]Figure 2.1_DATA'!$C$2:$C$102</c:f>
              <c:numCache>
                <c:formatCode>General</c:formatCode>
                <c:ptCount val="101"/>
                <c:pt idx="0">
                  <c:v>3.9222040176391602</c:v>
                </c:pt>
                <c:pt idx="1">
                  <c:v>3.9593830108642578</c:v>
                </c:pt>
                <c:pt idx="2">
                  <c:v>1.998822808265686</c:v>
                </c:pt>
                <c:pt idx="3">
                  <c:v>2.3582010269165039</c:v>
                </c:pt>
                <c:pt idx="4">
                  <c:v>2.2050895690917969</c:v>
                </c:pt>
                <c:pt idx="5">
                  <c:v>1.1904330253601074</c:v>
                </c:pt>
                <c:pt idx="6">
                  <c:v>0.60840737819671631</c:v>
                </c:pt>
                <c:pt idx="7">
                  <c:v>0.59389698505401611</c:v>
                </c:pt>
                <c:pt idx="8">
                  <c:v>0.82642239332199097</c:v>
                </c:pt>
                <c:pt idx="9">
                  <c:v>1.1694766283035278</c:v>
                </c:pt>
                <c:pt idx="10">
                  <c:v>1.2743899822235107</c:v>
                </c:pt>
                <c:pt idx="11">
                  <c:v>1.0206660032272339</c:v>
                </c:pt>
                <c:pt idx="12">
                  <c:v>0.67315536737442017</c:v>
                </c:pt>
                <c:pt idx="13">
                  <c:v>0.84969633817672729</c:v>
                </c:pt>
                <c:pt idx="14">
                  <c:v>0.85505497455596924</c:v>
                </c:pt>
                <c:pt idx="15">
                  <c:v>0.65901011228561401</c:v>
                </c:pt>
                <c:pt idx="16">
                  <c:v>0.55281734466552734</c:v>
                </c:pt>
                <c:pt idx="17">
                  <c:v>0.49953243136405945</c:v>
                </c:pt>
                <c:pt idx="18">
                  <c:v>0.6630396842956543</c:v>
                </c:pt>
                <c:pt idx="19">
                  <c:v>0.96481078863143921</c:v>
                </c:pt>
                <c:pt idx="20">
                  <c:v>0.97257661819458008</c:v>
                </c:pt>
                <c:pt idx="21">
                  <c:v>0.80773544311523438</c:v>
                </c:pt>
                <c:pt idx="22">
                  <c:v>0.62814426422119141</c:v>
                </c:pt>
                <c:pt idx="23">
                  <c:v>0.66308623552322388</c:v>
                </c:pt>
                <c:pt idx="24">
                  <c:v>0.69772934913635254</c:v>
                </c:pt>
                <c:pt idx="25">
                  <c:v>0.56321656703948975</c:v>
                </c:pt>
                <c:pt idx="26">
                  <c:v>0.61242741346359253</c:v>
                </c:pt>
                <c:pt idx="27">
                  <c:v>0.45890790224075317</c:v>
                </c:pt>
                <c:pt idx="28">
                  <c:v>0.71020674705505371</c:v>
                </c:pt>
                <c:pt idx="29">
                  <c:v>0.97112196683883667</c:v>
                </c:pt>
                <c:pt idx="30">
                  <c:v>0.96731680631637573</c:v>
                </c:pt>
                <c:pt idx="31">
                  <c:v>1.1634881496429443</c:v>
                </c:pt>
                <c:pt idx="32">
                  <c:v>1.0198026895523071</c:v>
                </c:pt>
                <c:pt idx="33">
                  <c:v>0.96498942375183105</c:v>
                </c:pt>
                <c:pt idx="34">
                  <c:v>0.88363027572631836</c:v>
                </c:pt>
                <c:pt idx="35">
                  <c:v>0.82036739587783813</c:v>
                </c:pt>
                <c:pt idx="36">
                  <c:v>0.94434422254562378</c:v>
                </c:pt>
                <c:pt idx="37">
                  <c:v>0.9583507776260376</c:v>
                </c:pt>
                <c:pt idx="38">
                  <c:v>1.0066109895706177</c:v>
                </c:pt>
                <c:pt idx="39">
                  <c:v>0.84444844722747803</c:v>
                </c:pt>
                <c:pt idx="40">
                  <c:v>0.85811811685562134</c:v>
                </c:pt>
                <c:pt idx="41">
                  <c:v>0.74687504768371582</c:v>
                </c:pt>
                <c:pt idx="42">
                  <c:v>0.73946982622146606</c:v>
                </c:pt>
                <c:pt idx="43">
                  <c:v>0.75608289241790771</c:v>
                </c:pt>
                <c:pt idx="44">
                  <c:v>0.66791355609893799</c:v>
                </c:pt>
                <c:pt idx="45">
                  <c:v>0.57081460952758789</c:v>
                </c:pt>
                <c:pt idx="46">
                  <c:v>0.66944563388824463</c:v>
                </c:pt>
                <c:pt idx="47">
                  <c:v>0.68472069501876831</c:v>
                </c:pt>
                <c:pt idx="48">
                  <c:v>0.58187872171401978</c:v>
                </c:pt>
                <c:pt idx="49">
                  <c:v>0.59476923942565918</c:v>
                </c:pt>
                <c:pt idx="50">
                  <c:v>0.71763283014297485</c:v>
                </c:pt>
                <c:pt idx="51">
                  <c:v>1.0601181983947754</c:v>
                </c:pt>
                <c:pt idx="52">
                  <c:v>0.89210867881774902</c:v>
                </c:pt>
                <c:pt idx="53">
                  <c:v>0.79720669984817505</c:v>
                </c:pt>
                <c:pt idx="54">
                  <c:v>0.57542204856872559</c:v>
                </c:pt>
                <c:pt idx="55">
                  <c:v>0.70479339361190796</c:v>
                </c:pt>
                <c:pt idx="56">
                  <c:v>0.84038209915161133</c:v>
                </c:pt>
                <c:pt idx="57">
                  <c:v>0.84006553888320923</c:v>
                </c:pt>
                <c:pt idx="58">
                  <c:v>0.94389545917510986</c:v>
                </c:pt>
                <c:pt idx="59">
                  <c:v>0.93644160032272339</c:v>
                </c:pt>
                <c:pt idx="60">
                  <c:v>0.98266232013702393</c:v>
                </c:pt>
                <c:pt idx="61">
                  <c:v>1.1098842620849609</c:v>
                </c:pt>
                <c:pt idx="62">
                  <c:v>1.24658203125</c:v>
                </c:pt>
                <c:pt idx="63">
                  <c:v>1.0833501815795898</c:v>
                </c:pt>
                <c:pt idx="64">
                  <c:v>0.96450972557067871</c:v>
                </c:pt>
                <c:pt idx="65">
                  <c:v>0.99552488327026367</c:v>
                </c:pt>
                <c:pt idx="66">
                  <c:v>0.90672725439071655</c:v>
                </c:pt>
                <c:pt idx="67">
                  <c:v>1.2356390953063965</c:v>
                </c:pt>
                <c:pt idx="68">
                  <c:v>1.4722138643264771</c:v>
                </c:pt>
                <c:pt idx="69">
                  <c:v>1.6206294298171997</c:v>
                </c:pt>
                <c:pt idx="70">
                  <c:v>1.5620088577270508</c:v>
                </c:pt>
                <c:pt idx="71">
                  <c:v>1.3379920721054077</c:v>
                </c:pt>
                <c:pt idx="72">
                  <c:v>1.3362052440643311</c:v>
                </c:pt>
                <c:pt idx="73">
                  <c:v>1.2345175743103027</c:v>
                </c:pt>
                <c:pt idx="74">
                  <c:v>1.0865311622619629</c:v>
                </c:pt>
                <c:pt idx="75">
                  <c:v>1.1074047088623047</c:v>
                </c:pt>
                <c:pt idx="76">
                  <c:v>1.330036997795105</c:v>
                </c:pt>
                <c:pt idx="77">
                  <c:v>1.3209943771362305</c:v>
                </c:pt>
                <c:pt idx="78">
                  <c:v>1.2954654693603516</c:v>
                </c:pt>
                <c:pt idx="79">
                  <c:v>0.8602445125579834</c:v>
                </c:pt>
                <c:pt idx="80">
                  <c:v>0.89437282085418701</c:v>
                </c:pt>
                <c:pt idx="81">
                  <c:v>1.0419341325759888</c:v>
                </c:pt>
                <c:pt idx="82">
                  <c:v>0.97278410196304321</c:v>
                </c:pt>
                <c:pt idx="83">
                  <c:v>0.98354744911193848</c:v>
                </c:pt>
                <c:pt idx="84">
                  <c:v>0.88771611452102661</c:v>
                </c:pt>
                <c:pt idx="85">
                  <c:v>0.85578346252441406</c:v>
                </c:pt>
                <c:pt idx="86">
                  <c:v>0.93309211730957031</c:v>
                </c:pt>
                <c:pt idx="87">
                  <c:v>1.1464811563491821</c:v>
                </c:pt>
                <c:pt idx="88">
                  <c:v>1.1705694198608398</c:v>
                </c:pt>
                <c:pt idx="89">
                  <c:v>0.85622966289520264</c:v>
                </c:pt>
                <c:pt idx="90">
                  <c:v>0.95983296632766724</c:v>
                </c:pt>
                <c:pt idx="91">
                  <c:v>0.81592994928359985</c:v>
                </c:pt>
                <c:pt idx="92">
                  <c:v>0.86247938871383667</c:v>
                </c:pt>
                <c:pt idx="93">
                  <c:v>1.1487826108932495</c:v>
                </c:pt>
                <c:pt idx="94">
                  <c:v>0.91582334041595459</c:v>
                </c:pt>
                <c:pt idx="95">
                  <c:v>0.58241719007492065</c:v>
                </c:pt>
                <c:pt idx="96">
                  <c:v>0.9845811128616333</c:v>
                </c:pt>
                <c:pt idx="97">
                  <c:v>1.7187426090240479</c:v>
                </c:pt>
                <c:pt idx="98">
                  <c:v>2.3299829959869385</c:v>
                </c:pt>
                <c:pt idx="99">
                  <c:v>2.3001675605773926</c:v>
                </c:pt>
                <c:pt idx="100">
                  <c:v>2.3416252136230469</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Liu\AppData\Local\Temp\__ADEPT__59697368656E204C6975__SESSION_40b214521d0f432e8f051008a5d353ec\Modules\poverty\Output\[adept_poverty_12.xls]Figure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Liu\AppData\Local\Temp\__ADEPT__59697368656E204C6975__SESSION_40b214521d0f432e8f051008a5d353ec\Modules\poverty\Output\[adept_poverty_12.xls]Figure 2.1_DATA'!$D$2:$D$102</c:f>
              <c:numCache>
                <c:formatCode>General</c:formatCode>
                <c:ptCount val="101"/>
                <c:pt idx="0">
                  <c:v>3.9222040176391602</c:v>
                </c:pt>
                <c:pt idx="1">
                  <c:v>3.9593830108642578</c:v>
                </c:pt>
                <c:pt idx="2">
                  <c:v>1.998822808265686</c:v>
                </c:pt>
                <c:pt idx="3">
                  <c:v>2.3582010269165039</c:v>
                </c:pt>
                <c:pt idx="4">
                  <c:v>2.2050895690917969</c:v>
                </c:pt>
                <c:pt idx="5">
                  <c:v>1.1904330253601074</c:v>
                </c:pt>
                <c:pt idx="6">
                  <c:v>0.60840737819671631</c:v>
                </c:pt>
                <c:pt idx="7">
                  <c:v>0.59389698505401611</c:v>
                </c:pt>
                <c:pt idx="8">
                  <c:v>0.82642239332199097</c:v>
                </c:pt>
                <c:pt idx="9">
                  <c:v>1.1694766283035278</c:v>
                </c:pt>
                <c:pt idx="10">
                  <c:v>1.2743899822235107</c:v>
                </c:pt>
                <c:pt idx="11">
                  <c:v>1.0206660032272339</c:v>
                </c:pt>
                <c:pt idx="12">
                  <c:v>0.67315536737442017</c:v>
                </c:pt>
                <c:pt idx="13">
                  <c:v>0.84969633817672729</c:v>
                </c:pt>
                <c:pt idx="14">
                  <c:v>0.85505497455596924</c:v>
                </c:pt>
                <c:pt idx="15">
                  <c:v>0.65901011228561401</c:v>
                </c:pt>
                <c:pt idx="16">
                  <c:v>0.55281734466552734</c:v>
                </c:pt>
                <c:pt idx="17">
                  <c:v>0.49953243136405945</c:v>
                </c:pt>
                <c:pt idx="18">
                  <c:v>0.6630396842956543</c:v>
                </c:pt>
                <c:pt idx="19">
                  <c:v>0.96481078863143921</c:v>
                </c:pt>
                <c:pt idx="20">
                  <c:v>0.97257661819458008</c:v>
                </c:pt>
                <c:pt idx="21">
                  <c:v>0.80773544311523438</c:v>
                </c:pt>
                <c:pt idx="22">
                  <c:v>0.62814426422119141</c:v>
                </c:pt>
                <c:pt idx="23">
                  <c:v>0.66308623552322388</c:v>
                </c:pt>
                <c:pt idx="24">
                  <c:v>0.69772934913635254</c:v>
                </c:pt>
                <c:pt idx="25">
                  <c:v>0.56321656703948975</c:v>
                </c:pt>
                <c:pt idx="26">
                  <c:v>0.61242741346359253</c:v>
                </c:pt>
                <c:pt idx="27">
                  <c:v>0.45890790224075317</c:v>
                </c:pt>
                <c:pt idx="28">
                  <c:v>0.71020674705505371</c:v>
                </c:pt>
                <c:pt idx="29">
                  <c:v>0.97112196683883667</c:v>
                </c:pt>
                <c:pt idx="30">
                  <c:v>0.96731680631637573</c:v>
                </c:pt>
                <c:pt idx="31">
                  <c:v>1.1634881496429443</c:v>
                </c:pt>
                <c:pt idx="32">
                  <c:v>1.0198026895523071</c:v>
                </c:pt>
                <c:pt idx="33">
                  <c:v>0.96498942375183105</c:v>
                </c:pt>
                <c:pt idx="34">
                  <c:v>0.88363027572631836</c:v>
                </c:pt>
                <c:pt idx="35">
                  <c:v>0.82036739587783813</c:v>
                </c:pt>
                <c:pt idx="36">
                  <c:v>0.94434422254562378</c:v>
                </c:pt>
                <c:pt idx="37">
                  <c:v>0.9583507776260376</c:v>
                </c:pt>
                <c:pt idx="38">
                  <c:v>1.0066109895706177</c:v>
                </c:pt>
                <c:pt idx="39">
                  <c:v>0.84444844722747803</c:v>
                </c:pt>
                <c:pt idx="40">
                  <c:v>0.85811811685562134</c:v>
                </c:pt>
                <c:pt idx="41">
                  <c:v>0.74687504768371582</c:v>
                </c:pt>
                <c:pt idx="42">
                  <c:v>0.73946982622146606</c:v>
                </c:pt>
                <c:pt idx="43">
                  <c:v>0.75608289241790771</c:v>
                </c:pt>
                <c:pt idx="44">
                  <c:v>0.66791355609893799</c:v>
                </c:pt>
                <c:pt idx="45">
                  <c:v>0.57081460952758789</c:v>
                </c:pt>
                <c:pt idx="46">
                  <c:v>0.66944563388824463</c:v>
                </c:pt>
                <c:pt idx="47">
                  <c:v>0.68472069501876831</c:v>
                </c:pt>
                <c:pt idx="48">
                  <c:v>0.58187872171401978</c:v>
                </c:pt>
                <c:pt idx="49">
                  <c:v>0.59476923942565918</c:v>
                </c:pt>
                <c:pt idx="50">
                  <c:v>0.71763283014297485</c:v>
                </c:pt>
                <c:pt idx="51">
                  <c:v>1.0601181983947754</c:v>
                </c:pt>
                <c:pt idx="52">
                  <c:v>0.89210867881774902</c:v>
                </c:pt>
                <c:pt idx="53">
                  <c:v>0.79720669984817505</c:v>
                </c:pt>
                <c:pt idx="54">
                  <c:v>0.57542204856872559</c:v>
                </c:pt>
                <c:pt idx="55">
                  <c:v>0.70479339361190796</c:v>
                </c:pt>
                <c:pt idx="56">
                  <c:v>0.84038209915161133</c:v>
                </c:pt>
                <c:pt idx="57">
                  <c:v>0.84006553888320923</c:v>
                </c:pt>
                <c:pt idx="58">
                  <c:v>0.94389545917510986</c:v>
                </c:pt>
                <c:pt idx="59">
                  <c:v>0.93644160032272339</c:v>
                </c:pt>
                <c:pt idx="60">
                  <c:v>0.98266232013702393</c:v>
                </c:pt>
                <c:pt idx="61">
                  <c:v>1.1098842620849609</c:v>
                </c:pt>
                <c:pt idx="62">
                  <c:v>1.24658203125</c:v>
                </c:pt>
                <c:pt idx="63">
                  <c:v>1.0833501815795898</c:v>
                </c:pt>
                <c:pt idx="64">
                  <c:v>0.96450972557067871</c:v>
                </c:pt>
                <c:pt idx="65">
                  <c:v>0.99552488327026367</c:v>
                </c:pt>
                <c:pt idx="66">
                  <c:v>0.90672725439071655</c:v>
                </c:pt>
                <c:pt idx="67">
                  <c:v>1.2356390953063965</c:v>
                </c:pt>
                <c:pt idx="68">
                  <c:v>1.4722138643264771</c:v>
                </c:pt>
                <c:pt idx="69">
                  <c:v>1.6206294298171997</c:v>
                </c:pt>
                <c:pt idx="70">
                  <c:v>1.5620088577270508</c:v>
                </c:pt>
                <c:pt idx="71">
                  <c:v>1.3379920721054077</c:v>
                </c:pt>
                <c:pt idx="72">
                  <c:v>1.3362052440643311</c:v>
                </c:pt>
                <c:pt idx="73">
                  <c:v>1.2345175743103027</c:v>
                </c:pt>
                <c:pt idx="74">
                  <c:v>1.0865311622619629</c:v>
                </c:pt>
                <c:pt idx="75">
                  <c:v>1.1074047088623047</c:v>
                </c:pt>
                <c:pt idx="76">
                  <c:v>1.330036997795105</c:v>
                </c:pt>
                <c:pt idx="77">
                  <c:v>1.3209943771362305</c:v>
                </c:pt>
                <c:pt idx="78">
                  <c:v>1.2954654693603516</c:v>
                </c:pt>
                <c:pt idx="79">
                  <c:v>0.8602445125579834</c:v>
                </c:pt>
                <c:pt idx="80">
                  <c:v>0.89437282085418701</c:v>
                </c:pt>
                <c:pt idx="81">
                  <c:v>1.0419341325759888</c:v>
                </c:pt>
                <c:pt idx="82">
                  <c:v>0.97278410196304321</c:v>
                </c:pt>
                <c:pt idx="83">
                  <c:v>0.98354744911193848</c:v>
                </c:pt>
                <c:pt idx="84">
                  <c:v>0.88771611452102661</c:v>
                </c:pt>
                <c:pt idx="85">
                  <c:v>0.85578346252441406</c:v>
                </c:pt>
                <c:pt idx="86">
                  <c:v>0.93309211730957031</c:v>
                </c:pt>
                <c:pt idx="87">
                  <c:v>1.1464811563491821</c:v>
                </c:pt>
                <c:pt idx="88">
                  <c:v>1.1705694198608398</c:v>
                </c:pt>
                <c:pt idx="89">
                  <c:v>0.85622966289520264</c:v>
                </c:pt>
                <c:pt idx="90">
                  <c:v>0.95983296632766724</c:v>
                </c:pt>
                <c:pt idx="91">
                  <c:v>0.81592994928359985</c:v>
                </c:pt>
                <c:pt idx="92">
                  <c:v>0.86247938871383667</c:v>
                </c:pt>
                <c:pt idx="93">
                  <c:v>1.1487826108932495</c:v>
                </c:pt>
                <c:pt idx="94">
                  <c:v>0.91582334041595459</c:v>
                </c:pt>
                <c:pt idx="95">
                  <c:v>0.58241719007492065</c:v>
                </c:pt>
                <c:pt idx="96">
                  <c:v>0.9845811128616333</c:v>
                </c:pt>
                <c:pt idx="97">
                  <c:v>1.7187426090240479</c:v>
                </c:pt>
                <c:pt idx="98">
                  <c:v>2.3299829959869385</c:v>
                </c:pt>
                <c:pt idx="99">
                  <c:v>2.3001675605773926</c:v>
                </c:pt>
                <c:pt idx="100">
                  <c:v>2.3416252136230469</c:v>
                </c:pt>
              </c:numCache>
            </c:numRef>
          </c:val>
        </c:ser>
        <c:dLbls>
          <c:showLegendKey val="0"/>
          <c:showVal val="0"/>
          <c:showCatName val="0"/>
          <c:showSerName val="0"/>
          <c:showPercent val="0"/>
          <c:showBubbleSize val="0"/>
        </c:dLbls>
        <c:axId val="540121464"/>
        <c:axId val="540121856"/>
      </c:areaChart>
      <c:catAx>
        <c:axId val="54012146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403579707339139"/>
              <c:y val="0.8801261829652992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121856"/>
        <c:crosses val="autoZero"/>
        <c:auto val="1"/>
        <c:lblAlgn val="ctr"/>
        <c:lblOffset val="100"/>
        <c:tickLblSkip val="3"/>
        <c:tickMarkSkip val="1"/>
        <c:noMultiLvlLbl val="0"/>
      </c:catAx>
      <c:valAx>
        <c:axId val="540121856"/>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r>
                  <a:rPr lang="en-US" sz="1000" b="1" i="0" u="none" strike="noStrike" baseline="0">
                    <a:effectLst/>
                  </a:rPr>
                  <a:t>p.c.</a:t>
                </a:r>
                <a:r>
                  <a:rPr lang="en-US"/>
                  <a:t>, %</a:t>
                </a:r>
              </a:p>
            </c:rich>
          </c:tx>
          <c:layout>
            <c:manualLayout>
              <c:xMode val="edge"/>
              <c:yMode val="edge"/>
              <c:x val="2.8070176730648704E-2"/>
              <c:y val="0.22369846607681737"/>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121464"/>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Zone 12: South-west maize, sorghum</a:t>
            </a:r>
            <a:r>
              <a:rPr lang="en-US" baseline="0"/>
              <a:t> and fruits</a:t>
            </a:r>
            <a:endParaRPr lang="en-US"/>
          </a:p>
        </c:rich>
      </c:tx>
      <c:layout>
        <c:manualLayout>
          <c:xMode val="edge"/>
          <c:yMode val="edge"/>
          <c:x val="0.28947442096053777"/>
          <c:y val="3.7735849056603772E-2"/>
        </c:manualLayout>
      </c:layout>
      <c:overlay val="0"/>
      <c:spPr>
        <a:noFill/>
        <a:ln w="25400">
          <a:noFill/>
        </a:ln>
      </c:spPr>
    </c:title>
    <c:autoTitleDeleted val="0"/>
    <c:plotArea>
      <c:layout>
        <c:manualLayout>
          <c:layoutTarget val="inner"/>
          <c:xMode val="edge"/>
          <c:yMode val="edge"/>
          <c:x val="9.6491393385748025E-2"/>
          <c:y val="0.13417218244763515"/>
          <c:w val="0.86666815150108223"/>
          <c:h val="0.80513872674433051"/>
        </c:manualLayout>
      </c:layout>
      <c:areaChart>
        <c:grouping val="stacked"/>
        <c:varyColors val="0"/>
        <c:ser>
          <c:idx val="0"/>
          <c:order val="0"/>
          <c:spPr>
            <a:solidFill>
              <a:srgbClr val="FFFFFF"/>
            </a:solidFill>
            <a:ln w="3175">
              <a:solidFill>
                <a:srgbClr val="666699"/>
              </a:solidFill>
              <a:prstDash val="solid"/>
            </a:ln>
          </c:spPr>
          <c:cat>
            <c:numRef>
              <c:f>'C:\Users\Yishen Liu\AppData\Local\Temp\__ADEPT__59697368656E204C6975__SESSION_40b214521d0f432e8f051008a5d353ec\Modules\poverty\Output\[adept_poverty_13.xls]Figure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Liu\AppData\Local\Temp\__ADEPT__59697368656E204C6975__SESSION_40b214521d0f432e8f051008a5d353ec\Modules\poverty\Output\[adept_poverty_13.xls]Figure 2.1_DATA'!$B$2:$B$102</c:f>
              <c:numCache>
                <c:formatCode>General</c:formatCode>
                <c:ptCount val="101"/>
                <c:pt idx="0">
                  <c:v>-1.112195611000061</c:v>
                </c:pt>
                <c:pt idx="1">
                  <c:v>-1.112195611000061</c:v>
                </c:pt>
                <c:pt idx="2">
                  <c:v>-0.47384834289550781</c:v>
                </c:pt>
                <c:pt idx="3">
                  <c:v>0.28702974319458008</c:v>
                </c:pt>
                <c:pt idx="4">
                  <c:v>2.615861177444458</c:v>
                </c:pt>
                <c:pt idx="5">
                  <c:v>1.2719824314117432</c:v>
                </c:pt>
                <c:pt idx="6">
                  <c:v>1.1095981597900391</c:v>
                </c:pt>
                <c:pt idx="7">
                  <c:v>0.91101795434951782</c:v>
                </c:pt>
                <c:pt idx="8">
                  <c:v>1.451964259147644</c:v>
                </c:pt>
                <c:pt idx="9">
                  <c:v>1.1624363660812378</c:v>
                </c:pt>
                <c:pt idx="10">
                  <c:v>0.89375150203704834</c:v>
                </c:pt>
                <c:pt idx="11">
                  <c:v>1.8346167802810669</c:v>
                </c:pt>
                <c:pt idx="12">
                  <c:v>1.6219714879989624</c:v>
                </c:pt>
                <c:pt idx="13">
                  <c:v>1.5614806413650513</c:v>
                </c:pt>
                <c:pt idx="14">
                  <c:v>1.7733402252197266</c:v>
                </c:pt>
                <c:pt idx="15">
                  <c:v>1.8396868705749512</c:v>
                </c:pt>
                <c:pt idx="16">
                  <c:v>1.7942454814910889</c:v>
                </c:pt>
                <c:pt idx="17">
                  <c:v>2.0023927688598633</c:v>
                </c:pt>
                <c:pt idx="18">
                  <c:v>2.3364558219909668</c:v>
                </c:pt>
                <c:pt idx="19">
                  <c:v>2.5952267646789551</c:v>
                </c:pt>
                <c:pt idx="20">
                  <c:v>2.5657334327697754</c:v>
                </c:pt>
                <c:pt idx="21">
                  <c:v>2.7189185619354248</c:v>
                </c:pt>
                <c:pt idx="22">
                  <c:v>2.7783100605010986</c:v>
                </c:pt>
                <c:pt idx="23">
                  <c:v>2.7300033569335937</c:v>
                </c:pt>
                <c:pt idx="24">
                  <c:v>2.5648336410522461</c:v>
                </c:pt>
                <c:pt idx="25">
                  <c:v>2.6661543846130371</c:v>
                </c:pt>
                <c:pt idx="26">
                  <c:v>2.6923067569732666</c:v>
                </c:pt>
                <c:pt idx="27">
                  <c:v>2.7294726371765137</c:v>
                </c:pt>
                <c:pt idx="28">
                  <c:v>2.73736572265625</c:v>
                </c:pt>
                <c:pt idx="29">
                  <c:v>2.9162466526031494</c:v>
                </c:pt>
                <c:pt idx="30">
                  <c:v>3.0651974678039551</c:v>
                </c:pt>
                <c:pt idx="31">
                  <c:v>3.0701189041137695</c:v>
                </c:pt>
                <c:pt idx="32">
                  <c:v>3.0547223091125488</c:v>
                </c:pt>
                <c:pt idx="33">
                  <c:v>2.9467945098876953</c:v>
                </c:pt>
                <c:pt idx="34">
                  <c:v>3.0809881687164307</c:v>
                </c:pt>
                <c:pt idx="35">
                  <c:v>3.0388286113739014</c:v>
                </c:pt>
                <c:pt idx="36">
                  <c:v>2.8636467456817627</c:v>
                </c:pt>
                <c:pt idx="37">
                  <c:v>2.8784034252166748</c:v>
                </c:pt>
                <c:pt idx="38">
                  <c:v>2.9168062210083008</c:v>
                </c:pt>
                <c:pt idx="39">
                  <c:v>2.7173330783843994</c:v>
                </c:pt>
                <c:pt idx="40">
                  <c:v>2.827643871307373</c:v>
                </c:pt>
                <c:pt idx="41">
                  <c:v>2.8064179420471191</c:v>
                </c:pt>
                <c:pt idx="42">
                  <c:v>2.9965112209320068</c:v>
                </c:pt>
                <c:pt idx="43">
                  <c:v>3.0007059574127197</c:v>
                </c:pt>
                <c:pt idx="44">
                  <c:v>2.9575450420379639</c:v>
                </c:pt>
                <c:pt idx="45">
                  <c:v>3.0163376331329346</c:v>
                </c:pt>
                <c:pt idx="46">
                  <c:v>3.027376651763916</c:v>
                </c:pt>
                <c:pt idx="47">
                  <c:v>3.2180085182189941</c:v>
                </c:pt>
                <c:pt idx="48">
                  <c:v>3.2240099906921387</c:v>
                </c:pt>
                <c:pt idx="49">
                  <c:v>2.9492230415344238</c:v>
                </c:pt>
                <c:pt idx="50">
                  <c:v>3.0442516803741455</c:v>
                </c:pt>
                <c:pt idx="51">
                  <c:v>2.9488551616668701</c:v>
                </c:pt>
                <c:pt idx="52">
                  <c:v>3.2907440662384033</c:v>
                </c:pt>
                <c:pt idx="53">
                  <c:v>3.2067279815673828</c:v>
                </c:pt>
                <c:pt idx="54">
                  <c:v>3.3544414043426514</c:v>
                </c:pt>
                <c:pt idx="55">
                  <c:v>3.4624326229095459</c:v>
                </c:pt>
                <c:pt idx="56">
                  <c:v>3.3573274612426758</c:v>
                </c:pt>
                <c:pt idx="57">
                  <c:v>3.4018926620483398</c:v>
                </c:pt>
                <c:pt idx="58">
                  <c:v>3.3482880592346191</c:v>
                </c:pt>
                <c:pt idx="59">
                  <c:v>3.4419217109680176</c:v>
                </c:pt>
                <c:pt idx="60">
                  <c:v>3.3747103214263916</c:v>
                </c:pt>
                <c:pt idx="61">
                  <c:v>3.3912525177001953</c:v>
                </c:pt>
                <c:pt idx="62">
                  <c:v>3.4016382694244385</c:v>
                </c:pt>
                <c:pt idx="63">
                  <c:v>3.6022922992706299</c:v>
                </c:pt>
                <c:pt idx="64">
                  <c:v>3.623166561126709</c:v>
                </c:pt>
                <c:pt idx="65">
                  <c:v>3.211341381072998</c:v>
                </c:pt>
                <c:pt idx="66">
                  <c:v>3.0232577323913574</c:v>
                </c:pt>
                <c:pt idx="67">
                  <c:v>2.9325613975524902</c:v>
                </c:pt>
                <c:pt idx="68">
                  <c:v>2.8611752986907959</c:v>
                </c:pt>
                <c:pt idx="69">
                  <c:v>2.9174792766571045</c:v>
                </c:pt>
                <c:pt idx="70">
                  <c:v>2.962019681930542</c:v>
                </c:pt>
                <c:pt idx="71">
                  <c:v>2.9709053039550781</c:v>
                </c:pt>
                <c:pt idx="72">
                  <c:v>3.1857597827911377</c:v>
                </c:pt>
                <c:pt idx="73">
                  <c:v>2.7435894012451172</c:v>
                </c:pt>
                <c:pt idx="74">
                  <c:v>2.810636043548584</c:v>
                </c:pt>
                <c:pt idx="75">
                  <c:v>2.8050756454467773</c:v>
                </c:pt>
                <c:pt idx="76">
                  <c:v>2.6420481204986572</c:v>
                </c:pt>
                <c:pt idx="77">
                  <c:v>2.0751652717590332</c:v>
                </c:pt>
                <c:pt idx="78">
                  <c:v>2.3276333808898926</c:v>
                </c:pt>
                <c:pt idx="79">
                  <c:v>1.5358239412307739</c:v>
                </c:pt>
                <c:pt idx="80">
                  <c:v>1.6030080318450928</c:v>
                </c:pt>
                <c:pt idx="81">
                  <c:v>0.67063033580780029</c:v>
                </c:pt>
                <c:pt idx="82">
                  <c:v>0.87124109268188477</c:v>
                </c:pt>
                <c:pt idx="83">
                  <c:v>0.93535685539245605</c:v>
                </c:pt>
                <c:pt idx="84">
                  <c:v>0.99585175514221191</c:v>
                </c:pt>
                <c:pt idx="85">
                  <c:v>1.1805051565170288</c:v>
                </c:pt>
                <c:pt idx="86">
                  <c:v>1.2779442071914673</c:v>
                </c:pt>
                <c:pt idx="87">
                  <c:v>1.9372265338897705</c:v>
                </c:pt>
                <c:pt idx="88">
                  <c:v>1.9369803667068481</c:v>
                </c:pt>
                <c:pt idx="89">
                  <c:v>2.2185437679290771</c:v>
                </c:pt>
                <c:pt idx="90">
                  <c:v>1.6179842948913574</c:v>
                </c:pt>
                <c:pt idx="91">
                  <c:v>0.30796435475349426</c:v>
                </c:pt>
                <c:pt idx="92">
                  <c:v>-0.34162747859954834</c:v>
                </c:pt>
                <c:pt idx="93">
                  <c:v>-1.7177650928497314</c:v>
                </c:pt>
                <c:pt idx="94">
                  <c:v>-2.8979957103729248</c:v>
                </c:pt>
                <c:pt idx="95">
                  <c:v>-3.4096207618713379</c:v>
                </c:pt>
                <c:pt idx="96">
                  <c:v>-3.3108532428741455</c:v>
                </c:pt>
                <c:pt idx="97">
                  <c:v>-3.6153979301452637</c:v>
                </c:pt>
                <c:pt idx="98">
                  <c:v>-2.5124475955963135</c:v>
                </c:pt>
                <c:pt idx="99">
                  <c:v>-4.1166348457336426</c:v>
                </c:pt>
                <c:pt idx="100">
                  <c:v>-4.2577552795410156</c:v>
                </c:pt>
              </c:numCache>
            </c:numRef>
          </c:val>
        </c:ser>
        <c:ser>
          <c:idx val="1"/>
          <c:order val="1"/>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Liu\AppData\Local\Temp\__ADEPT__59697368656E204C6975__SESSION_40b214521d0f432e8f051008a5d353ec\Modules\poverty\Output\[adept_poverty_13.xls]Figure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Liu\AppData\Local\Temp\__ADEPT__59697368656E204C6975__SESSION_40b214521d0f432e8f051008a5d353ec\Modules\poverty\Output\[adept_poverty_13.xls]Figure 2.1_DATA'!$C$2:$C$102</c:f>
              <c:numCache>
                <c:formatCode>General</c:formatCode>
                <c:ptCount val="101"/>
                <c:pt idx="0">
                  <c:v>2.3905994892120361</c:v>
                </c:pt>
                <c:pt idx="1">
                  <c:v>2.3905994892120361</c:v>
                </c:pt>
                <c:pt idx="2">
                  <c:v>3.6606125831604004</c:v>
                </c:pt>
                <c:pt idx="3">
                  <c:v>3.9337477684020996</c:v>
                </c:pt>
                <c:pt idx="4">
                  <c:v>2.4061248302459717</c:v>
                </c:pt>
                <c:pt idx="5">
                  <c:v>2.8941116333007812</c:v>
                </c:pt>
                <c:pt idx="6">
                  <c:v>3.1906876564025879</c:v>
                </c:pt>
                <c:pt idx="7">
                  <c:v>3.2929480075836182</c:v>
                </c:pt>
                <c:pt idx="8">
                  <c:v>2.5135912895202637</c:v>
                </c:pt>
                <c:pt idx="9">
                  <c:v>2.6239829063415527</c:v>
                </c:pt>
                <c:pt idx="10">
                  <c:v>2.9562957286834717</c:v>
                </c:pt>
                <c:pt idx="11">
                  <c:v>1.8189456462860107</c:v>
                </c:pt>
                <c:pt idx="12">
                  <c:v>2.0331771373748779</c:v>
                </c:pt>
                <c:pt idx="13">
                  <c:v>1.9641309976577759</c:v>
                </c:pt>
                <c:pt idx="14">
                  <c:v>1.9189059734344482</c:v>
                </c:pt>
                <c:pt idx="15">
                  <c:v>1.8913931846618652</c:v>
                </c:pt>
                <c:pt idx="16">
                  <c:v>1.9490290880203247</c:v>
                </c:pt>
                <c:pt idx="17">
                  <c:v>1.8739868402481079</c:v>
                </c:pt>
                <c:pt idx="18">
                  <c:v>1.6434650421142578</c:v>
                </c:pt>
                <c:pt idx="19">
                  <c:v>1.5178653001785278</c:v>
                </c:pt>
                <c:pt idx="20">
                  <c:v>1.5489168167114258</c:v>
                </c:pt>
                <c:pt idx="21">
                  <c:v>1.4747211933135986</c:v>
                </c:pt>
                <c:pt idx="22">
                  <c:v>1.4400748014450073</c:v>
                </c:pt>
                <c:pt idx="23">
                  <c:v>1.5231289863586426</c:v>
                </c:pt>
                <c:pt idx="24">
                  <c:v>1.6248874664306641</c:v>
                </c:pt>
                <c:pt idx="25">
                  <c:v>1.5817737579345703</c:v>
                </c:pt>
                <c:pt idx="26">
                  <c:v>1.525740385055542</c:v>
                </c:pt>
                <c:pt idx="27">
                  <c:v>1.4276490211486816</c:v>
                </c:pt>
                <c:pt idx="28">
                  <c:v>1.4384950399398804</c:v>
                </c:pt>
                <c:pt idx="29">
                  <c:v>1.2901719808578491</c:v>
                </c:pt>
                <c:pt idx="30">
                  <c:v>1.2272462844848633</c:v>
                </c:pt>
                <c:pt idx="31">
                  <c:v>1.2000594139099121</c:v>
                </c:pt>
                <c:pt idx="32">
                  <c:v>1.255949854850769</c:v>
                </c:pt>
                <c:pt idx="33">
                  <c:v>1.3106825351715088</c:v>
                </c:pt>
                <c:pt idx="34">
                  <c:v>1.1773903369903564</c:v>
                </c:pt>
                <c:pt idx="35">
                  <c:v>1.4080003499984741</c:v>
                </c:pt>
                <c:pt idx="36">
                  <c:v>1.6014426946640015</c:v>
                </c:pt>
                <c:pt idx="37">
                  <c:v>1.50960373878479</c:v>
                </c:pt>
                <c:pt idx="38">
                  <c:v>1.3300513029098511</c:v>
                </c:pt>
                <c:pt idx="39">
                  <c:v>1.4278066158294678</c:v>
                </c:pt>
                <c:pt idx="40">
                  <c:v>1.4058305025100708</c:v>
                </c:pt>
                <c:pt idx="41">
                  <c:v>1.3883670568466187</c:v>
                </c:pt>
                <c:pt idx="42">
                  <c:v>1.021461009979248</c:v>
                </c:pt>
                <c:pt idx="43">
                  <c:v>1.089264988899231</c:v>
                </c:pt>
                <c:pt idx="44">
                  <c:v>1.1648131608963013</c:v>
                </c:pt>
                <c:pt idx="45">
                  <c:v>1.0644913911819458</c:v>
                </c:pt>
                <c:pt idx="46">
                  <c:v>1.0468152761459351</c:v>
                </c:pt>
                <c:pt idx="47">
                  <c:v>0.86685878038406372</c:v>
                </c:pt>
                <c:pt idx="48">
                  <c:v>0.93384367227554321</c:v>
                </c:pt>
                <c:pt idx="49">
                  <c:v>1.2058182954788208</c:v>
                </c:pt>
                <c:pt idx="50">
                  <c:v>1.1994119882583618</c:v>
                </c:pt>
                <c:pt idx="51">
                  <c:v>1.2654190063476562</c:v>
                </c:pt>
                <c:pt idx="52">
                  <c:v>0.97960484027862549</c:v>
                </c:pt>
                <c:pt idx="53">
                  <c:v>1.0598021745681763</c:v>
                </c:pt>
                <c:pt idx="54">
                  <c:v>1.0505523681640625</c:v>
                </c:pt>
                <c:pt idx="55">
                  <c:v>0.91386663913726807</c:v>
                </c:pt>
                <c:pt idx="56">
                  <c:v>0.99186962842941284</c:v>
                </c:pt>
                <c:pt idx="57">
                  <c:v>0.97247225046157837</c:v>
                </c:pt>
                <c:pt idx="58">
                  <c:v>1.0538703203201294</c:v>
                </c:pt>
                <c:pt idx="59">
                  <c:v>0.98979294300079346</c:v>
                </c:pt>
                <c:pt idx="60">
                  <c:v>1.1016631126403809</c:v>
                </c:pt>
                <c:pt idx="61">
                  <c:v>1.1868839263916016</c:v>
                </c:pt>
                <c:pt idx="62">
                  <c:v>1.2023577690124512</c:v>
                </c:pt>
                <c:pt idx="63">
                  <c:v>1.092751145362854</c:v>
                </c:pt>
                <c:pt idx="64">
                  <c:v>1.0134185552597046</c:v>
                </c:pt>
                <c:pt idx="65">
                  <c:v>1.2683154344558716</c:v>
                </c:pt>
                <c:pt idx="66">
                  <c:v>1.4317601919174194</c:v>
                </c:pt>
                <c:pt idx="67">
                  <c:v>1.4947173595428467</c:v>
                </c:pt>
                <c:pt idx="68">
                  <c:v>1.5016492605209351</c:v>
                </c:pt>
                <c:pt idx="69">
                  <c:v>1.4606289863586426</c:v>
                </c:pt>
                <c:pt idx="70">
                  <c:v>1.4373984336853027</c:v>
                </c:pt>
                <c:pt idx="71">
                  <c:v>1.3871839046478271</c:v>
                </c:pt>
                <c:pt idx="72">
                  <c:v>1.1630954742431641</c:v>
                </c:pt>
                <c:pt idx="73">
                  <c:v>1.61490797996521</c:v>
                </c:pt>
                <c:pt idx="74">
                  <c:v>1.5126659870147705</c:v>
                </c:pt>
                <c:pt idx="75">
                  <c:v>1.5077593326568604</c:v>
                </c:pt>
                <c:pt idx="76">
                  <c:v>1.7161839008331299</c:v>
                </c:pt>
                <c:pt idx="77">
                  <c:v>2.2452743053436279</c:v>
                </c:pt>
                <c:pt idx="78">
                  <c:v>2.0392193794250488</c:v>
                </c:pt>
                <c:pt idx="79">
                  <c:v>2.503018856048584</c:v>
                </c:pt>
                <c:pt idx="80">
                  <c:v>2.4714498519897461</c:v>
                </c:pt>
                <c:pt idx="81">
                  <c:v>3.0380856990814209</c:v>
                </c:pt>
                <c:pt idx="82">
                  <c:v>2.8552074432373047</c:v>
                </c:pt>
                <c:pt idx="83">
                  <c:v>2.6619226932525635</c:v>
                </c:pt>
                <c:pt idx="84">
                  <c:v>2.4632043838500977</c:v>
                </c:pt>
                <c:pt idx="85">
                  <c:v>2.31097412109375</c:v>
                </c:pt>
                <c:pt idx="86">
                  <c:v>2.2647006511688232</c:v>
                </c:pt>
                <c:pt idx="87">
                  <c:v>1.4332000017166138</c:v>
                </c:pt>
                <c:pt idx="88">
                  <c:v>1.5194016695022583</c:v>
                </c:pt>
                <c:pt idx="89">
                  <c:v>1.5235519409179688</c:v>
                </c:pt>
                <c:pt idx="90">
                  <c:v>2.0817854404449463</c:v>
                </c:pt>
                <c:pt idx="91">
                  <c:v>2.9610955715179443</c:v>
                </c:pt>
                <c:pt idx="92">
                  <c:v>3.508328914642334</c:v>
                </c:pt>
                <c:pt idx="93">
                  <c:v>4.1952390670776367</c:v>
                </c:pt>
                <c:pt idx="94">
                  <c:v>4.624049186706543</c:v>
                </c:pt>
                <c:pt idx="95">
                  <c:v>5.0013141632080078</c:v>
                </c:pt>
                <c:pt idx="96">
                  <c:v>4.3478155136108398</c:v>
                </c:pt>
                <c:pt idx="97">
                  <c:v>5.0657773017883301</c:v>
                </c:pt>
                <c:pt idx="98">
                  <c:v>2.7675743103027344</c:v>
                </c:pt>
                <c:pt idx="99">
                  <c:v>3.4076790809631348</c:v>
                </c:pt>
                <c:pt idx="100">
                  <c:v>3.3701415061950684</c:v>
                </c:pt>
              </c:numCache>
            </c:numRef>
          </c:val>
        </c:ser>
        <c:ser>
          <c:idx val="2"/>
          <c:order val="2"/>
          <c:spPr>
            <a:solidFill>
              <a:srgbClr val="68AED1"/>
            </a:solidFill>
            <a:ln w="3175">
              <a:solidFill>
                <a:srgbClr val="666699"/>
              </a:solidFill>
              <a:prstDash val="solid"/>
            </a:ln>
          </c:spPr>
          <c:cat>
            <c:numRef>
              <c:f>'C:\Users\Yishen Liu\AppData\Local\Temp\__ADEPT__59697368656E204C6975__SESSION_40b214521d0f432e8f051008a5d353ec\Modules\poverty\Output\[adept_poverty_13.xls]Figure 2.1_DATA'!$A$2:$A$102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15.000000953674316</c:v>
                </c:pt>
                <c:pt idx="16">
                  <c:v>16</c:v>
                </c:pt>
                <c:pt idx="17">
                  <c:v>17</c:v>
                </c:pt>
                <c:pt idx="18">
                  <c:v>18</c:v>
                </c:pt>
                <c:pt idx="19">
                  <c:v>19</c:v>
                </c:pt>
                <c:pt idx="20">
                  <c:v>20</c:v>
                </c:pt>
                <c:pt idx="21">
                  <c:v>21</c:v>
                </c:pt>
                <c:pt idx="22">
                  <c:v>22</c:v>
                </c:pt>
                <c:pt idx="23">
                  <c:v>23</c:v>
                </c:pt>
                <c:pt idx="24">
                  <c:v>24</c:v>
                </c:pt>
                <c:pt idx="25">
                  <c:v>25</c:v>
                </c:pt>
                <c:pt idx="26">
                  <c:v>26</c:v>
                </c:pt>
                <c:pt idx="27">
                  <c:v>27.000001907348633</c:v>
                </c:pt>
                <c:pt idx="28">
                  <c:v>28</c:v>
                </c:pt>
                <c:pt idx="29">
                  <c:v>29</c:v>
                </c:pt>
                <c:pt idx="30">
                  <c:v>30.000001907348633</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52.999996185302734</c:v>
                </c:pt>
                <c:pt idx="54">
                  <c:v>54.000003814697266</c:v>
                </c:pt>
                <c:pt idx="55">
                  <c:v>55</c:v>
                </c:pt>
                <c:pt idx="56">
                  <c:v>56</c:v>
                </c:pt>
                <c:pt idx="57">
                  <c:v>57</c:v>
                </c:pt>
                <c:pt idx="58">
                  <c:v>58</c:v>
                </c:pt>
                <c:pt idx="59">
                  <c:v>58.999996185302734</c:v>
                </c:pt>
                <c:pt idx="60">
                  <c:v>60.000003814697266</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'C:\Users\Yishen Liu\AppData\Local\Temp\__ADEPT__59697368656E204C6975__SESSION_40b214521d0f432e8f051008a5d353ec\Modules\poverty\Output\[adept_poverty_13.xls]Figure 2.1_DATA'!$D$2:$D$102</c:f>
              <c:numCache>
                <c:formatCode>General</c:formatCode>
                <c:ptCount val="101"/>
                <c:pt idx="0">
                  <c:v>2.3905994892120361</c:v>
                </c:pt>
                <c:pt idx="1">
                  <c:v>2.3905994892120361</c:v>
                </c:pt>
                <c:pt idx="2">
                  <c:v>3.6606125831604004</c:v>
                </c:pt>
                <c:pt idx="3">
                  <c:v>3.9337477684020996</c:v>
                </c:pt>
                <c:pt idx="4">
                  <c:v>2.4061248302459717</c:v>
                </c:pt>
                <c:pt idx="5">
                  <c:v>2.8941116333007812</c:v>
                </c:pt>
                <c:pt idx="6">
                  <c:v>3.1906876564025879</c:v>
                </c:pt>
                <c:pt idx="7">
                  <c:v>3.2929480075836182</c:v>
                </c:pt>
                <c:pt idx="8">
                  <c:v>2.5135912895202637</c:v>
                </c:pt>
                <c:pt idx="9">
                  <c:v>2.6239829063415527</c:v>
                </c:pt>
                <c:pt idx="10">
                  <c:v>2.9562957286834717</c:v>
                </c:pt>
                <c:pt idx="11">
                  <c:v>1.8189456462860107</c:v>
                </c:pt>
                <c:pt idx="12">
                  <c:v>2.0331771373748779</c:v>
                </c:pt>
                <c:pt idx="13">
                  <c:v>1.9641309976577759</c:v>
                </c:pt>
                <c:pt idx="14">
                  <c:v>1.9189059734344482</c:v>
                </c:pt>
                <c:pt idx="15">
                  <c:v>1.8913931846618652</c:v>
                </c:pt>
                <c:pt idx="16">
                  <c:v>1.9490290880203247</c:v>
                </c:pt>
                <c:pt idx="17">
                  <c:v>1.8739868402481079</c:v>
                </c:pt>
                <c:pt idx="18">
                  <c:v>1.6434650421142578</c:v>
                </c:pt>
                <c:pt idx="19">
                  <c:v>1.5178653001785278</c:v>
                </c:pt>
                <c:pt idx="20">
                  <c:v>1.5489168167114258</c:v>
                </c:pt>
                <c:pt idx="21">
                  <c:v>1.4747211933135986</c:v>
                </c:pt>
                <c:pt idx="22">
                  <c:v>1.4400748014450073</c:v>
                </c:pt>
                <c:pt idx="23">
                  <c:v>1.5231289863586426</c:v>
                </c:pt>
                <c:pt idx="24">
                  <c:v>1.6248874664306641</c:v>
                </c:pt>
                <c:pt idx="25">
                  <c:v>1.5817737579345703</c:v>
                </c:pt>
                <c:pt idx="26">
                  <c:v>1.525740385055542</c:v>
                </c:pt>
                <c:pt idx="27">
                  <c:v>1.4276490211486816</c:v>
                </c:pt>
                <c:pt idx="28">
                  <c:v>1.4384950399398804</c:v>
                </c:pt>
                <c:pt idx="29">
                  <c:v>1.2901719808578491</c:v>
                </c:pt>
                <c:pt idx="30">
                  <c:v>1.2272462844848633</c:v>
                </c:pt>
                <c:pt idx="31">
                  <c:v>1.2000594139099121</c:v>
                </c:pt>
                <c:pt idx="32">
                  <c:v>1.255949854850769</c:v>
                </c:pt>
                <c:pt idx="33">
                  <c:v>1.3106825351715088</c:v>
                </c:pt>
                <c:pt idx="34">
                  <c:v>1.1773903369903564</c:v>
                </c:pt>
                <c:pt idx="35">
                  <c:v>1.4080003499984741</c:v>
                </c:pt>
                <c:pt idx="36">
                  <c:v>1.6014426946640015</c:v>
                </c:pt>
                <c:pt idx="37">
                  <c:v>1.50960373878479</c:v>
                </c:pt>
                <c:pt idx="38">
                  <c:v>1.3300513029098511</c:v>
                </c:pt>
                <c:pt idx="39">
                  <c:v>1.4278066158294678</c:v>
                </c:pt>
                <c:pt idx="40">
                  <c:v>1.4058305025100708</c:v>
                </c:pt>
                <c:pt idx="41">
                  <c:v>1.3883670568466187</c:v>
                </c:pt>
                <c:pt idx="42">
                  <c:v>1.021461009979248</c:v>
                </c:pt>
                <c:pt idx="43">
                  <c:v>1.089264988899231</c:v>
                </c:pt>
                <c:pt idx="44">
                  <c:v>1.1648131608963013</c:v>
                </c:pt>
                <c:pt idx="45">
                  <c:v>1.0644913911819458</c:v>
                </c:pt>
                <c:pt idx="46">
                  <c:v>1.0468152761459351</c:v>
                </c:pt>
                <c:pt idx="47">
                  <c:v>0.86685878038406372</c:v>
                </c:pt>
                <c:pt idx="48">
                  <c:v>0.93384367227554321</c:v>
                </c:pt>
                <c:pt idx="49">
                  <c:v>1.2058182954788208</c:v>
                </c:pt>
                <c:pt idx="50">
                  <c:v>1.1994119882583618</c:v>
                </c:pt>
                <c:pt idx="51">
                  <c:v>1.2654190063476562</c:v>
                </c:pt>
                <c:pt idx="52">
                  <c:v>0.97960484027862549</c:v>
                </c:pt>
                <c:pt idx="53">
                  <c:v>1.0598021745681763</c:v>
                </c:pt>
                <c:pt idx="54">
                  <c:v>1.0505523681640625</c:v>
                </c:pt>
                <c:pt idx="55">
                  <c:v>0.91386663913726807</c:v>
                </c:pt>
                <c:pt idx="56">
                  <c:v>0.99186962842941284</c:v>
                </c:pt>
                <c:pt idx="57">
                  <c:v>0.97247225046157837</c:v>
                </c:pt>
                <c:pt idx="58">
                  <c:v>1.0538703203201294</c:v>
                </c:pt>
                <c:pt idx="59">
                  <c:v>0.98979294300079346</c:v>
                </c:pt>
                <c:pt idx="60">
                  <c:v>1.1016631126403809</c:v>
                </c:pt>
                <c:pt idx="61">
                  <c:v>1.1868839263916016</c:v>
                </c:pt>
                <c:pt idx="62">
                  <c:v>1.2023577690124512</c:v>
                </c:pt>
                <c:pt idx="63">
                  <c:v>1.092751145362854</c:v>
                </c:pt>
                <c:pt idx="64">
                  <c:v>1.0134185552597046</c:v>
                </c:pt>
                <c:pt idx="65">
                  <c:v>1.2683154344558716</c:v>
                </c:pt>
                <c:pt idx="66">
                  <c:v>1.4317601919174194</c:v>
                </c:pt>
                <c:pt idx="67">
                  <c:v>1.4947173595428467</c:v>
                </c:pt>
                <c:pt idx="68">
                  <c:v>1.5016492605209351</c:v>
                </c:pt>
                <c:pt idx="69">
                  <c:v>1.4606289863586426</c:v>
                </c:pt>
                <c:pt idx="70">
                  <c:v>1.4373984336853027</c:v>
                </c:pt>
                <c:pt idx="71">
                  <c:v>1.3871839046478271</c:v>
                </c:pt>
                <c:pt idx="72">
                  <c:v>1.1630954742431641</c:v>
                </c:pt>
                <c:pt idx="73">
                  <c:v>1.61490797996521</c:v>
                </c:pt>
                <c:pt idx="74">
                  <c:v>1.5126659870147705</c:v>
                </c:pt>
                <c:pt idx="75">
                  <c:v>1.5077593326568604</c:v>
                </c:pt>
                <c:pt idx="76">
                  <c:v>1.7161839008331299</c:v>
                </c:pt>
                <c:pt idx="77">
                  <c:v>2.2452743053436279</c:v>
                </c:pt>
                <c:pt idx="78">
                  <c:v>2.0392193794250488</c:v>
                </c:pt>
                <c:pt idx="79">
                  <c:v>2.503018856048584</c:v>
                </c:pt>
                <c:pt idx="80">
                  <c:v>2.4714498519897461</c:v>
                </c:pt>
                <c:pt idx="81">
                  <c:v>3.0380856990814209</c:v>
                </c:pt>
                <c:pt idx="82">
                  <c:v>2.8552074432373047</c:v>
                </c:pt>
                <c:pt idx="83">
                  <c:v>2.6619226932525635</c:v>
                </c:pt>
                <c:pt idx="84">
                  <c:v>2.4632043838500977</c:v>
                </c:pt>
                <c:pt idx="85">
                  <c:v>2.31097412109375</c:v>
                </c:pt>
                <c:pt idx="86">
                  <c:v>2.2647006511688232</c:v>
                </c:pt>
                <c:pt idx="87">
                  <c:v>1.4332000017166138</c:v>
                </c:pt>
                <c:pt idx="88">
                  <c:v>1.5194016695022583</c:v>
                </c:pt>
                <c:pt idx="89">
                  <c:v>1.5235519409179688</c:v>
                </c:pt>
                <c:pt idx="90">
                  <c:v>2.0817854404449463</c:v>
                </c:pt>
                <c:pt idx="91">
                  <c:v>2.9610955715179443</c:v>
                </c:pt>
                <c:pt idx="92">
                  <c:v>3.508328914642334</c:v>
                </c:pt>
                <c:pt idx="93">
                  <c:v>4.1952390670776367</c:v>
                </c:pt>
                <c:pt idx="94">
                  <c:v>4.624049186706543</c:v>
                </c:pt>
                <c:pt idx="95">
                  <c:v>5.0013141632080078</c:v>
                </c:pt>
                <c:pt idx="96">
                  <c:v>4.3478155136108398</c:v>
                </c:pt>
                <c:pt idx="97">
                  <c:v>5.0657773017883301</c:v>
                </c:pt>
                <c:pt idx="98">
                  <c:v>2.7675743103027344</c:v>
                </c:pt>
                <c:pt idx="99">
                  <c:v>3.4076790809631348</c:v>
                </c:pt>
                <c:pt idx="100">
                  <c:v>3.3701415061950684</c:v>
                </c:pt>
              </c:numCache>
            </c:numRef>
          </c:val>
        </c:ser>
        <c:dLbls>
          <c:showLegendKey val="0"/>
          <c:showVal val="0"/>
          <c:showCatName val="0"/>
          <c:showSerName val="0"/>
          <c:showPercent val="0"/>
          <c:showBubbleSize val="0"/>
        </c:dLbls>
        <c:axId val="540054176"/>
        <c:axId val="540054568"/>
      </c:areaChart>
      <c:catAx>
        <c:axId val="54005417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Expenditure percentiles</a:t>
                </a:r>
              </a:p>
            </c:rich>
          </c:tx>
          <c:layout>
            <c:manualLayout>
              <c:xMode val="edge"/>
              <c:yMode val="edge"/>
              <c:x val="0.41403579707339139"/>
              <c:y val="0.92033731397674656"/>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054568"/>
        <c:crosses val="autoZero"/>
        <c:auto val="1"/>
        <c:lblAlgn val="ctr"/>
        <c:lblOffset val="100"/>
        <c:tickLblSkip val="10"/>
        <c:tickMarkSkip val="1"/>
        <c:noMultiLvlLbl val="0"/>
      </c:catAx>
      <c:valAx>
        <c:axId val="540054568"/>
        <c:scaling>
          <c:orientation val="minMax"/>
          <c:max val="10"/>
          <c:min val="-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Annual growth rate, %</a:t>
                </a:r>
              </a:p>
            </c:rich>
          </c:tx>
          <c:layout>
            <c:manualLayout>
              <c:xMode val="edge"/>
              <c:yMode val="edge"/>
              <c:x val="2.8070223530399414E-2"/>
              <c:y val="0.38364858418620668"/>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n-US"/>
          </a:p>
        </c:txPr>
        <c:crossAx val="540054176"/>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569403694477108E-2"/>
          <c:y val="0.10416666666666667"/>
          <c:w val="0.39147589494883073"/>
          <c:h val="0.86111111111111116"/>
        </c:manualLayout>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Poverty!$B$137:$B$149</c:f>
              <c:strCache>
                <c:ptCount val="13"/>
                <c:pt idx="0">
                  <c:v>1. Nomadism and trans-Saharan trade</c:v>
                </c:pt>
                <c:pt idx="1">
                  <c:v>2. Nomadic and transhumant pastoralism</c:v>
                </c:pt>
                <c:pt idx="2">
                  <c:v>3.  Fluvial rice and transhumant livestock rearing </c:v>
                </c:pt>
                <c:pt idx="3">
                  <c:v>4. Millet and transhumant livestock rearing</c:v>
                </c:pt>
                <c:pt idx="4">
                  <c:v>5. Dogon plateau -- millet, shallots, wild foods, tourism</c:v>
                </c:pt>
                <c:pt idx="5">
                  <c:v>6. Niger delta - rice and livestock rearing </c:v>
                </c:pt>
                <c:pt idx="6">
                  <c:v>7. Office du Niger (irrigated rice)</c:v>
                </c:pt>
                <c:pt idx="7">
                  <c:v>8. Remittances, sorghum, transhumant livestock rearing</c:v>
                </c:pt>
                <c:pt idx="8">
                  <c:v>9. West and central rainfed millet/sorghum</c:v>
                </c:pt>
                <c:pt idx="9">
                  <c:v>10. Sorghum, millet and cotton</c:v>
                </c:pt>
                <c:pt idx="10">
                  <c:v>11. South maize, cotton and fruits</c:v>
                </c:pt>
                <c:pt idx="11">
                  <c:v>12. South-west maize, sorghum and fruits</c:v>
                </c:pt>
                <c:pt idx="12">
                  <c:v>13. Bamako</c:v>
                </c:pt>
              </c:strCache>
            </c:strRef>
          </c:cat>
          <c:val>
            <c:numRef>
              <c:f>Poverty!$C$137:$C$149</c:f>
              <c:numCache>
                <c:formatCode>#,###,##0.0</c:formatCode>
                <c:ptCount val="13"/>
                <c:pt idx="0">
                  <c:v>0.1641239055339074</c:v>
                </c:pt>
                <c:pt idx="1">
                  <c:v>1.5762789734567226</c:v>
                </c:pt>
                <c:pt idx="2">
                  <c:v>0.86549053971729983</c:v>
                </c:pt>
                <c:pt idx="3">
                  <c:v>9.8899548307353928</c:v>
                </c:pt>
                <c:pt idx="4">
                  <c:v>2.1771008512917365</c:v>
                </c:pt>
                <c:pt idx="5">
                  <c:v>4.9852452206591362</c:v>
                </c:pt>
                <c:pt idx="6">
                  <c:v>1.4638408409960026</c:v>
                </c:pt>
                <c:pt idx="7">
                  <c:v>2.3833287617255343</c:v>
                </c:pt>
                <c:pt idx="8">
                  <c:v>24.249341570061226</c:v>
                </c:pt>
                <c:pt idx="9">
                  <c:v>14.900697245346043</c:v>
                </c:pt>
                <c:pt idx="10">
                  <c:v>30.379406883904885</c:v>
                </c:pt>
                <c:pt idx="11">
                  <c:v>4.6894556523345701</c:v>
                </c:pt>
                <c:pt idx="12">
                  <c:v>2.2757347242375454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513824790092563"/>
          <c:y val="6.9561096529600483E-3"/>
          <c:w val="0.51223349742330571"/>
          <c:h val="0.9768285214348206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13188976377953"/>
          <c:y val="5.0925925925925923E-2"/>
          <c:w val="0.78331255468066496"/>
          <c:h val="0.62298556430446206"/>
        </c:manualLayout>
      </c:layout>
      <c:barChart>
        <c:barDir val="col"/>
        <c:grouping val="clustered"/>
        <c:varyColors val="0"/>
        <c:ser>
          <c:idx val="0"/>
          <c:order val="0"/>
          <c:tx>
            <c:strRef>
              <c:f>Consumption!$O$5</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Consumption!$N$6:$N$12</c:f>
              <c:strCache>
                <c:ptCount val="7"/>
                <c:pt idx="0">
                  <c:v>Kayes</c:v>
                </c:pt>
                <c:pt idx="1">
                  <c:v>Koulikoro</c:v>
                </c:pt>
                <c:pt idx="2">
                  <c:v>Sikasso</c:v>
                </c:pt>
                <c:pt idx="3">
                  <c:v>Segou</c:v>
                </c:pt>
                <c:pt idx="4">
                  <c:v>Mopti</c:v>
                </c:pt>
                <c:pt idx="5">
                  <c:v>Bamako</c:v>
                </c:pt>
                <c:pt idx="6">
                  <c:v>Mali (excl. le Nord</c:v>
                </c:pt>
              </c:strCache>
            </c:strRef>
          </c:cat>
          <c:val>
            <c:numRef>
              <c:f>Consumption!$O$6:$O$12</c:f>
              <c:numCache>
                <c:formatCode>_(* #,##0_);_(* \(#,##0\);_(* "-"??_);_(@_)</c:formatCode>
                <c:ptCount val="7"/>
                <c:pt idx="0">
                  <c:v>96.861000000000004</c:v>
                </c:pt>
                <c:pt idx="1">
                  <c:v>99.971999999999994</c:v>
                </c:pt>
                <c:pt idx="2">
                  <c:v>71.563000000000002</c:v>
                </c:pt>
                <c:pt idx="3">
                  <c:v>73.483000000000004</c:v>
                </c:pt>
                <c:pt idx="4">
                  <c:v>76.433000000000007</c:v>
                </c:pt>
                <c:pt idx="5">
                  <c:v>163.67099999999999</c:v>
                </c:pt>
                <c:pt idx="6">
                  <c:v>93.486000000000004</c:v>
                </c:pt>
              </c:numCache>
            </c:numRef>
          </c:val>
        </c:ser>
        <c:ser>
          <c:idx val="1"/>
          <c:order val="1"/>
          <c:tx>
            <c:strRef>
              <c:f>Consumption!$P$5</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Consumption!$N$6:$N$12</c:f>
              <c:strCache>
                <c:ptCount val="7"/>
                <c:pt idx="0">
                  <c:v>Kayes</c:v>
                </c:pt>
                <c:pt idx="1">
                  <c:v>Koulikoro</c:v>
                </c:pt>
                <c:pt idx="2">
                  <c:v>Sikasso</c:v>
                </c:pt>
                <c:pt idx="3">
                  <c:v>Segou</c:v>
                </c:pt>
                <c:pt idx="4">
                  <c:v>Mopti</c:v>
                </c:pt>
                <c:pt idx="5">
                  <c:v>Bamako</c:v>
                </c:pt>
                <c:pt idx="6">
                  <c:v>Mali (excl. le Nord</c:v>
                </c:pt>
              </c:strCache>
            </c:strRef>
          </c:cat>
          <c:val>
            <c:numRef>
              <c:f>Consumption!$P$6:$P$12</c:f>
              <c:numCache>
                <c:formatCode>_(* #,##0_);_(* \(#,##0\);_(* "-"??_);_(@_)</c:formatCode>
                <c:ptCount val="7"/>
                <c:pt idx="0">
                  <c:v>88.68671999999998</c:v>
                </c:pt>
                <c:pt idx="1">
                  <c:v>78.199145454545445</c:v>
                </c:pt>
                <c:pt idx="2">
                  <c:v>66.624501818181798</c:v>
                </c:pt>
                <c:pt idx="3">
                  <c:v>65.283594545454548</c:v>
                </c:pt>
                <c:pt idx="4">
                  <c:v>60.859827272727273</c:v>
                </c:pt>
                <c:pt idx="5">
                  <c:v>165.36377999999996</c:v>
                </c:pt>
                <c:pt idx="6">
                  <c:v>84.335612727272718</c:v>
                </c:pt>
              </c:numCache>
            </c:numRef>
          </c:val>
        </c:ser>
        <c:dLbls>
          <c:showLegendKey val="0"/>
          <c:showVal val="0"/>
          <c:showCatName val="0"/>
          <c:showSerName val="0"/>
          <c:showPercent val="0"/>
          <c:showBubbleSize val="0"/>
        </c:dLbls>
        <c:gapWidth val="75"/>
        <c:overlap val="-25"/>
        <c:axId val="540054960"/>
        <c:axId val="540123424"/>
      </c:barChart>
      <c:catAx>
        <c:axId val="540054960"/>
        <c:scaling>
          <c:orientation val="minMax"/>
        </c:scaling>
        <c:delete val="0"/>
        <c:axPos val="b"/>
        <c:numFmt formatCode="General" sourceLinked="0"/>
        <c:majorTickMark val="none"/>
        <c:minorTickMark val="none"/>
        <c:tickLblPos val="nextTo"/>
        <c:crossAx val="540123424"/>
        <c:crosses val="autoZero"/>
        <c:auto val="1"/>
        <c:lblAlgn val="ctr"/>
        <c:lblOffset val="100"/>
        <c:noMultiLvlLbl val="0"/>
      </c:catAx>
      <c:valAx>
        <c:axId val="540123424"/>
        <c:scaling>
          <c:orientation val="minMax"/>
        </c:scaling>
        <c:delete val="0"/>
        <c:axPos val="l"/>
        <c:title>
          <c:tx>
            <c:rich>
              <a:bodyPr rot="-5400000" vert="horz"/>
              <a:lstStyle/>
              <a:p>
                <a:pPr>
                  <a:defRPr/>
                </a:pPr>
                <a:r>
                  <a:rPr lang="en-US"/>
                  <a:t>Consumption per capita</a:t>
                </a:r>
              </a:p>
              <a:p>
                <a:pPr>
                  <a:defRPr/>
                </a:pPr>
                <a:r>
                  <a:rPr lang="en-US"/>
                  <a:t>(FCFA '000)</a:t>
                </a:r>
              </a:p>
            </c:rich>
          </c:tx>
          <c:layout/>
          <c:overlay val="0"/>
        </c:title>
        <c:numFmt formatCode="_(* #,##0_);_(* \(#,##0\);_(* &quot;-&quot;??_);_(@_)" sourceLinked="1"/>
        <c:majorTickMark val="none"/>
        <c:minorTickMark val="none"/>
        <c:tickLblPos val="nextTo"/>
        <c:spPr>
          <a:ln w="9525">
            <a:noFill/>
          </a:ln>
        </c:spPr>
        <c:crossAx val="540054960"/>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Poverty!$C$3</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Poverty!$B$4:$B$14</c:f>
              <c:strCache>
                <c:ptCount val="11"/>
                <c:pt idx="0">
                  <c:v>Kayes</c:v>
                </c:pt>
                <c:pt idx="1">
                  <c:v>Koulikoro</c:v>
                </c:pt>
                <c:pt idx="2">
                  <c:v>Sikasso</c:v>
                </c:pt>
                <c:pt idx="3">
                  <c:v>Ségou</c:v>
                </c:pt>
                <c:pt idx="4">
                  <c:v>Mopti</c:v>
                </c:pt>
                <c:pt idx="5">
                  <c:v>Tombouctou</c:v>
                </c:pt>
                <c:pt idx="6">
                  <c:v>Gao</c:v>
                </c:pt>
                <c:pt idx="7">
                  <c:v>Kidal</c:v>
                </c:pt>
                <c:pt idx="8">
                  <c:v>Bamako</c:v>
                </c:pt>
                <c:pt idx="10">
                  <c:v>Mali</c:v>
                </c:pt>
              </c:strCache>
            </c:strRef>
          </c:cat>
          <c:val>
            <c:numRef>
              <c:f>Poverty!$C$4:$C$14</c:f>
              <c:numCache>
                <c:formatCode>0%</c:formatCode>
                <c:ptCount val="11"/>
                <c:pt idx="0">
                  <c:v>0.28516849999999999</c:v>
                </c:pt>
                <c:pt idx="1">
                  <c:v>0.46607280000000001</c:v>
                </c:pt>
                <c:pt idx="2">
                  <c:v>0.69135559999999996</c:v>
                </c:pt>
                <c:pt idx="3">
                  <c:v>0.42032659999999999</c:v>
                </c:pt>
                <c:pt idx="4">
                  <c:v>0.46046120000000001</c:v>
                </c:pt>
                <c:pt idx="5">
                  <c:v>0.31110189999999999</c:v>
                </c:pt>
                <c:pt idx="6">
                  <c:v>0.29120639999999998</c:v>
                </c:pt>
                <c:pt idx="7">
                  <c:v>0.14840419999999999</c:v>
                </c:pt>
                <c:pt idx="8">
                  <c:v>7.5903100000000001E-2</c:v>
                </c:pt>
                <c:pt idx="10">
                  <c:v>0.41133120000000001</c:v>
                </c:pt>
              </c:numCache>
            </c:numRef>
          </c:val>
        </c:ser>
        <c:ser>
          <c:idx val="1"/>
          <c:order val="1"/>
          <c:tx>
            <c:strRef>
              <c:f>Poverty!$D$3</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Poverty!$B$4:$B$14</c:f>
              <c:strCache>
                <c:ptCount val="11"/>
                <c:pt idx="0">
                  <c:v>Kayes</c:v>
                </c:pt>
                <c:pt idx="1">
                  <c:v>Koulikoro</c:v>
                </c:pt>
                <c:pt idx="2">
                  <c:v>Sikasso</c:v>
                </c:pt>
                <c:pt idx="3">
                  <c:v>Ségou</c:v>
                </c:pt>
                <c:pt idx="4">
                  <c:v>Mopti</c:v>
                </c:pt>
                <c:pt idx="5">
                  <c:v>Tombouctou</c:v>
                </c:pt>
                <c:pt idx="6">
                  <c:v>Gao</c:v>
                </c:pt>
                <c:pt idx="7">
                  <c:v>Kidal</c:v>
                </c:pt>
                <c:pt idx="8">
                  <c:v>Bamako</c:v>
                </c:pt>
                <c:pt idx="10">
                  <c:v>Mali</c:v>
                </c:pt>
              </c:strCache>
            </c:strRef>
          </c:cat>
          <c:val>
            <c:numRef>
              <c:f>Poverty!$D$4:$D$14</c:f>
              <c:numCache>
                <c:formatCode>0%</c:formatCode>
                <c:ptCount val="11"/>
                <c:pt idx="0">
                  <c:v>0.34133720000000001</c:v>
                </c:pt>
                <c:pt idx="1">
                  <c:v>0.62277859999999996</c:v>
                </c:pt>
                <c:pt idx="2">
                  <c:v>0.74042719999999995</c:v>
                </c:pt>
                <c:pt idx="3">
                  <c:v>0.51350609999999997</c:v>
                </c:pt>
                <c:pt idx="4">
                  <c:v>0.6620779</c:v>
                </c:pt>
                <c:pt idx="5">
                  <c:v>0.43632720000000003</c:v>
                </c:pt>
                <c:pt idx="6">
                  <c:v>0.41077859999999999</c:v>
                </c:pt>
                <c:pt idx="7">
                  <c:v>0.19335959999999999</c:v>
                </c:pt>
                <c:pt idx="8">
                  <c:v>6.5827499999999997E-2</c:v>
                </c:pt>
                <c:pt idx="10">
                  <c:v>0.50826289999999996</c:v>
                </c:pt>
              </c:numCache>
            </c:numRef>
          </c:val>
        </c:ser>
        <c:dLbls>
          <c:showLegendKey val="0"/>
          <c:showVal val="0"/>
          <c:showCatName val="0"/>
          <c:showSerName val="0"/>
          <c:showPercent val="0"/>
          <c:showBubbleSize val="0"/>
        </c:dLbls>
        <c:gapWidth val="75"/>
        <c:overlap val="-25"/>
        <c:axId val="540122640"/>
        <c:axId val="540122248"/>
      </c:barChart>
      <c:catAx>
        <c:axId val="540122640"/>
        <c:scaling>
          <c:orientation val="minMax"/>
        </c:scaling>
        <c:delete val="0"/>
        <c:axPos val="b"/>
        <c:numFmt formatCode="General" sourceLinked="0"/>
        <c:majorTickMark val="none"/>
        <c:minorTickMark val="none"/>
        <c:tickLblPos val="nextTo"/>
        <c:crossAx val="540122248"/>
        <c:crosses val="autoZero"/>
        <c:auto val="1"/>
        <c:lblAlgn val="ctr"/>
        <c:lblOffset val="100"/>
        <c:noMultiLvlLbl val="0"/>
      </c:catAx>
      <c:valAx>
        <c:axId val="540122248"/>
        <c:scaling>
          <c:orientation val="minMax"/>
        </c:scaling>
        <c:delete val="0"/>
        <c:axPos val="l"/>
        <c:title>
          <c:tx>
            <c:rich>
              <a:bodyPr rot="-5400000" vert="horz"/>
              <a:lstStyle/>
              <a:p>
                <a:pPr>
                  <a:defRPr/>
                </a:pPr>
                <a:r>
                  <a:rPr lang="en-US"/>
                  <a:t>Poverty indicence</a:t>
                </a:r>
              </a:p>
            </c:rich>
          </c:tx>
          <c:layout/>
          <c:overlay val="0"/>
        </c:title>
        <c:numFmt formatCode="0%" sourceLinked="1"/>
        <c:majorTickMark val="none"/>
        <c:minorTickMark val="none"/>
        <c:tickLblPos val="nextTo"/>
        <c:spPr>
          <a:ln w="9525">
            <a:noFill/>
          </a:ln>
        </c:spPr>
        <c:crossAx val="540122640"/>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Assets!$V$59</c:f>
              <c:strCache>
                <c:ptCount val="1"/>
                <c:pt idx="0">
                  <c:v>2001</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Assets!$W$58:$AF$58</c:f>
              <c:strCache>
                <c:ptCount val="10"/>
                <c:pt idx="0">
                  <c:v>Kayes</c:v>
                </c:pt>
                <c:pt idx="1">
                  <c:v>Koulikoro</c:v>
                </c:pt>
                <c:pt idx="2">
                  <c:v>Sikasso</c:v>
                </c:pt>
                <c:pt idx="3">
                  <c:v>Ségou</c:v>
                </c:pt>
                <c:pt idx="4">
                  <c:v>Mopti</c:v>
                </c:pt>
                <c:pt idx="5">
                  <c:v>Tombouctou</c:v>
                </c:pt>
                <c:pt idx="6">
                  <c:v>Gao</c:v>
                </c:pt>
                <c:pt idx="7">
                  <c:v>Kidal</c:v>
                </c:pt>
                <c:pt idx="8">
                  <c:v>Bamako</c:v>
                </c:pt>
                <c:pt idx="9">
                  <c:v>Mali</c:v>
                </c:pt>
              </c:strCache>
            </c:strRef>
          </c:cat>
          <c:val>
            <c:numRef>
              <c:f>Assets!$W$59:$AF$59</c:f>
              <c:numCache>
                <c:formatCode>General</c:formatCode>
                <c:ptCount val="10"/>
                <c:pt idx="0">
                  <c:v>11</c:v>
                </c:pt>
                <c:pt idx="1">
                  <c:v>11</c:v>
                </c:pt>
                <c:pt idx="2">
                  <c:v>7.0000000000000009</c:v>
                </c:pt>
                <c:pt idx="3">
                  <c:v>11</c:v>
                </c:pt>
                <c:pt idx="4">
                  <c:v>8</c:v>
                </c:pt>
                <c:pt idx="5">
                  <c:v>7.0000000000000009</c:v>
                </c:pt>
                <c:pt idx="6">
                  <c:v>15</c:v>
                </c:pt>
                <c:pt idx="7">
                  <c:v>15</c:v>
                </c:pt>
                <c:pt idx="8">
                  <c:v>50</c:v>
                </c:pt>
                <c:pt idx="9">
                  <c:v>14</c:v>
                </c:pt>
              </c:numCache>
            </c:numRef>
          </c:val>
        </c:ser>
        <c:ser>
          <c:idx val="1"/>
          <c:order val="1"/>
          <c:tx>
            <c:strRef>
              <c:f>Assets!$V$60</c:f>
              <c:strCache>
                <c:ptCount val="1"/>
                <c:pt idx="0">
                  <c:v>2006</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Assets!$W$58:$AF$58</c:f>
              <c:strCache>
                <c:ptCount val="10"/>
                <c:pt idx="0">
                  <c:v>Kayes</c:v>
                </c:pt>
                <c:pt idx="1">
                  <c:v>Koulikoro</c:v>
                </c:pt>
                <c:pt idx="2">
                  <c:v>Sikasso</c:v>
                </c:pt>
                <c:pt idx="3">
                  <c:v>Ségou</c:v>
                </c:pt>
                <c:pt idx="4">
                  <c:v>Mopti</c:v>
                </c:pt>
                <c:pt idx="5">
                  <c:v>Tombouctou</c:v>
                </c:pt>
                <c:pt idx="6">
                  <c:v>Gao</c:v>
                </c:pt>
                <c:pt idx="7">
                  <c:v>Kidal</c:v>
                </c:pt>
                <c:pt idx="8">
                  <c:v>Bamako</c:v>
                </c:pt>
                <c:pt idx="9">
                  <c:v>Mali</c:v>
                </c:pt>
              </c:strCache>
            </c:strRef>
          </c:cat>
          <c:val>
            <c:numRef>
              <c:f>Assets!$W$60:$AF$60</c:f>
              <c:numCache>
                <c:formatCode>General</c:formatCode>
                <c:ptCount val="10"/>
                <c:pt idx="0">
                  <c:v>12</c:v>
                </c:pt>
                <c:pt idx="1">
                  <c:v>18</c:v>
                </c:pt>
                <c:pt idx="2">
                  <c:v>22</c:v>
                </c:pt>
                <c:pt idx="3">
                  <c:v>13</c:v>
                </c:pt>
                <c:pt idx="4">
                  <c:v>17</c:v>
                </c:pt>
                <c:pt idx="5">
                  <c:v>19</c:v>
                </c:pt>
                <c:pt idx="6">
                  <c:v>6</c:v>
                </c:pt>
                <c:pt idx="7">
                  <c:v>20</c:v>
                </c:pt>
                <c:pt idx="8">
                  <c:v>61</c:v>
                </c:pt>
                <c:pt idx="9">
                  <c:v>21</c:v>
                </c:pt>
              </c:numCache>
            </c:numRef>
          </c:val>
        </c:ser>
        <c:ser>
          <c:idx val="2"/>
          <c:order val="2"/>
          <c:tx>
            <c:strRef>
              <c:f>Assets!$V$61</c:f>
              <c:strCache>
                <c:ptCount val="1"/>
                <c:pt idx="0">
                  <c:v>2011</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Assets!$W$58:$AF$58</c:f>
              <c:strCache>
                <c:ptCount val="10"/>
                <c:pt idx="0">
                  <c:v>Kayes</c:v>
                </c:pt>
                <c:pt idx="1">
                  <c:v>Koulikoro</c:v>
                </c:pt>
                <c:pt idx="2">
                  <c:v>Sikasso</c:v>
                </c:pt>
                <c:pt idx="3">
                  <c:v>Ségou</c:v>
                </c:pt>
                <c:pt idx="4">
                  <c:v>Mopti</c:v>
                </c:pt>
                <c:pt idx="5">
                  <c:v>Tombouctou</c:v>
                </c:pt>
                <c:pt idx="6">
                  <c:v>Gao</c:v>
                </c:pt>
                <c:pt idx="7">
                  <c:v>Kidal</c:v>
                </c:pt>
                <c:pt idx="8">
                  <c:v>Bamako</c:v>
                </c:pt>
                <c:pt idx="9">
                  <c:v>Mali</c:v>
                </c:pt>
              </c:strCache>
            </c:strRef>
          </c:cat>
          <c:val>
            <c:numRef>
              <c:f>Assets!$W$61:$AF$61</c:f>
              <c:numCache>
                <c:formatCode>General</c:formatCode>
                <c:ptCount val="10"/>
                <c:pt idx="0">
                  <c:v>31</c:v>
                </c:pt>
                <c:pt idx="1">
                  <c:v>35</c:v>
                </c:pt>
                <c:pt idx="2">
                  <c:v>39</c:v>
                </c:pt>
                <c:pt idx="3">
                  <c:v>33</c:v>
                </c:pt>
                <c:pt idx="4">
                  <c:v>24</c:v>
                </c:pt>
                <c:pt idx="5">
                  <c:v>18</c:v>
                </c:pt>
                <c:pt idx="6">
                  <c:v>26</c:v>
                </c:pt>
                <c:pt idx="7">
                  <c:v>42</c:v>
                </c:pt>
                <c:pt idx="8">
                  <c:v>69</c:v>
                </c:pt>
                <c:pt idx="9">
                  <c:v>37</c:v>
                </c:pt>
              </c:numCache>
            </c:numRef>
          </c:val>
        </c:ser>
        <c:dLbls>
          <c:showLegendKey val="0"/>
          <c:showVal val="1"/>
          <c:showCatName val="0"/>
          <c:showSerName val="0"/>
          <c:showPercent val="0"/>
          <c:showBubbleSize val="0"/>
        </c:dLbls>
        <c:gapWidth val="75"/>
        <c:axId val="541200736"/>
        <c:axId val="541201128"/>
      </c:barChart>
      <c:catAx>
        <c:axId val="541200736"/>
        <c:scaling>
          <c:orientation val="minMax"/>
        </c:scaling>
        <c:delete val="0"/>
        <c:axPos val="b"/>
        <c:numFmt formatCode="General" sourceLinked="0"/>
        <c:majorTickMark val="none"/>
        <c:minorTickMark val="none"/>
        <c:tickLblPos val="nextTo"/>
        <c:crossAx val="541201128"/>
        <c:crosses val="autoZero"/>
        <c:auto val="1"/>
        <c:lblAlgn val="ctr"/>
        <c:lblOffset val="100"/>
        <c:noMultiLvlLbl val="0"/>
      </c:catAx>
      <c:valAx>
        <c:axId val="541201128"/>
        <c:scaling>
          <c:orientation val="minMax"/>
        </c:scaling>
        <c:delete val="0"/>
        <c:axPos val="l"/>
        <c:title>
          <c:tx>
            <c:rich>
              <a:bodyPr rot="-5400000" vert="horz"/>
              <a:lstStyle/>
              <a:p>
                <a:pPr>
                  <a:defRPr/>
                </a:pPr>
                <a:r>
                  <a:rPr lang="en-US"/>
                  <a:t>Percent</a:t>
                </a:r>
              </a:p>
            </c:rich>
          </c:tx>
          <c:layout/>
          <c:overlay val="0"/>
        </c:title>
        <c:numFmt formatCode="General" sourceLinked="1"/>
        <c:majorTickMark val="none"/>
        <c:minorTickMark val="none"/>
        <c:tickLblPos val="nextTo"/>
        <c:crossAx val="54120073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Assets!$V$130</c:f>
              <c:strCache>
                <c:ptCount val="1"/>
                <c:pt idx="0">
                  <c:v>2001</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Assets!$W$58:$AF$58</c:f>
              <c:strCache>
                <c:ptCount val="10"/>
                <c:pt idx="0">
                  <c:v>Kayes</c:v>
                </c:pt>
                <c:pt idx="1">
                  <c:v>Koulikoro</c:v>
                </c:pt>
                <c:pt idx="2">
                  <c:v>Sikasso</c:v>
                </c:pt>
                <c:pt idx="3">
                  <c:v>Ségou</c:v>
                </c:pt>
                <c:pt idx="4">
                  <c:v>Mopti</c:v>
                </c:pt>
                <c:pt idx="5">
                  <c:v>Tombouctou</c:v>
                </c:pt>
                <c:pt idx="6">
                  <c:v>Gao</c:v>
                </c:pt>
                <c:pt idx="7">
                  <c:v>Kidal</c:v>
                </c:pt>
                <c:pt idx="8">
                  <c:v>Bamako</c:v>
                </c:pt>
                <c:pt idx="9">
                  <c:v>Mali</c:v>
                </c:pt>
              </c:strCache>
            </c:strRef>
          </c:cat>
          <c:val>
            <c:numRef>
              <c:f>Assets!$W$130:$AF$130</c:f>
              <c:numCache>
                <c:formatCode>General</c:formatCode>
                <c:ptCount val="10"/>
                <c:pt idx="0">
                  <c:v>7.0000000000000009</c:v>
                </c:pt>
                <c:pt idx="1">
                  <c:v>13</c:v>
                </c:pt>
                <c:pt idx="2">
                  <c:v>17</c:v>
                </c:pt>
                <c:pt idx="3">
                  <c:v>27</c:v>
                </c:pt>
                <c:pt idx="4">
                  <c:v>15</c:v>
                </c:pt>
                <c:pt idx="5">
                  <c:v>5</c:v>
                </c:pt>
                <c:pt idx="6">
                  <c:v>12</c:v>
                </c:pt>
                <c:pt idx="7">
                  <c:v>0</c:v>
                </c:pt>
                <c:pt idx="8">
                  <c:v>28</c:v>
                </c:pt>
                <c:pt idx="9">
                  <c:v>17</c:v>
                </c:pt>
              </c:numCache>
            </c:numRef>
          </c:val>
        </c:ser>
        <c:ser>
          <c:idx val="1"/>
          <c:order val="1"/>
          <c:tx>
            <c:strRef>
              <c:f>Assets!$V$131</c:f>
              <c:strCache>
                <c:ptCount val="1"/>
                <c:pt idx="0">
                  <c:v>2006</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Assets!$W$58:$AF$58</c:f>
              <c:strCache>
                <c:ptCount val="10"/>
                <c:pt idx="0">
                  <c:v>Kayes</c:v>
                </c:pt>
                <c:pt idx="1">
                  <c:v>Koulikoro</c:v>
                </c:pt>
                <c:pt idx="2">
                  <c:v>Sikasso</c:v>
                </c:pt>
                <c:pt idx="3">
                  <c:v>Ségou</c:v>
                </c:pt>
                <c:pt idx="4">
                  <c:v>Mopti</c:v>
                </c:pt>
                <c:pt idx="5">
                  <c:v>Tombouctou</c:v>
                </c:pt>
                <c:pt idx="6">
                  <c:v>Gao</c:v>
                </c:pt>
                <c:pt idx="7">
                  <c:v>Kidal</c:v>
                </c:pt>
                <c:pt idx="8">
                  <c:v>Bamako</c:v>
                </c:pt>
                <c:pt idx="9">
                  <c:v>Mali</c:v>
                </c:pt>
              </c:strCache>
            </c:strRef>
          </c:cat>
          <c:val>
            <c:numRef>
              <c:f>Assets!$W$131:$AF$131</c:f>
              <c:numCache>
                <c:formatCode>General</c:formatCode>
                <c:ptCount val="10"/>
                <c:pt idx="0">
                  <c:v>23</c:v>
                </c:pt>
                <c:pt idx="1">
                  <c:v>27</c:v>
                </c:pt>
                <c:pt idx="2">
                  <c:v>48</c:v>
                </c:pt>
                <c:pt idx="3">
                  <c:v>38</c:v>
                </c:pt>
                <c:pt idx="4">
                  <c:v>28.999999999999989</c:v>
                </c:pt>
                <c:pt idx="5">
                  <c:v>9</c:v>
                </c:pt>
                <c:pt idx="6">
                  <c:v>17</c:v>
                </c:pt>
                <c:pt idx="7">
                  <c:v>13</c:v>
                </c:pt>
                <c:pt idx="8">
                  <c:v>42</c:v>
                </c:pt>
                <c:pt idx="9">
                  <c:v>32</c:v>
                </c:pt>
              </c:numCache>
            </c:numRef>
          </c:val>
        </c:ser>
        <c:ser>
          <c:idx val="2"/>
          <c:order val="2"/>
          <c:tx>
            <c:strRef>
              <c:f>Assets!$V$132</c:f>
              <c:strCache>
                <c:ptCount val="1"/>
                <c:pt idx="0">
                  <c:v>2011</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Assets!$W$58:$AF$58</c:f>
              <c:strCache>
                <c:ptCount val="10"/>
                <c:pt idx="0">
                  <c:v>Kayes</c:v>
                </c:pt>
                <c:pt idx="1">
                  <c:v>Koulikoro</c:v>
                </c:pt>
                <c:pt idx="2">
                  <c:v>Sikasso</c:v>
                </c:pt>
                <c:pt idx="3">
                  <c:v>Ségou</c:v>
                </c:pt>
                <c:pt idx="4">
                  <c:v>Mopti</c:v>
                </c:pt>
                <c:pt idx="5">
                  <c:v>Tombouctou</c:v>
                </c:pt>
                <c:pt idx="6">
                  <c:v>Gao</c:v>
                </c:pt>
                <c:pt idx="7">
                  <c:v>Kidal</c:v>
                </c:pt>
                <c:pt idx="8">
                  <c:v>Bamako</c:v>
                </c:pt>
                <c:pt idx="9">
                  <c:v>Mali</c:v>
                </c:pt>
              </c:strCache>
            </c:strRef>
          </c:cat>
          <c:val>
            <c:numRef>
              <c:f>Assets!$W$132:$AF$132</c:f>
              <c:numCache>
                <c:formatCode>General</c:formatCode>
                <c:ptCount val="10"/>
                <c:pt idx="0">
                  <c:v>43</c:v>
                </c:pt>
                <c:pt idx="1">
                  <c:v>48</c:v>
                </c:pt>
                <c:pt idx="2">
                  <c:v>60</c:v>
                </c:pt>
                <c:pt idx="3">
                  <c:v>53</c:v>
                </c:pt>
                <c:pt idx="4">
                  <c:v>44</c:v>
                </c:pt>
                <c:pt idx="5">
                  <c:v>22</c:v>
                </c:pt>
                <c:pt idx="6">
                  <c:v>33</c:v>
                </c:pt>
                <c:pt idx="7">
                  <c:v>32</c:v>
                </c:pt>
                <c:pt idx="8">
                  <c:v>55.000000000000007</c:v>
                </c:pt>
                <c:pt idx="9">
                  <c:v>48</c:v>
                </c:pt>
              </c:numCache>
            </c:numRef>
          </c:val>
        </c:ser>
        <c:dLbls>
          <c:showLegendKey val="0"/>
          <c:showVal val="1"/>
          <c:showCatName val="0"/>
          <c:showSerName val="0"/>
          <c:showPercent val="0"/>
          <c:showBubbleSize val="0"/>
        </c:dLbls>
        <c:gapWidth val="75"/>
        <c:axId val="541201912"/>
        <c:axId val="541202304"/>
      </c:barChart>
      <c:catAx>
        <c:axId val="541201912"/>
        <c:scaling>
          <c:orientation val="minMax"/>
        </c:scaling>
        <c:delete val="0"/>
        <c:axPos val="b"/>
        <c:numFmt formatCode="General" sourceLinked="0"/>
        <c:majorTickMark val="none"/>
        <c:minorTickMark val="none"/>
        <c:tickLblPos val="nextTo"/>
        <c:crossAx val="541202304"/>
        <c:crosses val="autoZero"/>
        <c:auto val="1"/>
        <c:lblAlgn val="ctr"/>
        <c:lblOffset val="100"/>
        <c:noMultiLvlLbl val="0"/>
      </c:catAx>
      <c:valAx>
        <c:axId val="541202304"/>
        <c:scaling>
          <c:orientation val="minMax"/>
          <c:max val="80"/>
        </c:scaling>
        <c:delete val="0"/>
        <c:axPos val="l"/>
        <c:title>
          <c:tx>
            <c:rich>
              <a:bodyPr rot="-5400000" vert="horz"/>
              <a:lstStyle/>
              <a:p>
                <a:pPr>
                  <a:defRPr/>
                </a:pPr>
                <a:r>
                  <a:rPr lang="en-US"/>
                  <a:t>Percent</a:t>
                </a:r>
              </a:p>
            </c:rich>
          </c:tx>
          <c:layout/>
          <c:overlay val="0"/>
        </c:title>
        <c:numFmt formatCode="General" sourceLinked="1"/>
        <c:majorTickMark val="none"/>
        <c:minorTickMark val="none"/>
        <c:tickLblPos val="nextTo"/>
        <c:crossAx val="54120191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78324941235776"/>
          <c:y val="5.8682315284075755E-2"/>
          <c:w val="0.83048739902225543"/>
          <c:h val="0.64964464379664888"/>
        </c:manualLayout>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Sheet2!$K$3:$K$12</c:f>
              <c:strCache>
                <c:ptCount val="10"/>
                <c:pt idx="0">
                  <c:v>1ère année</c:v>
                </c:pt>
                <c:pt idx="1">
                  <c:v>2ème année</c:v>
                </c:pt>
                <c:pt idx="2">
                  <c:v>3ème année</c:v>
                </c:pt>
                <c:pt idx="3">
                  <c:v>4ème année</c:v>
                </c:pt>
                <c:pt idx="4">
                  <c:v>5ème année</c:v>
                </c:pt>
                <c:pt idx="5">
                  <c:v>6ème année</c:v>
                </c:pt>
                <c:pt idx="6">
                  <c:v>7ème année</c:v>
                </c:pt>
                <c:pt idx="7">
                  <c:v>8ème année</c:v>
                </c:pt>
                <c:pt idx="8">
                  <c:v>9ème année</c:v>
                </c:pt>
                <c:pt idx="9">
                  <c:v>Secondaire</c:v>
                </c:pt>
              </c:strCache>
            </c:strRef>
          </c:cat>
          <c:val>
            <c:numRef>
              <c:f>Sheet2!$L$3:$L$12</c:f>
              <c:numCache>
                <c:formatCode>0.0</c:formatCode>
                <c:ptCount val="10"/>
                <c:pt idx="0">
                  <c:v>62.73</c:v>
                </c:pt>
                <c:pt idx="1">
                  <c:v>58.89</c:v>
                </c:pt>
                <c:pt idx="2">
                  <c:v>54.66</c:v>
                </c:pt>
                <c:pt idx="3">
                  <c:v>48.79</c:v>
                </c:pt>
                <c:pt idx="4">
                  <c:v>41.02</c:v>
                </c:pt>
                <c:pt idx="5">
                  <c:v>34.89</c:v>
                </c:pt>
                <c:pt idx="6">
                  <c:v>28.9</c:v>
                </c:pt>
                <c:pt idx="7">
                  <c:v>25.23</c:v>
                </c:pt>
                <c:pt idx="8">
                  <c:v>19.25</c:v>
                </c:pt>
                <c:pt idx="9">
                  <c:v>14.59</c:v>
                </c:pt>
              </c:numCache>
            </c:numRef>
          </c:val>
          <c:smooth val="0"/>
        </c:ser>
        <c:dLbls>
          <c:showLegendKey val="0"/>
          <c:showVal val="0"/>
          <c:showCatName val="0"/>
          <c:showSerName val="0"/>
          <c:showPercent val="0"/>
          <c:showBubbleSize val="0"/>
        </c:dLbls>
        <c:marker val="1"/>
        <c:smooth val="0"/>
        <c:axId val="536622912"/>
        <c:axId val="536623304"/>
      </c:lineChart>
      <c:catAx>
        <c:axId val="536622912"/>
        <c:scaling>
          <c:orientation val="minMax"/>
        </c:scaling>
        <c:delete val="0"/>
        <c:axPos val="b"/>
        <c:numFmt formatCode="General" sourceLinked="0"/>
        <c:majorTickMark val="none"/>
        <c:minorTickMark val="none"/>
        <c:tickLblPos val="nextTo"/>
        <c:crossAx val="536623304"/>
        <c:crosses val="autoZero"/>
        <c:auto val="1"/>
        <c:lblAlgn val="ctr"/>
        <c:lblOffset val="100"/>
        <c:noMultiLvlLbl val="0"/>
      </c:catAx>
      <c:valAx>
        <c:axId val="536623304"/>
        <c:scaling>
          <c:orientation val="minMax"/>
          <c:max val="100"/>
        </c:scaling>
        <c:delete val="0"/>
        <c:axPos val="l"/>
        <c:title>
          <c:tx>
            <c:rich>
              <a:bodyPr rot="-5400000" vert="horz"/>
              <a:lstStyle/>
              <a:p>
                <a:pPr>
                  <a:defRPr/>
                </a:pPr>
                <a:r>
                  <a:rPr lang="en-US"/>
                  <a:t>Percent</a:t>
                </a:r>
              </a:p>
            </c:rich>
          </c:tx>
          <c:layout/>
          <c:overlay val="0"/>
        </c:title>
        <c:numFmt formatCode="0.0" sourceLinked="1"/>
        <c:majorTickMark val="none"/>
        <c:minorTickMark val="none"/>
        <c:tickLblPos val="nextTo"/>
        <c:crossAx val="536622912"/>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156861344713"/>
          <c:y val="7.0897315996420004E-2"/>
          <c:w val="0.70153674540682398"/>
          <c:h val="0.769130439154876"/>
        </c:manualLayout>
      </c:layout>
      <c:barChart>
        <c:barDir val="col"/>
        <c:grouping val="clustered"/>
        <c:varyColors val="0"/>
        <c:ser>
          <c:idx val="0"/>
          <c:order val="0"/>
          <c:tx>
            <c:strRef>
              <c:f>'Téléviseurs 21 cm_wide4line_.cs'!$B$11</c:f>
              <c:strCache>
                <c:ptCount val="1"/>
                <c:pt idx="0">
                  <c:v>Moyenne_Nationale</c:v>
                </c:pt>
              </c:strCache>
            </c:strRef>
          </c:tx>
          <c:invertIfNegative val="0"/>
          <c:cat>
            <c:numRef>
              <c:f>'Téléviseurs 21 cm_wide4line_.cs'!$C$1:$J$1</c:f>
              <c:numCache>
                <c:formatCode>General</c:formatCode>
                <c:ptCount val="8"/>
                <c:pt idx="0">
                  <c:v>2004</c:v>
                </c:pt>
                <c:pt idx="1">
                  <c:v>2005</c:v>
                </c:pt>
                <c:pt idx="2">
                  <c:v>2006</c:v>
                </c:pt>
                <c:pt idx="3">
                  <c:v>2007</c:v>
                </c:pt>
                <c:pt idx="4">
                  <c:v>2008</c:v>
                </c:pt>
                <c:pt idx="5">
                  <c:v>2009</c:v>
                </c:pt>
                <c:pt idx="6">
                  <c:v>2010</c:v>
                </c:pt>
                <c:pt idx="7">
                  <c:v>2011</c:v>
                </c:pt>
              </c:numCache>
            </c:numRef>
          </c:cat>
          <c:val>
            <c:numRef>
              <c:f>'Téléviseurs 21 cm_wide4line_.cs'!$C$11:$J$11</c:f>
              <c:numCache>
                <c:formatCode>#,##0</c:formatCode>
                <c:ptCount val="8"/>
                <c:pt idx="0">
                  <c:v>182708.33333333299</c:v>
                </c:pt>
                <c:pt idx="1">
                  <c:v>175644.290123457</c:v>
                </c:pt>
                <c:pt idx="2">
                  <c:v>141865.45138888899</c:v>
                </c:pt>
                <c:pt idx="3">
                  <c:v>148713.15192743801</c:v>
                </c:pt>
                <c:pt idx="4">
                  <c:v>158822.33796296301</c:v>
                </c:pt>
                <c:pt idx="5">
                  <c:v>114126.984126984</c:v>
                </c:pt>
                <c:pt idx="6">
                  <c:v>113271.60493827199</c:v>
                </c:pt>
                <c:pt idx="7">
                  <c:v>111642.36111111099</c:v>
                </c:pt>
              </c:numCache>
            </c:numRef>
          </c:val>
        </c:ser>
        <c:dLbls>
          <c:showLegendKey val="0"/>
          <c:showVal val="0"/>
          <c:showCatName val="0"/>
          <c:showSerName val="0"/>
          <c:showPercent val="0"/>
          <c:showBubbleSize val="0"/>
        </c:dLbls>
        <c:gapWidth val="75"/>
        <c:axId val="541203088"/>
        <c:axId val="541203480"/>
      </c:barChart>
      <c:catAx>
        <c:axId val="541203088"/>
        <c:scaling>
          <c:orientation val="minMax"/>
        </c:scaling>
        <c:delete val="0"/>
        <c:axPos val="b"/>
        <c:numFmt formatCode="General" sourceLinked="1"/>
        <c:majorTickMark val="none"/>
        <c:minorTickMark val="none"/>
        <c:tickLblPos val="nextTo"/>
        <c:txPr>
          <a:bodyPr/>
          <a:lstStyle/>
          <a:p>
            <a:pPr>
              <a:defRPr sz="800"/>
            </a:pPr>
            <a:endParaRPr lang="en-US"/>
          </a:p>
        </c:txPr>
        <c:crossAx val="541203480"/>
        <c:crosses val="autoZero"/>
        <c:auto val="1"/>
        <c:lblAlgn val="ctr"/>
        <c:lblOffset val="100"/>
        <c:noMultiLvlLbl val="0"/>
      </c:catAx>
      <c:valAx>
        <c:axId val="541203480"/>
        <c:scaling>
          <c:orientation val="minMax"/>
          <c:min val="100000"/>
        </c:scaling>
        <c:delete val="0"/>
        <c:axPos val="l"/>
        <c:title>
          <c:tx>
            <c:rich>
              <a:bodyPr rot="-5400000" vert="horz"/>
              <a:lstStyle/>
              <a:p>
                <a:pPr>
                  <a:defRPr/>
                </a:pPr>
                <a:r>
                  <a:rPr lang="en-US"/>
                  <a:t>FCFA</a:t>
                </a:r>
              </a:p>
            </c:rich>
          </c:tx>
          <c:layout/>
          <c:overlay val="0"/>
        </c:title>
        <c:numFmt formatCode="#,##0" sourceLinked="1"/>
        <c:majorTickMark val="none"/>
        <c:minorTickMark val="none"/>
        <c:tickLblPos val="nextTo"/>
        <c:crossAx val="54120308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18098855529201"/>
          <c:y val="5.52416932824598E-2"/>
          <c:w val="0.76485535852733899"/>
          <c:h val="0.59870646652064696"/>
        </c:manualLayout>
      </c:layout>
      <c:lineChart>
        <c:grouping val="standard"/>
        <c:varyColors val="0"/>
        <c:ser>
          <c:idx val="0"/>
          <c:order val="0"/>
          <c:tx>
            <c:strRef>
              <c:f>'Yamaha 100 SUPER_wide4line_.csv'!$C$49</c:f>
              <c:strCache>
                <c:ptCount val="1"/>
                <c:pt idx="0">
                  <c:v>Yamaha 100 cc (Japon)</c:v>
                </c:pt>
              </c:strCache>
            </c:strRef>
          </c:tx>
          <c:marker>
            <c:symbol val="none"/>
          </c:marker>
          <c:cat>
            <c:strRef>
              <c:f>'Yamaha 100 SUPER_wide4line_.csv'!$D$47:$K$48</c:f>
              <c:strCache>
                <c:ptCount val="8"/>
                <c:pt idx="0">
                  <c:v>2005</c:v>
                </c:pt>
                <c:pt idx="1">
                  <c:v>2006</c:v>
                </c:pt>
                <c:pt idx="2">
                  <c:v>2007</c:v>
                </c:pt>
                <c:pt idx="3">
                  <c:v>2008</c:v>
                </c:pt>
                <c:pt idx="4">
                  <c:v>2009</c:v>
                </c:pt>
                <c:pt idx="5">
                  <c:v>2010</c:v>
                </c:pt>
                <c:pt idx="6">
                  <c:v>2011</c:v>
                </c:pt>
                <c:pt idx="7">
                  <c:v>2012</c:v>
                </c:pt>
              </c:strCache>
            </c:strRef>
          </c:cat>
          <c:val>
            <c:numRef>
              <c:f>'Yamaha 100 SUPER_wide4line_.csv'!$D$49:$K$49</c:f>
              <c:numCache>
                <c:formatCode>#,##0</c:formatCode>
                <c:ptCount val="8"/>
                <c:pt idx="0">
                  <c:v>1422.44444444444</c:v>
                </c:pt>
                <c:pt idx="1">
                  <c:v>1491.94444444444</c:v>
                </c:pt>
                <c:pt idx="2">
                  <c:v>1340.55555555556</c:v>
                </c:pt>
                <c:pt idx="3">
                  <c:v>1383.19444444444</c:v>
                </c:pt>
                <c:pt idx="4">
                  <c:v>1449.44444444444</c:v>
                </c:pt>
                <c:pt idx="5">
                  <c:v>1387.9222222222199</c:v>
                </c:pt>
                <c:pt idx="6">
                  <c:v>1328.4799382716001</c:v>
                </c:pt>
                <c:pt idx="7">
                  <c:v>1790.3541666666699</c:v>
                </c:pt>
              </c:numCache>
            </c:numRef>
          </c:val>
          <c:smooth val="0"/>
        </c:ser>
        <c:ser>
          <c:idx val="1"/>
          <c:order val="1"/>
          <c:tx>
            <c:strRef>
              <c:f>'Yamaha 100 SUPER_wide4line_.csv'!$C$50</c:f>
              <c:strCache>
                <c:ptCount val="1"/>
                <c:pt idx="0">
                  <c:v>Power KTM 110 cc (Jacarta)</c:v>
                </c:pt>
              </c:strCache>
            </c:strRef>
          </c:tx>
          <c:marker>
            <c:symbol val="none"/>
          </c:marker>
          <c:cat>
            <c:strRef>
              <c:f>'Yamaha 100 SUPER_wide4line_.csv'!$D$47:$K$48</c:f>
              <c:strCache>
                <c:ptCount val="8"/>
                <c:pt idx="0">
                  <c:v>2005</c:v>
                </c:pt>
                <c:pt idx="1">
                  <c:v>2006</c:v>
                </c:pt>
                <c:pt idx="2">
                  <c:v>2007</c:v>
                </c:pt>
                <c:pt idx="3">
                  <c:v>2008</c:v>
                </c:pt>
                <c:pt idx="4">
                  <c:v>2009</c:v>
                </c:pt>
                <c:pt idx="5">
                  <c:v>2010</c:v>
                </c:pt>
                <c:pt idx="6">
                  <c:v>2011</c:v>
                </c:pt>
                <c:pt idx="7">
                  <c:v>2012</c:v>
                </c:pt>
              </c:strCache>
            </c:strRef>
          </c:cat>
          <c:val>
            <c:numRef>
              <c:f>'Yamaha 100 SUPER_wide4line_.csv'!$D$50:$K$50</c:f>
              <c:numCache>
                <c:formatCode>#,##0</c:formatCode>
                <c:ptCount val="8"/>
                <c:pt idx="0">
                  <c:v>399.32716049382702</c:v>
                </c:pt>
                <c:pt idx="1">
                  <c:v>396.38888888888903</c:v>
                </c:pt>
                <c:pt idx="2">
                  <c:v>400</c:v>
                </c:pt>
                <c:pt idx="3">
                  <c:v>325.61111111111097</c:v>
                </c:pt>
                <c:pt idx="4">
                  <c:v>351.79629629629579</c:v>
                </c:pt>
                <c:pt idx="5">
                  <c:v>323.74691358024688</c:v>
                </c:pt>
                <c:pt idx="6">
                  <c:v>337.83024691357991</c:v>
                </c:pt>
                <c:pt idx="7">
                  <c:v>354.46666666666698</c:v>
                </c:pt>
              </c:numCache>
            </c:numRef>
          </c:val>
          <c:smooth val="0"/>
        </c:ser>
        <c:ser>
          <c:idx val="2"/>
          <c:order val="2"/>
          <c:tx>
            <c:strRef>
              <c:f>'Yamaha 100 SUPER_wide4line_.csv'!$C$51</c:f>
              <c:strCache>
                <c:ptCount val="1"/>
                <c:pt idx="0">
                  <c:v>Yamaha 100 cc (Chine)</c:v>
                </c:pt>
              </c:strCache>
            </c:strRef>
          </c:tx>
          <c:marker>
            <c:symbol val="none"/>
          </c:marker>
          <c:cat>
            <c:strRef>
              <c:f>'Yamaha 100 SUPER_wide4line_.csv'!$D$47:$K$48</c:f>
              <c:strCache>
                <c:ptCount val="8"/>
                <c:pt idx="0">
                  <c:v>2005</c:v>
                </c:pt>
                <c:pt idx="1">
                  <c:v>2006</c:v>
                </c:pt>
                <c:pt idx="2">
                  <c:v>2007</c:v>
                </c:pt>
                <c:pt idx="3">
                  <c:v>2008</c:v>
                </c:pt>
                <c:pt idx="4">
                  <c:v>2009</c:v>
                </c:pt>
                <c:pt idx="5">
                  <c:v>2010</c:v>
                </c:pt>
                <c:pt idx="6">
                  <c:v>2011</c:v>
                </c:pt>
                <c:pt idx="7">
                  <c:v>2012</c:v>
                </c:pt>
              </c:strCache>
            </c:strRef>
          </c:cat>
          <c:val>
            <c:numRef>
              <c:f>'Yamaha 100 SUPER_wide4line_.csv'!$D$51:$K$51</c:f>
              <c:numCache>
                <c:formatCode>General</c:formatCode>
                <c:ptCount val="8"/>
                <c:pt idx="2" formatCode="#,##0">
                  <c:v>280.32098765432102</c:v>
                </c:pt>
                <c:pt idx="3" formatCode="#,##0">
                  <c:v>304.04320987654302</c:v>
                </c:pt>
                <c:pt idx="4" formatCode="#,##0">
                  <c:v>304.79166666666703</c:v>
                </c:pt>
                <c:pt idx="5" formatCode="#,##0">
                  <c:v>473.73819444444382</c:v>
                </c:pt>
                <c:pt idx="6" formatCode="#,##0">
                  <c:v>372.97321428571388</c:v>
                </c:pt>
                <c:pt idx="7" formatCode="#,##0">
                  <c:v>290.90277777777783</c:v>
                </c:pt>
              </c:numCache>
            </c:numRef>
          </c:val>
          <c:smooth val="0"/>
        </c:ser>
        <c:dLbls>
          <c:showLegendKey val="0"/>
          <c:showVal val="0"/>
          <c:showCatName val="0"/>
          <c:showSerName val="0"/>
          <c:showPercent val="0"/>
          <c:showBubbleSize val="0"/>
        </c:dLbls>
        <c:smooth val="0"/>
        <c:axId val="541204264"/>
        <c:axId val="541204656"/>
      </c:lineChart>
      <c:catAx>
        <c:axId val="541204264"/>
        <c:scaling>
          <c:orientation val="minMax"/>
        </c:scaling>
        <c:delete val="0"/>
        <c:axPos val="b"/>
        <c:numFmt formatCode="General" sourceLinked="0"/>
        <c:majorTickMark val="none"/>
        <c:minorTickMark val="none"/>
        <c:tickLblPos val="nextTo"/>
        <c:txPr>
          <a:bodyPr/>
          <a:lstStyle/>
          <a:p>
            <a:pPr>
              <a:defRPr sz="800"/>
            </a:pPr>
            <a:endParaRPr lang="en-US"/>
          </a:p>
        </c:txPr>
        <c:crossAx val="541204656"/>
        <c:crosses val="autoZero"/>
        <c:auto val="1"/>
        <c:lblAlgn val="ctr"/>
        <c:lblOffset val="100"/>
        <c:noMultiLvlLbl val="0"/>
      </c:catAx>
      <c:valAx>
        <c:axId val="541204656"/>
        <c:scaling>
          <c:orientation val="minMax"/>
        </c:scaling>
        <c:delete val="0"/>
        <c:axPos val="l"/>
        <c:title>
          <c:tx>
            <c:rich>
              <a:bodyPr rot="-5400000" vert="horz"/>
              <a:lstStyle/>
              <a:p>
                <a:pPr>
                  <a:defRPr/>
                </a:pPr>
                <a:r>
                  <a:rPr lang="en-US"/>
                  <a:t>FCFA ('000)</a:t>
                </a:r>
              </a:p>
            </c:rich>
          </c:tx>
          <c:layout/>
          <c:overlay val="0"/>
        </c:title>
        <c:numFmt formatCode="#,##0" sourceLinked="1"/>
        <c:majorTickMark val="none"/>
        <c:minorTickMark val="none"/>
        <c:tickLblPos val="nextTo"/>
        <c:crossAx val="541204264"/>
        <c:crosses val="autoZero"/>
        <c:crossBetween val="between"/>
      </c:valAx>
    </c:plotArea>
    <c:legend>
      <c:legendPos val="b"/>
      <c:layout>
        <c:manualLayout>
          <c:xMode val="edge"/>
          <c:yMode val="edge"/>
          <c:x val="0.24555858310626699"/>
          <c:y val="0.76701805972350701"/>
          <c:w val="0.58517711171662101"/>
          <c:h val="0.20285010757697"/>
        </c:manualLayout>
      </c:layout>
      <c:overlay val="0"/>
      <c:txPr>
        <a:bodyPr/>
        <a:lstStyle/>
        <a:p>
          <a:pPr>
            <a:defRPr sz="8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'life expectancy'!$D$17</c:f>
              <c:strCache>
                <c:ptCount val="1"/>
                <c:pt idx="0">
                  <c:v>Taux de mortalite</c:v>
                </c:pt>
              </c:strCache>
            </c:strRef>
          </c:tx>
          <c:spPr>
            <a:solidFill>
              <a:schemeClr val="accent1">
                <a:lumMod val="40000"/>
                <a:lumOff val="60000"/>
              </a:schemeClr>
            </a:solidFill>
            <a:ln>
              <a:solidFill>
                <a:schemeClr val="tx2">
                  <a:lumMod val="20000"/>
                  <a:lumOff val="80000"/>
                </a:schemeClr>
              </a:solid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'life expectancy'!$B$18:$B$27</c:f>
              <c:strCache>
                <c:ptCount val="10"/>
                <c:pt idx="0">
                  <c:v>Kayes </c:v>
                </c:pt>
                <c:pt idx="1">
                  <c:v>Koulikoro </c:v>
                </c:pt>
                <c:pt idx="2">
                  <c:v>Sikasso </c:v>
                </c:pt>
                <c:pt idx="3">
                  <c:v>Ségou </c:v>
                </c:pt>
                <c:pt idx="4">
                  <c:v>Mopti </c:v>
                </c:pt>
                <c:pt idx="5">
                  <c:v>Tombouctou </c:v>
                </c:pt>
                <c:pt idx="6">
                  <c:v>Gao </c:v>
                </c:pt>
                <c:pt idx="7">
                  <c:v>Kidal </c:v>
                </c:pt>
                <c:pt idx="8">
                  <c:v>Bamako </c:v>
                </c:pt>
                <c:pt idx="9">
                  <c:v>Mali </c:v>
                </c:pt>
              </c:strCache>
            </c:strRef>
          </c:cat>
          <c:val>
            <c:numRef>
              <c:f>'life expectancy'!$D$18:$D$27</c:f>
              <c:numCache>
                <c:formatCode>General</c:formatCode>
                <c:ptCount val="10"/>
                <c:pt idx="0">
                  <c:v>13.4</c:v>
                </c:pt>
                <c:pt idx="1">
                  <c:v>12.4</c:v>
                </c:pt>
                <c:pt idx="2">
                  <c:v>13.7</c:v>
                </c:pt>
                <c:pt idx="3">
                  <c:v>13.1</c:v>
                </c:pt>
                <c:pt idx="4">
                  <c:v>12.7</c:v>
                </c:pt>
                <c:pt idx="5">
                  <c:v>15.1</c:v>
                </c:pt>
                <c:pt idx="6">
                  <c:v>13.7</c:v>
                </c:pt>
                <c:pt idx="7">
                  <c:v>8.4</c:v>
                </c:pt>
                <c:pt idx="8">
                  <c:v>7.5</c:v>
                </c:pt>
                <c:pt idx="9">
                  <c:v>12.5</c:v>
                </c:pt>
              </c:numCache>
            </c:numRef>
          </c:val>
        </c:ser>
        <c:dLbls>
          <c:showLegendKey val="0"/>
          <c:showVal val="0"/>
          <c:showCatName val="0"/>
          <c:showSerName val="0"/>
          <c:showPercent val="0"/>
          <c:showBubbleSize val="0"/>
        </c:dLbls>
        <c:gapWidth val="75"/>
        <c:axId val="541206616"/>
        <c:axId val="541206224"/>
      </c:barChart>
      <c:lineChart>
        <c:grouping val="standard"/>
        <c:varyColors val="0"/>
        <c:ser>
          <c:idx val="0"/>
          <c:order val="0"/>
          <c:tx>
            <c:strRef>
              <c:f>'life expectancy'!$C$17</c:f>
              <c:strCache>
                <c:ptCount val="1"/>
                <c:pt idx="0">
                  <c:v>Esperance de vie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'life expectancy'!$B$18:$B$27</c:f>
              <c:strCache>
                <c:ptCount val="10"/>
                <c:pt idx="0">
                  <c:v>Kayes </c:v>
                </c:pt>
                <c:pt idx="1">
                  <c:v>Koulikoro </c:v>
                </c:pt>
                <c:pt idx="2">
                  <c:v>Sikasso </c:v>
                </c:pt>
                <c:pt idx="3">
                  <c:v>Ségou </c:v>
                </c:pt>
                <c:pt idx="4">
                  <c:v>Mopti </c:v>
                </c:pt>
                <c:pt idx="5">
                  <c:v>Tombouctou </c:v>
                </c:pt>
                <c:pt idx="6">
                  <c:v>Gao </c:v>
                </c:pt>
                <c:pt idx="7">
                  <c:v>Kidal </c:v>
                </c:pt>
                <c:pt idx="8">
                  <c:v>Bamako </c:v>
                </c:pt>
                <c:pt idx="9">
                  <c:v>Mali </c:v>
                </c:pt>
              </c:strCache>
            </c:strRef>
          </c:cat>
          <c:val>
            <c:numRef>
              <c:f>'life expectancy'!$C$18:$C$27</c:f>
              <c:numCache>
                <c:formatCode>0.0</c:formatCode>
                <c:ptCount val="10"/>
                <c:pt idx="0">
                  <c:v>55.3</c:v>
                </c:pt>
                <c:pt idx="1">
                  <c:v>56.3</c:v>
                </c:pt>
                <c:pt idx="2">
                  <c:v>53.2</c:v>
                </c:pt>
                <c:pt idx="3">
                  <c:v>53.8</c:v>
                </c:pt>
                <c:pt idx="4">
                  <c:v>55</c:v>
                </c:pt>
                <c:pt idx="5">
                  <c:v>56.5</c:v>
                </c:pt>
                <c:pt idx="6">
                  <c:v>56.2</c:v>
                </c:pt>
                <c:pt idx="7">
                  <c:v>59.9</c:v>
                </c:pt>
                <c:pt idx="8">
                  <c:v>59.6</c:v>
                </c:pt>
                <c:pt idx="9">
                  <c:v>55.6</c:v>
                </c:pt>
              </c:numCache>
            </c:numRef>
          </c:val>
          <c:smooth val="0"/>
        </c:ser>
        <c:dLbls>
          <c:showLegendKey val="0"/>
          <c:showVal val="0"/>
          <c:showCatName val="0"/>
          <c:showSerName val="0"/>
          <c:showPercent val="0"/>
          <c:showBubbleSize val="0"/>
        </c:dLbls>
        <c:marker val="1"/>
        <c:smooth val="0"/>
        <c:axId val="541205440"/>
        <c:axId val="541205832"/>
      </c:lineChart>
      <c:catAx>
        <c:axId val="541205440"/>
        <c:scaling>
          <c:orientation val="minMax"/>
        </c:scaling>
        <c:delete val="0"/>
        <c:axPos val="b"/>
        <c:numFmt formatCode="General" sourceLinked="0"/>
        <c:majorTickMark val="none"/>
        <c:minorTickMark val="none"/>
        <c:tickLblPos val="nextTo"/>
        <c:crossAx val="541205832"/>
        <c:crosses val="autoZero"/>
        <c:auto val="1"/>
        <c:lblAlgn val="ctr"/>
        <c:lblOffset val="100"/>
        <c:noMultiLvlLbl val="0"/>
      </c:catAx>
      <c:valAx>
        <c:axId val="541205832"/>
        <c:scaling>
          <c:orientation val="minMax"/>
        </c:scaling>
        <c:delete val="0"/>
        <c:axPos val="l"/>
        <c:title>
          <c:tx>
            <c:rich>
              <a:bodyPr rot="-5400000" vert="horz"/>
              <a:lstStyle/>
              <a:p>
                <a:pPr>
                  <a:defRPr/>
                </a:pPr>
                <a:r>
                  <a:rPr lang="en-US"/>
                  <a:t>life expectancy (years)</a:t>
                </a:r>
              </a:p>
            </c:rich>
          </c:tx>
          <c:layout/>
          <c:overlay val="0"/>
        </c:title>
        <c:numFmt formatCode="0.0" sourceLinked="1"/>
        <c:majorTickMark val="none"/>
        <c:minorTickMark val="none"/>
        <c:tickLblPos val="nextTo"/>
        <c:spPr>
          <a:ln w="9525">
            <a:noFill/>
          </a:ln>
        </c:spPr>
        <c:crossAx val="541205440"/>
        <c:crosses val="autoZero"/>
        <c:crossBetween val="between"/>
      </c:valAx>
      <c:valAx>
        <c:axId val="541206224"/>
        <c:scaling>
          <c:orientation val="minMax"/>
        </c:scaling>
        <c:delete val="0"/>
        <c:axPos val="r"/>
        <c:title>
          <c:tx>
            <c:rich>
              <a:bodyPr rot="-5400000" vert="horz"/>
              <a:lstStyle/>
              <a:p>
                <a:pPr>
                  <a:defRPr/>
                </a:pPr>
                <a:r>
                  <a:rPr lang="en-US"/>
                  <a:t>Mortaliy trae</a:t>
                </a:r>
              </a:p>
            </c:rich>
          </c:tx>
          <c:layout/>
          <c:overlay val="0"/>
        </c:title>
        <c:numFmt formatCode="General" sourceLinked="1"/>
        <c:majorTickMark val="out"/>
        <c:minorTickMark val="none"/>
        <c:tickLblPos val="nextTo"/>
        <c:crossAx val="541206616"/>
        <c:crosses val="max"/>
        <c:crossBetween val="between"/>
      </c:valAx>
      <c:catAx>
        <c:axId val="541206616"/>
        <c:scaling>
          <c:orientation val="minMax"/>
        </c:scaling>
        <c:delete val="1"/>
        <c:axPos val="b"/>
        <c:numFmt formatCode="General" sourceLinked="1"/>
        <c:majorTickMark val="out"/>
        <c:minorTickMark val="none"/>
        <c:tickLblPos val="nextTo"/>
        <c:crossAx val="5412062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'life expectancy'!$E$17</c:f>
              <c:strCache>
                <c:ptCount val="1"/>
                <c:pt idx="0">
                  <c:v>Consommation moyenne (FCFA '000)</c:v>
                </c:pt>
              </c:strCache>
            </c:strRef>
          </c:tx>
          <c:spPr>
            <a:solidFill>
              <a:schemeClr val="accent1">
                <a:lumMod val="40000"/>
                <a:lumOff val="6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'life expectancy'!$B$18:$B$27</c:f>
              <c:strCache>
                <c:ptCount val="10"/>
                <c:pt idx="0">
                  <c:v>Kayes </c:v>
                </c:pt>
                <c:pt idx="1">
                  <c:v>Koulikoro </c:v>
                </c:pt>
                <c:pt idx="2">
                  <c:v>Sikasso </c:v>
                </c:pt>
                <c:pt idx="3">
                  <c:v>Ségou </c:v>
                </c:pt>
                <c:pt idx="4">
                  <c:v>Mopti </c:v>
                </c:pt>
                <c:pt idx="5">
                  <c:v>Tombouctou </c:v>
                </c:pt>
                <c:pt idx="6">
                  <c:v>Gao </c:v>
                </c:pt>
                <c:pt idx="7">
                  <c:v>Kidal </c:v>
                </c:pt>
                <c:pt idx="8">
                  <c:v>Bamako </c:v>
                </c:pt>
                <c:pt idx="9">
                  <c:v>Mali </c:v>
                </c:pt>
              </c:strCache>
            </c:strRef>
          </c:cat>
          <c:val>
            <c:numRef>
              <c:f>'life expectancy'!$E$18:$E$27</c:f>
              <c:numCache>
                <c:formatCode>#,###,##0</c:formatCode>
                <c:ptCount val="10"/>
                <c:pt idx="0">
                  <c:v>172.24852151499613</c:v>
                </c:pt>
                <c:pt idx="1">
                  <c:v>128.16834417285639</c:v>
                </c:pt>
                <c:pt idx="2">
                  <c:v>104.13436992506638</c:v>
                </c:pt>
                <c:pt idx="3">
                  <c:v>111.01161352842178</c:v>
                </c:pt>
                <c:pt idx="4">
                  <c:v>116.67462213418246</c:v>
                </c:pt>
                <c:pt idx="5">
                  <c:v>139.99970364266167</c:v>
                </c:pt>
                <c:pt idx="6">
                  <c:v>147.98084828381127</c:v>
                </c:pt>
                <c:pt idx="7">
                  <c:v>217.62623091955828</c:v>
                </c:pt>
                <c:pt idx="8">
                  <c:v>279.4212045327551</c:v>
                </c:pt>
                <c:pt idx="9">
                  <c:v>145.38706435333839</c:v>
                </c:pt>
              </c:numCache>
            </c:numRef>
          </c:val>
        </c:ser>
        <c:dLbls>
          <c:showLegendKey val="0"/>
          <c:showVal val="0"/>
          <c:showCatName val="0"/>
          <c:showSerName val="0"/>
          <c:showPercent val="0"/>
          <c:showBubbleSize val="0"/>
        </c:dLbls>
        <c:gapWidth val="75"/>
        <c:axId val="541281600"/>
        <c:axId val="541281208"/>
      </c:barChart>
      <c:lineChart>
        <c:grouping val="standard"/>
        <c:varyColors val="0"/>
        <c:ser>
          <c:idx val="0"/>
          <c:order val="0"/>
          <c:tx>
            <c:strRef>
              <c:f>'life expectancy'!$C$17</c:f>
              <c:strCache>
                <c:ptCount val="1"/>
                <c:pt idx="0">
                  <c:v>Esperance de vie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'life expectancy'!$B$18:$B$27</c:f>
              <c:strCache>
                <c:ptCount val="10"/>
                <c:pt idx="0">
                  <c:v>Kayes </c:v>
                </c:pt>
                <c:pt idx="1">
                  <c:v>Koulikoro </c:v>
                </c:pt>
                <c:pt idx="2">
                  <c:v>Sikasso </c:v>
                </c:pt>
                <c:pt idx="3">
                  <c:v>Ségou </c:v>
                </c:pt>
                <c:pt idx="4">
                  <c:v>Mopti </c:v>
                </c:pt>
                <c:pt idx="5">
                  <c:v>Tombouctou </c:v>
                </c:pt>
                <c:pt idx="6">
                  <c:v>Gao </c:v>
                </c:pt>
                <c:pt idx="7">
                  <c:v>Kidal </c:v>
                </c:pt>
                <c:pt idx="8">
                  <c:v>Bamako </c:v>
                </c:pt>
                <c:pt idx="9">
                  <c:v>Mali </c:v>
                </c:pt>
              </c:strCache>
            </c:strRef>
          </c:cat>
          <c:val>
            <c:numRef>
              <c:f>'life expectancy'!$C$18:$C$27</c:f>
              <c:numCache>
                <c:formatCode>0.0</c:formatCode>
                <c:ptCount val="10"/>
                <c:pt idx="0">
                  <c:v>55.3</c:v>
                </c:pt>
                <c:pt idx="1">
                  <c:v>56.3</c:v>
                </c:pt>
                <c:pt idx="2">
                  <c:v>53.2</c:v>
                </c:pt>
                <c:pt idx="3">
                  <c:v>53.8</c:v>
                </c:pt>
                <c:pt idx="4">
                  <c:v>55</c:v>
                </c:pt>
                <c:pt idx="5">
                  <c:v>56.5</c:v>
                </c:pt>
                <c:pt idx="6">
                  <c:v>56.2</c:v>
                </c:pt>
                <c:pt idx="7">
                  <c:v>59.9</c:v>
                </c:pt>
                <c:pt idx="8">
                  <c:v>59.6</c:v>
                </c:pt>
                <c:pt idx="9">
                  <c:v>55.6</c:v>
                </c:pt>
              </c:numCache>
            </c:numRef>
          </c:val>
          <c:smooth val="0"/>
        </c:ser>
        <c:dLbls>
          <c:showLegendKey val="0"/>
          <c:showVal val="0"/>
          <c:showCatName val="0"/>
          <c:showSerName val="0"/>
          <c:showPercent val="0"/>
          <c:showBubbleSize val="0"/>
        </c:dLbls>
        <c:marker val="1"/>
        <c:smooth val="0"/>
        <c:axId val="541207400"/>
        <c:axId val="541207792"/>
      </c:lineChart>
      <c:catAx>
        <c:axId val="541207400"/>
        <c:scaling>
          <c:orientation val="minMax"/>
        </c:scaling>
        <c:delete val="0"/>
        <c:axPos val="b"/>
        <c:numFmt formatCode="General" sourceLinked="0"/>
        <c:majorTickMark val="none"/>
        <c:minorTickMark val="none"/>
        <c:tickLblPos val="nextTo"/>
        <c:crossAx val="541207792"/>
        <c:crosses val="autoZero"/>
        <c:auto val="1"/>
        <c:lblAlgn val="ctr"/>
        <c:lblOffset val="100"/>
        <c:noMultiLvlLbl val="0"/>
      </c:catAx>
      <c:valAx>
        <c:axId val="541207792"/>
        <c:scaling>
          <c:orientation val="minMax"/>
        </c:scaling>
        <c:delete val="0"/>
        <c:axPos val="l"/>
        <c:title>
          <c:tx>
            <c:rich>
              <a:bodyPr rot="-5400000" vert="horz"/>
              <a:lstStyle/>
              <a:p>
                <a:pPr>
                  <a:defRPr/>
                </a:pPr>
                <a:r>
                  <a:rPr lang="en-US"/>
                  <a:t>Life expectancy (years)</a:t>
                </a:r>
              </a:p>
            </c:rich>
          </c:tx>
          <c:layout/>
          <c:overlay val="0"/>
        </c:title>
        <c:numFmt formatCode="0.0" sourceLinked="1"/>
        <c:majorTickMark val="none"/>
        <c:minorTickMark val="none"/>
        <c:tickLblPos val="nextTo"/>
        <c:spPr>
          <a:ln w="9525">
            <a:noFill/>
          </a:ln>
        </c:spPr>
        <c:crossAx val="541207400"/>
        <c:crosses val="autoZero"/>
        <c:crossBetween val="between"/>
      </c:valAx>
      <c:valAx>
        <c:axId val="541281208"/>
        <c:scaling>
          <c:orientation val="minMax"/>
        </c:scaling>
        <c:delete val="0"/>
        <c:axPos val="r"/>
        <c:title>
          <c:tx>
            <c:rich>
              <a:bodyPr rot="-5400000" vert="horz"/>
              <a:lstStyle/>
              <a:p>
                <a:pPr>
                  <a:defRPr/>
                </a:pPr>
                <a:r>
                  <a:rPr lang="en-US"/>
                  <a:t>Consomption per capita</a:t>
                </a:r>
              </a:p>
            </c:rich>
          </c:tx>
          <c:layout/>
          <c:overlay val="0"/>
        </c:title>
        <c:numFmt formatCode="#,###,##0" sourceLinked="1"/>
        <c:majorTickMark val="out"/>
        <c:minorTickMark val="none"/>
        <c:tickLblPos val="nextTo"/>
        <c:crossAx val="541281600"/>
        <c:crosses val="max"/>
        <c:crossBetween val="between"/>
      </c:valAx>
      <c:catAx>
        <c:axId val="541281600"/>
        <c:scaling>
          <c:orientation val="minMax"/>
        </c:scaling>
        <c:delete val="1"/>
        <c:axPos val="b"/>
        <c:numFmt formatCode="General" sourceLinked="1"/>
        <c:majorTickMark val="out"/>
        <c:minorTickMark val="none"/>
        <c:tickLblPos val="nextTo"/>
        <c:crossAx val="541281208"/>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6"/>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dPt>
            <c:idx val="9"/>
            <c:invertIfNegative val="0"/>
            <c:bubble3D val="0"/>
            <c:spPr>
              <a:solidFill>
                <a:schemeClr val="accent2"/>
              </a:solidFill>
            </c:spPr>
          </c:dPt>
          <c:dPt>
            <c:idx val="10"/>
            <c:invertIfNegative val="0"/>
            <c:bubble3D val="0"/>
            <c:spPr>
              <a:solidFill>
                <a:schemeClr val="accent2"/>
              </a:solidFill>
            </c:spPr>
          </c:dPt>
          <c:dPt>
            <c:idx val="11"/>
            <c:invertIfNegative val="0"/>
            <c:bubble3D val="0"/>
            <c:spPr>
              <a:solidFill>
                <a:schemeClr val="accent2"/>
              </a:solidFill>
            </c:spPr>
          </c:dPt>
          <c:dPt>
            <c:idx val="12"/>
            <c:invertIfNegative val="0"/>
            <c:bubble3D val="0"/>
            <c:spPr>
              <a:solidFill>
                <a:srgbClr val="C00000"/>
              </a:solidFill>
            </c:spPr>
          </c:dPt>
          <c:dPt>
            <c:idx val="13"/>
            <c:invertIfNegative val="0"/>
            <c:bubble3D val="0"/>
            <c:spPr>
              <a:solidFill>
                <a:schemeClr val="accent3"/>
              </a:solidFill>
            </c:spPr>
          </c:dPt>
          <c:dPt>
            <c:idx val="14"/>
            <c:invertIfNegative val="0"/>
            <c:bubble3D val="0"/>
            <c:spPr>
              <a:solidFill>
                <a:schemeClr val="accent3"/>
              </a:solidFill>
            </c:spPr>
          </c:dPt>
          <c:dPt>
            <c:idx val="15"/>
            <c:invertIfNegative val="0"/>
            <c:bubble3D val="0"/>
            <c:spPr>
              <a:solidFill>
                <a:schemeClr val="accent3"/>
              </a:solidFill>
            </c:spPr>
          </c:dPt>
          <c:dPt>
            <c:idx val="16"/>
            <c:invertIfNegative val="0"/>
            <c:bubble3D val="0"/>
            <c:spPr>
              <a:solidFill>
                <a:schemeClr val="accent3"/>
              </a:solidFill>
            </c:spPr>
          </c:dPt>
          <c:dPt>
            <c:idx val="17"/>
            <c:invertIfNegative val="0"/>
            <c:bubble3D val="0"/>
            <c:spPr>
              <a:solidFill>
                <a:schemeClr val="accent3"/>
              </a:solidFill>
            </c:spPr>
          </c:dPt>
          <c:dPt>
            <c:idx val="18"/>
            <c:invertIfNegative val="0"/>
            <c:bubble3D val="0"/>
            <c:spPr>
              <a:solidFill>
                <a:schemeClr val="accent3"/>
              </a:solidFill>
            </c:spPr>
          </c:dPt>
          <c:dPt>
            <c:idx val="19"/>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National!$P$24:$S$35</c:f>
              <c:multiLvlStrCache>
                <c:ptCount val="12"/>
                <c:lvl>
                  <c:pt idx="0">
                    <c:v>2006</c:v>
                  </c:pt>
                  <c:pt idx="1">
                    <c:v>2010</c:v>
                  </c:pt>
                  <c:pt idx="2">
                    <c:v>2011</c:v>
                  </c:pt>
                  <c:pt idx="3">
                    <c:v>2011 Sud</c:v>
                  </c:pt>
                  <c:pt idx="4">
                    <c:v>2012 Sud</c:v>
                  </c:pt>
                  <c:pt idx="5">
                    <c:v>2013 Sud</c:v>
                  </c:pt>
                  <c:pt idx="6">
                    <c:v>2006</c:v>
                  </c:pt>
                  <c:pt idx="7">
                    <c:v>2010</c:v>
                  </c:pt>
                  <c:pt idx="8">
                    <c:v>2011</c:v>
                  </c:pt>
                  <c:pt idx="9">
                    <c:v>2011 Sud</c:v>
                  </c:pt>
                  <c:pt idx="10">
                    <c:v>2012 Sud</c:v>
                  </c:pt>
                  <c:pt idx="11">
                    <c:v>2013 Sud</c:v>
                  </c:pt>
                </c:lvl>
                <c:lvl>
                  <c:pt idx="0">
                    <c:v>juin-dec</c:v>
                  </c:pt>
                  <c:pt idx="1">
                    <c:v>dec-mai</c:v>
                  </c:pt>
                  <c:pt idx="2">
                    <c:v>juin-juill</c:v>
                  </c:pt>
                  <c:pt idx="3">
                    <c:v>juin-juill</c:v>
                  </c:pt>
                  <c:pt idx="4">
                    <c:v>août-sep </c:v>
                  </c:pt>
                  <c:pt idx="5">
                    <c:v>juil-août </c:v>
                  </c:pt>
                  <c:pt idx="6">
                    <c:v>juin-dec</c:v>
                  </c:pt>
                  <c:pt idx="7">
                    <c:v>dec-mai</c:v>
                  </c:pt>
                  <c:pt idx="8">
                    <c:v>juin-juill</c:v>
                  </c:pt>
                  <c:pt idx="9">
                    <c:v>juin-juill</c:v>
                  </c:pt>
                  <c:pt idx="10">
                    <c:v>août-sep </c:v>
                  </c:pt>
                  <c:pt idx="11">
                    <c:v>juil-août </c:v>
                  </c:pt>
                </c:lvl>
                <c:lvl>
                  <c:pt idx="0">
                    <c:v>EDS</c:v>
                  </c:pt>
                  <c:pt idx="1">
                    <c:v>MICS</c:v>
                  </c:pt>
                  <c:pt idx="2">
                    <c:v>SMART</c:v>
                  </c:pt>
                  <c:pt idx="3">
                    <c:v>SMART</c:v>
                  </c:pt>
                  <c:pt idx="4">
                    <c:v>SMART</c:v>
                  </c:pt>
                  <c:pt idx="5">
                    <c:v>SMART</c:v>
                  </c:pt>
                  <c:pt idx="6">
                    <c:v>EDS</c:v>
                  </c:pt>
                  <c:pt idx="7">
                    <c:v>MICS</c:v>
                  </c:pt>
                  <c:pt idx="8">
                    <c:v>SMART</c:v>
                  </c:pt>
                  <c:pt idx="9">
                    <c:v>SMART</c:v>
                  </c:pt>
                  <c:pt idx="10">
                    <c:v>SMART</c:v>
                  </c:pt>
                  <c:pt idx="11">
                    <c:v>SMART</c:v>
                  </c:pt>
                </c:lvl>
                <c:lvl>
                  <c:pt idx="0">
                    <c:v>Retard de croissance</c:v>
                  </c:pt>
                  <c:pt idx="6">
                    <c:v>Emaciation</c:v>
                  </c:pt>
                </c:lvl>
              </c:multiLvlStrCache>
            </c:multiLvlStrRef>
          </c:cat>
          <c:val>
            <c:numRef>
              <c:f>National!$T$24:$T$35</c:f>
              <c:numCache>
                <c:formatCode>0</c:formatCode>
                <c:ptCount val="12"/>
                <c:pt idx="0">
                  <c:v>38</c:v>
                </c:pt>
                <c:pt idx="1">
                  <c:v>27.8</c:v>
                </c:pt>
                <c:pt idx="2">
                  <c:v>27.1</c:v>
                </c:pt>
                <c:pt idx="3">
                  <c:v>28</c:v>
                </c:pt>
                <c:pt idx="4">
                  <c:v>29.1</c:v>
                </c:pt>
                <c:pt idx="5">
                  <c:v>27.5</c:v>
                </c:pt>
                <c:pt idx="6">
                  <c:v>15</c:v>
                </c:pt>
                <c:pt idx="7">
                  <c:v>8.1999999999999993</c:v>
                </c:pt>
                <c:pt idx="8">
                  <c:v>10.4</c:v>
                </c:pt>
                <c:pt idx="9">
                  <c:v>9.6</c:v>
                </c:pt>
                <c:pt idx="10">
                  <c:v>8.9</c:v>
                </c:pt>
                <c:pt idx="11">
                  <c:v>8.6</c:v>
                </c:pt>
              </c:numCache>
            </c:numRef>
          </c:val>
        </c:ser>
        <c:dLbls>
          <c:showLegendKey val="0"/>
          <c:showVal val="0"/>
          <c:showCatName val="0"/>
          <c:showSerName val="0"/>
          <c:showPercent val="0"/>
          <c:showBubbleSize val="0"/>
        </c:dLbls>
        <c:gapWidth val="150"/>
        <c:axId val="541282384"/>
        <c:axId val="541282776"/>
      </c:barChart>
      <c:catAx>
        <c:axId val="541282384"/>
        <c:scaling>
          <c:orientation val="minMax"/>
        </c:scaling>
        <c:delete val="0"/>
        <c:axPos val="b"/>
        <c:numFmt formatCode="General" sourceLinked="0"/>
        <c:majorTickMark val="out"/>
        <c:minorTickMark val="none"/>
        <c:tickLblPos val="nextTo"/>
        <c:txPr>
          <a:bodyPr/>
          <a:lstStyle/>
          <a:p>
            <a:pPr>
              <a:defRPr sz="900"/>
            </a:pPr>
            <a:endParaRPr lang="en-US"/>
          </a:p>
        </c:txPr>
        <c:crossAx val="541282776"/>
        <c:crosses val="autoZero"/>
        <c:auto val="1"/>
        <c:lblAlgn val="ctr"/>
        <c:lblOffset val="100"/>
        <c:noMultiLvlLbl val="0"/>
      </c:catAx>
      <c:valAx>
        <c:axId val="541282776"/>
        <c:scaling>
          <c:orientation val="minMax"/>
        </c:scaling>
        <c:delete val="0"/>
        <c:axPos val="l"/>
        <c:numFmt formatCode="0" sourceLinked="1"/>
        <c:majorTickMark val="out"/>
        <c:minorTickMark val="none"/>
        <c:tickLblPos val="nextTo"/>
        <c:crossAx val="54128238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Regional!$AD$62</c:f>
              <c:strCache>
                <c:ptCount val="1"/>
                <c:pt idx="0">
                  <c:v>Retard de croissance</c:v>
                </c:pt>
              </c:strCache>
            </c:strRef>
          </c:tx>
          <c:invertIfNegative val="0"/>
          <c:cat>
            <c:strRef>
              <c:f>Regional!$AC$63:$AC$71</c:f>
              <c:strCache>
                <c:ptCount val="9"/>
                <c:pt idx="0">
                  <c:v>Kidal</c:v>
                </c:pt>
                <c:pt idx="1">
                  <c:v>Bamako</c:v>
                </c:pt>
                <c:pt idx="2">
                  <c:v>Kayes</c:v>
                </c:pt>
                <c:pt idx="3">
                  <c:v>Gao</c:v>
                </c:pt>
                <c:pt idx="4">
                  <c:v>Ségou</c:v>
                </c:pt>
                <c:pt idx="5">
                  <c:v>Tombouctou</c:v>
                </c:pt>
                <c:pt idx="6">
                  <c:v>Koulikoro</c:v>
                </c:pt>
                <c:pt idx="7">
                  <c:v>Mopti</c:v>
                </c:pt>
                <c:pt idx="8">
                  <c:v>Sikasso</c:v>
                </c:pt>
              </c:strCache>
            </c:strRef>
          </c:cat>
          <c:val>
            <c:numRef>
              <c:f>Regional!$AD$63:$AD$71</c:f>
              <c:numCache>
                <c:formatCode>0</c:formatCode>
                <c:ptCount val="9"/>
                <c:pt idx="0">
                  <c:v>13.6</c:v>
                </c:pt>
                <c:pt idx="1">
                  <c:v>14</c:v>
                </c:pt>
                <c:pt idx="2">
                  <c:v>19.399999999999999</c:v>
                </c:pt>
                <c:pt idx="3">
                  <c:v>20.7</c:v>
                </c:pt>
                <c:pt idx="4">
                  <c:v>24.8</c:v>
                </c:pt>
                <c:pt idx="5">
                  <c:v>27.8</c:v>
                </c:pt>
                <c:pt idx="6">
                  <c:v>28.1</c:v>
                </c:pt>
                <c:pt idx="7">
                  <c:v>31.9</c:v>
                </c:pt>
                <c:pt idx="8">
                  <c:v>39.200000000000003</c:v>
                </c:pt>
              </c:numCache>
            </c:numRef>
          </c:val>
        </c:ser>
        <c:dLbls>
          <c:showLegendKey val="0"/>
          <c:showVal val="0"/>
          <c:showCatName val="0"/>
          <c:showSerName val="0"/>
          <c:showPercent val="0"/>
          <c:showBubbleSize val="0"/>
        </c:dLbls>
        <c:gapWidth val="75"/>
        <c:overlap val="-25"/>
        <c:axId val="541283560"/>
        <c:axId val="541283952"/>
      </c:barChart>
      <c:lineChart>
        <c:grouping val="standard"/>
        <c:varyColors val="0"/>
        <c:ser>
          <c:idx val="1"/>
          <c:order val="1"/>
          <c:tx>
            <c:strRef>
              <c:f>Regional!$AF$62</c:f>
              <c:strCache>
                <c:ptCount val="1"/>
                <c:pt idx="0">
                  <c:v>Esperance de vie</c:v>
                </c:pt>
              </c:strCache>
            </c:strRef>
          </c:tx>
          <c:cat>
            <c:strRef>
              <c:f>Regional!$AC$63:$AC$71</c:f>
              <c:strCache>
                <c:ptCount val="9"/>
                <c:pt idx="0">
                  <c:v>Kidal</c:v>
                </c:pt>
                <c:pt idx="1">
                  <c:v>Bamako</c:v>
                </c:pt>
                <c:pt idx="2">
                  <c:v>Kayes</c:v>
                </c:pt>
                <c:pt idx="3">
                  <c:v>Gao</c:v>
                </c:pt>
                <c:pt idx="4">
                  <c:v>Ségou</c:v>
                </c:pt>
                <c:pt idx="5">
                  <c:v>Tombouctou</c:v>
                </c:pt>
                <c:pt idx="6">
                  <c:v>Koulikoro</c:v>
                </c:pt>
                <c:pt idx="7">
                  <c:v>Mopti</c:v>
                </c:pt>
                <c:pt idx="8">
                  <c:v>Sikasso</c:v>
                </c:pt>
              </c:strCache>
            </c:strRef>
          </c:cat>
          <c:val>
            <c:numRef>
              <c:f>Regional!$AF$63:$AF$71</c:f>
              <c:numCache>
                <c:formatCode>General</c:formatCode>
                <c:ptCount val="9"/>
                <c:pt idx="0">
                  <c:v>59.9</c:v>
                </c:pt>
                <c:pt idx="1">
                  <c:v>59.6</c:v>
                </c:pt>
                <c:pt idx="2">
                  <c:v>55.3</c:v>
                </c:pt>
                <c:pt idx="3">
                  <c:v>56.2</c:v>
                </c:pt>
                <c:pt idx="4">
                  <c:v>53.8</c:v>
                </c:pt>
                <c:pt idx="5">
                  <c:v>56.5</c:v>
                </c:pt>
                <c:pt idx="6">
                  <c:v>56.3</c:v>
                </c:pt>
                <c:pt idx="7">
                  <c:v>55</c:v>
                </c:pt>
                <c:pt idx="8">
                  <c:v>53.2</c:v>
                </c:pt>
              </c:numCache>
            </c:numRef>
          </c:val>
          <c:smooth val="0"/>
        </c:ser>
        <c:dLbls>
          <c:showLegendKey val="0"/>
          <c:showVal val="0"/>
          <c:showCatName val="0"/>
          <c:showSerName val="0"/>
          <c:showPercent val="0"/>
          <c:showBubbleSize val="0"/>
        </c:dLbls>
        <c:marker val="1"/>
        <c:smooth val="0"/>
        <c:axId val="541284736"/>
        <c:axId val="541284344"/>
      </c:lineChart>
      <c:catAx>
        <c:axId val="541283560"/>
        <c:scaling>
          <c:orientation val="minMax"/>
        </c:scaling>
        <c:delete val="0"/>
        <c:axPos val="b"/>
        <c:numFmt formatCode="General" sourceLinked="0"/>
        <c:majorTickMark val="none"/>
        <c:minorTickMark val="none"/>
        <c:tickLblPos val="nextTo"/>
        <c:crossAx val="541283952"/>
        <c:crosses val="autoZero"/>
        <c:auto val="1"/>
        <c:lblAlgn val="ctr"/>
        <c:lblOffset val="100"/>
        <c:noMultiLvlLbl val="0"/>
      </c:catAx>
      <c:valAx>
        <c:axId val="541283952"/>
        <c:scaling>
          <c:orientation val="minMax"/>
        </c:scaling>
        <c:delete val="0"/>
        <c:axPos val="l"/>
        <c:majorGridlines/>
        <c:title>
          <c:tx>
            <c:rich>
              <a:bodyPr rot="-5400000" vert="horz"/>
              <a:lstStyle/>
              <a:p>
                <a:pPr>
                  <a:defRPr/>
                </a:pPr>
                <a:r>
                  <a:rPr lang="en-US"/>
                  <a:t>Purcent</a:t>
                </a:r>
              </a:p>
            </c:rich>
          </c:tx>
          <c:layout/>
          <c:overlay val="0"/>
        </c:title>
        <c:numFmt formatCode="0" sourceLinked="1"/>
        <c:majorTickMark val="none"/>
        <c:minorTickMark val="none"/>
        <c:tickLblPos val="nextTo"/>
        <c:spPr>
          <a:ln w="9525">
            <a:noFill/>
          </a:ln>
        </c:spPr>
        <c:crossAx val="541283560"/>
        <c:crosses val="autoZero"/>
        <c:crossBetween val="between"/>
      </c:valAx>
      <c:valAx>
        <c:axId val="541284344"/>
        <c:scaling>
          <c:orientation val="minMax"/>
        </c:scaling>
        <c:delete val="0"/>
        <c:axPos val="r"/>
        <c:title>
          <c:tx>
            <c:rich>
              <a:bodyPr rot="-5400000" vert="horz"/>
              <a:lstStyle/>
              <a:p>
                <a:pPr>
                  <a:defRPr/>
                </a:pPr>
                <a:r>
                  <a:rPr lang="en-US"/>
                  <a:t>Years</a:t>
                </a:r>
              </a:p>
            </c:rich>
          </c:tx>
          <c:layout/>
          <c:overlay val="0"/>
        </c:title>
        <c:numFmt formatCode="General" sourceLinked="1"/>
        <c:majorTickMark val="out"/>
        <c:minorTickMark val="none"/>
        <c:tickLblPos val="nextTo"/>
        <c:crossAx val="541284736"/>
        <c:crosses val="max"/>
        <c:crossBetween val="between"/>
      </c:valAx>
      <c:catAx>
        <c:axId val="541284736"/>
        <c:scaling>
          <c:orientation val="minMax"/>
        </c:scaling>
        <c:delete val="1"/>
        <c:axPos val="b"/>
        <c:numFmt formatCode="General" sourceLinked="1"/>
        <c:majorTickMark val="out"/>
        <c:minorTickMark val="none"/>
        <c:tickLblPos val="nextTo"/>
        <c:crossAx val="54128434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Regional!$AD$62</c:f>
              <c:strCache>
                <c:ptCount val="1"/>
                <c:pt idx="0">
                  <c:v>Retard de croissance</c:v>
                </c:pt>
              </c:strCache>
            </c:strRef>
          </c:tx>
          <c:invertIfNegative val="0"/>
          <c:cat>
            <c:strRef>
              <c:f>Regional!$AC$63:$AC$71</c:f>
              <c:strCache>
                <c:ptCount val="9"/>
                <c:pt idx="0">
                  <c:v>Kidal</c:v>
                </c:pt>
                <c:pt idx="1">
                  <c:v>Bamako</c:v>
                </c:pt>
                <c:pt idx="2">
                  <c:v>Kayes</c:v>
                </c:pt>
                <c:pt idx="3">
                  <c:v>Gao</c:v>
                </c:pt>
                <c:pt idx="4">
                  <c:v>Ségou</c:v>
                </c:pt>
                <c:pt idx="5">
                  <c:v>Tombouctou</c:v>
                </c:pt>
                <c:pt idx="6">
                  <c:v>Koulikoro</c:v>
                </c:pt>
                <c:pt idx="7">
                  <c:v>Mopti</c:v>
                </c:pt>
                <c:pt idx="8">
                  <c:v>Sikasso</c:v>
                </c:pt>
              </c:strCache>
            </c:strRef>
          </c:cat>
          <c:val>
            <c:numRef>
              <c:f>Regional!$AD$63:$AD$71</c:f>
              <c:numCache>
                <c:formatCode>0</c:formatCode>
                <c:ptCount val="9"/>
                <c:pt idx="0">
                  <c:v>13.6</c:v>
                </c:pt>
                <c:pt idx="1">
                  <c:v>14</c:v>
                </c:pt>
                <c:pt idx="2">
                  <c:v>19.399999999999999</c:v>
                </c:pt>
                <c:pt idx="3">
                  <c:v>20.7</c:v>
                </c:pt>
                <c:pt idx="4">
                  <c:v>24.8</c:v>
                </c:pt>
                <c:pt idx="5">
                  <c:v>27.8</c:v>
                </c:pt>
                <c:pt idx="6">
                  <c:v>28.1</c:v>
                </c:pt>
                <c:pt idx="7">
                  <c:v>31.9</c:v>
                </c:pt>
                <c:pt idx="8">
                  <c:v>39.200000000000003</c:v>
                </c:pt>
              </c:numCache>
            </c:numRef>
          </c:val>
        </c:ser>
        <c:dLbls>
          <c:showLegendKey val="0"/>
          <c:showVal val="0"/>
          <c:showCatName val="0"/>
          <c:showSerName val="0"/>
          <c:showPercent val="0"/>
          <c:showBubbleSize val="0"/>
        </c:dLbls>
        <c:gapWidth val="75"/>
        <c:overlap val="-25"/>
        <c:axId val="541109960"/>
        <c:axId val="541110352"/>
      </c:barChart>
      <c:barChart>
        <c:barDir val="col"/>
        <c:grouping val="clustered"/>
        <c:varyColors val="0"/>
        <c:ser>
          <c:idx val="2"/>
          <c:order val="1"/>
          <c:tx>
            <c:strRef>
              <c:f>Regional!$AG$62</c:f>
              <c:strCache>
                <c:ptCount val="1"/>
                <c:pt idx="0">
                  <c:v>Emaciation</c:v>
                </c:pt>
              </c:strCache>
            </c:strRef>
          </c:tx>
          <c:invertIfNegative val="0"/>
          <c:val>
            <c:numRef>
              <c:f>Regional!$AG$63:$AG$71</c:f>
              <c:numCache>
                <c:formatCode>0</c:formatCode>
                <c:ptCount val="9"/>
                <c:pt idx="0">
                  <c:v>6</c:v>
                </c:pt>
                <c:pt idx="1">
                  <c:v>8.4</c:v>
                </c:pt>
                <c:pt idx="2">
                  <c:v>12.9</c:v>
                </c:pt>
                <c:pt idx="3">
                  <c:v>15</c:v>
                </c:pt>
                <c:pt idx="4">
                  <c:v>8.5</c:v>
                </c:pt>
                <c:pt idx="5">
                  <c:v>15.9</c:v>
                </c:pt>
                <c:pt idx="6">
                  <c:v>13.1</c:v>
                </c:pt>
                <c:pt idx="7">
                  <c:v>9.5</c:v>
                </c:pt>
                <c:pt idx="8">
                  <c:v>7.5</c:v>
                </c:pt>
              </c:numCache>
            </c:numRef>
          </c:val>
        </c:ser>
        <c:dLbls>
          <c:showLegendKey val="0"/>
          <c:showVal val="0"/>
          <c:showCatName val="0"/>
          <c:showSerName val="0"/>
          <c:showPercent val="0"/>
          <c:showBubbleSize val="0"/>
        </c:dLbls>
        <c:gapWidth val="150"/>
        <c:axId val="541111136"/>
        <c:axId val="541110744"/>
      </c:barChart>
      <c:lineChart>
        <c:grouping val="standard"/>
        <c:varyColors val="0"/>
        <c:ser>
          <c:idx val="1"/>
          <c:order val="2"/>
          <c:tx>
            <c:strRef>
              <c:f>Regional!$AE$62</c:f>
              <c:strCache>
                <c:ptCount val="1"/>
                <c:pt idx="0">
                  <c:v>Taux de pauvrete</c:v>
                </c:pt>
              </c:strCache>
            </c:strRef>
          </c:tx>
          <c:cat>
            <c:strRef>
              <c:f>Regional!$AC$63:$AC$71</c:f>
              <c:strCache>
                <c:ptCount val="9"/>
                <c:pt idx="0">
                  <c:v>Kidal</c:v>
                </c:pt>
                <c:pt idx="1">
                  <c:v>Bamako</c:v>
                </c:pt>
                <c:pt idx="2">
                  <c:v>Kayes</c:v>
                </c:pt>
                <c:pt idx="3">
                  <c:v>Gao</c:v>
                </c:pt>
                <c:pt idx="4">
                  <c:v>Ségou</c:v>
                </c:pt>
                <c:pt idx="5">
                  <c:v>Tombouctou</c:v>
                </c:pt>
                <c:pt idx="6">
                  <c:v>Koulikoro</c:v>
                </c:pt>
                <c:pt idx="7">
                  <c:v>Mopti</c:v>
                </c:pt>
                <c:pt idx="8">
                  <c:v>Sikasso</c:v>
                </c:pt>
              </c:strCache>
            </c:strRef>
          </c:cat>
          <c:val>
            <c:numRef>
              <c:f>Regional!$AE$63:$AE$71</c:f>
              <c:numCache>
                <c:formatCode>#,###,##0</c:formatCode>
                <c:ptCount val="9"/>
                <c:pt idx="0">
                  <c:v>14.840420378678237</c:v>
                </c:pt>
                <c:pt idx="1">
                  <c:v>7.590313171845068</c:v>
                </c:pt>
                <c:pt idx="2">
                  <c:v>28.5168472885168</c:v>
                </c:pt>
                <c:pt idx="3">
                  <c:v>29.120644348496853</c:v>
                </c:pt>
                <c:pt idx="4">
                  <c:v>42.032656166647662</c:v>
                </c:pt>
                <c:pt idx="5">
                  <c:v>31.110185098019887</c:v>
                </c:pt>
                <c:pt idx="6">
                  <c:v>46.607279958176981</c:v>
                </c:pt>
                <c:pt idx="7">
                  <c:v>46.046119808160334</c:v>
                </c:pt>
                <c:pt idx="8">
                  <c:v>69.135556709807545</c:v>
                </c:pt>
              </c:numCache>
            </c:numRef>
          </c:val>
          <c:smooth val="0"/>
        </c:ser>
        <c:dLbls>
          <c:showLegendKey val="0"/>
          <c:showVal val="0"/>
          <c:showCatName val="0"/>
          <c:showSerName val="0"/>
          <c:showPercent val="0"/>
          <c:showBubbleSize val="0"/>
        </c:dLbls>
        <c:marker val="1"/>
        <c:smooth val="0"/>
        <c:axId val="541111136"/>
        <c:axId val="541110744"/>
      </c:lineChart>
      <c:catAx>
        <c:axId val="541109960"/>
        <c:scaling>
          <c:orientation val="minMax"/>
        </c:scaling>
        <c:delete val="0"/>
        <c:axPos val="b"/>
        <c:numFmt formatCode="General" sourceLinked="0"/>
        <c:majorTickMark val="none"/>
        <c:minorTickMark val="none"/>
        <c:tickLblPos val="nextTo"/>
        <c:crossAx val="541110352"/>
        <c:crosses val="autoZero"/>
        <c:auto val="1"/>
        <c:lblAlgn val="ctr"/>
        <c:lblOffset val="100"/>
        <c:noMultiLvlLbl val="0"/>
      </c:catAx>
      <c:valAx>
        <c:axId val="541110352"/>
        <c:scaling>
          <c:orientation val="minMax"/>
        </c:scaling>
        <c:delete val="0"/>
        <c:axPos val="l"/>
        <c:majorGridlines/>
        <c:title>
          <c:tx>
            <c:rich>
              <a:bodyPr rot="-5400000" vert="horz"/>
              <a:lstStyle/>
              <a:p>
                <a:pPr>
                  <a:defRPr/>
                </a:pPr>
                <a:r>
                  <a:rPr lang="en-US"/>
                  <a:t>Poverty incidence</a:t>
                </a:r>
              </a:p>
            </c:rich>
          </c:tx>
          <c:layout/>
          <c:overlay val="0"/>
        </c:title>
        <c:numFmt formatCode="0" sourceLinked="1"/>
        <c:majorTickMark val="none"/>
        <c:minorTickMark val="none"/>
        <c:tickLblPos val="nextTo"/>
        <c:spPr>
          <a:ln w="9525">
            <a:noFill/>
          </a:ln>
        </c:spPr>
        <c:crossAx val="541109960"/>
        <c:crosses val="autoZero"/>
        <c:crossBetween val="between"/>
      </c:valAx>
      <c:valAx>
        <c:axId val="541110744"/>
        <c:scaling>
          <c:orientation val="minMax"/>
        </c:scaling>
        <c:delete val="0"/>
        <c:axPos val="r"/>
        <c:title>
          <c:tx>
            <c:rich>
              <a:bodyPr rot="-5400000" vert="horz"/>
              <a:lstStyle/>
              <a:p>
                <a:pPr>
                  <a:defRPr/>
                </a:pPr>
                <a:r>
                  <a:rPr lang="en-US"/>
                  <a:t>Years</a:t>
                </a:r>
              </a:p>
            </c:rich>
          </c:tx>
          <c:layout/>
          <c:overlay val="0"/>
        </c:title>
        <c:numFmt formatCode="0" sourceLinked="1"/>
        <c:majorTickMark val="out"/>
        <c:minorTickMark val="none"/>
        <c:tickLblPos val="nextTo"/>
        <c:crossAx val="541111136"/>
        <c:crosses val="max"/>
        <c:crossBetween val="between"/>
      </c:valAx>
      <c:catAx>
        <c:axId val="541111136"/>
        <c:scaling>
          <c:orientation val="minMax"/>
        </c:scaling>
        <c:delete val="1"/>
        <c:axPos val="b"/>
        <c:majorTickMark val="out"/>
        <c:minorTickMark val="none"/>
        <c:tickLblPos val="nextTo"/>
        <c:crossAx val="54111074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'mali communes'!$AB$1</c:f>
              <c:strCache>
                <c:ptCount val="1"/>
              </c:strCache>
            </c:strRef>
          </c:tx>
          <c:spPr>
            <a:solidFill>
              <a:schemeClr val="accent1">
                <a:lumMod val="60000"/>
                <a:lumOff val="40000"/>
              </a:schemeClr>
            </a:solidFill>
          </c:spPr>
          <c:invertIfNegative val="0"/>
          <c:dLbls>
            <c:dLbl>
              <c:idx val="4"/>
              <c:layout/>
              <c:showLegendKey val="0"/>
              <c:showVal val="1"/>
              <c:showCatName val="0"/>
              <c:showSerName val="0"/>
              <c:showPercent val="0"/>
              <c:showBubbleSize val="0"/>
              <c:extLst>
                <c:ext xmlns:c15="http://schemas.microsoft.com/office/drawing/2012/chart" uri="{CE6537A1-D6FC-4f65-9D91-7224C49458BB}">
                  <c15:layout/>
                </c:ext>
              </c:extLst>
            </c:dLbl>
            <c:dLbl>
              <c:idx val="9"/>
              <c:layout/>
              <c:showLegendKey val="0"/>
              <c:showVal val="1"/>
              <c:showCatName val="0"/>
              <c:showSerName val="0"/>
              <c:showPercent val="0"/>
              <c:showBubbleSize val="0"/>
              <c:extLst>
                <c:ext xmlns:c15="http://schemas.microsoft.com/office/drawing/2012/chart" uri="{CE6537A1-D6FC-4f65-9D91-7224C49458BB}">
                  <c15:layout/>
                </c:ext>
              </c:extLst>
            </c:dLbl>
            <c:dLbl>
              <c:idx val="14"/>
              <c:layout/>
              <c:showLegendKey val="0"/>
              <c:showVal val="1"/>
              <c:showCatName val="0"/>
              <c:showSerName val="0"/>
              <c:showPercent val="0"/>
              <c:showBubbleSize val="0"/>
              <c:extLst>
                <c:ext xmlns:c15="http://schemas.microsoft.com/office/drawing/2012/chart" uri="{CE6537A1-D6FC-4f65-9D91-7224C49458BB}">
                  <c15:layout/>
                </c:ext>
              </c:extLst>
            </c:dLbl>
            <c:dLbl>
              <c:idx val="19"/>
              <c:layout/>
              <c:showLegendKey val="0"/>
              <c:showVal val="1"/>
              <c:showCatName val="0"/>
              <c:showSerName val="0"/>
              <c:showPercent val="0"/>
              <c:showBubbleSize val="0"/>
              <c:extLst>
                <c:ext xmlns:c15="http://schemas.microsoft.com/office/drawing/2012/chart" uri="{CE6537A1-D6FC-4f65-9D91-7224C49458BB}">
                  <c15:layout/>
                </c:ext>
              </c:extLst>
            </c:dLbl>
            <c:dLbl>
              <c:idx val="24"/>
              <c:layout/>
              <c:showLegendKey val="0"/>
              <c:showVal val="1"/>
              <c:showCatName val="0"/>
              <c:showSerName val="0"/>
              <c:showPercent val="0"/>
              <c:showBubbleSize val="0"/>
              <c:extLst>
                <c:ext xmlns:c15="http://schemas.microsoft.com/office/drawing/2012/chart" uri="{CE6537A1-D6FC-4f65-9D91-7224C49458BB}">
                  <c15:layout/>
                </c:ext>
              </c:extLst>
            </c:dLbl>
            <c:dLbl>
              <c:idx val="29"/>
              <c:layout/>
              <c:showLegendKey val="0"/>
              <c:showVal val="1"/>
              <c:showCatName val="0"/>
              <c:showSerName val="0"/>
              <c:showPercent val="0"/>
              <c:showBubbleSize val="0"/>
              <c:extLst>
                <c:ext xmlns:c15="http://schemas.microsoft.com/office/drawing/2012/chart" uri="{CE6537A1-D6FC-4f65-9D91-7224C49458BB}">
                  <c15:layout/>
                </c:ext>
              </c:extLst>
            </c:dLbl>
            <c:dLbl>
              <c:idx val="34"/>
              <c:layout/>
              <c:showLegendKey val="0"/>
              <c:showVal val="1"/>
              <c:showCatName val="0"/>
              <c:showSerName val="0"/>
              <c:showPercent val="0"/>
              <c:showBubbleSize val="0"/>
              <c:extLst>
                <c:ext xmlns:c15="http://schemas.microsoft.com/office/drawing/2012/chart" uri="{CE6537A1-D6FC-4f65-9D91-7224C49458BB}">
                  <c15:layout/>
                </c:ext>
              </c:extLst>
            </c:dLbl>
            <c:dLbl>
              <c:idx val="39"/>
              <c:layout/>
              <c:showLegendKey val="0"/>
              <c:showVal val="1"/>
              <c:showCatName val="0"/>
              <c:showSerName val="0"/>
              <c:showPercent val="0"/>
              <c:showBubbleSize val="0"/>
              <c:extLst>
                <c:ext xmlns:c15="http://schemas.microsoft.com/office/drawing/2012/chart" uri="{CE6537A1-D6FC-4f65-9D91-7224C49458BB}">
                  <c15:layout/>
                </c:ext>
              </c:extLst>
            </c:dLbl>
            <c:dLbl>
              <c:idx val="43"/>
              <c:layout/>
              <c:showLegendKey val="0"/>
              <c:showVal val="1"/>
              <c:showCatName val="0"/>
              <c:showSerName val="0"/>
              <c:showPercent val="0"/>
              <c:showBubbleSize val="0"/>
              <c:extLst>
                <c:ext xmlns:c15="http://schemas.microsoft.com/office/drawing/2012/chart" uri="{CE6537A1-D6FC-4f65-9D91-7224C49458BB}">
                  <c15:layout/>
                </c:ext>
              </c:extLst>
            </c:dLbl>
            <c:dLbl>
              <c:idx val="47"/>
              <c:layout>
                <c:manualLayout>
                  <c:x val="2.5000000000000001E-2"/>
                  <c:y val="0"/>
                </c:manualLayout>
              </c:layout>
              <c:tx>
                <c:rich>
                  <a:bodyPr/>
                  <a:lstStyle/>
                  <a:p>
                    <a:r>
                      <a:rPr lang="en-US"/>
                      <a:t> 10,332</a:t>
                    </a:r>
                  </a:p>
                </c:rich>
              </c:tx>
              <c:showLegendKey val="0"/>
              <c:showVal val="1"/>
              <c:showCatName val="0"/>
              <c:showSerName val="0"/>
              <c:showPercent val="0"/>
              <c:showBubbleSize val="0"/>
              <c:extLst>
                <c:ext xmlns:c15="http://schemas.microsoft.com/office/drawing/2012/chart" uri="{CE6537A1-D6FC-4f65-9D91-7224C49458BB}">
                  <c15:layout/>
                </c:ext>
              </c:extLst>
            </c:dLbl>
            <c:dLbl>
              <c:idx val="48"/>
              <c:layout>
                <c:manualLayout>
                  <c:x val="1.38888888888889E-2"/>
                  <c:y val="0.148148148148148"/>
                </c:manualLayout>
              </c:layout>
              <c:showLegendKey val="0"/>
              <c:showVal val="1"/>
              <c:showCatName val="0"/>
              <c:showSerName val="0"/>
              <c:showPercent val="0"/>
              <c:showBubbleSize val="0"/>
              <c:extLst>
                <c:ext xmlns:c15="http://schemas.microsoft.com/office/drawing/2012/chart" uri="{CE6537A1-D6FC-4f65-9D91-7224C49458BB}"/>
              </c:extLst>
            </c:dLbl>
            <c:dLbl>
              <c:idx val="4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'mali communes'!$O$3:$O$52</c:f>
              <c:numCache>
                <c:formatCode>General</c:formatCode>
                <c:ptCount val="50"/>
                <c:pt idx="3">
                  <c:v>10</c:v>
                </c:pt>
                <c:pt idx="8">
                  <c:v>20</c:v>
                </c:pt>
                <c:pt idx="13">
                  <c:v>30</c:v>
                </c:pt>
                <c:pt idx="18">
                  <c:v>40</c:v>
                </c:pt>
                <c:pt idx="23">
                  <c:v>50</c:v>
                </c:pt>
                <c:pt idx="28">
                  <c:v>60</c:v>
                </c:pt>
                <c:pt idx="33">
                  <c:v>70</c:v>
                </c:pt>
                <c:pt idx="38">
                  <c:v>80</c:v>
                </c:pt>
                <c:pt idx="43">
                  <c:v>90</c:v>
                </c:pt>
                <c:pt idx="48">
                  <c:v>100</c:v>
                </c:pt>
              </c:numCache>
            </c:numRef>
          </c:cat>
          <c:val>
            <c:numRef>
              <c:f>'mali communes'!$AB$3:$AB$52</c:f>
              <c:numCache>
                <c:formatCode>_(* #,##0_);_(* \(#,##0\);_(* "-"??_);_(@_)</c:formatCode>
                <c:ptCount val="50"/>
                <c:pt idx="0">
                  <c:v>0.82537720000000003</c:v>
                </c:pt>
                <c:pt idx="1">
                  <c:v>3.6607430000000001</c:v>
                </c:pt>
                <c:pt idx="2">
                  <c:v>6.2797739999999997</c:v>
                </c:pt>
                <c:pt idx="3">
                  <c:v>8.0580400000000001</c:v>
                </c:pt>
                <c:pt idx="4">
                  <c:v>9.6133780000000009</c:v>
                </c:pt>
                <c:pt idx="5">
                  <c:v>11.039910000000001</c:v>
                </c:pt>
                <c:pt idx="6">
                  <c:v>13.422879999999999</c:v>
                </c:pt>
                <c:pt idx="7">
                  <c:v>15.332129999999999</c:v>
                </c:pt>
                <c:pt idx="8">
                  <c:v>16.946100000000001</c:v>
                </c:pt>
                <c:pt idx="9">
                  <c:v>18.783799999999999</c:v>
                </c:pt>
                <c:pt idx="10">
                  <c:v>20.22664</c:v>
                </c:pt>
                <c:pt idx="11">
                  <c:v>21.696280000000002</c:v>
                </c:pt>
                <c:pt idx="12">
                  <c:v>22.755990000000001</c:v>
                </c:pt>
                <c:pt idx="13">
                  <c:v>23.98123</c:v>
                </c:pt>
                <c:pt idx="14">
                  <c:v>25.677009999999999</c:v>
                </c:pt>
                <c:pt idx="15">
                  <c:v>27.13833</c:v>
                </c:pt>
                <c:pt idx="16">
                  <c:v>28.826160000000002</c:v>
                </c:pt>
                <c:pt idx="17">
                  <c:v>30.59806</c:v>
                </c:pt>
                <c:pt idx="18">
                  <c:v>31.766020000000001</c:v>
                </c:pt>
                <c:pt idx="19">
                  <c:v>33.188690000000001</c:v>
                </c:pt>
                <c:pt idx="20">
                  <c:v>34.838850000000001</c:v>
                </c:pt>
                <c:pt idx="21">
                  <c:v>36.591799999999999</c:v>
                </c:pt>
                <c:pt idx="22">
                  <c:v>38.126069999999999</c:v>
                </c:pt>
                <c:pt idx="23">
                  <c:v>39.995919999999998</c:v>
                </c:pt>
                <c:pt idx="24">
                  <c:v>42.392479999999999</c:v>
                </c:pt>
                <c:pt idx="25">
                  <c:v>44.194159999999997</c:v>
                </c:pt>
                <c:pt idx="26">
                  <c:v>46.09901</c:v>
                </c:pt>
                <c:pt idx="27">
                  <c:v>48.855080000000001</c:v>
                </c:pt>
                <c:pt idx="28">
                  <c:v>50.851080000000003</c:v>
                </c:pt>
                <c:pt idx="29">
                  <c:v>54.36524</c:v>
                </c:pt>
                <c:pt idx="30">
                  <c:v>58.37574</c:v>
                </c:pt>
                <c:pt idx="31">
                  <c:v>63.637239999999998</c:v>
                </c:pt>
                <c:pt idx="32">
                  <c:v>68.908580000000001</c:v>
                </c:pt>
                <c:pt idx="33">
                  <c:v>73.669160000000005</c:v>
                </c:pt>
                <c:pt idx="34">
                  <c:v>80.466909999999999</c:v>
                </c:pt>
                <c:pt idx="35">
                  <c:v>91.514650000000003</c:v>
                </c:pt>
                <c:pt idx="36">
                  <c:v>121.5051</c:v>
                </c:pt>
                <c:pt idx="37">
                  <c:v>161.14320000000001</c:v>
                </c:pt>
                <c:pt idx="38">
                  <c:v>265.32229999999998</c:v>
                </c:pt>
                <c:pt idx="39">
                  <c:v>468.50700000000001</c:v>
                </c:pt>
                <c:pt idx="40">
                  <c:v>797.66120000000001</c:v>
                </c:pt>
                <c:pt idx="41">
                  <c:v>1566.838</c:v>
                </c:pt>
                <c:pt idx="42">
                  <c:v>4063.056</c:v>
                </c:pt>
                <c:pt idx="43">
                  <c:v>5340.1030000000001</c:v>
                </c:pt>
                <c:pt idx="44">
                  <c:v>6495.0020000000004</c:v>
                </c:pt>
                <c:pt idx="45">
                  <c:v>7306.2860000000001</c:v>
                </c:pt>
                <c:pt idx="46">
                  <c:v>8298.9830000000002</c:v>
                </c:pt>
                <c:pt idx="47">
                  <c:v>9454.7150000000001</c:v>
                </c:pt>
                <c:pt idx="48">
                  <c:v>10331.65</c:v>
                </c:pt>
              </c:numCache>
            </c:numRef>
          </c:val>
        </c:ser>
        <c:dLbls>
          <c:showLegendKey val="0"/>
          <c:showVal val="0"/>
          <c:showCatName val="0"/>
          <c:showSerName val="0"/>
          <c:showPercent val="0"/>
          <c:showBubbleSize val="0"/>
        </c:dLbls>
        <c:gapWidth val="150"/>
        <c:axId val="541111920"/>
        <c:axId val="541112312"/>
      </c:barChart>
      <c:catAx>
        <c:axId val="541111920"/>
        <c:scaling>
          <c:orientation val="minMax"/>
        </c:scaling>
        <c:delete val="0"/>
        <c:axPos val="b"/>
        <c:title>
          <c:tx>
            <c:rich>
              <a:bodyPr/>
              <a:lstStyle/>
              <a:p>
                <a:pPr>
                  <a:defRPr/>
                </a:pPr>
                <a:r>
                  <a:rPr lang="en-US"/>
                  <a:t>Percent of the population</a:t>
                </a:r>
              </a:p>
            </c:rich>
          </c:tx>
          <c:layout/>
          <c:overlay val="0"/>
        </c:title>
        <c:numFmt formatCode="General" sourceLinked="1"/>
        <c:majorTickMark val="none"/>
        <c:minorTickMark val="none"/>
        <c:tickLblPos val="nextTo"/>
        <c:crossAx val="541112312"/>
        <c:crosses val="autoZero"/>
        <c:auto val="1"/>
        <c:lblAlgn val="ctr"/>
        <c:lblOffset val="100"/>
        <c:tickLblSkip val="1"/>
        <c:noMultiLvlLbl val="0"/>
      </c:catAx>
      <c:valAx>
        <c:axId val="541112312"/>
        <c:scaling>
          <c:logBase val="10"/>
          <c:orientation val="minMax"/>
          <c:max val="10000"/>
        </c:scaling>
        <c:delete val="0"/>
        <c:axPos val="l"/>
        <c:majorGridlines/>
        <c:title>
          <c:tx>
            <c:rich>
              <a:bodyPr rot="-5400000" vert="horz"/>
              <a:lstStyle/>
              <a:p>
                <a:pPr>
                  <a:defRPr/>
                </a:pPr>
                <a:r>
                  <a:rPr lang="en-US"/>
                  <a:t> Popilation density per km2</a:t>
                </a:r>
              </a:p>
            </c:rich>
          </c:tx>
          <c:layout/>
          <c:overlay val="0"/>
        </c:title>
        <c:numFmt formatCode="_(* #,##0_);_(* \(#,##0\);_(* &quot;-&quot;??_);_(@_)" sourceLinked="1"/>
        <c:majorTickMark val="out"/>
        <c:minorTickMark val="none"/>
        <c:tickLblPos val="nextTo"/>
        <c:crossAx val="541111920"/>
        <c:crosses val="autoZero"/>
        <c:crossBetween val="between"/>
      </c:valAx>
      <c:spPr>
        <a:noFill/>
        <a:ln w="25400">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2"/>
          <c:order val="0"/>
          <c:tx>
            <c:strRef>
              <c:f>'head of household 2009 census'!$D$24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'head of household 2009 census'!$A$25:$A$35</c:f>
              <c:strCache>
                <c:ptCount val="11"/>
                <c:pt idx="0">
                  <c:v>Kayes</c:v>
                </c:pt>
                <c:pt idx="1">
                  <c:v>Koulikoro</c:v>
                </c:pt>
                <c:pt idx="2">
                  <c:v>Sikasso</c:v>
                </c:pt>
                <c:pt idx="3">
                  <c:v>Segou</c:v>
                </c:pt>
                <c:pt idx="4">
                  <c:v>Mopti</c:v>
                </c:pt>
                <c:pt idx="5">
                  <c:v>Tombouctou</c:v>
                </c:pt>
                <c:pt idx="6">
                  <c:v>Gao</c:v>
                </c:pt>
                <c:pt idx="7">
                  <c:v>Kidal</c:v>
                </c:pt>
                <c:pt idx="8">
                  <c:v>Bamako</c:v>
                </c:pt>
                <c:pt idx="10">
                  <c:v>Mali</c:v>
                </c:pt>
              </c:strCache>
            </c:strRef>
          </c:cat>
          <c:val>
            <c:numRef>
              <c:f>'head of household 2009 census'!$D$25:$D$35</c:f>
              <c:numCache>
                <c:formatCode>0</c:formatCode>
                <c:ptCount val="11"/>
                <c:pt idx="0">
                  <c:v>63.088850000000001</c:v>
                </c:pt>
                <c:pt idx="1">
                  <c:v>64.310720000000003</c:v>
                </c:pt>
                <c:pt idx="2">
                  <c:v>66.408140000000003</c:v>
                </c:pt>
                <c:pt idx="3">
                  <c:v>59.458080000000002</c:v>
                </c:pt>
                <c:pt idx="4">
                  <c:v>36.133140000000012</c:v>
                </c:pt>
                <c:pt idx="5">
                  <c:v>34.739360000000012</c:v>
                </c:pt>
                <c:pt idx="6">
                  <c:v>67.993939999999995</c:v>
                </c:pt>
                <c:pt idx="7">
                  <c:v>65.691560000000024</c:v>
                </c:pt>
                <c:pt idx="8">
                  <c:v>83.114230000000006</c:v>
                </c:pt>
                <c:pt idx="10">
                  <c:v>59.858780000000003</c:v>
                </c:pt>
              </c:numCache>
            </c:numRef>
          </c:val>
        </c:ser>
        <c:ser>
          <c:idx val="3"/>
          <c:order val="1"/>
          <c:tx>
            <c:strRef>
              <c:f>'head of household 2009 census'!$E$24</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'head of household 2009 census'!$A$25:$A$35</c:f>
              <c:strCache>
                <c:ptCount val="11"/>
                <c:pt idx="0">
                  <c:v>Kayes</c:v>
                </c:pt>
                <c:pt idx="1">
                  <c:v>Koulikoro</c:v>
                </c:pt>
                <c:pt idx="2">
                  <c:v>Sikasso</c:v>
                </c:pt>
                <c:pt idx="3">
                  <c:v>Segou</c:v>
                </c:pt>
                <c:pt idx="4">
                  <c:v>Mopti</c:v>
                </c:pt>
                <c:pt idx="5">
                  <c:v>Tombouctou</c:v>
                </c:pt>
                <c:pt idx="6">
                  <c:v>Gao</c:v>
                </c:pt>
                <c:pt idx="7">
                  <c:v>Kidal</c:v>
                </c:pt>
                <c:pt idx="8">
                  <c:v>Bamako</c:v>
                </c:pt>
                <c:pt idx="10">
                  <c:v>Mali</c:v>
                </c:pt>
              </c:strCache>
            </c:strRef>
          </c:cat>
          <c:val>
            <c:numRef>
              <c:f>'head of household 2009 census'!$E$25:$E$35</c:f>
              <c:numCache>
                <c:formatCode>General</c:formatCode>
                <c:ptCount val="11"/>
                <c:pt idx="0">
                  <c:v>60</c:v>
                </c:pt>
                <c:pt idx="1">
                  <c:v>54</c:v>
                </c:pt>
                <c:pt idx="2">
                  <c:v>59</c:v>
                </c:pt>
                <c:pt idx="3">
                  <c:v>50</c:v>
                </c:pt>
                <c:pt idx="4">
                  <c:v>35</c:v>
                </c:pt>
                <c:pt idx="8">
                  <c:v>92</c:v>
                </c:pt>
              </c:numCache>
            </c:numRef>
          </c:val>
        </c:ser>
        <c:dLbls>
          <c:showLegendKey val="0"/>
          <c:showVal val="1"/>
          <c:showCatName val="0"/>
          <c:showSerName val="0"/>
          <c:showPercent val="0"/>
          <c:showBubbleSize val="0"/>
        </c:dLbls>
        <c:gapWidth val="75"/>
        <c:axId val="541113096"/>
        <c:axId val="541113488"/>
      </c:barChart>
      <c:catAx>
        <c:axId val="541113096"/>
        <c:scaling>
          <c:orientation val="minMax"/>
        </c:scaling>
        <c:delete val="0"/>
        <c:axPos val="b"/>
        <c:numFmt formatCode="General" sourceLinked="0"/>
        <c:majorTickMark val="none"/>
        <c:minorTickMark val="none"/>
        <c:tickLblPos val="nextTo"/>
        <c:crossAx val="541113488"/>
        <c:crosses val="autoZero"/>
        <c:auto val="1"/>
        <c:lblAlgn val="ctr"/>
        <c:lblOffset val="100"/>
        <c:noMultiLvlLbl val="0"/>
      </c:catAx>
      <c:valAx>
        <c:axId val="541113488"/>
        <c:scaling>
          <c:orientation val="minMax"/>
        </c:scaling>
        <c:delete val="0"/>
        <c:axPos val="l"/>
        <c:title>
          <c:tx>
            <c:rich>
              <a:bodyPr rot="-5400000" vert="horz"/>
              <a:lstStyle/>
              <a:p>
                <a:pPr>
                  <a:defRPr/>
                </a:pPr>
                <a:r>
                  <a:rPr lang="en-US"/>
                  <a:t>Percent</a:t>
                </a:r>
              </a:p>
            </c:rich>
          </c:tx>
          <c:layout/>
          <c:overlay val="0"/>
        </c:title>
        <c:numFmt formatCode="0" sourceLinked="1"/>
        <c:majorTickMark val="none"/>
        <c:minorTickMark val="none"/>
        <c:tickLblPos val="nextTo"/>
        <c:crossAx val="54111309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2"/>
          <c:order val="0"/>
          <c:tx>
            <c:strRef>
              <c:f>'head of household 2009 census'!$D$24</c:f>
              <c:strCache>
                <c:ptCount val="1"/>
                <c:pt idx="0">
                  <c:v>Taux net de scolarisation</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'head of household 2009 census'!$A$25:$A$33</c:f>
              <c:strCache>
                <c:ptCount val="9"/>
                <c:pt idx="0">
                  <c:v>Kayes</c:v>
                </c:pt>
                <c:pt idx="1">
                  <c:v>Koulikoro</c:v>
                </c:pt>
                <c:pt idx="2">
                  <c:v>Sikasso</c:v>
                </c:pt>
                <c:pt idx="3">
                  <c:v>Segou</c:v>
                </c:pt>
                <c:pt idx="4">
                  <c:v>Mopti</c:v>
                </c:pt>
                <c:pt idx="5">
                  <c:v>Tombouctou</c:v>
                </c:pt>
                <c:pt idx="6">
                  <c:v>Gao</c:v>
                </c:pt>
                <c:pt idx="7">
                  <c:v>Kidal</c:v>
                </c:pt>
                <c:pt idx="8">
                  <c:v>Bamako</c:v>
                </c:pt>
              </c:strCache>
            </c:strRef>
          </c:cat>
          <c:val>
            <c:numRef>
              <c:f>'head of household 2009 census'!$D$25:$D$33</c:f>
              <c:numCache>
                <c:formatCode>0</c:formatCode>
                <c:ptCount val="9"/>
                <c:pt idx="0">
                  <c:v>63.088850000000001</c:v>
                </c:pt>
                <c:pt idx="1">
                  <c:v>64.310720000000003</c:v>
                </c:pt>
                <c:pt idx="2">
                  <c:v>66.408140000000003</c:v>
                </c:pt>
                <c:pt idx="3">
                  <c:v>59.458080000000002</c:v>
                </c:pt>
                <c:pt idx="4">
                  <c:v>36.133140000000012</c:v>
                </c:pt>
                <c:pt idx="5">
                  <c:v>34.739360000000012</c:v>
                </c:pt>
                <c:pt idx="6">
                  <c:v>67.993939999999995</c:v>
                </c:pt>
                <c:pt idx="7">
                  <c:v>65.691560000000024</c:v>
                </c:pt>
                <c:pt idx="8">
                  <c:v>83.114230000000006</c:v>
                </c:pt>
              </c:numCache>
            </c:numRef>
          </c:val>
        </c:ser>
        <c:dLbls>
          <c:showLegendKey val="0"/>
          <c:showVal val="1"/>
          <c:showCatName val="0"/>
          <c:showSerName val="0"/>
          <c:showPercent val="0"/>
          <c:showBubbleSize val="0"/>
        </c:dLbls>
        <c:gapWidth val="75"/>
        <c:axId val="541114272"/>
        <c:axId val="541114664"/>
      </c:barChart>
      <c:barChart>
        <c:barDir val="col"/>
        <c:grouping val="clustered"/>
        <c:varyColors val="0"/>
        <c:ser>
          <c:idx val="1"/>
          <c:order val="1"/>
          <c:tx>
            <c:v>Living less than 2 km from school</c:v>
          </c:tx>
          <c:invertIfNegative val="0"/>
          <c:dLbls>
            <c:dLbl>
              <c:idx val="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'head of household 2009 census'!$I$25:$I$33</c:f>
              <c:numCache>
                <c:formatCode>General</c:formatCode>
                <c:ptCount val="9"/>
                <c:pt idx="0">
                  <c:v>86</c:v>
                </c:pt>
                <c:pt idx="1">
                  <c:v>90</c:v>
                </c:pt>
                <c:pt idx="2">
                  <c:v>90</c:v>
                </c:pt>
                <c:pt idx="3">
                  <c:v>82</c:v>
                </c:pt>
                <c:pt idx="4">
                  <c:v>70</c:v>
                </c:pt>
                <c:pt idx="5">
                  <c:v>64</c:v>
                </c:pt>
                <c:pt idx="6">
                  <c:v>87</c:v>
                </c:pt>
                <c:pt idx="7">
                  <c:v>67</c:v>
                </c:pt>
                <c:pt idx="8">
                  <c:v>100</c:v>
                </c:pt>
              </c:numCache>
            </c:numRef>
          </c:val>
        </c:ser>
        <c:ser>
          <c:idx val="0"/>
          <c:order val="2"/>
          <c:tx>
            <c:v>Living less 5km from school (RGPH 2009)</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'head of household 2009 census'!$A$25:$A$33</c:f>
              <c:strCache>
                <c:ptCount val="9"/>
                <c:pt idx="0">
                  <c:v>Kayes</c:v>
                </c:pt>
                <c:pt idx="1">
                  <c:v>Koulikoro</c:v>
                </c:pt>
                <c:pt idx="2">
                  <c:v>Sikasso</c:v>
                </c:pt>
                <c:pt idx="3">
                  <c:v>Segou</c:v>
                </c:pt>
                <c:pt idx="4">
                  <c:v>Mopti</c:v>
                </c:pt>
                <c:pt idx="5">
                  <c:v>Tombouctou</c:v>
                </c:pt>
                <c:pt idx="6">
                  <c:v>Gao</c:v>
                </c:pt>
                <c:pt idx="7">
                  <c:v>Kidal</c:v>
                </c:pt>
                <c:pt idx="8">
                  <c:v>Bamako</c:v>
                </c:pt>
              </c:strCache>
            </c:strRef>
          </c:cat>
          <c:val>
            <c:numRef>
              <c:f>'head of household 2009 census'!$G$25:$G$33</c:f>
              <c:numCache>
                <c:formatCode>0</c:formatCode>
                <c:ptCount val="9"/>
                <c:pt idx="0">
                  <c:v>93</c:v>
                </c:pt>
                <c:pt idx="1">
                  <c:v>97</c:v>
                </c:pt>
                <c:pt idx="2">
                  <c:v>97</c:v>
                </c:pt>
                <c:pt idx="3">
                  <c:v>97</c:v>
                </c:pt>
                <c:pt idx="4">
                  <c:v>86</c:v>
                </c:pt>
                <c:pt idx="5">
                  <c:v>82</c:v>
                </c:pt>
                <c:pt idx="6">
                  <c:v>97</c:v>
                </c:pt>
                <c:pt idx="7">
                  <c:v>92</c:v>
                </c:pt>
                <c:pt idx="8">
                  <c:v>100</c:v>
                </c:pt>
              </c:numCache>
            </c:numRef>
          </c:val>
        </c:ser>
        <c:dLbls>
          <c:showLegendKey val="0"/>
          <c:showVal val="0"/>
          <c:showCatName val="0"/>
          <c:showSerName val="0"/>
          <c:showPercent val="0"/>
          <c:showBubbleSize val="0"/>
        </c:dLbls>
        <c:gapWidth val="500"/>
        <c:axId val="541115448"/>
        <c:axId val="541115056"/>
      </c:barChart>
      <c:catAx>
        <c:axId val="541114272"/>
        <c:scaling>
          <c:orientation val="minMax"/>
        </c:scaling>
        <c:delete val="0"/>
        <c:axPos val="b"/>
        <c:numFmt formatCode="General" sourceLinked="0"/>
        <c:majorTickMark val="none"/>
        <c:minorTickMark val="none"/>
        <c:tickLblPos val="nextTo"/>
        <c:crossAx val="541114664"/>
        <c:crosses val="autoZero"/>
        <c:auto val="1"/>
        <c:lblAlgn val="ctr"/>
        <c:lblOffset val="100"/>
        <c:noMultiLvlLbl val="0"/>
      </c:catAx>
      <c:valAx>
        <c:axId val="541114664"/>
        <c:scaling>
          <c:orientation val="minMax"/>
        </c:scaling>
        <c:delete val="0"/>
        <c:axPos val="l"/>
        <c:title>
          <c:tx>
            <c:rich>
              <a:bodyPr rot="-5400000" vert="horz"/>
              <a:lstStyle/>
              <a:p>
                <a:pPr>
                  <a:defRPr/>
                </a:pPr>
                <a:r>
                  <a:rPr lang="en-US"/>
                  <a:t>Net enrollment rate</a:t>
                </a:r>
              </a:p>
            </c:rich>
          </c:tx>
          <c:layout/>
          <c:overlay val="0"/>
        </c:title>
        <c:numFmt formatCode="0" sourceLinked="1"/>
        <c:majorTickMark val="none"/>
        <c:minorTickMark val="none"/>
        <c:tickLblPos val="nextTo"/>
        <c:crossAx val="541114272"/>
        <c:crosses val="autoZero"/>
        <c:crossBetween val="between"/>
      </c:valAx>
      <c:valAx>
        <c:axId val="541115056"/>
        <c:scaling>
          <c:orientation val="minMax"/>
          <c:max val="100"/>
          <c:min val="0"/>
        </c:scaling>
        <c:delete val="0"/>
        <c:axPos val="r"/>
        <c:title>
          <c:tx>
            <c:rich>
              <a:bodyPr rot="-5400000" vert="horz"/>
              <a:lstStyle/>
              <a:p>
                <a:pPr>
                  <a:defRPr/>
                </a:pPr>
                <a:r>
                  <a:rPr lang="en-US"/>
                  <a:t>Percent living within 5km of school</a:t>
                </a:r>
              </a:p>
            </c:rich>
          </c:tx>
          <c:layout/>
          <c:overlay val="0"/>
        </c:title>
        <c:numFmt formatCode="General" sourceLinked="1"/>
        <c:majorTickMark val="out"/>
        <c:minorTickMark val="none"/>
        <c:tickLblPos val="nextTo"/>
        <c:crossAx val="541115448"/>
        <c:crosses val="max"/>
        <c:crossBetween val="between"/>
      </c:valAx>
      <c:catAx>
        <c:axId val="541115448"/>
        <c:scaling>
          <c:orientation val="minMax"/>
        </c:scaling>
        <c:delete val="1"/>
        <c:axPos val="b"/>
        <c:majorTickMark val="out"/>
        <c:minorTickMark val="none"/>
        <c:tickLblPos val="nextTo"/>
        <c:crossAx val="541115056"/>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79844021137222"/>
          <c:y val="1.2373685295937306E-2"/>
          <c:w val="0.48816212099864992"/>
          <c:h val="0.87989827352692584"/>
        </c:manualLayout>
      </c:layout>
      <c:barChart>
        <c:barDir val="bar"/>
        <c:grouping val="clustered"/>
        <c:varyColors val="0"/>
        <c:ser>
          <c:idx val="0"/>
          <c:order val="0"/>
          <c:tx>
            <c:strRef>
              <c:f>Sheet1!$F$1</c:f>
              <c:strCache>
                <c:ptCount val="1"/>
                <c:pt idx="0">
                  <c:v>&lt;= 10km</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Sheet1!$B$3:$B$14</c:f>
              <c:strCache>
                <c:ptCount val="12"/>
                <c:pt idx="0">
                  <c:v>2. Nomadic and transhumant pastoralism</c:v>
                </c:pt>
                <c:pt idx="1">
                  <c:v>3. Fluvial rice and transhumant livestock </c:v>
                </c:pt>
                <c:pt idx="2">
                  <c:v>4. Millet and transhumant livestock rearing</c:v>
                </c:pt>
                <c:pt idx="3">
                  <c:v>5. Dogon plateau - millet, shallots, wild foods, and tourism</c:v>
                </c:pt>
                <c:pt idx="4">
                  <c:v>6. Niger delta/lakes - rice and livestock rearing</c:v>
                </c:pt>
                <c:pt idx="5">
                  <c:v>7. 'Office du Niger' - Irrigated rice</c:v>
                </c:pt>
                <c:pt idx="6">
                  <c:v>8. Remittances, sorghum and transhumant livestock</c:v>
                </c:pt>
                <c:pt idx="7">
                  <c:v>9. West and central rainfed millet/sorghum</c:v>
                </c:pt>
                <c:pt idx="8">
                  <c:v>10. Sorghum, millet, and cotton</c:v>
                </c:pt>
                <c:pt idx="9">
                  <c:v>11. South maize, cotton, and fruits</c:v>
                </c:pt>
                <c:pt idx="10">
                  <c:v>12. South-west maize, sorghum, and fruits</c:v>
                </c:pt>
                <c:pt idx="11">
                  <c:v>13. Bamako urban</c:v>
                </c:pt>
              </c:strCache>
            </c:strRef>
          </c:cat>
          <c:val>
            <c:numRef>
              <c:f>Sheet1!$R$3:$R$14</c:f>
              <c:numCache>
                <c:formatCode>General</c:formatCode>
                <c:ptCount val="12"/>
                <c:pt idx="0">
                  <c:v>124987.999916613</c:v>
                </c:pt>
                <c:pt idx="1">
                  <c:v>46185.999978432032</c:v>
                </c:pt>
                <c:pt idx="2">
                  <c:v>278780.99994686502</c:v>
                </c:pt>
                <c:pt idx="3">
                  <c:v>44034.999941750983</c:v>
                </c:pt>
                <c:pt idx="4">
                  <c:v>281347.99981593201</c:v>
                </c:pt>
                <c:pt idx="5">
                  <c:v>0</c:v>
                </c:pt>
                <c:pt idx="6">
                  <c:v>291720.000256509</c:v>
                </c:pt>
                <c:pt idx="7">
                  <c:v>728087.99986975954</c:v>
                </c:pt>
                <c:pt idx="8">
                  <c:v>58089.000040824059</c:v>
                </c:pt>
                <c:pt idx="9">
                  <c:v>527264.00115905411</c:v>
                </c:pt>
                <c:pt idx="10">
                  <c:v>85583.000105232</c:v>
                </c:pt>
                <c:pt idx="11">
                  <c:v>0</c:v>
                </c:pt>
              </c:numCache>
            </c:numRef>
          </c:val>
        </c:ser>
        <c:dLbls>
          <c:showLegendKey val="0"/>
          <c:showVal val="0"/>
          <c:showCatName val="0"/>
          <c:showSerName val="0"/>
          <c:showPercent val="0"/>
          <c:showBubbleSize val="0"/>
        </c:dLbls>
        <c:gapWidth val="75"/>
        <c:axId val="536623696"/>
        <c:axId val="536624088"/>
      </c:barChart>
      <c:catAx>
        <c:axId val="536623696"/>
        <c:scaling>
          <c:orientation val="minMax"/>
        </c:scaling>
        <c:delete val="0"/>
        <c:axPos val="l"/>
        <c:numFmt formatCode="General" sourceLinked="0"/>
        <c:majorTickMark val="none"/>
        <c:minorTickMark val="none"/>
        <c:tickLblPos val="nextTo"/>
        <c:crossAx val="536624088"/>
        <c:crosses val="autoZero"/>
        <c:auto val="1"/>
        <c:lblAlgn val="ctr"/>
        <c:lblOffset val="100"/>
        <c:noMultiLvlLbl val="0"/>
      </c:catAx>
      <c:valAx>
        <c:axId val="536624088"/>
        <c:scaling>
          <c:orientation val="minMax"/>
        </c:scaling>
        <c:delete val="0"/>
        <c:axPos val="b"/>
        <c:title>
          <c:tx>
            <c:rich>
              <a:bodyPr/>
              <a:lstStyle/>
              <a:p>
                <a:pPr>
                  <a:defRPr/>
                </a:pPr>
                <a:r>
                  <a:rPr lang="en-US"/>
                  <a:t>Number of people </a:t>
                </a:r>
              </a:p>
            </c:rich>
          </c:tx>
          <c:layout/>
          <c:overlay val="0"/>
        </c:title>
        <c:numFmt formatCode="#,##0" sourceLinked="0"/>
        <c:majorTickMark val="none"/>
        <c:minorTickMark val="none"/>
        <c:tickLblPos val="nextTo"/>
        <c:spPr>
          <a:ln w="9525">
            <a:noFill/>
          </a:ln>
        </c:spPr>
        <c:crossAx val="53662369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on gaps'!$AB$4</c:f>
              <c:strCache>
                <c:ptCount val="1"/>
                <c:pt idx="0">
                  <c:v>Ecoles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gaps'!$AB$5:$AB$13</c:f>
              <c:numCache>
                <c:formatCode>_(* #,##0_);_(* \(#,##0\);_(* "-"??_);_(@_)</c:formatCode>
                <c:ptCount val="9"/>
                <c:pt idx="0">
                  <c:v>336.0992042815202</c:v>
                </c:pt>
                <c:pt idx="1">
                  <c:v>-189.5169127580341</c:v>
                </c:pt>
                <c:pt idx="2">
                  <c:v>-91.822322875636559</c:v>
                </c:pt>
                <c:pt idx="3">
                  <c:v>-17.010184522398468</c:v>
                </c:pt>
                <c:pt idx="4">
                  <c:v>6.9683388290690109</c:v>
                </c:pt>
                <c:pt idx="5">
                  <c:v>-90.47807307370725</c:v>
                </c:pt>
                <c:pt idx="6">
                  <c:v>204.45734051561129</c:v>
                </c:pt>
                <c:pt idx="7">
                  <c:v>-68.191450242548854</c:v>
                </c:pt>
                <c:pt idx="8">
                  <c:v>-90.505940153875187</c:v>
                </c:pt>
              </c:numCache>
            </c:numRef>
          </c:val>
        </c:ser>
        <c:ser>
          <c:idx val="1"/>
          <c:order val="1"/>
          <c:tx>
            <c:strRef>
              <c:f>'Figure on gaps'!$AC$4</c:f>
              <c:strCache>
                <c:ptCount val="1"/>
                <c:pt idx="0">
                  <c:v>Salles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gaps'!$AC$5:$AC$13</c:f>
              <c:numCache>
                <c:formatCode>_(* #,##0_);_(* \(#,##0\);_(* "-"??_);_(@_)</c:formatCode>
                <c:ptCount val="9"/>
                <c:pt idx="0">
                  <c:v>928.298148814196</c:v>
                </c:pt>
                <c:pt idx="1">
                  <c:v>-499.80581119242919</c:v>
                </c:pt>
                <c:pt idx="2">
                  <c:v>-384.94275277041152</c:v>
                </c:pt>
                <c:pt idx="3">
                  <c:v>-70.754241468738954</c:v>
                </c:pt>
                <c:pt idx="4">
                  <c:v>-187.58036355019161</c:v>
                </c:pt>
                <c:pt idx="5">
                  <c:v>217.11948042267429</c:v>
                </c:pt>
                <c:pt idx="6">
                  <c:v>433.36431020760529</c:v>
                </c:pt>
                <c:pt idx="7">
                  <c:v>-410.85529266350483</c:v>
                </c:pt>
                <c:pt idx="8">
                  <c:v>-24.843477799195849</c:v>
                </c:pt>
              </c:numCache>
            </c:numRef>
          </c:val>
        </c:ser>
        <c:ser>
          <c:idx val="2"/>
          <c:order val="2"/>
          <c:tx>
            <c:strRef>
              <c:f>'Figure on gaps'!$AD$4</c:f>
              <c:strCache>
                <c:ptCount val="1"/>
                <c:pt idx="0">
                  <c:v>Groupes
Pédagogiques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gaps'!$AD$5:$AD$13</c:f>
              <c:numCache>
                <c:formatCode>_(* #,##0_);_(* \(#,##0\);_(* "-"??_);_(@_)</c:formatCode>
                <c:ptCount val="9"/>
                <c:pt idx="0">
                  <c:v>1595.7293354803551</c:v>
                </c:pt>
                <c:pt idx="1">
                  <c:v>-937.50562446483116</c:v>
                </c:pt>
                <c:pt idx="2">
                  <c:v>-464.54509290561049</c:v>
                </c:pt>
                <c:pt idx="3">
                  <c:v>-88.858105370897093</c:v>
                </c:pt>
                <c:pt idx="4">
                  <c:v>-238.91183667652879</c:v>
                </c:pt>
                <c:pt idx="5">
                  <c:v>144.65869894698571</c:v>
                </c:pt>
                <c:pt idx="6">
                  <c:v>918.58963527285505</c:v>
                </c:pt>
                <c:pt idx="7">
                  <c:v>-542.23003378144222</c:v>
                </c:pt>
                <c:pt idx="8">
                  <c:v>-386.9269765008832</c:v>
                </c:pt>
              </c:numCache>
            </c:numRef>
          </c:val>
        </c:ser>
        <c:ser>
          <c:idx val="3"/>
          <c:order val="3"/>
          <c:tx>
            <c:strRef>
              <c:f>'Figure on gaps'!$AE$4</c:f>
              <c:strCache>
                <c:ptCount val="1"/>
                <c:pt idx="0">
                  <c:v>Maîtres
chargés de
cours</c:v>
                </c:pt>
              </c:strCache>
            </c:strRef>
          </c:tx>
          <c:invertIfNegative val="0"/>
          <c:cat>
            <c:strRef>
              <c:f>'Figure on gaps'!$AA$5:$AA$13</c:f>
              <c:strCache>
                <c:ptCount val="9"/>
                <c:pt idx="0">
                  <c:v>Bamako</c:v>
                </c:pt>
                <c:pt idx="1">
                  <c:v>Gao</c:v>
                </c:pt>
                <c:pt idx="2">
                  <c:v>Kayes</c:v>
                </c:pt>
                <c:pt idx="3">
                  <c:v>Kidal</c:v>
                </c:pt>
                <c:pt idx="4">
                  <c:v>Koulikoro</c:v>
                </c:pt>
                <c:pt idx="5">
                  <c:v>Mopti</c:v>
                </c:pt>
                <c:pt idx="6">
                  <c:v>Segou</c:v>
                </c:pt>
                <c:pt idx="7">
                  <c:v>Sikasso</c:v>
                </c:pt>
                <c:pt idx="8">
                  <c:v>Tombouctou</c:v>
                </c:pt>
              </c:strCache>
            </c:strRef>
          </c:cat>
          <c:val>
            <c:numRef>
              <c:f>'Figure on gaps'!$AE$5:$AE$13</c:f>
              <c:numCache>
                <c:formatCode>_(* #,##0_);_(* \(#,##0\);_(* "-"??_);_(@_)</c:formatCode>
                <c:ptCount val="9"/>
                <c:pt idx="0">
                  <c:v>963.00096123576532</c:v>
                </c:pt>
                <c:pt idx="1">
                  <c:v>-519.02918914402721</c:v>
                </c:pt>
                <c:pt idx="2">
                  <c:v>-314.68509430285809</c:v>
                </c:pt>
                <c:pt idx="3">
                  <c:v>-69.394827529910799</c:v>
                </c:pt>
                <c:pt idx="4">
                  <c:v>-94.694291486077447</c:v>
                </c:pt>
                <c:pt idx="5">
                  <c:v>295.12506215359781</c:v>
                </c:pt>
                <c:pt idx="6">
                  <c:v>459.11977994940202</c:v>
                </c:pt>
                <c:pt idx="7">
                  <c:v>-615.42868822523087</c:v>
                </c:pt>
                <c:pt idx="8">
                  <c:v>-104.0137126506576</c:v>
                </c:pt>
              </c:numCache>
            </c:numRef>
          </c:val>
        </c:ser>
        <c:dLbls>
          <c:showLegendKey val="0"/>
          <c:showVal val="0"/>
          <c:showCatName val="0"/>
          <c:showSerName val="0"/>
          <c:showPercent val="0"/>
          <c:showBubbleSize val="0"/>
        </c:dLbls>
        <c:gapWidth val="75"/>
        <c:overlap val="-25"/>
        <c:axId val="541116232"/>
        <c:axId val="541116624"/>
      </c:barChart>
      <c:catAx>
        <c:axId val="541116232"/>
        <c:scaling>
          <c:orientation val="minMax"/>
        </c:scaling>
        <c:delete val="0"/>
        <c:axPos val="b"/>
        <c:numFmt formatCode="General" sourceLinked="0"/>
        <c:majorTickMark val="none"/>
        <c:minorTickMark val="none"/>
        <c:tickLblPos val="nextTo"/>
        <c:crossAx val="541116624"/>
        <c:crosses val="autoZero"/>
        <c:auto val="1"/>
        <c:lblAlgn val="ctr"/>
        <c:lblOffset val="100"/>
        <c:noMultiLvlLbl val="0"/>
      </c:catAx>
      <c:valAx>
        <c:axId val="541116624"/>
        <c:scaling>
          <c:orientation val="minMax"/>
        </c:scaling>
        <c:delete val="0"/>
        <c:axPos val="l"/>
        <c:majorGridlines/>
        <c:numFmt formatCode="_(* #,##0_);_(* \(#,##0\);_(* &quot;-&quot;??_);_(@_)" sourceLinked="1"/>
        <c:majorTickMark val="none"/>
        <c:minorTickMark val="none"/>
        <c:tickLblPos val="nextTo"/>
        <c:spPr>
          <a:ln w="9525">
            <a:noFill/>
          </a:ln>
        </c:spPr>
        <c:crossAx val="541116232"/>
        <c:crosses val="autoZero"/>
        <c:crossBetween val="between"/>
      </c:valAx>
    </c:plotArea>
    <c:legend>
      <c:legendPos val="b"/>
      <c:layout>
        <c:manualLayout>
          <c:xMode val="edge"/>
          <c:yMode val="edge"/>
          <c:x val="0.197520529191928"/>
          <c:y val="0.80900863780030097"/>
          <c:w val="0.64251447218551505"/>
          <c:h val="0.16546487847283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Sheet1!$H$32</c:f>
              <c:strCache>
                <c:ptCount val="1"/>
                <c:pt idx="0">
                  <c:v>Ecoles par '000 habitants</c:v>
                </c:pt>
              </c:strCache>
            </c:strRef>
          </c:tx>
          <c:invertIfNegative val="0"/>
          <c:cat>
            <c:strRef>
              <c:f>Sheet1!$B$33:$B$43</c:f>
              <c:strCache>
                <c:ptCount val="11"/>
                <c:pt idx="0">
                  <c:v>Bamako</c:v>
                </c:pt>
                <c:pt idx="1">
                  <c:v>Segou</c:v>
                </c:pt>
                <c:pt idx="2">
                  <c:v>Sikasso</c:v>
                </c:pt>
                <c:pt idx="3">
                  <c:v>Koulikoro</c:v>
                </c:pt>
                <c:pt idx="4">
                  <c:v>Kayes</c:v>
                </c:pt>
                <c:pt idx="5">
                  <c:v>Mopti</c:v>
                </c:pt>
                <c:pt idx="6">
                  <c:v>Tombouctou</c:v>
                </c:pt>
                <c:pt idx="7">
                  <c:v>Kidal</c:v>
                </c:pt>
                <c:pt idx="8">
                  <c:v>Gao</c:v>
                </c:pt>
                <c:pt idx="10">
                  <c:v>Mali</c:v>
                </c:pt>
              </c:strCache>
            </c:strRef>
          </c:cat>
          <c:val>
            <c:numRef>
              <c:f>Sheet1!$H$33:$H$43</c:f>
              <c:numCache>
                <c:formatCode>General</c:formatCode>
                <c:ptCount val="11"/>
                <c:pt idx="0">
                  <c:v>0.432725295016398</c:v>
                </c:pt>
                <c:pt idx="1">
                  <c:v>0.53145160099794797</c:v>
                </c:pt>
                <c:pt idx="2">
                  <c:v>0.36734932416073202</c:v>
                </c:pt>
                <c:pt idx="3">
                  <c:v>0.212543123374654</c:v>
                </c:pt>
                <c:pt idx="4">
                  <c:v>0.36616899451498902</c:v>
                </c:pt>
                <c:pt idx="5">
                  <c:v>0.64908243346905103</c:v>
                </c:pt>
                <c:pt idx="6">
                  <c:v>0.30153084600021401</c:v>
                </c:pt>
                <c:pt idx="7">
                  <c:v>0.30428040368142101</c:v>
                </c:pt>
                <c:pt idx="8">
                  <c:v>0.161845726223316</c:v>
                </c:pt>
                <c:pt idx="10">
                  <c:v>0.30849365206513801</c:v>
                </c:pt>
              </c:numCache>
            </c:numRef>
          </c:val>
        </c:ser>
        <c:dLbls>
          <c:showLegendKey val="0"/>
          <c:showVal val="0"/>
          <c:showCatName val="0"/>
          <c:showSerName val="0"/>
          <c:showPercent val="0"/>
          <c:showBubbleSize val="0"/>
        </c:dLbls>
        <c:gapWidth val="75"/>
        <c:overlap val="-25"/>
        <c:axId val="540544272"/>
        <c:axId val="540544664"/>
      </c:barChart>
      <c:lineChart>
        <c:grouping val="standard"/>
        <c:varyColors val="0"/>
        <c:ser>
          <c:idx val="2"/>
          <c:order val="1"/>
          <c:tx>
            <c:strRef>
              <c:f>Sheet1!$J$32</c:f>
              <c:strCache>
                <c:ptCount val="1"/>
                <c:pt idx="0">
                  <c:v>Nouvelles ecoles par '000 habitants</c:v>
                </c:pt>
              </c:strCache>
            </c:strRef>
          </c:tx>
          <c:spPr>
            <a:ln>
              <a:noFill/>
            </a:ln>
          </c:spPr>
          <c:marker>
            <c:symbol val="triangle"/>
            <c:size val="9"/>
          </c:marker>
          <c:cat>
            <c:strRef>
              <c:f>Sheet1!$B$33:$B$43</c:f>
              <c:strCache>
                <c:ptCount val="11"/>
                <c:pt idx="0">
                  <c:v>Bamako</c:v>
                </c:pt>
                <c:pt idx="1">
                  <c:v>Segou</c:v>
                </c:pt>
                <c:pt idx="2">
                  <c:v>Sikasso</c:v>
                </c:pt>
                <c:pt idx="3">
                  <c:v>Koulikoro</c:v>
                </c:pt>
                <c:pt idx="4">
                  <c:v>Kayes</c:v>
                </c:pt>
                <c:pt idx="5">
                  <c:v>Mopti</c:v>
                </c:pt>
                <c:pt idx="6">
                  <c:v>Tombouctou</c:v>
                </c:pt>
                <c:pt idx="7">
                  <c:v>Kidal</c:v>
                </c:pt>
                <c:pt idx="8">
                  <c:v>Gao</c:v>
                </c:pt>
                <c:pt idx="10">
                  <c:v>Mali</c:v>
                </c:pt>
              </c:strCache>
            </c:strRef>
          </c:cat>
          <c:val>
            <c:numRef>
              <c:f>Sheet1!$J$33:$J$43</c:f>
              <c:numCache>
                <c:formatCode>General</c:formatCode>
                <c:ptCount val="11"/>
                <c:pt idx="0">
                  <c:v>4.44580782551093E-2</c:v>
                </c:pt>
                <c:pt idx="1">
                  <c:v>0.103337811305157</c:v>
                </c:pt>
                <c:pt idx="2">
                  <c:v>2.2591001218440699E-2</c:v>
                </c:pt>
                <c:pt idx="3">
                  <c:v>3.8488694373679903E-2</c:v>
                </c:pt>
                <c:pt idx="4">
                  <c:v>2.1568858581019899E-2</c:v>
                </c:pt>
                <c:pt idx="5">
                  <c:v>3.8723667905824002E-2</c:v>
                </c:pt>
                <c:pt idx="6">
                  <c:v>6.35598270113375E-2</c:v>
                </c:pt>
                <c:pt idx="7">
                  <c:v>3.7157715510621303E-2</c:v>
                </c:pt>
                <c:pt idx="8">
                  <c:v>7.1808683989867204E-3</c:v>
                </c:pt>
                <c:pt idx="10">
                  <c:v>3.4965367079225901E-2</c:v>
                </c:pt>
              </c:numCache>
            </c:numRef>
          </c:val>
          <c:smooth val="0"/>
        </c:ser>
        <c:dLbls>
          <c:showLegendKey val="0"/>
          <c:showVal val="0"/>
          <c:showCatName val="0"/>
          <c:showSerName val="0"/>
          <c:showPercent val="0"/>
          <c:showBubbleSize val="0"/>
        </c:dLbls>
        <c:marker val="1"/>
        <c:smooth val="0"/>
        <c:axId val="540545448"/>
        <c:axId val="540545056"/>
      </c:lineChart>
      <c:catAx>
        <c:axId val="540544272"/>
        <c:scaling>
          <c:orientation val="minMax"/>
        </c:scaling>
        <c:delete val="0"/>
        <c:axPos val="b"/>
        <c:numFmt formatCode="General" sourceLinked="0"/>
        <c:majorTickMark val="none"/>
        <c:minorTickMark val="none"/>
        <c:tickLblPos val="nextTo"/>
        <c:crossAx val="540544664"/>
        <c:crosses val="autoZero"/>
        <c:auto val="1"/>
        <c:lblAlgn val="ctr"/>
        <c:lblOffset val="100"/>
        <c:noMultiLvlLbl val="0"/>
      </c:catAx>
      <c:valAx>
        <c:axId val="540544664"/>
        <c:scaling>
          <c:orientation val="minMax"/>
        </c:scaling>
        <c:delete val="0"/>
        <c:axPos val="l"/>
        <c:majorGridlines/>
        <c:title>
          <c:tx>
            <c:rich>
              <a:bodyPr rot="-5400000" vert="horz"/>
              <a:lstStyle/>
              <a:p>
                <a:pPr>
                  <a:defRPr/>
                </a:pPr>
                <a:r>
                  <a:rPr lang="en-US"/>
                  <a:t>Schools</a:t>
                </a:r>
              </a:p>
            </c:rich>
          </c:tx>
          <c:layout/>
          <c:overlay val="0"/>
        </c:title>
        <c:numFmt formatCode="General" sourceLinked="1"/>
        <c:majorTickMark val="none"/>
        <c:minorTickMark val="none"/>
        <c:tickLblPos val="nextTo"/>
        <c:spPr>
          <a:ln w="9525">
            <a:noFill/>
          </a:ln>
        </c:spPr>
        <c:crossAx val="540544272"/>
        <c:crosses val="autoZero"/>
        <c:crossBetween val="between"/>
      </c:valAx>
      <c:valAx>
        <c:axId val="540545056"/>
        <c:scaling>
          <c:orientation val="minMax"/>
        </c:scaling>
        <c:delete val="0"/>
        <c:axPos val="r"/>
        <c:title>
          <c:tx>
            <c:rich>
              <a:bodyPr rot="-5400000" vert="horz"/>
              <a:lstStyle/>
              <a:p>
                <a:pPr>
                  <a:defRPr/>
                </a:pPr>
                <a:r>
                  <a:rPr lang="en-US"/>
                  <a:t>New schools</a:t>
                </a:r>
              </a:p>
            </c:rich>
          </c:tx>
          <c:layout/>
          <c:overlay val="0"/>
        </c:title>
        <c:numFmt formatCode="General" sourceLinked="1"/>
        <c:majorTickMark val="out"/>
        <c:minorTickMark val="none"/>
        <c:tickLblPos val="nextTo"/>
        <c:crossAx val="540545448"/>
        <c:crosses val="max"/>
        <c:crossBetween val="between"/>
      </c:valAx>
      <c:catAx>
        <c:axId val="540545448"/>
        <c:scaling>
          <c:orientation val="minMax"/>
        </c:scaling>
        <c:delete val="1"/>
        <c:axPos val="b"/>
        <c:numFmt formatCode="General" sourceLinked="1"/>
        <c:majorTickMark val="out"/>
        <c:minorTickMark val="none"/>
        <c:tickLblPos val="nextTo"/>
        <c:crossAx val="540545056"/>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Moins de 2km d'une ecole</c:v>
          </c:tx>
          <c:spPr>
            <a:solidFill>
              <a:schemeClr val="accent1"/>
            </a:solidFill>
          </c:spPr>
          <c:invertIfNegative val="0"/>
          <c:val>
            <c:numRef>
              <c:f>Sheet1!$D$48:$D$58</c:f>
              <c:numCache>
                <c:formatCode>General</c:formatCode>
                <c:ptCount val="11"/>
                <c:pt idx="0">
                  <c:v>100</c:v>
                </c:pt>
                <c:pt idx="1">
                  <c:v>82</c:v>
                </c:pt>
                <c:pt idx="2">
                  <c:v>90</c:v>
                </c:pt>
                <c:pt idx="3">
                  <c:v>90</c:v>
                </c:pt>
                <c:pt idx="4">
                  <c:v>86</c:v>
                </c:pt>
                <c:pt idx="5">
                  <c:v>70</c:v>
                </c:pt>
                <c:pt idx="6">
                  <c:v>64</c:v>
                </c:pt>
                <c:pt idx="7">
                  <c:v>67</c:v>
                </c:pt>
                <c:pt idx="8">
                  <c:v>87</c:v>
                </c:pt>
                <c:pt idx="10">
                  <c:v>80.19</c:v>
                </c:pt>
              </c:numCache>
            </c:numRef>
          </c:val>
        </c:ser>
        <c:dLbls>
          <c:showLegendKey val="0"/>
          <c:showVal val="0"/>
          <c:showCatName val="0"/>
          <c:showSerName val="0"/>
          <c:showPercent val="0"/>
          <c:showBubbleSize val="0"/>
        </c:dLbls>
        <c:gapWidth val="75"/>
        <c:axId val="540547408"/>
        <c:axId val="540547016"/>
      </c:barChart>
      <c:lineChart>
        <c:grouping val="standard"/>
        <c:varyColors val="0"/>
        <c:ser>
          <c:idx val="0"/>
          <c:order val="0"/>
          <c:tx>
            <c:strRef>
              <c:f>Sheet1!$C$47</c:f>
              <c:strCache>
                <c:ptCount val="1"/>
                <c:pt idx="0">
                  <c:v>Nouvelles ecoles par '000 habitants</c:v>
                </c:pt>
              </c:strCache>
            </c:strRef>
          </c:tx>
          <c:spPr>
            <a:ln>
              <a:noFill/>
            </a:ln>
          </c:spPr>
          <c:marker>
            <c:symbol val="triangle"/>
            <c:size val="9"/>
            <c:spPr>
              <a:solidFill>
                <a:schemeClr val="accent3"/>
              </a:solidFill>
            </c:spPr>
          </c:marker>
          <c:cat>
            <c:strRef>
              <c:f>Sheet1!$B$48:$B$58</c:f>
              <c:strCache>
                <c:ptCount val="11"/>
                <c:pt idx="0">
                  <c:v>Bamako</c:v>
                </c:pt>
                <c:pt idx="1">
                  <c:v>Segou</c:v>
                </c:pt>
                <c:pt idx="2">
                  <c:v>Sikasso</c:v>
                </c:pt>
                <c:pt idx="3">
                  <c:v>Koulikoro</c:v>
                </c:pt>
                <c:pt idx="4">
                  <c:v>Kayes</c:v>
                </c:pt>
                <c:pt idx="5">
                  <c:v>Mopti</c:v>
                </c:pt>
                <c:pt idx="6">
                  <c:v>Tombouctou</c:v>
                </c:pt>
                <c:pt idx="7">
                  <c:v>Kidal</c:v>
                </c:pt>
                <c:pt idx="8">
                  <c:v>Gao</c:v>
                </c:pt>
                <c:pt idx="10">
                  <c:v>Mali</c:v>
                </c:pt>
              </c:strCache>
            </c:strRef>
          </c:cat>
          <c:val>
            <c:numRef>
              <c:f>Sheet1!$C$48:$C$58</c:f>
              <c:numCache>
                <c:formatCode>General</c:formatCode>
                <c:ptCount val="11"/>
                <c:pt idx="0">
                  <c:v>4.44580782551093E-2</c:v>
                </c:pt>
                <c:pt idx="1">
                  <c:v>0.103337811305157</c:v>
                </c:pt>
                <c:pt idx="2">
                  <c:v>2.2591001218440699E-2</c:v>
                </c:pt>
                <c:pt idx="3">
                  <c:v>3.8488694373679903E-2</c:v>
                </c:pt>
                <c:pt idx="4">
                  <c:v>2.1568858581019899E-2</c:v>
                </c:pt>
                <c:pt idx="5">
                  <c:v>3.8723667905824002E-2</c:v>
                </c:pt>
                <c:pt idx="6">
                  <c:v>6.35598270113375E-2</c:v>
                </c:pt>
                <c:pt idx="7">
                  <c:v>3.7157715510621303E-2</c:v>
                </c:pt>
                <c:pt idx="8">
                  <c:v>7.1808683989867204E-3</c:v>
                </c:pt>
                <c:pt idx="10">
                  <c:v>3.4965367079225901E-2</c:v>
                </c:pt>
              </c:numCache>
            </c:numRef>
          </c:val>
          <c:smooth val="0"/>
        </c:ser>
        <c:dLbls>
          <c:showLegendKey val="0"/>
          <c:showVal val="0"/>
          <c:showCatName val="0"/>
          <c:showSerName val="0"/>
          <c:showPercent val="0"/>
          <c:showBubbleSize val="0"/>
        </c:dLbls>
        <c:marker val="1"/>
        <c:smooth val="0"/>
        <c:axId val="540546232"/>
        <c:axId val="540546624"/>
      </c:lineChart>
      <c:catAx>
        <c:axId val="540546232"/>
        <c:scaling>
          <c:orientation val="minMax"/>
        </c:scaling>
        <c:delete val="0"/>
        <c:axPos val="b"/>
        <c:numFmt formatCode="General" sourceLinked="0"/>
        <c:majorTickMark val="none"/>
        <c:minorTickMark val="none"/>
        <c:tickLblPos val="nextTo"/>
        <c:crossAx val="540546624"/>
        <c:crosses val="autoZero"/>
        <c:auto val="1"/>
        <c:lblAlgn val="ctr"/>
        <c:lblOffset val="100"/>
        <c:noMultiLvlLbl val="0"/>
      </c:catAx>
      <c:valAx>
        <c:axId val="540546624"/>
        <c:scaling>
          <c:orientation val="minMax"/>
        </c:scaling>
        <c:delete val="0"/>
        <c:axPos val="l"/>
        <c:majorGridlines/>
        <c:title>
          <c:tx>
            <c:rich>
              <a:bodyPr rot="-5400000" vert="horz"/>
              <a:lstStyle/>
              <a:p>
                <a:pPr>
                  <a:defRPr/>
                </a:pPr>
                <a:r>
                  <a:rPr lang="en-US"/>
                  <a:t>New schools</a:t>
                </a:r>
              </a:p>
            </c:rich>
          </c:tx>
          <c:layout/>
          <c:overlay val="0"/>
        </c:title>
        <c:numFmt formatCode="General" sourceLinked="1"/>
        <c:majorTickMark val="none"/>
        <c:minorTickMark val="none"/>
        <c:tickLblPos val="nextTo"/>
        <c:spPr>
          <a:ln w="9525">
            <a:noFill/>
          </a:ln>
        </c:spPr>
        <c:crossAx val="540546232"/>
        <c:crosses val="autoZero"/>
        <c:crossBetween val="between"/>
      </c:valAx>
      <c:valAx>
        <c:axId val="540547016"/>
        <c:scaling>
          <c:orientation val="minMax"/>
          <c:max val="100"/>
        </c:scaling>
        <c:delete val="0"/>
        <c:axPos val="r"/>
        <c:title>
          <c:tx>
            <c:rich>
              <a:bodyPr rot="-5400000" vert="horz"/>
              <a:lstStyle/>
              <a:p>
                <a:pPr>
                  <a:defRPr/>
                </a:pPr>
                <a:r>
                  <a:rPr lang="en-US"/>
                  <a:t>Pourcent</a:t>
                </a:r>
              </a:p>
            </c:rich>
          </c:tx>
          <c:layout/>
          <c:overlay val="0"/>
        </c:title>
        <c:numFmt formatCode="General" sourceLinked="1"/>
        <c:majorTickMark val="out"/>
        <c:minorTickMark val="none"/>
        <c:tickLblPos val="nextTo"/>
        <c:crossAx val="540547408"/>
        <c:crosses val="max"/>
        <c:crossBetween val="between"/>
      </c:valAx>
      <c:catAx>
        <c:axId val="540547408"/>
        <c:scaling>
          <c:orientation val="minMax"/>
        </c:scaling>
        <c:delete val="1"/>
        <c:axPos val="b"/>
        <c:majorTickMark val="out"/>
        <c:minorTickMark val="none"/>
        <c:tickLblPos val="nextTo"/>
        <c:crossAx val="540547016"/>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Sheet2!$K$3:$K$12</c:f>
              <c:strCache>
                <c:ptCount val="10"/>
                <c:pt idx="0">
                  <c:v>1ère année</c:v>
                </c:pt>
                <c:pt idx="1">
                  <c:v>2ème année</c:v>
                </c:pt>
                <c:pt idx="2">
                  <c:v>3ème année</c:v>
                </c:pt>
                <c:pt idx="3">
                  <c:v>4ème année</c:v>
                </c:pt>
                <c:pt idx="4">
                  <c:v>5ème année</c:v>
                </c:pt>
                <c:pt idx="5">
                  <c:v>6ème année</c:v>
                </c:pt>
                <c:pt idx="6">
                  <c:v>7ème année</c:v>
                </c:pt>
                <c:pt idx="7">
                  <c:v>8ème année</c:v>
                </c:pt>
                <c:pt idx="8">
                  <c:v>9ème année</c:v>
                </c:pt>
                <c:pt idx="9">
                  <c:v>Secondaire</c:v>
                </c:pt>
              </c:strCache>
            </c:strRef>
          </c:cat>
          <c:val>
            <c:numRef>
              <c:f>Sheet2!$L$3:$L$12</c:f>
              <c:numCache>
                <c:formatCode>0.0</c:formatCode>
                <c:ptCount val="10"/>
                <c:pt idx="0">
                  <c:v>62.73</c:v>
                </c:pt>
                <c:pt idx="1">
                  <c:v>58.89</c:v>
                </c:pt>
                <c:pt idx="2">
                  <c:v>54.66</c:v>
                </c:pt>
                <c:pt idx="3">
                  <c:v>48.79</c:v>
                </c:pt>
                <c:pt idx="4">
                  <c:v>41.02</c:v>
                </c:pt>
                <c:pt idx="5">
                  <c:v>34.89</c:v>
                </c:pt>
                <c:pt idx="6">
                  <c:v>28.9</c:v>
                </c:pt>
                <c:pt idx="7">
                  <c:v>25.23</c:v>
                </c:pt>
                <c:pt idx="8">
                  <c:v>19.25</c:v>
                </c:pt>
                <c:pt idx="9">
                  <c:v>14.59</c:v>
                </c:pt>
              </c:numCache>
            </c:numRef>
          </c:val>
          <c:smooth val="0"/>
        </c:ser>
        <c:dLbls>
          <c:showLegendKey val="0"/>
          <c:showVal val="0"/>
          <c:showCatName val="0"/>
          <c:showSerName val="0"/>
          <c:showPercent val="0"/>
          <c:showBubbleSize val="0"/>
        </c:dLbls>
        <c:marker val="1"/>
        <c:smooth val="0"/>
        <c:axId val="540548192"/>
        <c:axId val="540548584"/>
      </c:lineChart>
      <c:catAx>
        <c:axId val="540548192"/>
        <c:scaling>
          <c:orientation val="minMax"/>
        </c:scaling>
        <c:delete val="0"/>
        <c:axPos val="b"/>
        <c:numFmt formatCode="General" sourceLinked="0"/>
        <c:majorTickMark val="none"/>
        <c:minorTickMark val="none"/>
        <c:tickLblPos val="nextTo"/>
        <c:crossAx val="540548584"/>
        <c:crosses val="autoZero"/>
        <c:auto val="1"/>
        <c:lblAlgn val="ctr"/>
        <c:lblOffset val="100"/>
        <c:noMultiLvlLbl val="0"/>
      </c:catAx>
      <c:valAx>
        <c:axId val="540548584"/>
        <c:scaling>
          <c:orientation val="minMax"/>
          <c:max val="100"/>
        </c:scaling>
        <c:delete val="0"/>
        <c:axPos val="l"/>
        <c:title>
          <c:tx>
            <c:rich>
              <a:bodyPr rot="-5400000" vert="horz"/>
              <a:lstStyle/>
              <a:p>
                <a:pPr>
                  <a:defRPr/>
                </a:pPr>
                <a:r>
                  <a:rPr lang="en-US"/>
                  <a:t>Percent</a:t>
                </a:r>
              </a:p>
            </c:rich>
          </c:tx>
          <c:layout/>
          <c:overlay val="0"/>
        </c:title>
        <c:numFmt formatCode="0.0" sourceLinked="1"/>
        <c:majorTickMark val="none"/>
        <c:minorTickMark val="none"/>
        <c:tickLblPos val="nextTo"/>
        <c:crossAx val="5405481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v>access</c:v>
          </c:tx>
          <c:invertIfNegative val="0"/>
          <c:cat>
            <c:strRef>
              <c:f>country!$A$2:$A$6</c:f>
              <c:strCache>
                <c:ptCount val="5"/>
                <c:pt idx="0">
                  <c:v>Le plus pauvre</c:v>
                </c:pt>
                <c:pt idx="1">
                  <c:v>2</c:v>
                </c:pt>
                <c:pt idx="2">
                  <c:v>3</c:v>
                </c:pt>
                <c:pt idx="3">
                  <c:v>4</c:v>
                </c:pt>
                <c:pt idx="4">
                  <c:v>Le plus aise</c:v>
                </c:pt>
              </c:strCache>
            </c:strRef>
          </c:cat>
          <c:val>
            <c:numRef>
              <c:f>'C:\Users\wb198498\Documents\Mali\Analysis\Electricity\[electricity.xls]country'!$B$2:$B$6</c:f>
              <c:numCache>
                <c:formatCode>General</c:formatCode>
                <c:ptCount val="5"/>
                <c:pt idx="0">
                  <c:v>8768.1494140625</c:v>
                </c:pt>
                <c:pt idx="1">
                  <c:v>15452.97265625</c:v>
                </c:pt>
                <c:pt idx="2">
                  <c:v>31031.76953125</c:v>
                </c:pt>
                <c:pt idx="3">
                  <c:v>72706.96875</c:v>
                </c:pt>
                <c:pt idx="4">
                  <c:v>164075.453125</c:v>
                </c:pt>
              </c:numCache>
            </c:numRef>
          </c:val>
        </c:ser>
        <c:ser>
          <c:idx val="1"/>
          <c:order val="1"/>
          <c:tx>
            <c:v>Sans access</c:v>
          </c:tx>
          <c:invertIfNegative val="0"/>
          <c:cat>
            <c:strRef>
              <c:f>country!$A$2:$A$6</c:f>
              <c:strCache>
                <c:ptCount val="5"/>
                <c:pt idx="0">
                  <c:v>Le plus pauvre</c:v>
                </c:pt>
                <c:pt idx="1">
                  <c:v>2</c:v>
                </c:pt>
                <c:pt idx="2">
                  <c:v>3</c:v>
                </c:pt>
                <c:pt idx="3">
                  <c:v>4</c:v>
                </c:pt>
                <c:pt idx="4">
                  <c:v>Le plus aise</c:v>
                </c:pt>
              </c:strCache>
            </c:strRef>
          </c:cat>
          <c:val>
            <c:numRef>
              <c:f>'C:\Users\wb198498\Documents\Mali\Analysis\Electricity\[electricity.xls]country'!$C$2:$C$6</c:f>
              <c:numCache>
                <c:formatCode>General</c:formatCode>
                <c:ptCount val="5"/>
                <c:pt idx="0">
                  <c:v>257580.09375</c:v>
                </c:pt>
                <c:pt idx="1">
                  <c:v>251183.546875</c:v>
                </c:pt>
                <c:pt idx="2">
                  <c:v>235225.3125</c:v>
                </c:pt>
                <c:pt idx="3">
                  <c:v>193703.96875</c:v>
                </c:pt>
                <c:pt idx="4">
                  <c:v>102107.9921875</c:v>
                </c:pt>
              </c:numCache>
            </c:numRef>
          </c:val>
        </c:ser>
        <c:dLbls>
          <c:showLegendKey val="0"/>
          <c:showVal val="0"/>
          <c:showCatName val="0"/>
          <c:showSerName val="0"/>
          <c:showPercent val="0"/>
          <c:showBubbleSize val="0"/>
        </c:dLbls>
        <c:gapWidth val="75"/>
        <c:overlap val="100"/>
        <c:axId val="540549368"/>
        <c:axId val="540549760"/>
      </c:barChart>
      <c:catAx>
        <c:axId val="540549368"/>
        <c:scaling>
          <c:orientation val="minMax"/>
        </c:scaling>
        <c:delete val="0"/>
        <c:axPos val="b"/>
        <c:title>
          <c:tx>
            <c:rich>
              <a:bodyPr/>
              <a:lstStyle/>
              <a:p>
                <a:pPr>
                  <a:defRPr/>
                </a:pPr>
                <a:r>
                  <a:rPr lang="en-US"/>
                  <a:t>Quintile</a:t>
                </a:r>
              </a:p>
            </c:rich>
          </c:tx>
          <c:layout/>
          <c:overlay val="0"/>
        </c:title>
        <c:numFmt formatCode="General" sourceLinked="1"/>
        <c:majorTickMark val="none"/>
        <c:minorTickMark val="none"/>
        <c:tickLblPos val="nextTo"/>
        <c:crossAx val="540549760"/>
        <c:crosses val="autoZero"/>
        <c:auto val="1"/>
        <c:lblAlgn val="ctr"/>
        <c:lblOffset val="100"/>
        <c:noMultiLvlLbl val="0"/>
      </c:catAx>
      <c:valAx>
        <c:axId val="540549760"/>
        <c:scaling>
          <c:orientation val="minMax"/>
        </c:scaling>
        <c:delete val="0"/>
        <c:axPos val="l"/>
        <c:majorGridlines/>
        <c:title>
          <c:tx>
            <c:rich>
              <a:bodyPr rot="-5400000" vert="horz"/>
              <a:lstStyle/>
              <a:p>
                <a:pPr>
                  <a:defRPr/>
                </a:pPr>
                <a:r>
                  <a:rPr lang="en-US"/>
                  <a:t>Number of housheolds</a:t>
                </a:r>
              </a:p>
            </c:rich>
          </c:tx>
          <c:layout/>
          <c:overlay val="0"/>
        </c:title>
        <c:numFmt formatCode="#,##0" sourceLinked="0"/>
        <c:majorTickMark val="none"/>
        <c:minorTickMark val="none"/>
        <c:tickLblPos val="nextTo"/>
        <c:spPr>
          <a:ln w="9525">
            <a:noFill/>
          </a:ln>
        </c:spPr>
        <c:crossAx val="540549368"/>
        <c:crosses val="autoZero"/>
        <c:crossBetween val="between"/>
      </c:valAx>
    </c:plotArea>
    <c:legend>
      <c:legendPos val="b"/>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Sheet1!$F$1</c:f>
              <c:strCache>
                <c:ptCount val="1"/>
                <c:pt idx="0">
                  <c:v>&lt;= 10km</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Sheet1!$B$3:$B$14</c:f>
              <c:strCache>
                <c:ptCount val="12"/>
                <c:pt idx="0">
                  <c:v>2. Nomadic and transhumant pastoralism</c:v>
                </c:pt>
                <c:pt idx="1">
                  <c:v>3. Fluvial rice and transhumant livestock </c:v>
                </c:pt>
                <c:pt idx="2">
                  <c:v>4. Millet and transhumant livestock rearing</c:v>
                </c:pt>
                <c:pt idx="3">
                  <c:v>5. Dogon plateau - millet, shallots, wild foods, and tourism</c:v>
                </c:pt>
                <c:pt idx="4">
                  <c:v>6. Niger delta/lakes - rice and livestock rearing</c:v>
                </c:pt>
                <c:pt idx="5">
                  <c:v>7. 'Office du Niger' - Irrigated rice</c:v>
                </c:pt>
                <c:pt idx="6">
                  <c:v>8. Remittances, sorghum and transhumant livestock</c:v>
                </c:pt>
                <c:pt idx="7">
                  <c:v>9. West and central rainfed millet/sorghum</c:v>
                </c:pt>
                <c:pt idx="8">
                  <c:v>10. Sorghum, millet, and cotton</c:v>
                </c:pt>
                <c:pt idx="9">
                  <c:v>11. South maize, cotton, and fruits</c:v>
                </c:pt>
                <c:pt idx="10">
                  <c:v>12. South-west maize, sorghum, and fruits</c:v>
                </c:pt>
                <c:pt idx="11">
                  <c:v>13. Bamako urban</c:v>
                </c:pt>
              </c:strCache>
            </c:strRef>
          </c:cat>
          <c:val>
            <c:numRef>
              <c:f>Sheet1!$F$3:$F$14</c:f>
              <c:numCache>
                <c:formatCode>General</c:formatCode>
                <c:ptCount val="12"/>
                <c:pt idx="0">
                  <c:v>0.50654385700000004</c:v>
                </c:pt>
                <c:pt idx="1">
                  <c:v>0.87281734399999999</c:v>
                </c:pt>
                <c:pt idx="2">
                  <c:v>0.71014810699999997</c:v>
                </c:pt>
                <c:pt idx="3">
                  <c:v>0.82982892100000005</c:v>
                </c:pt>
                <c:pt idx="4">
                  <c:v>0.64228117799999995</c:v>
                </c:pt>
                <c:pt idx="5">
                  <c:v>1</c:v>
                </c:pt>
                <c:pt idx="6">
                  <c:v>0.63054290099999999</c:v>
                </c:pt>
                <c:pt idx="7">
                  <c:v>0.78192444000000005</c:v>
                </c:pt>
                <c:pt idx="8">
                  <c:v>0.95461527400000001</c:v>
                </c:pt>
                <c:pt idx="9">
                  <c:v>0.84622343799999999</c:v>
                </c:pt>
                <c:pt idx="10">
                  <c:v>0.83198891200000002</c:v>
                </c:pt>
                <c:pt idx="11">
                  <c:v>1</c:v>
                </c:pt>
              </c:numCache>
            </c:numRef>
          </c:val>
        </c:ser>
        <c:dLbls>
          <c:showLegendKey val="0"/>
          <c:showVal val="0"/>
          <c:showCatName val="0"/>
          <c:showSerName val="0"/>
          <c:showPercent val="0"/>
          <c:showBubbleSize val="0"/>
        </c:dLbls>
        <c:gapWidth val="75"/>
        <c:axId val="540550544"/>
        <c:axId val="540550936"/>
      </c:barChart>
      <c:catAx>
        <c:axId val="540550544"/>
        <c:scaling>
          <c:orientation val="minMax"/>
        </c:scaling>
        <c:delete val="0"/>
        <c:axPos val="l"/>
        <c:numFmt formatCode="General" sourceLinked="0"/>
        <c:majorTickMark val="none"/>
        <c:minorTickMark val="none"/>
        <c:tickLblPos val="nextTo"/>
        <c:crossAx val="540550936"/>
        <c:crosses val="autoZero"/>
        <c:auto val="1"/>
        <c:lblAlgn val="ctr"/>
        <c:lblOffset val="100"/>
        <c:noMultiLvlLbl val="0"/>
      </c:catAx>
      <c:valAx>
        <c:axId val="540550936"/>
        <c:scaling>
          <c:orientation val="minMax"/>
          <c:max val="1"/>
        </c:scaling>
        <c:delete val="0"/>
        <c:axPos val="b"/>
        <c:title>
          <c:tx>
            <c:rich>
              <a:bodyPr/>
              <a:lstStyle/>
              <a:p>
                <a:pPr>
                  <a:defRPr/>
                </a:pPr>
                <a:r>
                  <a:rPr lang="en-US"/>
                  <a:t>Percent</a:t>
                </a:r>
              </a:p>
            </c:rich>
          </c:tx>
          <c:layout/>
          <c:overlay val="0"/>
        </c:title>
        <c:numFmt formatCode="General" sourceLinked="1"/>
        <c:majorTickMark val="none"/>
        <c:minorTickMark val="none"/>
        <c:tickLblPos val="nextTo"/>
        <c:spPr>
          <a:ln w="9525">
            <a:noFill/>
          </a:ln>
        </c:spPr>
        <c:crossAx val="54055054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Sheet1!$V$21</c:f>
              <c:strCache>
                <c:ptCount val="1"/>
                <c:pt idx="0">
                  <c:v>min</c:v>
                </c:pt>
              </c:strCache>
            </c:strRef>
          </c:tx>
          <c:spPr>
            <a:ln w="28575">
              <a:noFill/>
            </a:ln>
          </c:spPr>
          <c:marker>
            <c:symbol val="none"/>
          </c:marker>
          <c:dLbls>
            <c:delete val="1"/>
          </c:dLbls>
          <c:cat>
            <c:strRef>
              <c:f>Sheet1!$U$22:$U$34</c:f>
              <c:strCache>
                <c:ptCount val="13"/>
                <c:pt idx="0">
                  <c:v>1. Nomadism and trans-Saharan trade</c:v>
                </c:pt>
                <c:pt idx="1">
                  <c:v>2. Nomadic and transhumant pastoralism</c:v>
                </c:pt>
                <c:pt idx="2">
                  <c:v>3.  Fluvial rice and transhumant livestock rearing (agropastoral)</c:v>
                </c:pt>
                <c:pt idx="3">
                  <c:v>4. Millet and transhumant livestock rearing</c:v>
                </c:pt>
                <c:pt idx="4">
                  <c:v>5. Dogon plateau -- millet, shallots, wild foods and tourism</c:v>
                </c:pt>
                <c:pt idx="5">
                  <c:v>6. Niger delta - rice and livestock rearing (agropastoral)</c:v>
                </c:pt>
                <c:pt idx="6">
                  <c:v>7. Office du Niger (irrigated rice)</c:v>
                </c:pt>
                <c:pt idx="7">
                  <c:v>8. North-west remittances, sorghum and transhumant livestock rearing</c:v>
                </c:pt>
                <c:pt idx="8">
                  <c:v>9. West and central rainfed millet/sorghum</c:v>
                </c:pt>
                <c:pt idx="9">
                  <c:v>10. Sorghum, millet and cotton</c:v>
                </c:pt>
                <c:pt idx="10">
                  <c:v>11. South maize, cotton and fruits</c:v>
                </c:pt>
                <c:pt idx="11">
                  <c:v>12. South-west maize, sorghum and fruits</c:v>
                </c:pt>
                <c:pt idx="12">
                  <c:v>13. Bamako</c:v>
                </c:pt>
              </c:strCache>
            </c:strRef>
          </c:cat>
          <c:val>
            <c:numRef>
              <c:f>Sheet1!$V$22:$V$34</c:f>
              <c:numCache>
                <c:formatCode>0</c:formatCode>
                <c:ptCount val="13"/>
                <c:pt idx="0">
                  <c:v>141966.5</c:v>
                </c:pt>
                <c:pt idx="1">
                  <c:v>135876.1</c:v>
                </c:pt>
                <c:pt idx="2">
                  <c:v>111724.9</c:v>
                </c:pt>
                <c:pt idx="3">
                  <c:v>145359.9</c:v>
                </c:pt>
                <c:pt idx="4">
                  <c:v>90944.640000000014</c:v>
                </c:pt>
                <c:pt idx="5">
                  <c:v>92288.45</c:v>
                </c:pt>
                <c:pt idx="6">
                  <c:v>139121.5</c:v>
                </c:pt>
                <c:pt idx="7">
                  <c:v>173134</c:v>
                </c:pt>
                <c:pt idx="8">
                  <c:v>190853.8</c:v>
                </c:pt>
                <c:pt idx="9">
                  <c:v>114929.9</c:v>
                </c:pt>
                <c:pt idx="10">
                  <c:v>182744.2</c:v>
                </c:pt>
                <c:pt idx="11">
                  <c:v>122275.7</c:v>
                </c:pt>
                <c:pt idx="12">
                  <c:v>373870.9</c:v>
                </c:pt>
              </c:numCache>
            </c:numRef>
          </c:val>
          <c:smooth val="0"/>
        </c:ser>
        <c:ser>
          <c:idx val="1"/>
          <c:order val="1"/>
          <c:tx>
            <c:strRef>
              <c:f>Sheet1!$W$21</c:f>
              <c:strCache>
                <c:ptCount val="1"/>
                <c:pt idx="0">
                  <c:v>mean</c:v>
                </c:pt>
              </c:strCache>
            </c:strRef>
          </c:tx>
          <c:spPr>
            <a:ln w="28575">
              <a:noFill/>
            </a:ln>
          </c:spPr>
          <c:marker>
            <c:symbol val="none"/>
          </c:marker>
          <c:dLbls>
            <c:delete val="1"/>
          </c:dLbls>
          <c:cat>
            <c:strRef>
              <c:f>Sheet1!$U$22:$U$34</c:f>
              <c:strCache>
                <c:ptCount val="13"/>
                <c:pt idx="0">
                  <c:v>1. Nomadism and trans-Saharan trade</c:v>
                </c:pt>
                <c:pt idx="1">
                  <c:v>2. Nomadic and transhumant pastoralism</c:v>
                </c:pt>
                <c:pt idx="2">
                  <c:v>3.  Fluvial rice and transhumant livestock rearing (agropastoral)</c:v>
                </c:pt>
                <c:pt idx="3">
                  <c:v>4. Millet and transhumant livestock rearing</c:v>
                </c:pt>
                <c:pt idx="4">
                  <c:v>5. Dogon plateau -- millet, shallots, wild foods and tourism</c:v>
                </c:pt>
                <c:pt idx="5">
                  <c:v>6. Niger delta - rice and livestock rearing (agropastoral)</c:v>
                </c:pt>
                <c:pt idx="6">
                  <c:v>7. Office du Niger (irrigated rice)</c:v>
                </c:pt>
                <c:pt idx="7">
                  <c:v>8. North-west remittances, sorghum and transhumant livestock rearing</c:v>
                </c:pt>
                <c:pt idx="8">
                  <c:v>9. West and central rainfed millet/sorghum</c:v>
                </c:pt>
                <c:pt idx="9">
                  <c:v>10. Sorghum, millet and cotton</c:v>
                </c:pt>
                <c:pt idx="10">
                  <c:v>11. South maize, cotton and fruits</c:v>
                </c:pt>
                <c:pt idx="11">
                  <c:v>12. South-west maize, sorghum and fruits</c:v>
                </c:pt>
                <c:pt idx="12">
                  <c:v>13. Bamako</c:v>
                </c:pt>
              </c:strCache>
            </c:strRef>
          </c:cat>
          <c:val>
            <c:numRef>
              <c:f>Sheet1!$W$22:$W$34</c:f>
              <c:numCache>
                <c:formatCode>0</c:formatCode>
                <c:ptCount val="13"/>
                <c:pt idx="0">
                  <c:v>162151.17499999999</c:v>
                </c:pt>
                <c:pt idx="1">
                  <c:v>153921.02499999999</c:v>
                </c:pt>
                <c:pt idx="2">
                  <c:v>145084.95000000001</c:v>
                </c:pt>
                <c:pt idx="3">
                  <c:v>155171.47500000001</c:v>
                </c:pt>
                <c:pt idx="4">
                  <c:v>130281.61</c:v>
                </c:pt>
                <c:pt idx="5">
                  <c:v>122106.3875</c:v>
                </c:pt>
                <c:pt idx="6">
                  <c:v>151128.72500000001</c:v>
                </c:pt>
                <c:pt idx="7">
                  <c:v>186155.65</c:v>
                </c:pt>
                <c:pt idx="8">
                  <c:v>216091.97500000001</c:v>
                </c:pt>
                <c:pt idx="9">
                  <c:v>136899.65</c:v>
                </c:pt>
                <c:pt idx="10">
                  <c:v>199547.1</c:v>
                </c:pt>
                <c:pt idx="11">
                  <c:v>134677.375</c:v>
                </c:pt>
                <c:pt idx="12">
                  <c:v>434623.2</c:v>
                </c:pt>
              </c:numCache>
            </c:numRef>
          </c:val>
          <c:smooth val="0"/>
        </c:ser>
        <c:ser>
          <c:idx val="2"/>
          <c:order val="2"/>
          <c:tx>
            <c:strRef>
              <c:f>Sheet1!$X$21</c:f>
              <c:strCache>
                <c:ptCount val="1"/>
                <c:pt idx="0">
                  <c:v>max</c:v>
                </c:pt>
              </c:strCache>
            </c:strRef>
          </c:tx>
          <c:spPr>
            <a:ln w="28575">
              <a:noFill/>
            </a:ln>
          </c:spPr>
          <c:marker>
            <c:symbol val="dot"/>
            <c:size val="3"/>
          </c:marker>
          <c:dLbls>
            <c:delete val="1"/>
          </c:dLbls>
          <c:cat>
            <c:strRef>
              <c:f>Sheet1!$U$22:$U$34</c:f>
              <c:strCache>
                <c:ptCount val="13"/>
                <c:pt idx="0">
                  <c:v>1. Nomadism and trans-Saharan trade</c:v>
                </c:pt>
                <c:pt idx="1">
                  <c:v>2. Nomadic and transhumant pastoralism</c:v>
                </c:pt>
                <c:pt idx="2">
                  <c:v>3.  Fluvial rice and transhumant livestock rearing (agropastoral)</c:v>
                </c:pt>
                <c:pt idx="3">
                  <c:v>4. Millet and transhumant livestock rearing</c:v>
                </c:pt>
                <c:pt idx="4">
                  <c:v>5. Dogon plateau -- millet, shallots, wild foods and tourism</c:v>
                </c:pt>
                <c:pt idx="5">
                  <c:v>6. Niger delta - rice and livestock rearing (agropastoral)</c:v>
                </c:pt>
                <c:pt idx="6">
                  <c:v>7. Office du Niger (irrigated rice)</c:v>
                </c:pt>
                <c:pt idx="7">
                  <c:v>8. North-west remittances, sorghum and transhumant livestock rearing</c:v>
                </c:pt>
                <c:pt idx="8">
                  <c:v>9. West and central rainfed millet/sorghum</c:v>
                </c:pt>
                <c:pt idx="9">
                  <c:v>10. Sorghum, millet and cotton</c:v>
                </c:pt>
                <c:pt idx="10">
                  <c:v>11. South maize, cotton and fruits</c:v>
                </c:pt>
                <c:pt idx="11">
                  <c:v>12. South-west maize, sorghum and fruits</c:v>
                </c:pt>
                <c:pt idx="12">
                  <c:v>13. Bamako</c:v>
                </c:pt>
              </c:strCache>
            </c:strRef>
          </c:cat>
          <c:val>
            <c:numRef>
              <c:f>Sheet1!$X$22:$X$34</c:f>
              <c:numCache>
                <c:formatCode>0</c:formatCode>
                <c:ptCount val="13"/>
                <c:pt idx="0">
                  <c:v>179510.2</c:v>
                </c:pt>
                <c:pt idx="1">
                  <c:v>175601</c:v>
                </c:pt>
                <c:pt idx="2">
                  <c:v>199790.4</c:v>
                </c:pt>
                <c:pt idx="3">
                  <c:v>163884.1</c:v>
                </c:pt>
                <c:pt idx="4">
                  <c:v>146706</c:v>
                </c:pt>
                <c:pt idx="5">
                  <c:v>135243</c:v>
                </c:pt>
                <c:pt idx="6">
                  <c:v>168076.6</c:v>
                </c:pt>
                <c:pt idx="7">
                  <c:v>198217</c:v>
                </c:pt>
                <c:pt idx="8">
                  <c:v>255003.8</c:v>
                </c:pt>
                <c:pt idx="9">
                  <c:v>149138.29999999999</c:v>
                </c:pt>
                <c:pt idx="10">
                  <c:v>208247.3</c:v>
                </c:pt>
                <c:pt idx="11">
                  <c:v>142835.29999999999</c:v>
                </c:pt>
                <c:pt idx="12">
                  <c:v>487814.5</c:v>
                </c:pt>
              </c:numCache>
            </c:numRef>
          </c:val>
          <c:smooth val="0"/>
        </c:ser>
        <c:dLbls>
          <c:dLblPos val="r"/>
          <c:showLegendKey val="0"/>
          <c:showVal val="1"/>
          <c:showCatName val="0"/>
          <c:showSerName val="0"/>
          <c:showPercent val="0"/>
          <c:showBubbleSize val="0"/>
        </c:dLbls>
        <c:hiLowLines>
          <c:spPr>
            <a:ln w="50800"/>
          </c:spPr>
        </c:hiLowLines>
        <c:axId val="540551720"/>
        <c:axId val="540776488"/>
      </c:stockChart>
      <c:catAx>
        <c:axId val="540551720"/>
        <c:scaling>
          <c:orientation val="minMax"/>
        </c:scaling>
        <c:delete val="0"/>
        <c:axPos val="b"/>
        <c:numFmt formatCode="General" sourceLinked="0"/>
        <c:majorTickMark val="none"/>
        <c:minorTickMark val="none"/>
        <c:tickLblPos val="nextTo"/>
        <c:crossAx val="540776488"/>
        <c:crosses val="autoZero"/>
        <c:auto val="1"/>
        <c:lblAlgn val="ctr"/>
        <c:lblOffset val="100"/>
        <c:noMultiLvlLbl val="0"/>
      </c:catAx>
      <c:valAx>
        <c:axId val="540776488"/>
        <c:scaling>
          <c:orientation val="minMax"/>
        </c:scaling>
        <c:delete val="0"/>
        <c:axPos val="l"/>
        <c:title>
          <c:tx>
            <c:rich>
              <a:bodyPr rot="-5400000" vert="horz"/>
              <a:lstStyle/>
              <a:p>
                <a:pPr>
                  <a:defRPr/>
                </a:pPr>
                <a:r>
                  <a:rPr lang="en-US"/>
                  <a:t>FCFA par habitant</a:t>
                </a:r>
              </a:p>
            </c:rich>
          </c:tx>
          <c:layout/>
          <c:overlay val="0"/>
        </c:title>
        <c:numFmt formatCode="#,##0" sourceLinked="0"/>
        <c:majorTickMark val="none"/>
        <c:minorTickMark val="none"/>
        <c:tickLblPos val="nextTo"/>
        <c:crossAx val="5405517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Sheet1!$F$1</c:f>
              <c:strCache>
                <c:ptCount val="1"/>
                <c:pt idx="0">
                  <c:v>&lt;= 10km</c:v>
                </c:pt>
              </c:strCache>
            </c:strRef>
          </c:tx>
          <c:invertIfNegative val="0"/>
          <c:cat>
            <c:strRef>
              <c:f>Sheet1!$B$3:$B$14</c:f>
              <c:strCache>
                <c:ptCount val="12"/>
                <c:pt idx="0">
                  <c:v>2. Nomadic and transhumant pastoralism</c:v>
                </c:pt>
                <c:pt idx="1">
                  <c:v>3. Fluvial rice and transhumant livestock </c:v>
                </c:pt>
                <c:pt idx="2">
                  <c:v>4. Millet and transhumant livestock rearing</c:v>
                </c:pt>
                <c:pt idx="3">
                  <c:v>5. Dogon plateau - millet, shallots, wild foods, and tourism</c:v>
                </c:pt>
                <c:pt idx="4">
                  <c:v>6. Niger delta/lakes - rice and livestock rearing</c:v>
                </c:pt>
                <c:pt idx="5">
                  <c:v>7. 'Office du Niger' - Irrigated rice</c:v>
                </c:pt>
                <c:pt idx="6">
                  <c:v>8. Remittances, sorghum and transhumant livestock</c:v>
                </c:pt>
                <c:pt idx="7">
                  <c:v>9. West and central rainfed millet/sorghum</c:v>
                </c:pt>
                <c:pt idx="8">
                  <c:v>10. Sorghum, millet, and cotton</c:v>
                </c:pt>
                <c:pt idx="9">
                  <c:v>11. South maize, cotton, and fruits</c:v>
                </c:pt>
                <c:pt idx="10">
                  <c:v>12. South-west maize, sorghum, and fruits</c:v>
                </c:pt>
                <c:pt idx="11">
                  <c:v>13. Bamako urban</c:v>
                </c:pt>
              </c:strCache>
            </c:strRef>
          </c:cat>
          <c:val>
            <c:numRef>
              <c:f>Sheet1!$R$3:$R$14</c:f>
              <c:numCache>
                <c:formatCode>General</c:formatCode>
                <c:ptCount val="12"/>
                <c:pt idx="0">
                  <c:v>124987.999916613</c:v>
                </c:pt>
                <c:pt idx="1">
                  <c:v>46185.999978432032</c:v>
                </c:pt>
                <c:pt idx="2">
                  <c:v>278780.99994686502</c:v>
                </c:pt>
                <c:pt idx="3">
                  <c:v>44034.999941750983</c:v>
                </c:pt>
                <c:pt idx="4">
                  <c:v>281347.99981593201</c:v>
                </c:pt>
                <c:pt idx="5">
                  <c:v>0</c:v>
                </c:pt>
                <c:pt idx="6">
                  <c:v>291720.000256509</c:v>
                </c:pt>
                <c:pt idx="7">
                  <c:v>728087.99986975954</c:v>
                </c:pt>
                <c:pt idx="8">
                  <c:v>58089.000040824059</c:v>
                </c:pt>
                <c:pt idx="9">
                  <c:v>527264.00115905411</c:v>
                </c:pt>
                <c:pt idx="10">
                  <c:v>85583.000105232</c:v>
                </c:pt>
                <c:pt idx="11">
                  <c:v>0</c:v>
                </c:pt>
              </c:numCache>
            </c:numRef>
          </c:val>
        </c:ser>
        <c:dLbls>
          <c:showLegendKey val="0"/>
          <c:showVal val="0"/>
          <c:showCatName val="0"/>
          <c:showSerName val="0"/>
          <c:showPercent val="0"/>
          <c:showBubbleSize val="0"/>
        </c:dLbls>
        <c:gapWidth val="75"/>
        <c:axId val="540777272"/>
        <c:axId val="540777664"/>
      </c:barChart>
      <c:catAx>
        <c:axId val="540777272"/>
        <c:scaling>
          <c:orientation val="minMax"/>
        </c:scaling>
        <c:delete val="0"/>
        <c:axPos val="l"/>
        <c:numFmt formatCode="General" sourceLinked="0"/>
        <c:majorTickMark val="none"/>
        <c:minorTickMark val="none"/>
        <c:tickLblPos val="nextTo"/>
        <c:crossAx val="540777664"/>
        <c:crosses val="autoZero"/>
        <c:auto val="1"/>
        <c:lblAlgn val="ctr"/>
        <c:lblOffset val="100"/>
        <c:noMultiLvlLbl val="0"/>
      </c:catAx>
      <c:valAx>
        <c:axId val="540777664"/>
        <c:scaling>
          <c:orientation val="minMax"/>
        </c:scaling>
        <c:delete val="0"/>
        <c:axPos val="b"/>
        <c:majorGridlines/>
        <c:title>
          <c:tx>
            <c:rich>
              <a:bodyPr/>
              <a:lstStyle/>
              <a:p>
                <a:pPr>
                  <a:defRPr/>
                </a:pPr>
                <a:r>
                  <a:rPr lang="en-US"/>
                  <a:t>Number of people without access</a:t>
                </a:r>
              </a:p>
            </c:rich>
          </c:tx>
          <c:layout/>
          <c:overlay val="0"/>
        </c:title>
        <c:numFmt formatCode="#,##0" sourceLinked="0"/>
        <c:majorTickMark val="none"/>
        <c:minorTickMark val="none"/>
        <c:tickLblPos val="nextTo"/>
        <c:spPr>
          <a:ln w="9525">
            <a:noFill/>
          </a:ln>
        </c:spPr>
        <c:crossAx val="54077727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strRef>
              <c:f>Sheet1!$T$23</c:f>
              <c:strCache>
                <c:ptCount val="1"/>
                <c:pt idx="0">
                  <c:v>Douane</c:v>
                </c:pt>
              </c:strCache>
            </c:strRef>
          </c:tx>
          <c:invertIfNegative val="0"/>
          <c:cat>
            <c:strRef>
              <c:f>Sheet1!$S$24:$S$31</c:f>
              <c:strCache>
                <c:ptCount val="8"/>
                <c:pt idx="0">
                  <c:v>Burkina</c:v>
                </c:pt>
                <c:pt idx="1">
                  <c:v>Cote d' Ivoire</c:v>
                </c:pt>
                <c:pt idx="2">
                  <c:v>Ghana</c:v>
                </c:pt>
                <c:pt idx="3">
                  <c:v>Mali</c:v>
                </c:pt>
                <c:pt idx="4">
                  <c:v>Senegal</c:v>
                </c:pt>
                <c:pt idx="5">
                  <c:v>Togo</c:v>
                </c:pt>
                <c:pt idx="6">
                  <c:v>Benin</c:v>
                </c:pt>
                <c:pt idx="7">
                  <c:v>Niger</c:v>
                </c:pt>
              </c:strCache>
            </c:strRef>
          </c:cat>
          <c:val>
            <c:numRef>
              <c:f>Sheet1!$T$24:$T$31</c:f>
              <c:numCache>
                <c:formatCode>General</c:formatCode>
                <c:ptCount val="8"/>
                <c:pt idx="0">
                  <c:v>1</c:v>
                </c:pt>
                <c:pt idx="1">
                  <c:v>0.35</c:v>
                </c:pt>
                <c:pt idx="2">
                  <c:v>0.95</c:v>
                </c:pt>
                <c:pt idx="3">
                  <c:v>0.9</c:v>
                </c:pt>
                <c:pt idx="4">
                  <c:v>0.2</c:v>
                </c:pt>
                <c:pt idx="5">
                  <c:v>0.65</c:v>
                </c:pt>
                <c:pt idx="6">
                  <c:v>0.2</c:v>
                </c:pt>
                <c:pt idx="7">
                  <c:v>0.8</c:v>
                </c:pt>
              </c:numCache>
            </c:numRef>
          </c:val>
        </c:ser>
        <c:ser>
          <c:idx val="1"/>
          <c:order val="1"/>
          <c:tx>
            <c:strRef>
              <c:f>Sheet1!$U$23</c:f>
              <c:strCache>
                <c:ptCount val="1"/>
                <c:pt idx="0">
                  <c:v>Police</c:v>
                </c:pt>
              </c:strCache>
            </c:strRef>
          </c:tx>
          <c:invertIfNegative val="0"/>
          <c:cat>
            <c:strRef>
              <c:f>Sheet1!$S$24:$S$31</c:f>
              <c:strCache>
                <c:ptCount val="8"/>
                <c:pt idx="0">
                  <c:v>Burkina</c:v>
                </c:pt>
                <c:pt idx="1">
                  <c:v>Cote d' Ivoire</c:v>
                </c:pt>
                <c:pt idx="2">
                  <c:v>Ghana</c:v>
                </c:pt>
                <c:pt idx="3">
                  <c:v>Mali</c:v>
                </c:pt>
                <c:pt idx="4">
                  <c:v>Senegal</c:v>
                </c:pt>
                <c:pt idx="5">
                  <c:v>Togo</c:v>
                </c:pt>
                <c:pt idx="6">
                  <c:v>Benin</c:v>
                </c:pt>
                <c:pt idx="7">
                  <c:v>Niger</c:v>
                </c:pt>
              </c:strCache>
            </c:strRef>
          </c:cat>
          <c:val>
            <c:numRef>
              <c:f>Sheet1!$U$24:$U$31</c:f>
              <c:numCache>
                <c:formatCode>General</c:formatCode>
                <c:ptCount val="8"/>
                <c:pt idx="0">
                  <c:v>0.3</c:v>
                </c:pt>
                <c:pt idx="1">
                  <c:v>0.65</c:v>
                </c:pt>
                <c:pt idx="2">
                  <c:v>0.9</c:v>
                </c:pt>
                <c:pt idx="3">
                  <c:v>0.95</c:v>
                </c:pt>
                <c:pt idx="4">
                  <c:v>0.6</c:v>
                </c:pt>
                <c:pt idx="5">
                  <c:v>0.2</c:v>
                </c:pt>
                <c:pt idx="6">
                  <c:v>0.4</c:v>
                </c:pt>
                <c:pt idx="7">
                  <c:v>0.2</c:v>
                </c:pt>
              </c:numCache>
            </c:numRef>
          </c:val>
        </c:ser>
        <c:ser>
          <c:idx val="2"/>
          <c:order val="2"/>
          <c:tx>
            <c:strRef>
              <c:f>Sheet1!$V$23</c:f>
              <c:strCache>
                <c:ptCount val="1"/>
                <c:pt idx="0">
                  <c:v>Gendarmerie</c:v>
                </c:pt>
              </c:strCache>
            </c:strRef>
          </c:tx>
          <c:invertIfNegative val="0"/>
          <c:cat>
            <c:strRef>
              <c:f>Sheet1!$S$24:$S$31</c:f>
              <c:strCache>
                <c:ptCount val="8"/>
                <c:pt idx="0">
                  <c:v>Burkina</c:v>
                </c:pt>
                <c:pt idx="1">
                  <c:v>Cote d' Ivoire</c:v>
                </c:pt>
                <c:pt idx="2">
                  <c:v>Ghana</c:v>
                </c:pt>
                <c:pt idx="3">
                  <c:v>Mali</c:v>
                </c:pt>
                <c:pt idx="4">
                  <c:v>Senegal</c:v>
                </c:pt>
                <c:pt idx="5">
                  <c:v>Togo</c:v>
                </c:pt>
                <c:pt idx="6">
                  <c:v>Benin</c:v>
                </c:pt>
                <c:pt idx="7">
                  <c:v>Niger</c:v>
                </c:pt>
              </c:strCache>
            </c:strRef>
          </c:cat>
          <c:val>
            <c:numRef>
              <c:f>Sheet1!$V$24:$V$31</c:f>
              <c:numCache>
                <c:formatCode>General</c:formatCode>
                <c:ptCount val="8"/>
                <c:pt idx="0">
                  <c:v>0.3</c:v>
                </c:pt>
                <c:pt idx="1">
                  <c:v>0.65</c:v>
                </c:pt>
                <c:pt idx="3">
                  <c:v>0.8</c:v>
                </c:pt>
                <c:pt idx="4">
                  <c:v>0.4</c:v>
                </c:pt>
                <c:pt idx="6">
                  <c:v>0.2</c:v>
                </c:pt>
                <c:pt idx="7">
                  <c:v>0.95</c:v>
                </c:pt>
              </c:numCache>
            </c:numRef>
          </c:val>
        </c:ser>
        <c:ser>
          <c:idx val="3"/>
          <c:order val="3"/>
          <c:tx>
            <c:strRef>
              <c:f>Sheet1!$W$23</c:f>
              <c:strCache>
                <c:ptCount val="1"/>
                <c:pt idx="0">
                  <c:v>Autre</c:v>
                </c:pt>
              </c:strCache>
            </c:strRef>
          </c:tx>
          <c:invertIfNegative val="0"/>
          <c:cat>
            <c:strRef>
              <c:f>Sheet1!$S$24:$S$31</c:f>
              <c:strCache>
                <c:ptCount val="8"/>
                <c:pt idx="0">
                  <c:v>Burkina</c:v>
                </c:pt>
                <c:pt idx="1">
                  <c:v>Cote d' Ivoire</c:v>
                </c:pt>
                <c:pt idx="2">
                  <c:v>Ghana</c:v>
                </c:pt>
                <c:pt idx="3">
                  <c:v>Mali</c:v>
                </c:pt>
                <c:pt idx="4">
                  <c:v>Senegal</c:v>
                </c:pt>
                <c:pt idx="5">
                  <c:v>Togo</c:v>
                </c:pt>
                <c:pt idx="6">
                  <c:v>Benin</c:v>
                </c:pt>
                <c:pt idx="7">
                  <c:v>Niger</c:v>
                </c:pt>
              </c:strCache>
            </c:strRef>
          </c:cat>
          <c:val>
            <c:numRef>
              <c:f>Sheet1!$W$24:$W$31</c:f>
              <c:numCache>
                <c:formatCode>General</c:formatCode>
                <c:ptCount val="8"/>
                <c:pt idx="0">
                  <c:v>0.05</c:v>
                </c:pt>
                <c:pt idx="1">
                  <c:v>0.2</c:v>
                </c:pt>
                <c:pt idx="3">
                  <c:v>0.2</c:v>
                </c:pt>
                <c:pt idx="5">
                  <c:v>0.1</c:v>
                </c:pt>
                <c:pt idx="6">
                  <c:v>0.1</c:v>
                </c:pt>
                <c:pt idx="7">
                  <c:v>0.05</c:v>
                </c:pt>
              </c:numCache>
            </c:numRef>
          </c:val>
        </c:ser>
        <c:dLbls>
          <c:showLegendKey val="0"/>
          <c:showVal val="0"/>
          <c:showCatName val="0"/>
          <c:showSerName val="0"/>
          <c:showPercent val="0"/>
          <c:showBubbleSize val="0"/>
        </c:dLbls>
        <c:gapWidth val="75"/>
        <c:overlap val="100"/>
        <c:axId val="540778448"/>
        <c:axId val="540778840"/>
      </c:barChart>
      <c:catAx>
        <c:axId val="540778448"/>
        <c:scaling>
          <c:orientation val="minMax"/>
        </c:scaling>
        <c:delete val="0"/>
        <c:axPos val="b"/>
        <c:numFmt formatCode="General" sourceLinked="0"/>
        <c:majorTickMark val="none"/>
        <c:minorTickMark val="none"/>
        <c:tickLblPos val="nextTo"/>
        <c:crossAx val="540778840"/>
        <c:crosses val="autoZero"/>
        <c:auto val="1"/>
        <c:lblAlgn val="ctr"/>
        <c:lblOffset val="100"/>
        <c:noMultiLvlLbl val="0"/>
      </c:catAx>
      <c:valAx>
        <c:axId val="540778840"/>
        <c:scaling>
          <c:orientation val="minMax"/>
        </c:scaling>
        <c:delete val="0"/>
        <c:axPos val="l"/>
        <c:majorGridlines/>
        <c:title>
          <c:tx>
            <c:rich>
              <a:bodyPr rot="-5400000" vert="horz"/>
              <a:lstStyle/>
              <a:p>
                <a:pPr>
                  <a:defRPr/>
                </a:pPr>
                <a:r>
                  <a:rPr lang="en-US"/>
                  <a:t>Number of checkpoints</a:t>
                </a:r>
              </a:p>
            </c:rich>
          </c:tx>
          <c:layout/>
          <c:overlay val="0"/>
        </c:title>
        <c:numFmt formatCode="General" sourceLinked="1"/>
        <c:majorTickMark val="none"/>
        <c:minorTickMark val="none"/>
        <c:tickLblPos val="nextTo"/>
        <c:crossAx val="540778448"/>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0"/>
              <a:t>* The year in which the data was</a:t>
            </a:r>
            <a:r>
              <a:rPr lang="en-US" sz="800" b="0" baseline="0"/>
              <a:t> collected is indicated above the bar</a:t>
            </a:r>
            <a:endParaRPr lang="en-US" sz="800" b="0"/>
          </a:p>
        </c:rich>
      </c:tx>
      <c:layout>
        <c:manualLayout>
          <c:xMode val="edge"/>
          <c:yMode val="edge"/>
          <c:x val="0.10229625286608049"/>
          <c:y val="0.9314121582743855"/>
        </c:manualLayout>
      </c:layout>
      <c:overlay val="1"/>
    </c:title>
    <c:autoTitleDeleted val="0"/>
    <c:plotArea>
      <c:layout>
        <c:manualLayout>
          <c:layoutTarget val="inner"/>
          <c:xMode val="edge"/>
          <c:yMode val="edge"/>
          <c:x val="0.10079176149492941"/>
          <c:y val="3.4962261029692396E-2"/>
          <c:w val="0.87484500483951133"/>
          <c:h val="0.68612598877253428"/>
        </c:manualLayout>
      </c:layout>
      <c:barChart>
        <c:barDir val="col"/>
        <c:grouping val="clustered"/>
        <c:varyColors val="0"/>
        <c:ser>
          <c:idx val="0"/>
          <c:order val="0"/>
          <c:tx>
            <c:strRef>
              <c:f>Sheet1!$AM$21</c:f>
              <c:strCache>
                <c:ptCount val="1"/>
                <c:pt idx="0">
                  <c:v>Gini</c:v>
                </c:pt>
              </c:strCache>
            </c:strRef>
          </c:tx>
          <c:invertIfNegative val="0"/>
          <c:dLbls>
            <c:dLbl>
              <c:idx val="0"/>
              <c:layout/>
              <c:tx>
                <c:rich>
                  <a:bodyPr/>
                  <a:lstStyle/>
                  <a:p>
                    <a:r>
                      <a:rPr lang="en-US" sz="800"/>
                      <a:t>2010</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4.4296788482834993E-3"/>
                  <c:y val="-2.9134880956112681E-17"/>
                </c:manualLayout>
              </c:layout>
              <c:tx>
                <c:rich>
                  <a:bodyPr/>
                  <a:lstStyle/>
                  <a:p>
                    <a:r>
                      <a:rPr lang="en-US" sz="800"/>
                      <a:t>2008</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tx>
                <c:rich>
                  <a:bodyPr/>
                  <a:lstStyle/>
                  <a:p>
                    <a:r>
                      <a:rPr lang="en-US" sz="800"/>
                      <a:t>2007</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tx>
                <c:rich>
                  <a:bodyPr/>
                  <a:lstStyle/>
                  <a:p>
                    <a:r>
                      <a:rPr lang="en-US" sz="800"/>
                      <a:t>2003</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4"/>
              <c:layout/>
              <c:tx>
                <c:rich>
                  <a:bodyPr/>
                  <a:lstStyle/>
                  <a:p>
                    <a:r>
                      <a:rPr lang="en-US" sz="800"/>
                      <a:t>2005</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5"/>
              <c:layout/>
              <c:tx>
                <c:rich>
                  <a:bodyPr/>
                  <a:lstStyle/>
                  <a:p>
                    <a:r>
                      <a:rPr lang="en-US" sz="800"/>
                      <a:t>2007</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6"/>
              <c:layout/>
              <c:tx>
                <c:rich>
                  <a:bodyPr/>
                  <a:lstStyle/>
                  <a:p>
                    <a:r>
                      <a:rPr lang="en-US" sz="800"/>
                      <a:t>2003</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7"/>
              <c:layout/>
              <c:tx>
                <c:rich>
                  <a:bodyPr/>
                  <a:lstStyle/>
                  <a:p>
                    <a:r>
                      <a:rPr lang="en-US" sz="800"/>
                      <a:t>2008</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8"/>
              <c:layout/>
              <c:tx>
                <c:rich>
                  <a:bodyPr/>
                  <a:lstStyle/>
                  <a:p>
                    <a:r>
                      <a:rPr lang="en-US" sz="800"/>
                      <a:t>2007</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9"/>
              <c:layout/>
              <c:tx>
                <c:rich>
                  <a:bodyPr/>
                  <a:lstStyle/>
                  <a:p>
                    <a:r>
                      <a:rPr lang="en-US" sz="800"/>
                      <a:t>2008</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0"/>
              <c:layout/>
              <c:tx>
                <c:rich>
                  <a:bodyPr/>
                  <a:lstStyle/>
                  <a:p>
                    <a:r>
                      <a:rPr lang="en-US" sz="800"/>
                      <a:t>2006</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1"/>
              <c:layout/>
              <c:tx>
                <c:rich>
                  <a:bodyPr/>
                  <a:lstStyle/>
                  <a:p>
                    <a:r>
                      <a:rPr lang="en-US" sz="800"/>
                      <a:t>2008</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2"/>
              <c:layout/>
              <c:tx>
                <c:rich>
                  <a:bodyPr/>
                  <a:lstStyle/>
                  <a:p>
                    <a:r>
                      <a:rPr lang="en-US" sz="800"/>
                      <a:t>2011</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3"/>
              <c:layout/>
              <c:tx>
                <c:rich>
                  <a:bodyPr/>
                  <a:lstStyle/>
                  <a:p>
                    <a:r>
                      <a:rPr lang="en-US" sz="800"/>
                      <a:t>2008</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4"/>
              <c:layout/>
              <c:tx>
                <c:rich>
                  <a:bodyPr/>
                  <a:lstStyle/>
                  <a:p>
                    <a:r>
                      <a:rPr lang="en-US" sz="800"/>
                      <a:t>2010</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5"/>
              <c:layout/>
              <c:tx>
                <c:rich>
                  <a:bodyPr/>
                  <a:lstStyle/>
                  <a:p>
                    <a:r>
                      <a:rPr lang="en-US" sz="800"/>
                      <a:t>2008</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Sheet1!$AL$22:$AL$37</c:f>
              <c:strCache>
                <c:ptCount val="16"/>
                <c:pt idx="0">
                  <c:v>Mali</c:v>
                </c:pt>
                <c:pt idx="1">
                  <c:v>Niger</c:v>
                </c:pt>
                <c:pt idx="2">
                  <c:v>Guinea-Bissau</c:v>
                </c:pt>
                <c:pt idx="3">
                  <c:v>Benin</c:v>
                </c:pt>
                <c:pt idx="4">
                  <c:v>Senegal</c:v>
                </c:pt>
                <c:pt idx="5">
                  <c:v>Guinea</c:v>
                </c:pt>
                <c:pt idx="6">
                  <c:v>Chad</c:v>
                </c:pt>
                <c:pt idx="7">
                  <c:v>Burkina Faso</c:v>
                </c:pt>
                <c:pt idx="8">
                  <c:v>Mauritania</c:v>
                </c:pt>
                <c:pt idx="9">
                  <c:v>Cote d'Ivoire</c:v>
                </c:pt>
                <c:pt idx="10">
                  <c:v>Sierra Leone</c:v>
                </c:pt>
                <c:pt idx="11">
                  <c:v>Ghana</c:v>
                </c:pt>
                <c:pt idx="12">
                  <c:v>Togo</c:v>
                </c:pt>
                <c:pt idx="13">
                  <c:v>Gambia</c:v>
                </c:pt>
                <c:pt idx="14">
                  <c:v>Nigeria</c:v>
                </c:pt>
                <c:pt idx="15">
                  <c:v>Central African Republic</c:v>
                </c:pt>
              </c:strCache>
            </c:strRef>
          </c:cat>
          <c:val>
            <c:numRef>
              <c:f>Sheet1!$AM$22:$AM$37</c:f>
              <c:numCache>
                <c:formatCode>General</c:formatCode>
                <c:ptCount val="16"/>
                <c:pt idx="0">
                  <c:v>33.020000000000003</c:v>
                </c:pt>
                <c:pt idx="1">
                  <c:v>34.549999999999997</c:v>
                </c:pt>
                <c:pt idx="2">
                  <c:v>35.520000000000003</c:v>
                </c:pt>
                <c:pt idx="3">
                  <c:v>38.619999999999997</c:v>
                </c:pt>
                <c:pt idx="4">
                  <c:v>39.19</c:v>
                </c:pt>
                <c:pt idx="5">
                  <c:v>39.35</c:v>
                </c:pt>
                <c:pt idx="6">
                  <c:v>39.78</c:v>
                </c:pt>
                <c:pt idx="7">
                  <c:v>39.79</c:v>
                </c:pt>
                <c:pt idx="8">
                  <c:v>40.46</c:v>
                </c:pt>
                <c:pt idx="9">
                  <c:v>41.5</c:v>
                </c:pt>
                <c:pt idx="10">
                  <c:v>42.52</c:v>
                </c:pt>
                <c:pt idx="11">
                  <c:v>42.76</c:v>
                </c:pt>
                <c:pt idx="12">
                  <c:v>46</c:v>
                </c:pt>
                <c:pt idx="13">
                  <c:v>47.28</c:v>
                </c:pt>
                <c:pt idx="14">
                  <c:v>48.83</c:v>
                </c:pt>
                <c:pt idx="15">
                  <c:v>56.3</c:v>
                </c:pt>
              </c:numCache>
            </c:numRef>
          </c:val>
        </c:ser>
        <c:dLbls>
          <c:showLegendKey val="0"/>
          <c:showVal val="0"/>
          <c:showCatName val="0"/>
          <c:showSerName val="0"/>
          <c:showPercent val="0"/>
          <c:showBubbleSize val="0"/>
        </c:dLbls>
        <c:gapWidth val="150"/>
        <c:axId val="540779624"/>
        <c:axId val="540780016"/>
      </c:barChart>
      <c:catAx>
        <c:axId val="540779624"/>
        <c:scaling>
          <c:orientation val="minMax"/>
        </c:scaling>
        <c:delete val="0"/>
        <c:axPos val="b"/>
        <c:numFmt formatCode="General" sourceLinked="0"/>
        <c:majorTickMark val="out"/>
        <c:minorTickMark val="none"/>
        <c:tickLblPos val="nextTo"/>
        <c:txPr>
          <a:bodyPr/>
          <a:lstStyle/>
          <a:p>
            <a:pPr>
              <a:defRPr sz="900"/>
            </a:pPr>
            <a:endParaRPr lang="en-US"/>
          </a:p>
        </c:txPr>
        <c:crossAx val="540780016"/>
        <c:crosses val="autoZero"/>
        <c:auto val="1"/>
        <c:lblAlgn val="ctr"/>
        <c:lblOffset val="100"/>
        <c:noMultiLvlLbl val="0"/>
      </c:catAx>
      <c:valAx>
        <c:axId val="540780016"/>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Gini coefficient</a:t>
                </a:r>
              </a:p>
            </c:rich>
          </c:tx>
          <c:layout/>
          <c:overlay val="0"/>
        </c:title>
        <c:numFmt formatCode="General" sourceLinked="1"/>
        <c:majorTickMark val="out"/>
        <c:minorTickMark val="none"/>
        <c:tickLblPos val="nextTo"/>
        <c:crossAx val="54077962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5746275349939"/>
          <c:y val="2.4988629580147248E-2"/>
          <c:w val="0.85770076681659224"/>
          <c:h val="0.89222440944881887"/>
        </c:manualLayout>
      </c:layout>
      <c:barChart>
        <c:barDir val="col"/>
        <c:grouping val="clustered"/>
        <c:varyColors val="0"/>
        <c:ser>
          <c:idx val="1"/>
          <c:order val="0"/>
          <c:tx>
            <c:strRef>
              <c:f>'GDP graph'!$A$4</c:f>
              <c:strCache>
                <c:ptCount val="1"/>
                <c:pt idx="0">
                  <c:v>PIB reel</c:v>
                </c:pt>
              </c:strCache>
            </c:strRef>
          </c:tx>
          <c:spPr>
            <a:solidFill>
              <a:schemeClr val="tx2">
                <a:lumMod val="60000"/>
                <a:lumOff val="40000"/>
              </a:schemeClr>
            </a:solidFill>
          </c:spPr>
          <c:invertIfNegative val="0"/>
          <c:dLbls>
            <c:dLbl>
              <c:idx val="6"/>
              <c:layout>
                <c:manualLayout>
                  <c:x val="4.0277310088219506E-17"/>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graph'!$C$4:$Z$4</c:f>
              <c:numCache>
                <c:formatCode>0%</c:formatCode>
                <c:ptCount val="24"/>
                <c:pt idx="0">
                  <c:v>0.16451945434858506</c:v>
                </c:pt>
                <c:pt idx="1">
                  <c:v>9.0517855883118781E-2</c:v>
                </c:pt>
                <c:pt idx="2">
                  <c:v>-3.2349696723650512E-2</c:v>
                </c:pt>
                <c:pt idx="3">
                  <c:v>3.83304977483514E-2</c:v>
                </c:pt>
                <c:pt idx="4">
                  <c:v>3.5622851087317109E-2</c:v>
                </c:pt>
                <c:pt idx="5">
                  <c:v>2.3542046626209734E-2</c:v>
                </c:pt>
                <c:pt idx="6">
                  <c:v>7.3820904336861615E-2</c:v>
                </c:pt>
                <c:pt idx="7">
                  <c:v>5.333724422100361E-2</c:v>
                </c:pt>
                <c:pt idx="8">
                  <c:v>4.4215355838143733E-2</c:v>
                </c:pt>
                <c:pt idx="9">
                  <c:v>5.6983266795146648E-2</c:v>
                </c:pt>
                <c:pt idx="10">
                  <c:v>-3.2752207937604916E-2</c:v>
                </c:pt>
                <c:pt idx="11">
                  <c:v>0.11855295711791382</c:v>
                </c:pt>
                <c:pt idx="12">
                  <c:v>4.3070320826122943E-2</c:v>
                </c:pt>
                <c:pt idx="13">
                  <c:v>7.6160008055054629E-2</c:v>
                </c:pt>
                <c:pt idx="14">
                  <c:v>2.2590221508251851E-2</c:v>
                </c:pt>
                <c:pt idx="15">
                  <c:v>6.1345837840013351E-2</c:v>
                </c:pt>
                <c:pt idx="16">
                  <c:v>5.252190252555633E-2</c:v>
                </c:pt>
                <c:pt idx="17">
                  <c:v>4.2981838755756563E-2</c:v>
                </c:pt>
                <c:pt idx="18">
                  <c:v>4.9785455357299391E-2</c:v>
                </c:pt>
                <c:pt idx="19">
                  <c:v>4.4574248473221667E-2</c:v>
                </c:pt>
                <c:pt idx="20">
                  <c:v>5.8193462160048393E-2</c:v>
                </c:pt>
                <c:pt idx="21">
                  <c:v>2.7313608576213122E-2</c:v>
                </c:pt>
                <c:pt idx="22">
                  <c:v>2.2933769569322138E-4</c:v>
                </c:pt>
                <c:pt idx="23">
                  <c:v>1.7314815704902786E-2</c:v>
                </c:pt>
              </c:numCache>
            </c:numRef>
          </c:val>
        </c:ser>
        <c:dLbls>
          <c:showLegendKey val="0"/>
          <c:showVal val="0"/>
          <c:showCatName val="0"/>
          <c:showSerName val="0"/>
          <c:showPercent val="0"/>
          <c:showBubbleSize val="0"/>
        </c:dLbls>
        <c:gapWidth val="75"/>
        <c:axId val="536660248"/>
        <c:axId val="536660640"/>
      </c:barChart>
      <c:lineChart>
        <c:grouping val="standard"/>
        <c:varyColors val="0"/>
        <c:ser>
          <c:idx val="2"/>
          <c:order val="1"/>
          <c:tx>
            <c:strRef>
              <c:f>'GDP graph'!$A$5</c:f>
              <c:strCache>
                <c:ptCount val="1"/>
                <c:pt idx="0">
                  <c:v>objectif de 20% </c:v>
                </c:pt>
              </c:strCache>
            </c:strRef>
          </c:tx>
          <c:marker>
            <c:symbol val="none"/>
          </c:marker>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graph'!$C$5:$Z$5</c:f>
              <c:numCache>
                <c:formatCode>0%</c:formatCode>
                <c:ptCount val="24"/>
                <c:pt idx="0">
                  <c:v>5.8999999999999997E-2</c:v>
                </c:pt>
                <c:pt idx="1">
                  <c:v>5.8999999999999997E-2</c:v>
                </c:pt>
                <c:pt idx="2">
                  <c:v>5.8999999999999997E-2</c:v>
                </c:pt>
                <c:pt idx="3">
                  <c:v>5.8999999999999997E-2</c:v>
                </c:pt>
                <c:pt idx="4">
                  <c:v>5.8999999999999997E-2</c:v>
                </c:pt>
                <c:pt idx="5">
                  <c:v>5.8999999999999997E-2</c:v>
                </c:pt>
                <c:pt idx="6">
                  <c:v>5.8999999999999997E-2</c:v>
                </c:pt>
                <c:pt idx="7">
                  <c:v>5.8999999999999997E-2</c:v>
                </c:pt>
                <c:pt idx="8">
                  <c:v>5.8999999999999997E-2</c:v>
                </c:pt>
                <c:pt idx="9">
                  <c:v>5.8999999999999997E-2</c:v>
                </c:pt>
                <c:pt idx="10">
                  <c:v>5.8999999999999997E-2</c:v>
                </c:pt>
                <c:pt idx="11">
                  <c:v>5.8999999999999997E-2</c:v>
                </c:pt>
                <c:pt idx="12">
                  <c:v>5.8999999999999997E-2</c:v>
                </c:pt>
                <c:pt idx="13">
                  <c:v>5.8999999999999997E-2</c:v>
                </c:pt>
                <c:pt idx="14">
                  <c:v>5.8999999999999997E-2</c:v>
                </c:pt>
                <c:pt idx="15">
                  <c:v>5.8999999999999997E-2</c:v>
                </c:pt>
                <c:pt idx="16">
                  <c:v>5.8999999999999997E-2</c:v>
                </c:pt>
                <c:pt idx="17">
                  <c:v>5.8999999999999997E-2</c:v>
                </c:pt>
                <c:pt idx="18">
                  <c:v>5.8999999999999997E-2</c:v>
                </c:pt>
                <c:pt idx="19">
                  <c:v>5.8999999999999997E-2</c:v>
                </c:pt>
                <c:pt idx="20">
                  <c:v>5.8999999999999997E-2</c:v>
                </c:pt>
                <c:pt idx="21">
                  <c:v>5.8999999999999997E-2</c:v>
                </c:pt>
                <c:pt idx="22">
                  <c:v>5.8999999999999997E-2</c:v>
                </c:pt>
                <c:pt idx="23">
                  <c:v>5.8999999999999997E-2</c:v>
                </c:pt>
              </c:numCache>
            </c:numRef>
          </c:val>
          <c:smooth val="0"/>
        </c:ser>
        <c:ser>
          <c:idx val="3"/>
          <c:order val="2"/>
          <c:tx>
            <c:strRef>
              <c:f>'GDP graph'!$A$6</c:f>
              <c:strCache>
                <c:ptCount val="1"/>
                <c:pt idx="0">
                  <c:v>objectif de 10% </c:v>
                </c:pt>
              </c:strCache>
            </c:strRef>
          </c:tx>
          <c:spPr>
            <a:ln>
              <a:solidFill>
                <a:schemeClr val="accent2"/>
              </a:solidFill>
            </a:ln>
          </c:spPr>
          <c:marker>
            <c:symbol val="none"/>
          </c:marker>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graph'!$C$6:$Z$6</c:f>
              <c:numCache>
                <c:formatCode>0%</c:formatCode>
                <c:ptCount val="24"/>
                <c:pt idx="0">
                  <c:v>7.1999999999999995E-2</c:v>
                </c:pt>
                <c:pt idx="1">
                  <c:v>7.1999999999999995E-2</c:v>
                </c:pt>
                <c:pt idx="2">
                  <c:v>7.1999999999999995E-2</c:v>
                </c:pt>
                <c:pt idx="3">
                  <c:v>7.1999999999999995E-2</c:v>
                </c:pt>
                <c:pt idx="4">
                  <c:v>7.1999999999999995E-2</c:v>
                </c:pt>
                <c:pt idx="5">
                  <c:v>7.1999999999999995E-2</c:v>
                </c:pt>
                <c:pt idx="6">
                  <c:v>7.1999999999999995E-2</c:v>
                </c:pt>
                <c:pt idx="7">
                  <c:v>7.1999999999999995E-2</c:v>
                </c:pt>
                <c:pt idx="8">
                  <c:v>7.1999999999999995E-2</c:v>
                </c:pt>
                <c:pt idx="9">
                  <c:v>7.1999999999999995E-2</c:v>
                </c:pt>
                <c:pt idx="10">
                  <c:v>7.1999999999999995E-2</c:v>
                </c:pt>
                <c:pt idx="11">
                  <c:v>7.1999999999999995E-2</c:v>
                </c:pt>
                <c:pt idx="12">
                  <c:v>7.1999999999999995E-2</c:v>
                </c:pt>
                <c:pt idx="13">
                  <c:v>7.1999999999999995E-2</c:v>
                </c:pt>
                <c:pt idx="14">
                  <c:v>7.1999999999999995E-2</c:v>
                </c:pt>
                <c:pt idx="15">
                  <c:v>7.1999999999999995E-2</c:v>
                </c:pt>
                <c:pt idx="16">
                  <c:v>7.1999999999999995E-2</c:v>
                </c:pt>
                <c:pt idx="17">
                  <c:v>7.1999999999999995E-2</c:v>
                </c:pt>
                <c:pt idx="18">
                  <c:v>7.1999999999999995E-2</c:v>
                </c:pt>
                <c:pt idx="19">
                  <c:v>7.1999999999999995E-2</c:v>
                </c:pt>
                <c:pt idx="20">
                  <c:v>7.1999999999999995E-2</c:v>
                </c:pt>
                <c:pt idx="21">
                  <c:v>7.1999999999999995E-2</c:v>
                </c:pt>
                <c:pt idx="22">
                  <c:v>7.1999999999999995E-2</c:v>
                </c:pt>
                <c:pt idx="23">
                  <c:v>7.1999999999999995E-2</c:v>
                </c:pt>
              </c:numCache>
            </c:numRef>
          </c:val>
          <c:smooth val="0"/>
        </c:ser>
        <c:ser>
          <c:idx val="4"/>
          <c:order val="3"/>
          <c:tx>
            <c:strRef>
              <c:f>'GDP graph'!$A$7</c:f>
              <c:strCache>
                <c:ptCount val="1"/>
                <c:pt idx="0">
                  <c:v>objectif de 3% </c:v>
                </c:pt>
              </c:strCache>
            </c:strRef>
          </c:tx>
          <c:spPr>
            <a:ln>
              <a:solidFill>
                <a:schemeClr val="tx1"/>
              </a:solidFill>
            </a:ln>
          </c:spPr>
          <c:marker>
            <c:symbol val="none"/>
          </c:marker>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graph'!$C$7:$Z$7</c:f>
              <c:numCache>
                <c:formatCode>0%</c:formatCode>
                <c:ptCount val="24"/>
                <c:pt idx="0">
                  <c:v>9.0999999999999998E-2</c:v>
                </c:pt>
                <c:pt idx="1">
                  <c:v>9.0999999999999998E-2</c:v>
                </c:pt>
                <c:pt idx="2">
                  <c:v>9.0999999999999998E-2</c:v>
                </c:pt>
                <c:pt idx="3">
                  <c:v>9.0999999999999998E-2</c:v>
                </c:pt>
                <c:pt idx="4">
                  <c:v>9.0999999999999998E-2</c:v>
                </c:pt>
                <c:pt idx="5">
                  <c:v>9.0999999999999998E-2</c:v>
                </c:pt>
                <c:pt idx="6">
                  <c:v>9.0999999999999998E-2</c:v>
                </c:pt>
                <c:pt idx="7">
                  <c:v>9.0999999999999998E-2</c:v>
                </c:pt>
                <c:pt idx="8">
                  <c:v>9.0999999999999998E-2</c:v>
                </c:pt>
                <c:pt idx="9">
                  <c:v>9.0999999999999998E-2</c:v>
                </c:pt>
                <c:pt idx="10">
                  <c:v>9.0999999999999998E-2</c:v>
                </c:pt>
                <c:pt idx="11">
                  <c:v>9.0999999999999998E-2</c:v>
                </c:pt>
                <c:pt idx="12">
                  <c:v>9.0999999999999998E-2</c:v>
                </c:pt>
                <c:pt idx="13">
                  <c:v>9.0999999999999998E-2</c:v>
                </c:pt>
                <c:pt idx="14">
                  <c:v>9.0999999999999998E-2</c:v>
                </c:pt>
                <c:pt idx="15">
                  <c:v>9.0999999999999998E-2</c:v>
                </c:pt>
                <c:pt idx="16">
                  <c:v>9.0999999999999998E-2</c:v>
                </c:pt>
                <c:pt idx="17">
                  <c:v>9.0999999999999998E-2</c:v>
                </c:pt>
                <c:pt idx="18">
                  <c:v>9.0999999999999998E-2</c:v>
                </c:pt>
                <c:pt idx="19">
                  <c:v>9.0999999999999998E-2</c:v>
                </c:pt>
                <c:pt idx="20">
                  <c:v>9.0999999999999998E-2</c:v>
                </c:pt>
                <c:pt idx="21">
                  <c:v>9.0999999999999998E-2</c:v>
                </c:pt>
                <c:pt idx="22">
                  <c:v>9.0999999999999998E-2</c:v>
                </c:pt>
                <c:pt idx="23">
                  <c:v>9.0999999999999998E-2</c:v>
                </c:pt>
              </c:numCache>
            </c:numRef>
          </c:val>
          <c:smooth val="0"/>
        </c:ser>
        <c:dLbls>
          <c:showLegendKey val="0"/>
          <c:showVal val="0"/>
          <c:showCatName val="0"/>
          <c:showSerName val="0"/>
          <c:showPercent val="0"/>
          <c:showBubbleSize val="0"/>
        </c:dLbls>
        <c:marker val="1"/>
        <c:smooth val="0"/>
        <c:axId val="536660248"/>
        <c:axId val="536660640"/>
      </c:lineChart>
      <c:catAx>
        <c:axId val="536660248"/>
        <c:scaling>
          <c:orientation val="minMax"/>
        </c:scaling>
        <c:delete val="0"/>
        <c:axPos val="b"/>
        <c:numFmt formatCode="General" sourceLinked="1"/>
        <c:majorTickMark val="none"/>
        <c:minorTickMark val="none"/>
        <c:tickLblPos val="nextTo"/>
        <c:crossAx val="536660640"/>
        <c:crosses val="autoZero"/>
        <c:auto val="1"/>
        <c:lblAlgn val="ctr"/>
        <c:lblOffset val="100"/>
        <c:noMultiLvlLbl val="0"/>
      </c:catAx>
      <c:valAx>
        <c:axId val="536660640"/>
        <c:scaling>
          <c:orientation val="minMax"/>
        </c:scaling>
        <c:delete val="0"/>
        <c:axPos val="l"/>
        <c:title>
          <c:tx>
            <c:rich>
              <a:bodyPr rot="-5400000" vert="horz"/>
              <a:lstStyle/>
              <a:p>
                <a:pPr>
                  <a:defRPr/>
                </a:pPr>
                <a:r>
                  <a:rPr lang="en-US"/>
                  <a:t>GDP growth rate</a:t>
                </a:r>
              </a:p>
            </c:rich>
          </c:tx>
          <c:layout/>
          <c:overlay val="0"/>
        </c:title>
        <c:numFmt formatCode="0%" sourceLinked="1"/>
        <c:majorTickMark val="none"/>
        <c:minorTickMark val="none"/>
        <c:tickLblPos val="nextTo"/>
        <c:spPr>
          <a:ln w="9525">
            <a:noFill/>
          </a:ln>
        </c:spPr>
        <c:crossAx val="536660248"/>
        <c:crosses val="autoZero"/>
        <c:crossBetween val="between"/>
      </c:valAx>
    </c:plotArea>
    <c:legend>
      <c:legendPos val="b"/>
      <c:layout>
        <c:manualLayout>
          <c:xMode val="edge"/>
          <c:yMode val="edge"/>
          <c:x val="0.16111113514392725"/>
          <c:y val="0.89320835257649278"/>
          <c:w val="0.77500000000000002"/>
          <c:h val="0.1033557995892905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'GDP graph'!$A$4</c:f>
              <c:strCache>
                <c:ptCount val="1"/>
                <c:pt idx="0">
                  <c:v>PIB reel</c:v>
                </c:pt>
              </c:strCache>
            </c:strRef>
          </c:tx>
          <c:spPr>
            <a:solidFill>
              <a:schemeClr val="tx2">
                <a:lumMod val="60000"/>
                <a:lumOff val="40000"/>
              </a:schemeClr>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graph'!$C$4:$Z$4</c:f>
              <c:numCache>
                <c:formatCode>0%</c:formatCode>
                <c:ptCount val="24"/>
                <c:pt idx="0">
                  <c:v>0.16451945434858506</c:v>
                </c:pt>
                <c:pt idx="1">
                  <c:v>9.0517855883118781E-2</c:v>
                </c:pt>
                <c:pt idx="2">
                  <c:v>-3.2349696723650512E-2</c:v>
                </c:pt>
                <c:pt idx="3">
                  <c:v>3.83304977483514E-2</c:v>
                </c:pt>
                <c:pt idx="4">
                  <c:v>3.5622851087317109E-2</c:v>
                </c:pt>
                <c:pt idx="5">
                  <c:v>2.3542046626209734E-2</c:v>
                </c:pt>
                <c:pt idx="6">
                  <c:v>7.3820904336861615E-2</c:v>
                </c:pt>
                <c:pt idx="7">
                  <c:v>5.333724422100361E-2</c:v>
                </c:pt>
                <c:pt idx="8">
                  <c:v>4.4215355838143733E-2</c:v>
                </c:pt>
                <c:pt idx="9">
                  <c:v>5.6983266795146648E-2</c:v>
                </c:pt>
                <c:pt idx="10">
                  <c:v>-3.2752207937604916E-2</c:v>
                </c:pt>
                <c:pt idx="11">
                  <c:v>0.11855295711791382</c:v>
                </c:pt>
                <c:pt idx="12">
                  <c:v>4.3070320826122943E-2</c:v>
                </c:pt>
                <c:pt idx="13">
                  <c:v>7.6160008055054629E-2</c:v>
                </c:pt>
                <c:pt idx="14">
                  <c:v>2.2590221508251851E-2</c:v>
                </c:pt>
                <c:pt idx="15">
                  <c:v>6.1345837840013351E-2</c:v>
                </c:pt>
                <c:pt idx="16">
                  <c:v>5.252190252555633E-2</c:v>
                </c:pt>
                <c:pt idx="17">
                  <c:v>4.2981838755756563E-2</c:v>
                </c:pt>
                <c:pt idx="18">
                  <c:v>4.9785455357299391E-2</c:v>
                </c:pt>
                <c:pt idx="19">
                  <c:v>4.4574248473221667E-2</c:v>
                </c:pt>
                <c:pt idx="20">
                  <c:v>5.8193462160048393E-2</c:v>
                </c:pt>
                <c:pt idx="21">
                  <c:v>2.7313608576213122E-2</c:v>
                </c:pt>
                <c:pt idx="22">
                  <c:v>2.2933769569322138E-4</c:v>
                </c:pt>
                <c:pt idx="23">
                  <c:v>1.7314815704902786E-2</c:v>
                </c:pt>
              </c:numCache>
            </c:numRef>
          </c:val>
        </c:ser>
        <c:dLbls>
          <c:showLegendKey val="0"/>
          <c:showVal val="0"/>
          <c:showCatName val="0"/>
          <c:showSerName val="0"/>
          <c:showPercent val="0"/>
          <c:showBubbleSize val="0"/>
        </c:dLbls>
        <c:gapWidth val="75"/>
        <c:axId val="540783936"/>
        <c:axId val="540784328"/>
      </c:barChart>
      <c:lineChart>
        <c:grouping val="standard"/>
        <c:varyColors val="0"/>
        <c:ser>
          <c:idx val="2"/>
          <c:order val="1"/>
          <c:tx>
            <c:strRef>
              <c:f>'GDP graph'!$A$5</c:f>
              <c:strCache>
                <c:ptCount val="1"/>
                <c:pt idx="0">
                  <c:v>objectif de 20% </c:v>
                </c:pt>
              </c:strCache>
            </c:strRef>
          </c:tx>
          <c:marker>
            <c:symbol val="none"/>
          </c:marker>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graph'!$C$5:$Z$5</c:f>
              <c:numCache>
                <c:formatCode>0%</c:formatCode>
                <c:ptCount val="24"/>
                <c:pt idx="0">
                  <c:v>5.8999999999999997E-2</c:v>
                </c:pt>
                <c:pt idx="1">
                  <c:v>5.8999999999999997E-2</c:v>
                </c:pt>
                <c:pt idx="2">
                  <c:v>5.8999999999999997E-2</c:v>
                </c:pt>
                <c:pt idx="3">
                  <c:v>5.8999999999999997E-2</c:v>
                </c:pt>
                <c:pt idx="4">
                  <c:v>5.8999999999999997E-2</c:v>
                </c:pt>
                <c:pt idx="5">
                  <c:v>5.8999999999999997E-2</c:v>
                </c:pt>
                <c:pt idx="6">
                  <c:v>5.8999999999999997E-2</c:v>
                </c:pt>
                <c:pt idx="7">
                  <c:v>5.8999999999999997E-2</c:v>
                </c:pt>
                <c:pt idx="8">
                  <c:v>5.8999999999999997E-2</c:v>
                </c:pt>
                <c:pt idx="9">
                  <c:v>5.8999999999999997E-2</c:v>
                </c:pt>
                <c:pt idx="10">
                  <c:v>5.8999999999999997E-2</c:v>
                </c:pt>
                <c:pt idx="11">
                  <c:v>5.8999999999999997E-2</c:v>
                </c:pt>
                <c:pt idx="12">
                  <c:v>5.8999999999999997E-2</c:v>
                </c:pt>
                <c:pt idx="13">
                  <c:v>5.8999999999999997E-2</c:v>
                </c:pt>
                <c:pt idx="14">
                  <c:v>5.8999999999999997E-2</c:v>
                </c:pt>
                <c:pt idx="15">
                  <c:v>5.8999999999999997E-2</c:v>
                </c:pt>
                <c:pt idx="16">
                  <c:v>5.8999999999999997E-2</c:v>
                </c:pt>
                <c:pt idx="17">
                  <c:v>5.8999999999999997E-2</c:v>
                </c:pt>
                <c:pt idx="18">
                  <c:v>5.8999999999999997E-2</c:v>
                </c:pt>
                <c:pt idx="19">
                  <c:v>5.8999999999999997E-2</c:v>
                </c:pt>
                <c:pt idx="20">
                  <c:v>5.8999999999999997E-2</c:v>
                </c:pt>
                <c:pt idx="21">
                  <c:v>5.8999999999999997E-2</c:v>
                </c:pt>
                <c:pt idx="22">
                  <c:v>5.8999999999999997E-2</c:v>
                </c:pt>
                <c:pt idx="23">
                  <c:v>5.8999999999999997E-2</c:v>
                </c:pt>
              </c:numCache>
            </c:numRef>
          </c:val>
          <c:smooth val="0"/>
        </c:ser>
        <c:ser>
          <c:idx val="3"/>
          <c:order val="2"/>
          <c:tx>
            <c:strRef>
              <c:f>'GDP graph'!$A$6</c:f>
              <c:strCache>
                <c:ptCount val="1"/>
                <c:pt idx="0">
                  <c:v>objectif de 10% </c:v>
                </c:pt>
              </c:strCache>
            </c:strRef>
          </c:tx>
          <c:spPr>
            <a:ln>
              <a:solidFill>
                <a:schemeClr val="accent2"/>
              </a:solidFill>
            </a:ln>
          </c:spPr>
          <c:marker>
            <c:symbol val="none"/>
          </c:marker>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graph'!$C$6:$Z$6</c:f>
              <c:numCache>
                <c:formatCode>0%</c:formatCode>
                <c:ptCount val="24"/>
                <c:pt idx="0">
                  <c:v>7.1999999999999995E-2</c:v>
                </c:pt>
                <c:pt idx="1">
                  <c:v>7.1999999999999995E-2</c:v>
                </c:pt>
                <c:pt idx="2">
                  <c:v>7.1999999999999995E-2</c:v>
                </c:pt>
                <c:pt idx="3">
                  <c:v>7.1999999999999995E-2</c:v>
                </c:pt>
                <c:pt idx="4">
                  <c:v>7.1999999999999995E-2</c:v>
                </c:pt>
                <c:pt idx="5">
                  <c:v>7.1999999999999995E-2</c:v>
                </c:pt>
                <c:pt idx="6">
                  <c:v>7.1999999999999995E-2</c:v>
                </c:pt>
                <c:pt idx="7">
                  <c:v>7.1999999999999995E-2</c:v>
                </c:pt>
                <c:pt idx="8">
                  <c:v>7.1999999999999995E-2</c:v>
                </c:pt>
                <c:pt idx="9">
                  <c:v>7.1999999999999995E-2</c:v>
                </c:pt>
                <c:pt idx="10">
                  <c:v>7.1999999999999995E-2</c:v>
                </c:pt>
                <c:pt idx="11">
                  <c:v>7.1999999999999995E-2</c:v>
                </c:pt>
                <c:pt idx="12">
                  <c:v>7.1999999999999995E-2</c:v>
                </c:pt>
                <c:pt idx="13">
                  <c:v>7.1999999999999995E-2</c:v>
                </c:pt>
                <c:pt idx="14">
                  <c:v>7.1999999999999995E-2</c:v>
                </c:pt>
                <c:pt idx="15">
                  <c:v>7.1999999999999995E-2</c:v>
                </c:pt>
                <c:pt idx="16">
                  <c:v>7.1999999999999995E-2</c:v>
                </c:pt>
                <c:pt idx="17">
                  <c:v>7.1999999999999995E-2</c:v>
                </c:pt>
                <c:pt idx="18">
                  <c:v>7.1999999999999995E-2</c:v>
                </c:pt>
                <c:pt idx="19">
                  <c:v>7.1999999999999995E-2</c:v>
                </c:pt>
                <c:pt idx="20">
                  <c:v>7.1999999999999995E-2</c:v>
                </c:pt>
                <c:pt idx="21">
                  <c:v>7.1999999999999995E-2</c:v>
                </c:pt>
                <c:pt idx="22">
                  <c:v>7.1999999999999995E-2</c:v>
                </c:pt>
                <c:pt idx="23">
                  <c:v>7.1999999999999995E-2</c:v>
                </c:pt>
              </c:numCache>
            </c:numRef>
          </c:val>
          <c:smooth val="0"/>
        </c:ser>
        <c:ser>
          <c:idx val="4"/>
          <c:order val="3"/>
          <c:tx>
            <c:strRef>
              <c:f>'GDP graph'!$A$7</c:f>
              <c:strCache>
                <c:ptCount val="1"/>
                <c:pt idx="0">
                  <c:v>objectif de 3% </c:v>
                </c:pt>
              </c:strCache>
            </c:strRef>
          </c:tx>
          <c:spPr>
            <a:ln>
              <a:solidFill>
                <a:schemeClr val="tx1"/>
              </a:solidFill>
            </a:ln>
          </c:spPr>
          <c:marker>
            <c:symbol val="none"/>
          </c:marker>
          <c:cat>
            <c:numRef>
              <c:f>'GDP graph'!$C$3:$Z$3</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'GDP graph'!$C$7:$Z$7</c:f>
              <c:numCache>
                <c:formatCode>0%</c:formatCode>
                <c:ptCount val="24"/>
                <c:pt idx="0">
                  <c:v>9.0999999999999998E-2</c:v>
                </c:pt>
                <c:pt idx="1">
                  <c:v>9.0999999999999998E-2</c:v>
                </c:pt>
                <c:pt idx="2">
                  <c:v>9.0999999999999998E-2</c:v>
                </c:pt>
                <c:pt idx="3">
                  <c:v>9.0999999999999998E-2</c:v>
                </c:pt>
                <c:pt idx="4">
                  <c:v>9.0999999999999998E-2</c:v>
                </c:pt>
                <c:pt idx="5">
                  <c:v>9.0999999999999998E-2</c:v>
                </c:pt>
                <c:pt idx="6">
                  <c:v>9.0999999999999998E-2</c:v>
                </c:pt>
                <c:pt idx="7">
                  <c:v>9.0999999999999998E-2</c:v>
                </c:pt>
                <c:pt idx="8">
                  <c:v>9.0999999999999998E-2</c:v>
                </c:pt>
                <c:pt idx="9">
                  <c:v>9.0999999999999998E-2</c:v>
                </c:pt>
                <c:pt idx="10">
                  <c:v>9.0999999999999998E-2</c:v>
                </c:pt>
                <c:pt idx="11">
                  <c:v>9.0999999999999998E-2</c:v>
                </c:pt>
                <c:pt idx="12">
                  <c:v>9.0999999999999998E-2</c:v>
                </c:pt>
                <c:pt idx="13">
                  <c:v>9.0999999999999998E-2</c:v>
                </c:pt>
                <c:pt idx="14">
                  <c:v>9.0999999999999998E-2</c:v>
                </c:pt>
                <c:pt idx="15">
                  <c:v>9.0999999999999998E-2</c:v>
                </c:pt>
                <c:pt idx="16">
                  <c:v>9.0999999999999998E-2</c:v>
                </c:pt>
                <c:pt idx="17">
                  <c:v>9.0999999999999998E-2</c:v>
                </c:pt>
                <c:pt idx="18">
                  <c:v>9.0999999999999998E-2</c:v>
                </c:pt>
                <c:pt idx="19">
                  <c:v>9.0999999999999998E-2</c:v>
                </c:pt>
                <c:pt idx="20">
                  <c:v>9.0999999999999998E-2</c:v>
                </c:pt>
                <c:pt idx="21">
                  <c:v>9.0999999999999998E-2</c:v>
                </c:pt>
                <c:pt idx="22">
                  <c:v>9.0999999999999998E-2</c:v>
                </c:pt>
                <c:pt idx="23">
                  <c:v>9.0999999999999998E-2</c:v>
                </c:pt>
              </c:numCache>
            </c:numRef>
          </c:val>
          <c:smooth val="0"/>
        </c:ser>
        <c:dLbls>
          <c:showLegendKey val="0"/>
          <c:showVal val="0"/>
          <c:showCatName val="0"/>
          <c:showSerName val="0"/>
          <c:showPercent val="0"/>
          <c:showBubbleSize val="0"/>
        </c:dLbls>
        <c:marker val="1"/>
        <c:smooth val="0"/>
        <c:axId val="540783936"/>
        <c:axId val="540784328"/>
      </c:lineChart>
      <c:catAx>
        <c:axId val="540783936"/>
        <c:scaling>
          <c:orientation val="minMax"/>
        </c:scaling>
        <c:delete val="0"/>
        <c:axPos val="b"/>
        <c:numFmt formatCode="General" sourceLinked="1"/>
        <c:majorTickMark val="none"/>
        <c:minorTickMark val="none"/>
        <c:tickLblPos val="nextTo"/>
        <c:crossAx val="540784328"/>
        <c:crosses val="autoZero"/>
        <c:auto val="1"/>
        <c:lblAlgn val="ctr"/>
        <c:lblOffset val="100"/>
        <c:noMultiLvlLbl val="0"/>
      </c:catAx>
      <c:valAx>
        <c:axId val="540784328"/>
        <c:scaling>
          <c:orientation val="minMax"/>
        </c:scaling>
        <c:delete val="0"/>
        <c:axPos val="l"/>
        <c:title>
          <c:tx>
            <c:rich>
              <a:bodyPr rot="-5400000" vert="horz"/>
              <a:lstStyle/>
              <a:p>
                <a:pPr>
                  <a:defRPr/>
                </a:pPr>
                <a:r>
                  <a:rPr lang="en-US"/>
                  <a:t>GDP growth rate</a:t>
                </a:r>
              </a:p>
            </c:rich>
          </c:tx>
          <c:layout/>
          <c:overlay val="0"/>
        </c:title>
        <c:numFmt formatCode="0%" sourceLinked="1"/>
        <c:majorTickMark val="none"/>
        <c:minorTickMark val="none"/>
        <c:tickLblPos val="nextTo"/>
        <c:spPr>
          <a:ln w="9525">
            <a:noFill/>
          </a:ln>
        </c:spPr>
        <c:crossAx val="540783936"/>
        <c:crosses val="autoZero"/>
        <c:crossBetween val="between"/>
      </c:valAx>
    </c:plotArea>
    <c:legend>
      <c:legendPos val="b"/>
      <c:layout>
        <c:manualLayout>
          <c:xMode val="edge"/>
          <c:yMode val="edge"/>
          <c:x val="0.16111111111111112"/>
          <c:y val="0.79183253135024789"/>
          <c:w val="0.77500000000000002"/>
          <c:h val="0.175760061242344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Sheet1!$B$13</c:f>
              <c:strCache>
                <c:ptCount val="1"/>
                <c:pt idx="0">
                  <c:v>BIP</c:v>
                </c:pt>
              </c:strCache>
            </c:strRef>
          </c:tx>
          <c:spPr>
            <a:solidFill>
              <a:schemeClr val="accent1">
                <a:lumMod val="40000"/>
                <a:lumOff val="60000"/>
              </a:schemeClr>
            </a:solidFill>
          </c:spPr>
          <c:invertIfNegative val="0"/>
          <c:cat>
            <c:numRef>
              <c:f>Sheet1!$C$9:$Q$9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Sheet1!$C$13:$Q$13</c:f>
              <c:numCache>
                <c:formatCode>General</c:formatCode>
                <c:ptCount val="15"/>
                <c:pt idx="0">
                  <c:v>89.99831346611937</c:v>
                </c:pt>
                <c:pt idx="1">
                  <c:v>97.06880369118133</c:v>
                </c:pt>
                <c:pt idx="2">
                  <c:v>97.529370157432425</c:v>
                </c:pt>
                <c:pt idx="3">
                  <c:v>101.4037208308205</c:v>
                </c:pt>
                <c:pt idx="4">
                  <c:v>99.932525946882777</c:v>
                </c:pt>
                <c:pt idx="5">
                  <c:v>102.84620194827818</c:v>
                </c:pt>
                <c:pt idx="6">
                  <c:v>106.82719060582376</c:v>
                </c:pt>
                <c:pt idx="7">
                  <c:v>107.5022358122919</c:v>
                </c:pt>
                <c:pt idx="8">
                  <c:v>109.89809178816768</c:v>
                </c:pt>
                <c:pt idx="9">
                  <c:v>111.11490547674177</c:v>
                </c:pt>
                <c:pt idx="10">
                  <c:v>114.12713074210143</c:v>
                </c:pt>
                <c:pt idx="11">
                  <c:v>113.46954193834769</c:v>
                </c:pt>
                <c:pt idx="12">
                  <c:v>110.20020889586419</c:v>
                </c:pt>
                <c:pt idx="13">
                  <c:v>108.25895026199723</c:v>
                </c:pt>
              </c:numCache>
            </c:numRef>
          </c:val>
        </c:ser>
        <c:dLbls>
          <c:showLegendKey val="0"/>
          <c:showVal val="0"/>
          <c:showCatName val="0"/>
          <c:showSerName val="0"/>
          <c:showPercent val="0"/>
          <c:showBubbleSize val="0"/>
        </c:dLbls>
        <c:gapWidth val="75"/>
        <c:axId val="540783152"/>
        <c:axId val="540782760"/>
      </c:barChart>
      <c:lineChart>
        <c:grouping val="standard"/>
        <c:varyColors val="0"/>
        <c:ser>
          <c:idx val="0"/>
          <c:order val="0"/>
          <c:tx>
            <c:strRef>
              <c:f>Sheet1!$B$10</c:f>
              <c:strCache>
                <c:ptCount val="1"/>
                <c:pt idx="0">
                  <c:v>Secteur primaire</c:v>
                </c:pt>
              </c:strCache>
            </c:strRef>
          </c:tx>
          <c:cat>
            <c:numRef>
              <c:f>Sheet1!$C$9:$Q$9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Sheet1!$C$10:$Q$10</c:f>
              <c:numCache>
                <c:formatCode>General</c:formatCode>
                <c:ptCount val="15"/>
                <c:pt idx="0">
                  <c:v>34.218799312090795</c:v>
                </c:pt>
                <c:pt idx="1">
                  <c:v>37.01257600540805</c:v>
                </c:pt>
                <c:pt idx="2">
                  <c:v>34.761639247476744</c:v>
                </c:pt>
                <c:pt idx="3">
                  <c:v>40.28374983684801</c:v>
                </c:pt>
                <c:pt idx="4">
                  <c:v>37.468687902673437</c:v>
                </c:pt>
                <c:pt idx="5">
                  <c:v>38.722304784344537</c:v>
                </c:pt>
                <c:pt idx="6">
                  <c:v>39.137688843427043</c:v>
                </c:pt>
                <c:pt idx="7">
                  <c:v>38.854155627021683</c:v>
                </c:pt>
                <c:pt idx="8">
                  <c:v>42.606275701473336</c:v>
                </c:pt>
                <c:pt idx="9">
                  <c:v>43.615825878508943</c:v>
                </c:pt>
                <c:pt idx="10">
                  <c:v>47.122270046151073</c:v>
                </c:pt>
                <c:pt idx="11">
                  <c:v>45.118219564457249</c:v>
                </c:pt>
                <c:pt idx="12">
                  <c:v>47.517580727987244</c:v>
                </c:pt>
                <c:pt idx="13">
                  <c:v>42.704575343023187</c:v>
                </c:pt>
              </c:numCache>
            </c:numRef>
          </c:val>
          <c:smooth val="0"/>
        </c:ser>
        <c:ser>
          <c:idx val="1"/>
          <c:order val="1"/>
          <c:tx>
            <c:strRef>
              <c:f>Sheet1!$B$11</c:f>
              <c:strCache>
                <c:ptCount val="1"/>
                <c:pt idx="0">
                  <c:v>Secteur secondaire</c:v>
                </c:pt>
              </c:strCache>
            </c:strRef>
          </c:tx>
          <c:cat>
            <c:numRef>
              <c:f>Sheet1!$C$9:$Q$9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Sheet1!$C$11:$Q$11</c:f>
              <c:numCache>
                <c:formatCode>General</c:formatCode>
                <c:ptCount val="15"/>
                <c:pt idx="0">
                  <c:v>19.613906703297484</c:v>
                </c:pt>
                <c:pt idx="1">
                  <c:v>22.920128511768887</c:v>
                </c:pt>
                <c:pt idx="2">
                  <c:v>26.45768103429106</c:v>
                </c:pt>
                <c:pt idx="3">
                  <c:v>23.455986535156754</c:v>
                </c:pt>
                <c:pt idx="4">
                  <c:v>23.359672947297035</c:v>
                </c:pt>
                <c:pt idx="5">
                  <c:v>24.494906650538827</c:v>
                </c:pt>
                <c:pt idx="6">
                  <c:v>25.697038143140933</c:v>
                </c:pt>
                <c:pt idx="7">
                  <c:v>23.749710132206427</c:v>
                </c:pt>
                <c:pt idx="8">
                  <c:v>21.94500216504435</c:v>
                </c:pt>
                <c:pt idx="9">
                  <c:v>22.009254757769135</c:v>
                </c:pt>
                <c:pt idx="10">
                  <c:v>20.890878968130561</c:v>
                </c:pt>
                <c:pt idx="11">
                  <c:v>21.909620690631595</c:v>
                </c:pt>
                <c:pt idx="12">
                  <c:v>20.636256509472599</c:v>
                </c:pt>
                <c:pt idx="13">
                  <c:v>21.123023173013141</c:v>
                </c:pt>
              </c:numCache>
            </c:numRef>
          </c:val>
          <c:smooth val="0"/>
        </c:ser>
        <c:ser>
          <c:idx val="2"/>
          <c:order val="2"/>
          <c:tx>
            <c:strRef>
              <c:f>Sheet1!$B$12</c:f>
              <c:strCache>
                <c:ptCount val="1"/>
                <c:pt idx="0">
                  <c:v>Secteur tertiare</c:v>
                </c:pt>
              </c:strCache>
            </c:strRef>
          </c:tx>
          <c:cat>
            <c:numRef>
              <c:f>Sheet1!$C$9:$Q$9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Sheet1!$C$12:$Q$12</c:f>
              <c:numCache>
                <c:formatCode>General</c:formatCode>
                <c:ptCount val="15"/>
                <c:pt idx="0">
                  <c:v>36.165607450731088</c:v>
                </c:pt>
                <c:pt idx="1">
                  <c:v>37.136099174004386</c:v>
                </c:pt>
                <c:pt idx="2">
                  <c:v>36.31004987566461</c:v>
                </c:pt>
                <c:pt idx="3">
                  <c:v>37.663984458815747</c:v>
                </c:pt>
                <c:pt idx="4">
                  <c:v>39.104165096912311</c:v>
                </c:pt>
                <c:pt idx="5">
                  <c:v>39.628990513394818</c:v>
                </c:pt>
                <c:pt idx="6">
                  <c:v>41.992463619255787</c:v>
                </c:pt>
                <c:pt idx="7">
                  <c:v>44.898370053063786</c:v>
                </c:pt>
                <c:pt idx="8">
                  <c:v>45.346813921649975</c:v>
                </c:pt>
                <c:pt idx="9">
                  <c:v>45.48982484046369</c:v>
                </c:pt>
                <c:pt idx="10">
                  <c:v>46.113981727819784</c:v>
                </c:pt>
                <c:pt idx="11">
                  <c:v>46.441701683258842</c:v>
                </c:pt>
                <c:pt idx="12">
                  <c:v>42.046371658404347</c:v>
                </c:pt>
                <c:pt idx="13">
                  <c:v>44.431351745960896</c:v>
                </c:pt>
              </c:numCache>
            </c:numRef>
          </c:val>
          <c:smooth val="0"/>
        </c:ser>
        <c:dLbls>
          <c:showLegendKey val="0"/>
          <c:showVal val="0"/>
          <c:showCatName val="0"/>
          <c:showSerName val="0"/>
          <c:showPercent val="0"/>
          <c:showBubbleSize val="0"/>
        </c:dLbls>
        <c:marker val="1"/>
        <c:smooth val="0"/>
        <c:axId val="540783152"/>
        <c:axId val="540782760"/>
      </c:lineChart>
      <c:catAx>
        <c:axId val="540783152"/>
        <c:scaling>
          <c:orientation val="minMax"/>
        </c:scaling>
        <c:delete val="0"/>
        <c:axPos val="b"/>
        <c:numFmt formatCode="General" sourceLinked="1"/>
        <c:majorTickMark val="none"/>
        <c:minorTickMark val="none"/>
        <c:tickLblPos val="nextTo"/>
        <c:crossAx val="540782760"/>
        <c:crosses val="autoZero"/>
        <c:auto val="1"/>
        <c:lblAlgn val="ctr"/>
        <c:lblOffset val="100"/>
        <c:noMultiLvlLbl val="0"/>
      </c:catAx>
      <c:valAx>
        <c:axId val="540782760"/>
        <c:scaling>
          <c:orientation val="minMax"/>
        </c:scaling>
        <c:delete val="0"/>
        <c:axPos val="l"/>
        <c:majorGridlines/>
        <c:title>
          <c:tx>
            <c:rich>
              <a:bodyPr rot="-5400000" vert="horz"/>
              <a:lstStyle/>
              <a:p>
                <a:pPr>
                  <a:defRPr/>
                </a:pPr>
                <a:r>
                  <a:rPr lang="en-US"/>
                  <a:t>GDP per capita ('000 FCFA)</a:t>
                </a:r>
              </a:p>
            </c:rich>
          </c:tx>
          <c:layout/>
          <c:overlay val="0"/>
        </c:title>
        <c:numFmt formatCode="General" sourceLinked="1"/>
        <c:majorTickMark val="none"/>
        <c:minorTickMark val="none"/>
        <c:tickLblPos val="nextTo"/>
        <c:spPr>
          <a:ln w="9525">
            <a:noFill/>
          </a:ln>
        </c:spPr>
        <c:crossAx val="54078315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'S_I Real DEF'!$E$163</c:f>
              <c:strCache>
                <c:ptCount val="1"/>
                <c:pt idx="0">
                  <c:v>Secteur public</c:v>
                </c:pt>
              </c:strCache>
            </c:strRef>
          </c:tx>
          <c:spPr>
            <a:solidFill>
              <a:schemeClr val="accent1">
                <a:lumMod val="75000"/>
              </a:schemeClr>
            </a:solidFill>
          </c:spPr>
          <c:invertIfNegative val="0"/>
          <c:cat>
            <c:numRef>
              <c:f>'S_I Real DEF'!$F$162:$U$162</c:f>
              <c:numCache>
                <c:formatCode>General</c:formatCode>
                <c:ptCount val="16"/>
                <c:pt idx="0">
                  <c:v>2000</c:v>
                </c:pt>
                <c:pt idx="1">
                  <c:v>2001</c:v>
                </c:pt>
                <c:pt idx="2">
                  <c:v>2002</c:v>
                </c:pt>
                <c:pt idx="3">
                  <c:v>2003</c:v>
                </c:pt>
                <c:pt idx="4">
                  <c:v>2004</c:v>
                </c:pt>
                <c:pt idx="5">
                  <c:v>2005</c:v>
                </c:pt>
                <c:pt idx="6">
                  <c:v>2006</c:v>
                </c:pt>
                <c:pt idx="7">
                  <c:v>2007</c:v>
                </c:pt>
                <c:pt idx="8">
                  <c:v>2008</c:v>
                </c:pt>
                <c:pt idx="9">
                  <c:v>2008</c:v>
                </c:pt>
                <c:pt idx="10">
                  <c:v>2009</c:v>
                </c:pt>
                <c:pt idx="11">
                  <c:v>2009</c:v>
                </c:pt>
                <c:pt idx="12">
                  <c:v>2010</c:v>
                </c:pt>
                <c:pt idx="13">
                  <c:v>2011</c:v>
                </c:pt>
                <c:pt idx="14">
                  <c:v>2012</c:v>
                </c:pt>
                <c:pt idx="15">
                  <c:v>2013</c:v>
                </c:pt>
              </c:numCache>
            </c:numRef>
          </c:cat>
          <c:val>
            <c:numRef>
              <c:f>'S_I Real DEF'!$F$163:$U$163</c:f>
              <c:numCache>
                <c:formatCode>0.0</c:formatCode>
                <c:ptCount val="16"/>
                <c:pt idx="0">
                  <c:v>7.8602654769146127</c:v>
                </c:pt>
                <c:pt idx="1">
                  <c:v>6.1232551162948408</c:v>
                </c:pt>
                <c:pt idx="2">
                  <c:v>7.3081101607465353</c:v>
                </c:pt>
                <c:pt idx="3">
                  <c:v>7.1462577316481717</c:v>
                </c:pt>
                <c:pt idx="4">
                  <c:v>6.9018863623411404</c:v>
                </c:pt>
                <c:pt idx="5">
                  <c:v>6.9484754914344995</c:v>
                </c:pt>
                <c:pt idx="6">
                  <c:v>7.9838749201895221</c:v>
                </c:pt>
                <c:pt idx="7">
                  <c:v>8.5183819771940872</c:v>
                </c:pt>
                <c:pt idx="8">
                  <c:v>7.2722418185714011</c:v>
                </c:pt>
                <c:pt idx="9">
                  <c:v>7.5360696311813591</c:v>
                </c:pt>
                <c:pt idx="10">
                  <c:v>6.7150058039540248</c:v>
                </c:pt>
                <c:pt idx="11">
                  <c:v>10.757435340274531</c:v>
                </c:pt>
                <c:pt idx="12">
                  <c:v>7.9920003695438808</c:v>
                </c:pt>
                <c:pt idx="13">
                  <c:v>8.8064757554229924</c:v>
                </c:pt>
                <c:pt idx="14">
                  <c:v>3.2010930189482325</c:v>
                </c:pt>
                <c:pt idx="15">
                  <c:v>7.2047405762113739</c:v>
                </c:pt>
              </c:numCache>
            </c:numRef>
          </c:val>
        </c:ser>
        <c:ser>
          <c:idx val="1"/>
          <c:order val="1"/>
          <c:tx>
            <c:strRef>
              <c:f>'S_I Real DEF'!$E$164</c:f>
              <c:strCache>
                <c:ptCount val="1"/>
                <c:pt idx="0">
                  <c:v>Secteur prive</c:v>
                </c:pt>
              </c:strCache>
            </c:strRef>
          </c:tx>
          <c:spPr>
            <a:solidFill>
              <a:schemeClr val="tx2">
                <a:lumMod val="40000"/>
                <a:lumOff val="60000"/>
              </a:schemeClr>
            </a:solidFill>
          </c:spPr>
          <c:invertIfNegative val="0"/>
          <c:cat>
            <c:numRef>
              <c:f>'S_I Real DEF'!$F$162:$U$162</c:f>
              <c:numCache>
                <c:formatCode>General</c:formatCode>
                <c:ptCount val="16"/>
                <c:pt idx="0">
                  <c:v>2000</c:v>
                </c:pt>
                <c:pt idx="1">
                  <c:v>2001</c:v>
                </c:pt>
                <c:pt idx="2">
                  <c:v>2002</c:v>
                </c:pt>
                <c:pt idx="3">
                  <c:v>2003</c:v>
                </c:pt>
                <c:pt idx="4">
                  <c:v>2004</c:v>
                </c:pt>
                <c:pt idx="5">
                  <c:v>2005</c:v>
                </c:pt>
                <c:pt idx="6">
                  <c:v>2006</c:v>
                </c:pt>
                <c:pt idx="7">
                  <c:v>2007</c:v>
                </c:pt>
                <c:pt idx="8">
                  <c:v>2008</c:v>
                </c:pt>
                <c:pt idx="9">
                  <c:v>2008</c:v>
                </c:pt>
                <c:pt idx="10">
                  <c:v>2009</c:v>
                </c:pt>
                <c:pt idx="11">
                  <c:v>2009</c:v>
                </c:pt>
                <c:pt idx="12">
                  <c:v>2010</c:v>
                </c:pt>
                <c:pt idx="13">
                  <c:v>2011</c:v>
                </c:pt>
                <c:pt idx="14">
                  <c:v>2012</c:v>
                </c:pt>
                <c:pt idx="15">
                  <c:v>2013</c:v>
                </c:pt>
              </c:numCache>
            </c:numRef>
          </c:cat>
          <c:val>
            <c:numRef>
              <c:f>'S_I Real DEF'!$F$164:$U$164</c:f>
              <c:numCache>
                <c:formatCode>0.0</c:formatCode>
                <c:ptCount val="16"/>
                <c:pt idx="0">
                  <c:v>15.498827939033502</c:v>
                </c:pt>
                <c:pt idx="1">
                  <c:v>23.017182081997788</c:v>
                </c:pt>
                <c:pt idx="2">
                  <c:v>23.282021318776465</c:v>
                </c:pt>
                <c:pt idx="3">
                  <c:v>25.382943921086259</c:v>
                </c:pt>
                <c:pt idx="4">
                  <c:v>21.217812410167099</c:v>
                </c:pt>
                <c:pt idx="5">
                  <c:v>19.621863018404749</c:v>
                </c:pt>
                <c:pt idx="6">
                  <c:v>16.609305270028521</c:v>
                </c:pt>
                <c:pt idx="7">
                  <c:v>18.148373482644878</c:v>
                </c:pt>
                <c:pt idx="8">
                  <c:v>15.992098563779006</c:v>
                </c:pt>
                <c:pt idx="9">
                  <c:v>25.241448015254779</c:v>
                </c:pt>
                <c:pt idx="10">
                  <c:v>16.868699237889821</c:v>
                </c:pt>
                <c:pt idx="11">
                  <c:v>14.719124196623614</c:v>
                </c:pt>
                <c:pt idx="12">
                  <c:v>25.170065729635887</c:v>
                </c:pt>
                <c:pt idx="13">
                  <c:v>15.241699082737378</c:v>
                </c:pt>
                <c:pt idx="14">
                  <c:v>12.782626919210966</c:v>
                </c:pt>
                <c:pt idx="15">
                  <c:v>11.026400819029014</c:v>
                </c:pt>
              </c:numCache>
            </c:numRef>
          </c:val>
        </c:ser>
        <c:dLbls>
          <c:showLegendKey val="0"/>
          <c:showVal val="0"/>
          <c:showCatName val="0"/>
          <c:showSerName val="0"/>
          <c:showPercent val="0"/>
          <c:showBubbleSize val="0"/>
        </c:dLbls>
        <c:gapWidth val="75"/>
        <c:overlap val="100"/>
        <c:axId val="540781976"/>
        <c:axId val="540781584"/>
      </c:barChart>
      <c:catAx>
        <c:axId val="540781976"/>
        <c:scaling>
          <c:orientation val="minMax"/>
        </c:scaling>
        <c:delete val="0"/>
        <c:axPos val="b"/>
        <c:numFmt formatCode="General" sourceLinked="1"/>
        <c:majorTickMark val="none"/>
        <c:minorTickMark val="none"/>
        <c:tickLblPos val="nextTo"/>
        <c:crossAx val="540781584"/>
        <c:crosses val="autoZero"/>
        <c:auto val="1"/>
        <c:lblAlgn val="ctr"/>
        <c:lblOffset val="100"/>
        <c:noMultiLvlLbl val="0"/>
      </c:catAx>
      <c:valAx>
        <c:axId val="540781584"/>
        <c:scaling>
          <c:orientation val="minMax"/>
        </c:scaling>
        <c:delete val="0"/>
        <c:axPos val="l"/>
        <c:majorGridlines/>
        <c:title>
          <c:tx>
            <c:rich>
              <a:bodyPr rot="-5400000" vert="horz"/>
              <a:lstStyle/>
              <a:p>
                <a:pPr>
                  <a:defRPr/>
                </a:pPr>
                <a:r>
                  <a:rPr lang="en-US"/>
                  <a:t>Percent of GDP</a:t>
                </a:r>
              </a:p>
            </c:rich>
          </c:tx>
          <c:layout/>
          <c:overlay val="0"/>
        </c:title>
        <c:numFmt formatCode="0.0" sourceLinked="1"/>
        <c:majorTickMark val="none"/>
        <c:minorTickMark val="none"/>
        <c:tickLblPos val="nextTo"/>
        <c:spPr>
          <a:ln w="9525">
            <a:noFill/>
          </a:ln>
        </c:spPr>
        <c:crossAx val="54078197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[ic.imp.cost.cd_Indicator_en_excel_v2.xls]Data!$D$260</c:f>
              <c:strCache>
                <c:ptCount val="1"/>
                <c:pt idx="0">
                  <c:v>Mali</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[ic.imp.cost.cd_Indicator_en_excel_v2.xls]Data!$E$259:$M$259</c:f>
              <c:strCache>
                <c:ptCount val="9"/>
                <c:pt idx="0">
                  <c:v>2005</c:v>
                </c:pt>
                <c:pt idx="1">
                  <c:v>2006</c:v>
                </c:pt>
                <c:pt idx="2">
                  <c:v>2007</c:v>
                </c:pt>
                <c:pt idx="3">
                  <c:v>2008</c:v>
                </c:pt>
                <c:pt idx="4">
                  <c:v>2009</c:v>
                </c:pt>
                <c:pt idx="5">
                  <c:v>2010</c:v>
                </c:pt>
                <c:pt idx="6">
                  <c:v>2011</c:v>
                </c:pt>
                <c:pt idx="7">
                  <c:v>2012</c:v>
                </c:pt>
                <c:pt idx="8">
                  <c:v>2013</c:v>
                </c:pt>
              </c:strCache>
            </c:strRef>
          </c:cat>
          <c:val>
            <c:numRef>
              <c:f>[ic.imp.cost.cd_Indicator_en_excel_v2.xls]Data!$E$260:$M$260</c:f>
              <c:numCache>
                <c:formatCode>_(* #,##0_);_(* \(#,##0\);_(* "-"??_);_(@_)</c:formatCode>
                <c:ptCount val="9"/>
                <c:pt idx="0">
                  <c:v>2740</c:v>
                </c:pt>
                <c:pt idx="1">
                  <c:v>2740</c:v>
                </c:pt>
                <c:pt idx="2">
                  <c:v>2740</c:v>
                </c:pt>
                <c:pt idx="3">
                  <c:v>2962</c:v>
                </c:pt>
                <c:pt idx="4">
                  <c:v>3015</c:v>
                </c:pt>
                <c:pt idx="5">
                  <c:v>3127</c:v>
                </c:pt>
                <c:pt idx="6">
                  <c:v>3127</c:v>
                </c:pt>
                <c:pt idx="7">
                  <c:v>3127</c:v>
                </c:pt>
                <c:pt idx="8">
                  <c:v>4405</c:v>
                </c:pt>
              </c:numCache>
            </c:numRef>
          </c:val>
          <c:smooth val="0"/>
        </c:ser>
        <c:ser>
          <c:idx val="1"/>
          <c:order val="1"/>
          <c:tx>
            <c:strRef>
              <c:f>[ic.imp.cost.cd_Indicator_en_excel_v2.xls]Data!$D$261</c:f>
              <c:strCache>
                <c:ptCount val="1"/>
                <c:pt idx="0">
                  <c:v>Senegal</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[ic.imp.cost.cd_Indicator_en_excel_v2.xls]Data!$E$259:$M$259</c:f>
              <c:strCache>
                <c:ptCount val="9"/>
                <c:pt idx="0">
                  <c:v>2005</c:v>
                </c:pt>
                <c:pt idx="1">
                  <c:v>2006</c:v>
                </c:pt>
                <c:pt idx="2">
                  <c:v>2007</c:v>
                </c:pt>
                <c:pt idx="3">
                  <c:v>2008</c:v>
                </c:pt>
                <c:pt idx="4">
                  <c:v>2009</c:v>
                </c:pt>
                <c:pt idx="5">
                  <c:v>2010</c:v>
                </c:pt>
                <c:pt idx="6">
                  <c:v>2011</c:v>
                </c:pt>
                <c:pt idx="7">
                  <c:v>2012</c:v>
                </c:pt>
                <c:pt idx="8">
                  <c:v>2013</c:v>
                </c:pt>
              </c:strCache>
            </c:strRef>
          </c:cat>
          <c:val>
            <c:numRef>
              <c:f>[ic.imp.cost.cd_Indicator_en_excel_v2.xls]Data!$E$261:$M$261</c:f>
              <c:numCache>
                <c:formatCode>_(* #,##0_);_(* \(#,##0\);_(* "-"??_);_(@_)</c:formatCode>
                <c:ptCount val="9"/>
                <c:pt idx="0">
                  <c:v>1720</c:v>
                </c:pt>
                <c:pt idx="1">
                  <c:v>1720</c:v>
                </c:pt>
                <c:pt idx="2">
                  <c:v>1720</c:v>
                </c:pt>
                <c:pt idx="3">
                  <c:v>1920</c:v>
                </c:pt>
                <c:pt idx="4">
                  <c:v>1940</c:v>
                </c:pt>
                <c:pt idx="5">
                  <c:v>1940</c:v>
                </c:pt>
                <c:pt idx="6">
                  <c:v>1740</c:v>
                </c:pt>
                <c:pt idx="7">
                  <c:v>1740</c:v>
                </c:pt>
                <c:pt idx="8">
                  <c:v>1740</c:v>
                </c:pt>
              </c:numCache>
            </c:numRef>
          </c:val>
          <c:smooth val="0"/>
        </c:ser>
        <c:ser>
          <c:idx val="2"/>
          <c:order val="2"/>
          <c:tx>
            <c:strRef>
              <c:f>[ic.imp.cost.cd_Indicator_en_excel_v2.xls]Data!$D$262</c:f>
              <c:strCache>
                <c:ptCount val="1"/>
                <c:pt idx="0">
                  <c:v>Cote d'Ivoire</c:v>
                </c:pt>
              </c:strCache>
            </c:strRef>
          </c:tx>
          <c:marker>
            <c:symbol val="none"/>
          </c:marker>
          <c:cat>
            <c:strRef>
              <c:f>[ic.imp.cost.cd_Indicator_en_excel_v2.xls]Data!$E$259:$M$259</c:f>
              <c:strCache>
                <c:ptCount val="9"/>
                <c:pt idx="0">
                  <c:v>2005</c:v>
                </c:pt>
                <c:pt idx="1">
                  <c:v>2006</c:v>
                </c:pt>
                <c:pt idx="2">
                  <c:v>2007</c:v>
                </c:pt>
                <c:pt idx="3">
                  <c:v>2008</c:v>
                </c:pt>
                <c:pt idx="4">
                  <c:v>2009</c:v>
                </c:pt>
                <c:pt idx="5">
                  <c:v>2010</c:v>
                </c:pt>
                <c:pt idx="6">
                  <c:v>2011</c:v>
                </c:pt>
                <c:pt idx="7">
                  <c:v>2012</c:v>
                </c:pt>
                <c:pt idx="8">
                  <c:v>2013</c:v>
                </c:pt>
              </c:strCache>
            </c:strRef>
          </c:cat>
          <c:val>
            <c:numRef>
              <c:f>[ic.imp.cost.cd_Indicator_en_excel_v2.xls]Data!$E$262:$M$262</c:f>
              <c:numCache>
                <c:formatCode>_(* #,##0_);_(* \(#,##0\);_(* "-"??_);_(@_)</c:formatCode>
                <c:ptCount val="9"/>
                <c:pt idx="0">
                  <c:v>2457</c:v>
                </c:pt>
                <c:pt idx="1">
                  <c:v>2457</c:v>
                </c:pt>
                <c:pt idx="2">
                  <c:v>2457</c:v>
                </c:pt>
                <c:pt idx="3">
                  <c:v>2437</c:v>
                </c:pt>
                <c:pt idx="4">
                  <c:v>2577</c:v>
                </c:pt>
                <c:pt idx="5">
                  <c:v>2577</c:v>
                </c:pt>
                <c:pt idx="6">
                  <c:v>2577</c:v>
                </c:pt>
                <c:pt idx="7">
                  <c:v>2710</c:v>
                </c:pt>
                <c:pt idx="8">
                  <c:v>2710</c:v>
                </c:pt>
              </c:numCache>
            </c:numRef>
          </c:val>
          <c:smooth val="0"/>
        </c:ser>
        <c:dLbls>
          <c:showLegendKey val="0"/>
          <c:showVal val="0"/>
          <c:showCatName val="0"/>
          <c:showSerName val="0"/>
          <c:showPercent val="0"/>
          <c:showBubbleSize val="0"/>
        </c:dLbls>
        <c:smooth val="0"/>
        <c:axId val="540780800"/>
        <c:axId val="540784720"/>
      </c:lineChart>
      <c:catAx>
        <c:axId val="540780800"/>
        <c:scaling>
          <c:orientation val="minMax"/>
        </c:scaling>
        <c:delete val="0"/>
        <c:axPos val="b"/>
        <c:numFmt formatCode="General" sourceLinked="0"/>
        <c:majorTickMark val="none"/>
        <c:minorTickMark val="none"/>
        <c:tickLblPos val="nextTo"/>
        <c:crossAx val="540784720"/>
        <c:crosses val="autoZero"/>
        <c:auto val="1"/>
        <c:lblAlgn val="ctr"/>
        <c:lblOffset val="100"/>
        <c:noMultiLvlLbl val="0"/>
      </c:catAx>
      <c:valAx>
        <c:axId val="540784720"/>
        <c:scaling>
          <c:orientation val="minMax"/>
        </c:scaling>
        <c:delete val="0"/>
        <c:axPos val="l"/>
        <c:title>
          <c:tx>
            <c:rich>
              <a:bodyPr rot="-5400000" vert="horz"/>
              <a:lstStyle/>
              <a:p>
                <a:pPr>
                  <a:defRPr/>
                </a:pPr>
                <a:r>
                  <a:rPr lang="en-US"/>
                  <a:t>Cost to import (US$ per container)</a:t>
                </a:r>
              </a:p>
            </c:rich>
          </c:tx>
          <c:layout/>
          <c:overlay val="0"/>
        </c:title>
        <c:numFmt formatCode="_(* #,##0_);_(* \(#,##0\);_(* &quot;-&quot;??_);_(@_)" sourceLinked="1"/>
        <c:majorTickMark val="none"/>
        <c:minorTickMark val="none"/>
        <c:tickLblPos val="nextTo"/>
        <c:spPr>
          <a:ln w="9525">
            <a:noFill/>
          </a:ln>
        </c:spPr>
        <c:crossAx val="540780800"/>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strRef>
              <c:f>'head of household 2009 census'!$B$2</c:f>
              <c:strCache>
                <c:ptCount val="1"/>
                <c:pt idx="0">
                  <c:v>None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'head of household 2009 census'!$A$3:$A$15</c:f>
              <c:strCache>
                <c:ptCount val="13"/>
                <c:pt idx="0">
                  <c:v>Kayes</c:v>
                </c:pt>
                <c:pt idx="1">
                  <c:v>Koulikoro</c:v>
                </c:pt>
                <c:pt idx="2">
                  <c:v>Sikasso</c:v>
                </c:pt>
                <c:pt idx="3">
                  <c:v>Segou</c:v>
                </c:pt>
                <c:pt idx="4">
                  <c:v>Mopti</c:v>
                </c:pt>
                <c:pt idx="5">
                  <c:v>Tombouctou</c:v>
                </c:pt>
                <c:pt idx="6">
                  <c:v>Gao</c:v>
                </c:pt>
                <c:pt idx="7">
                  <c:v>Kidal</c:v>
                </c:pt>
                <c:pt idx="8">
                  <c:v>Bamako</c:v>
                </c:pt>
                <c:pt idx="10">
                  <c:v>Mali 1998</c:v>
                </c:pt>
                <c:pt idx="11">
                  <c:v>Mali 2009</c:v>
                </c:pt>
                <c:pt idx="12">
                  <c:v>Mali 2011 (EMOP)</c:v>
                </c:pt>
              </c:strCache>
            </c:strRef>
          </c:cat>
          <c:val>
            <c:numRef>
              <c:f>'head of household 2009 census'!$B$3:$B$15</c:f>
              <c:numCache>
                <c:formatCode>0.0</c:formatCode>
                <c:ptCount val="13"/>
                <c:pt idx="0">
                  <c:v>68.400000000000006</c:v>
                </c:pt>
                <c:pt idx="1">
                  <c:v>61.8</c:v>
                </c:pt>
                <c:pt idx="2">
                  <c:v>66.400000000000006</c:v>
                </c:pt>
                <c:pt idx="3">
                  <c:v>69</c:v>
                </c:pt>
                <c:pt idx="4">
                  <c:v>80.5</c:v>
                </c:pt>
                <c:pt idx="5">
                  <c:v>81.599999999999994</c:v>
                </c:pt>
                <c:pt idx="6">
                  <c:v>73.400000000000006</c:v>
                </c:pt>
                <c:pt idx="7">
                  <c:v>82.2</c:v>
                </c:pt>
                <c:pt idx="8">
                  <c:v>33.9</c:v>
                </c:pt>
                <c:pt idx="10">
                  <c:v>80.099999999999994</c:v>
                </c:pt>
                <c:pt idx="11">
                  <c:v>65</c:v>
                </c:pt>
                <c:pt idx="12">
                  <c:v>58.4</c:v>
                </c:pt>
              </c:numCache>
            </c:numRef>
          </c:val>
        </c:ser>
        <c:ser>
          <c:idx val="1"/>
          <c:order val="1"/>
          <c:tx>
            <c:strRef>
              <c:f>'head of household 2009 census'!$C$2</c:f>
              <c:strCache>
                <c:ptCount val="1"/>
                <c:pt idx="0">
                  <c:v>Primaire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'head of household 2009 census'!$A$3:$A$15</c:f>
              <c:strCache>
                <c:ptCount val="13"/>
                <c:pt idx="0">
                  <c:v>Kayes</c:v>
                </c:pt>
                <c:pt idx="1">
                  <c:v>Koulikoro</c:v>
                </c:pt>
                <c:pt idx="2">
                  <c:v>Sikasso</c:v>
                </c:pt>
                <c:pt idx="3">
                  <c:v>Segou</c:v>
                </c:pt>
                <c:pt idx="4">
                  <c:v>Mopti</c:v>
                </c:pt>
                <c:pt idx="5">
                  <c:v>Tombouctou</c:v>
                </c:pt>
                <c:pt idx="6">
                  <c:v>Gao</c:v>
                </c:pt>
                <c:pt idx="7">
                  <c:v>Kidal</c:v>
                </c:pt>
                <c:pt idx="8">
                  <c:v>Bamako</c:v>
                </c:pt>
                <c:pt idx="10">
                  <c:v>Mali 1998</c:v>
                </c:pt>
                <c:pt idx="11">
                  <c:v>Mali 2009</c:v>
                </c:pt>
                <c:pt idx="12">
                  <c:v>Mali 2011 (EMOP)</c:v>
                </c:pt>
              </c:strCache>
            </c:strRef>
          </c:cat>
          <c:val>
            <c:numRef>
              <c:f>'head of household 2009 census'!$C$3:$C$15</c:f>
              <c:numCache>
                <c:formatCode>0.0</c:formatCode>
                <c:ptCount val="13"/>
                <c:pt idx="0">
                  <c:v>22.7</c:v>
                </c:pt>
                <c:pt idx="1">
                  <c:v>24.4</c:v>
                </c:pt>
                <c:pt idx="2">
                  <c:v>23.3</c:v>
                </c:pt>
                <c:pt idx="3">
                  <c:v>20.9</c:v>
                </c:pt>
                <c:pt idx="4">
                  <c:v>13.5</c:v>
                </c:pt>
                <c:pt idx="5">
                  <c:v>12.3</c:v>
                </c:pt>
                <c:pt idx="6">
                  <c:v>18.2</c:v>
                </c:pt>
                <c:pt idx="7">
                  <c:v>10.3</c:v>
                </c:pt>
                <c:pt idx="8">
                  <c:v>29.9</c:v>
                </c:pt>
                <c:pt idx="10">
                  <c:v>14.4</c:v>
                </c:pt>
                <c:pt idx="11">
                  <c:v>21.8</c:v>
                </c:pt>
                <c:pt idx="12">
                  <c:v>26</c:v>
                </c:pt>
              </c:numCache>
            </c:numRef>
          </c:val>
        </c:ser>
        <c:ser>
          <c:idx val="2"/>
          <c:order val="2"/>
          <c:tx>
            <c:strRef>
              <c:f>'head of household 2009 census'!$D$2</c:f>
              <c:strCache>
                <c:ptCount val="1"/>
                <c:pt idx="0">
                  <c:v>Upper primary</c:v>
                </c:pt>
              </c:strCache>
            </c:strRef>
          </c:tx>
          <c:invertIfNegative val="0"/>
          <c:dLbls>
            <c:dLbl>
              <c:idx val="8"/>
              <c:layout/>
              <c:showLegendKey val="0"/>
              <c:showVal val="1"/>
              <c:showCatName val="0"/>
              <c:showSerName val="0"/>
              <c:showPercent val="0"/>
              <c:showBubbleSize val="0"/>
              <c:extLst>
                <c:ext xmlns:c15="http://schemas.microsoft.com/office/drawing/2012/chart" uri="{CE6537A1-D6FC-4f65-9D91-7224C49458BB}">
                  <c15:layout/>
                </c:ext>
              </c:extLst>
            </c:dLbl>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'head of household 2009 census'!$A$3:$A$15</c:f>
              <c:strCache>
                <c:ptCount val="13"/>
                <c:pt idx="0">
                  <c:v>Kayes</c:v>
                </c:pt>
                <c:pt idx="1">
                  <c:v>Koulikoro</c:v>
                </c:pt>
                <c:pt idx="2">
                  <c:v>Sikasso</c:v>
                </c:pt>
                <c:pt idx="3">
                  <c:v>Segou</c:v>
                </c:pt>
                <c:pt idx="4">
                  <c:v>Mopti</c:v>
                </c:pt>
                <c:pt idx="5">
                  <c:v>Tombouctou</c:v>
                </c:pt>
                <c:pt idx="6">
                  <c:v>Gao</c:v>
                </c:pt>
                <c:pt idx="7">
                  <c:v>Kidal</c:v>
                </c:pt>
                <c:pt idx="8">
                  <c:v>Bamako</c:v>
                </c:pt>
                <c:pt idx="10">
                  <c:v>Mali 1998</c:v>
                </c:pt>
                <c:pt idx="11">
                  <c:v>Mali 2009</c:v>
                </c:pt>
                <c:pt idx="12">
                  <c:v>Mali 2011 (EMOP)</c:v>
                </c:pt>
              </c:strCache>
            </c:strRef>
          </c:cat>
          <c:val>
            <c:numRef>
              <c:f>'head of household 2009 census'!$D$3:$D$15</c:f>
              <c:numCache>
                <c:formatCode>0.0</c:formatCode>
                <c:ptCount val="13"/>
                <c:pt idx="0">
                  <c:v>5.8</c:v>
                </c:pt>
                <c:pt idx="1">
                  <c:v>8.1</c:v>
                </c:pt>
                <c:pt idx="2">
                  <c:v>6.3</c:v>
                </c:pt>
                <c:pt idx="3">
                  <c:v>6.4</c:v>
                </c:pt>
                <c:pt idx="4">
                  <c:v>3.7</c:v>
                </c:pt>
                <c:pt idx="5">
                  <c:v>3.3</c:v>
                </c:pt>
                <c:pt idx="6">
                  <c:v>4.4000000000000004</c:v>
                </c:pt>
                <c:pt idx="7">
                  <c:v>3.6</c:v>
                </c:pt>
                <c:pt idx="8">
                  <c:v>14.8</c:v>
                </c:pt>
                <c:pt idx="10">
                  <c:v>3.3</c:v>
                </c:pt>
                <c:pt idx="11">
                  <c:v>7.1</c:v>
                </c:pt>
                <c:pt idx="12">
                  <c:v>7.8</c:v>
                </c:pt>
              </c:numCache>
            </c:numRef>
          </c:val>
        </c:ser>
        <c:ser>
          <c:idx val="3"/>
          <c:order val="3"/>
          <c:tx>
            <c:strRef>
              <c:f>'head of household 2009 census'!$E$2</c:f>
              <c:strCache>
                <c:ptCount val="1"/>
                <c:pt idx="0">
                  <c:v>Secondary</c:v>
                </c:pt>
              </c:strCache>
            </c:strRef>
          </c:tx>
          <c:invertIfNegative val="0"/>
          <c:dLbls>
            <c:dLbl>
              <c:idx val="8"/>
              <c:layout/>
              <c:showLegendKey val="0"/>
              <c:showVal val="1"/>
              <c:showCatName val="0"/>
              <c:showSerName val="0"/>
              <c:showPercent val="0"/>
              <c:showBubbleSize val="0"/>
              <c:extLst>
                <c:ext xmlns:c15="http://schemas.microsoft.com/office/drawing/2012/chart" uri="{CE6537A1-D6FC-4f65-9D91-7224C49458BB}">
                  <c15:layout/>
                </c:ext>
              </c:extLst>
            </c:dLbl>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'head of household 2009 census'!$A$3:$A$15</c:f>
              <c:strCache>
                <c:ptCount val="13"/>
                <c:pt idx="0">
                  <c:v>Kayes</c:v>
                </c:pt>
                <c:pt idx="1">
                  <c:v>Koulikoro</c:v>
                </c:pt>
                <c:pt idx="2">
                  <c:v>Sikasso</c:v>
                </c:pt>
                <c:pt idx="3">
                  <c:v>Segou</c:v>
                </c:pt>
                <c:pt idx="4">
                  <c:v>Mopti</c:v>
                </c:pt>
                <c:pt idx="5">
                  <c:v>Tombouctou</c:v>
                </c:pt>
                <c:pt idx="6">
                  <c:v>Gao</c:v>
                </c:pt>
                <c:pt idx="7">
                  <c:v>Kidal</c:v>
                </c:pt>
                <c:pt idx="8">
                  <c:v>Bamako</c:v>
                </c:pt>
                <c:pt idx="10">
                  <c:v>Mali 1998</c:v>
                </c:pt>
                <c:pt idx="11">
                  <c:v>Mali 2009</c:v>
                </c:pt>
                <c:pt idx="12">
                  <c:v>Mali 2011 (EMOP)</c:v>
                </c:pt>
              </c:strCache>
            </c:strRef>
          </c:cat>
          <c:val>
            <c:numRef>
              <c:f>'head of household 2009 census'!$E$3:$E$15</c:f>
              <c:numCache>
                <c:formatCode>0.0</c:formatCode>
                <c:ptCount val="13"/>
                <c:pt idx="0">
                  <c:v>2.6</c:v>
                </c:pt>
                <c:pt idx="1">
                  <c:v>4.3</c:v>
                </c:pt>
                <c:pt idx="2">
                  <c:v>3.3</c:v>
                </c:pt>
                <c:pt idx="3">
                  <c:v>2.9</c:v>
                </c:pt>
                <c:pt idx="4">
                  <c:v>1.8</c:v>
                </c:pt>
                <c:pt idx="5">
                  <c:v>2.1</c:v>
                </c:pt>
                <c:pt idx="6">
                  <c:v>3.2</c:v>
                </c:pt>
                <c:pt idx="7">
                  <c:v>2.6</c:v>
                </c:pt>
                <c:pt idx="8">
                  <c:v>13.7</c:v>
                </c:pt>
                <c:pt idx="10">
                  <c:v>1.6</c:v>
                </c:pt>
                <c:pt idx="11">
                  <c:v>4.4000000000000004</c:v>
                </c:pt>
                <c:pt idx="12">
                  <c:v>5.7</c:v>
                </c:pt>
              </c:numCache>
            </c:numRef>
          </c:val>
        </c:ser>
        <c:ser>
          <c:idx val="4"/>
          <c:order val="4"/>
          <c:tx>
            <c:strRef>
              <c:f>'head of household 2009 census'!$F$2</c:f>
              <c:strCache>
                <c:ptCount val="1"/>
                <c:pt idx="0">
                  <c:v>Advanced</c:v>
                </c:pt>
              </c:strCache>
            </c:strRef>
          </c:tx>
          <c:invertIfNegative val="0"/>
          <c:dLbls>
            <c:delete val="1"/>
          </c:dLbls>
          <c:cat>
            <c:strRef>
              <c:f>'head of household 2009 census'!$A$3:$A$15</c:f>
              <c:strCache>
                <c:ptCount val="13"/>
                <c:pt idx="0">
                  <c:v>Kayes</c:v>
                </c:pt>
                <c:pt idx="1">
                  <c:v>Koulikoro</c:v>
                </c:pt>
                <c:pt idx="2">
                  <c:v>Sikasso</c:v>
                </c:pt>
                <c:pt idx="3">
                  <c:v>Segou</c:v>
                </c:pt>
                <c:pt idx="4">
                  <c:v>Mopti</c:v>
                </c:pt>
                <c:pt idx="5">
                  <c:v>Tombouctou</c:v>
                </c:pt>
                <c:pt idx="6">
                  <c:v>Gao</c:v>
                </c:pt>
                <c:pt idx="7">
                  <c:v>Kidal</c:v>
                </c:pt>
                <c:pt idx="8">
                  <c:v>Bamako</c:v>
                </c:pt>
                <c:pt idx="10">
                  <c:v>Mali 1998</c:v>
                </c:pt>
                <c:pt idx="11">
                  <c:v>Mali 2009</c:v>
                </c:pt>
                <c:pt idx="12">
                  <c:v>Mali 2011 (EMOP)</c:v>
                </c:pt>
              </c:strCache>
            </c:strRef>
          </c:cat>
          <c:val>
            <c:numRef>
              <c:f>'head of household 2009 census'!$F$3:$F$15</c:f>
              <c:numCache>
                <c:formatCode>0.0</c:formatCode>
                <c:ptCount val="13"/>
                <c:pt idx="0">
                  <c:v>0.6</c:v>
                </c:pt>
                <c:pt idx="1">
                  <c:v>1.5</c:v>
                </c:pt>
                <c:pt idx="2">
                  <c:v>0.7</c:v>
                </c:pt>
                <c:pt idx="3">
                  <c:v>0.6</c:v>
                </c:pt>
                <c:pt idx="4">
                  <c:v>0.5</c:v>
                </c:pt>
                <c:pt idx="5">
                  <c:v>0.7</c:v>
                </c:pt>
                <c:pt idx="6">
                  <c:v>0.8</c:v>
                </c:pt>
                <c:pt idx="7">
                  <c:v>1.3</c:v>
                </c:pt>
                <c:pt idx="8">
                  <c:v>7.8</c:v>
                </c:pt>
                <c:pt idx="10">
                  <c:v>0.6</c:v>
                </c:pt>
                <c:pt idx="11">
                  <c:v>1.7</c:v>
                </c:pt>
                <c:pt idx="12">
                  <c:v>2.1</c:v>
                </c:pt>
              </c:numCache>
            </c:numRef>
          </c:val>
        </c:ser>
        <c:dLbls>
          <c:showLegendKey val="0"/>
          <c:showVal val="1"/>
          <c:showCatName val="0"/>
          <c:showSerName val="0"/>
          <c:showPercent val="0"/>
          <c:showBubbleSize val="0"/>
        </c:dLbls>
        <c:gapWidth val="75"/>
        <c:overlap val="100"/>
        <c:axId val="536661032"/>
        <c:axId val="536626440"/>
      </c:barChart>
      <c:catAx>
        <c:axId val="536661032"/>
        <c:scaling>
          <c:orientation val="minMax"/>
        </c:scaling>
        <c:delete val="0"/>
        <c:axPos val="b"/>
        <c:numFmt formatCode="General" sourceLinked="0"/>
        <c:majorTickMark val="none"/>
        <c:minorTickMark val="none"/>
        <c:tickLblPos val="nextTo"/>
        <c:crossAx val="536626440"/>
        <c:crosses val="autoZero"/>
        <c:auto val="1"/>
        <c:lblAlgn val="ctr"/>
        <c:lblOffset val="100"/>
        <c:noMultiLvlLbl val="0"/>
      </c:catAx>
      <c:valAx>
        <c:axId val="536626440"/>
        <c:scaling>
          <c:orientation val="minMax"/>
          <c:max val="100"/>
        </c:scaling>
        <c:delete val="0"/>
        <c:axPos val="l"/>
        <c:title>
          <c:tx>
            <c:rich>
              <a:bodyPr rot="-5400000" vert="horz"/>
              <a:lstStyle/>
              <a:p>
                <a:pPr>
                  <a:defRPr/>
                </a:pPr>
                <a:r>
                  <a:rPr lang="en-US"/>
                  <a:t>Percent</a:t>
                </a:r>
              </a:p>
            </c:rich>
          </c:tx>
          <c:layout/>
          <c:overlay val="0"/>
        </c:title>
        <c:numFmt formatCode="0.0" sourceLinked="1"/>
        <c:majorTickMark val="none"/>
        <c:minorTickMark val="none"/>
        <c:tickLblPos val="nextTo"/>
        <c:crossAx val="53666103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EAB04-F279-41D6-A721-6BC310736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143</Pages>
  <Words>42958</Words>
  <Characters>244861</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Facilitating Globalization:</vt:lpstr>
    </vt:vector>
  </TitlesOfParts>
  <Company>Country Department AFCF2</Company>
  <LinksUpToDate>false</LinksUpToDate>
  <CharactersWithSpaces>287245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Facilitating Globalization:</dc:title>
  <dc:creator>Poverty Reduction Management Units</dc:creator>
  <cp:lastModifiedBy>Johannes G. Hoogeveen</cp:lastModifiedBy>
  <cp:revision>10</cp:revision>
  <cp:lastPrinted>2015-04-21T19:41:00Z</cp:lastPrinted>
  <dcterms:created xsi:type="dcterms:W3CDTF">2015-05-15T19:47:00Z</dcterms:created>
  <dcterms:modified xsi:type="dcterms:W3CDTF">2015-05-15T20:06:00Z</dcterms:modified>
</cp:coreProperties>
</file>