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1.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header12.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7F7999" w14:textId="0C9210B3" w:rsidR="00535C31" w:rsidRDefault="00535C31" w:rsidP="00807DDF">
      <w:pPr>
        <w:jc w:val="center"/>
        <w:rPr>
          <w:rFonts w:cs="Times New Roman"/>
          <w:b/>
          <w:smallCaps/>
          <w:sz w:val="44"/>
          <w:szCs w:val="44"/>
        </w:rPr>
      </w:pPr>
    </w:p>
    <w:p w14:paraId="5A974C50" w14:textId="7957761F" w:rsidR="00EA14E3" w:rsidRDefault="00EA14E3" w:rsidP="00807DDF">
      <w:pPr>
        <w:jc w:val="center"/>
        <w:rPr>
          <w:rFonts w:cs="Times New Roman"/>
          <w:b/>
          <w:smallCaps/>
          <w:sz w:val="44"/>
          <w:szCs w:val="44"/>
        </w:rPr>
      </w:pPr>
    </w:p>
    <w:p w14:paraId="2B5B7408" w14:textId="6E7F189E" w:rsidR="00EA14E3" w:rsidRDefault="00EA14E3" w:rsidP="00807DDF">
      <w:pPr>
        <w:jc w:val="center"/>
        <w:rPr>
          <w:rFonts w:cs="Times New Roman"/>
          <w:b/>
          <w:smallCaps/>
          <w:sz w:val="44"/>
          <w:szCs w:val="44"/>
        </w:rPr>
      </w:pPr>
    </w:p>
    <w:p w14:paraId="1CE04AB4" w14:textId="639EA50B" w:rsidR="00EA14E3" w:rsidRDefault="00EA14E3" w:rsidP="00807DDF">
      <w:pPr>
        <w:jc w:val="center"/>
        <w:rPr>
          <w:rFonts w:cs="Times New Roman"/>
          <w:b/>
          <w:smallCaps/>
          <w:sz w:val="44"/>
          <w:szCs w:val="44"/>
        </w:rPr>
      </w:pPr>
    </w:p>
    <w:p w14:paraId="582E860A" w14:textId="77777777" w:rsidR="00EA14E3" w:rsidRDefault="00EA14E3" w:rsidP="00807DDF">
      <w:pPr>
        <w:jc w:val="center"/>
        <w:rPr>
          <w:rFonts w:cs="Times New Roman"/>
          <w:b/>
          <w:smallCaps/>
          <w:sz w:val="44"/>
          <w:szCs w:val="44"/>
        </w:rPr>
      </w:pPr>
    </w:p>
    <w:p w14:paraId="36011297" w14:textId="5AE26D14" w:rsidR="00807DDF" w:rsidRPr="00C62310" w:rsidRDefault="00A14699" w:rsidP="00807DDF">
      <w:pPr>
        <w:jc w:val="center"/>
        <w:rPr>
          <w:rFonts w:asciiTheme="minorHAnsi" w:hAnsiTheme="minorHAnsi" w:cstheme="minorHAnsi"/>
          <w:b/>
          <w:smallCaps/>
          <w:sz w:val="40"/>
          <w:szCs w:val="40"/>
        </w:rPr>
      </w:pPr>
      <w:bookmarkStart w:id="0" w:name="_GoBack"/>
      <w:bookmarkEnd w:id="0"/>
      <w:r w:rsidRPr="00C62310">
        <w:rPr>
          <w:rFonts w:asciiTheme="minorHAnsi" w:hAnsiTheme="minorHAnsi" w:cstheme="minorHAnsi"/>
          <w:b/>
          <w:smallCaps/>
          <w:sz w:val="40"/>
          <w:szCs w:val="40"/>
        </w:rPr>
        <w:t>ROMANIA</w:t>
      </w:r>
    </w:p>
    <w:p w14:paraId="36011298" w14:textId="58DFD60E" w:rsidR="00564EEE" w:rsidRPr="00C62310" w:rsidRDefault="00A14699" w:rsidP="00807DDF">
      <w:pPr>
        <w:jc w:val="center"/>
        <w:rPr>
          <w:rFonts w:asciiTheme="minorHAnsi" w:hAnsiTheme="minorHAnsi" w:cstheme="minorHAnsi"/>
          <w:b/>
          <w:smallCaps/>
          <w:sz w:val="40"/>
          <w:szCs w:val="40"/>
        </w:rPr>
      </w:pPr>
      <w:r w:rsidRPr="00C62310">
        <w:rPr>
          <w:rFonts w:asciiTheme="minorHAnsi" w:hAnsiTheme="minorHAnsi" w:cstheme="minorHAnsi"/>
          <w:b/>
          <w:smallCaps/>
          <w:sz w:val="40"/>
          <w:szCs w:val="40"/>
        </w:rPr>
        <w:t>Health P</w:t>
      </w:r>
      <w:r w:rsidR="00564EEE" w:rsidRPr="00C62310">
        <w:rPr>
          <w:rFonts w:asciiTheme="minorHAnsi" w:hAnsiTheme="minorHAnsi" w:cstheme="minorHAnsi"/>
          <w:b/>
          <w:smallCaps/>
          <w:sz w:val="40"/>
          <w:szCs w:val="40"/>
        </w:rPr>
        <w:t>rogram for Results</w:t>
      </w:r>
    </w:p>
    <w:p w14:paraId="1E23BB6B" w14:textId="453D875B" w:rsidR="00535C31" w:rsidRDefault="00535C31" w:rsidP="00535C31">
      <w:pPr>
        <w:jc w:val="center"/>
        <w:rPr>
          <w:rFonts w:asciiTheme="minorHAnsi" w:hAnsiTheme="minorHAnsi" w:cstheme="minorHAnsi"/>
          <w:b/>
          <w:smallCaps/>
          <w:sz w:val="40"/>
          <w:szCs w:val="40"/>
        </w:rPr>
      </w:pPr>
      <w:r w:rsidRPr="00C62310">
        <w:rPr>
          <w:rFonts w:asciiTheme="minorHAnsi" w:hAnsiTheme="minorHAnsi" w:cstheme="minorHAnsi"/>
          <w:b/>
          <w:smallCaps/>
          <w:sz w:val="40"/>
          <w:szCs w:val="40"/>
        </w:rPr>
        <w:t>(P169927)</w:t>
      </w:r>
    </w:p>
    <w:p w14:paraId="647E953C" w14:textId="672FFD34" w:rsidR="00EA14E3" w:rsidRDefault="00EA14E3" w:rsidP="00535C31">
      <w:pPr>
        <w:jc w:val="center"/>
        <w:rPr>
          <w:rFonts w:asciiTheme="minorHAnsi" w:hAnsiTheme="minorHAnsi" w:cstheme="minorHAnsi"/>
          <w:b/>
          <w:smallCaps/>
          <w:sz w:val="40"/>
          <w:szCs w:val="40"/>
        </w:rPr>
      </w:pPr>
    </w:p>
    <w:p w14:paraId="3711AF00" w14:textId="3C73572F" w:rsidR="00EA14E3" w:rsidRDefault="00EA14E3" w:rsidP="00535C31">
      <w:pPr>
        <w:jc w:val="center"/>
        <w:rPr>
          <w:rFonts w:asciiTheme="minorHAnsi" w:hAnsiTheme="minorHAnsi" w:cstheme="minorHAnsi"/>
          <w:b/>
          <w:smallCaps/>
          <w:sz w:val="40"/>
          <w:szCs w:val="40"/>
        </w:rPr>
      </w:pPr>
    </w:p>
    <w:p w14:paraId="211A31F5" w14:textId="04FB492B" w:rsidR="00EA14E3" w:rsidRDefault="00EA14E3" w:rsidP="00535C31">
      <w:pPr>
        <w:jc w:val="center"/>
        <w:rPr>
          <w:rFonts w:asciiTheme="minorHAnsi" w:hAnsiTheme="minorHAnsi" w:cstheme="minorHAnsi"/>
          <w:b/>
          <w:smallCaps/>
          <w:sz w:val="40"/>
          <w:szCs w:val="40"/>
        </w:rPr>
      </w:pPr>
    </w:p>
    <w:p w14:paraId="37329CD6" w14:textId="77777777" w:rsidR="00EA14E3" w:rsidRDefault="00EA14E3" w:rsidP="00535C31">
      <w:pPr>
        <w:jc w:val="center"/>
        <w:rPr>
          <w:rFonts w:asciiTheme="minorHAnsi" w:hAnsiTheme="minorHAnsi" w:cstheme="minorHAnsi"/>
          <w:b/>
          <w:smallCaps/>
          <w:sz w:val="40"/>
          <w:szCs w:val="40"/>
        </w:rPr>
      </w:pPr>
    </w:p>
    <w:p w14:paraId="6DD8F3F4" w14:textId="77777777" w:rsidR="00EA14E3" w:rsidRPr="00C62310" w:rsidRDefault="00EA14E3" w:rsidP="00535C31">
      <w:pPr>
        <w:jc w:val="center"/>
        <w:rPr>
          <w:rFonts w:asciiTheme="minorHAnsi" w:hAnsiTheme="minorHAnsi" w:cstheme="minorHAnsi"/>
          <w:b/>
          <w:smallCaps/>
          <w:sz w:val="40"/>
          <w:szCs w:val="40"/>
        </w:rPr>
      </w:pPr>
    </w:p>
    <w:p w14:paraId="36011299" w14:textId="77777777" w:rsidR="00807DDF" w:rsidRPr="00C62310" w:rsidRDefault="00273C9B" w:rsidP="00807DDF">
      <w:pPr>
        <w:jc w:val="center"/>
        <w:rPr>
          <w:rFonts w:asciiTheme="minorHAnsi" w:hAnsiTheme="minorHAnsi" w:cstheme="minorHAnsi"/>
          <w:smallCaps/>
          <w:sz w:val="40"/>
          <w:szCs w:val="40"/>
        </w:rPr>
      </w:pPr>
      <w:r>
        <w:rPr>
          <w:rFonts w:asciiTheme="minorHAnsi" w:hAnsiTheme="minorHAnsi" w:cstheme="minorHAnsi"/>
          <w:smallCaps/>
          <w:sz w:val="40"/>
          <w:szCs w:val="40"/>
        </w:rPr>
        <w:pict w14:anchorId="360126B8">
          <v:rect id="_x0000_i1025" style="width:0;height:1.5pt" o:hralign="center" o:hrstd="t" o:hr="t" fillcolor="#a0a0a0" stroked="f"/>
        </w:pict>
      </w:r>
    </w:p>
    <w:p w14:paraId="3601129C" w14:textId="0ABCAEF2" w:rsidR="00564EEE" w:rsidRPr="00C62310" w:rsidRDefault="00564EEE" w:rsidP="00807DDF">
      <w:pPr>
        <w:jc w:val="center"/>
        <w:rPr>
          <w:rFonts w:asciiTheme="minorHAnsi" w:hAnsiTheme="minorHAnsi" w:cstheme="minorHAnsi"/>
          <w:b/>
          <w:smallCaps/>
          <w:sz w:val="40"/>
          <w:szCs w:val="40"/>
        </w:rPr>
      </w:pPr>
    </w:p>
    <w:p w14:paraId="3601129F" w14:textId="5F1500E0" w:rsidR="009B267F" w:rsidRPr="00C62310" w:rsidRDefault="00535C31" w:rsidP="00535C31">
      <w:pPr>
        <w:jc w:val="center"/>
        <w:rPr>
          <w:rFonts w:asciiTheme="minorHAnsi" w:hAnsiTheme="minorHAnsi" w:cstheme="minorHAnsi"/>
          <w:b/>
          <w:smallCaps/>
          <w:sz w:val="40"/>
          <w:szCs w:val="40"/>
        </w:rPr>
      </w:pPr>
      <w:r w:rsidRPr="00C62310">
        <w:rPr>
          <w:rFonts w:asciiTheme="minorHAnsi" w:hAnsiTheme="minorHAnsi" w:cstheme="minorHAnsi"/>
          <w:b/>
          <w:smallCaps/>
          <w:sz w:val="40"/>
          <w:szCs w:val="40"/>
        </w:rPr>
        <w:t>Fiduciary Systems Assessment</w:t>
      </w:r>
    </w:p>
    <w:p w14:paraId="360112A0" w14:textId="4E243BC0" w:rsidR="009B267F" w:rsidRPr="00C62310" w:rsidRDefault="00273C9B" w:rsidP="00807DDF">
      <w:pPr>
        <w:jc w:val="center"/>
        <w:rPr>
          <w:rFonts w:asciiTheme="minorHAnsi" w:hAnsiTheme="minorHAnsi" w:cstheme="minorHAnsi"/>
          <w:b/>
          <w:smallCaps/>
          <w:sz w:val="40"/>
          <w:szCs w:val="40"/>
        </w:rPr>
      </w:pPr>
      <w:r>
        <w:rPr>
          <w:rFonts w:asciiTheme="minorHAnsi" w:hAnsiTheme="minorHAnsi" w:cstheme="minorHAnsi"/>
          <w:smallCaps/>
          <w:sz w:val="40"/>
          <w:szCs w:val="40"/>
        </w:rPr>
        <w:pict w14:anchorId="039033EA">
          <v:rect id="_x0000_i1026" style="width:0;height:1.5pt" o:hralign="center" o:hrstd="t" o:hr="t" fillcolor="#a0a0a0" stroked="f"/>
        </w:pict>
      </w:r>
    </w:p>
    <w:p w14:paraId="360112A1" w14:textId="77777777" w:rsidR="008B1CD8" w:rsidRPr="00C62310" w:rsidRDefault="008B1CD8" w:rsidP="00807DDF">
      <w:pPr>
        <w:jc w:val="center"/>
        <w:rPr>
          <w:rFonts w:asciiTheme="minorHAnsi" w:hAnsiTheme="minorHAnsi" w:cstheme="minorHAnsi"/>
          <w:b/>
          <w:smallCaps/>
          <w:sz w:val="40"/>
          <w:szCs w:val="40"/>
        </w:rPr>
      </w:pPr>
    </w:p>
    <w:p w14:paraId="360112A2" w14:textId="77777777" w:rsidR="008B1CD8" w:rsidRPr="00C62310" w:rsidRDefault="008B1CD8" w:rsidP="00807DDF">
      <w:pPr>
        <w:jc w:val="center"/>
        <w:rPr>
          <w:rFonts w:asciiTheme="minorHAnsi" w:hAnsiTheme="minorHAnsi" w:cstheme="minorHAnsi"/>
          <w:b/>
          <w:smallCaps/>
          <w:sz w:val="40"/>
          <w:szCs w:val="40"/>
        </w:rPr>
      </w:pPr>
    </w:p>
    <w:p w14:paraId="0A75CA72" w14:textId="77777777" w:rsidR="00535C31" w:rsidRPr="00C62310" w:rsidRDefault="00535C31" w:rsidP="00807DDF">
      <w:pPr>
        <w:jc w:val="center"/>
        <w:rPr>
          <w:rFonts w:cs="Times New Roman"/>
          <w:b/>
          <w:smallCaps/>
          <w:sz w:val="40"/>
          <w:szCs w:val="40"/>
        </w:rPr>
      </w:pPr>
    </w:p>
    <w:p w14:paraId="0F188D8C" w14:textId="3BFAEB4F" w:rsidR="00EA14E3" w:rsidRDefault="00EA14E3" w:rsidP="00807DDF">
      <w:pPr>
        <w:jc w:val="center"/>
        <w:rPr>
          <w:rFonts w:cs="Times New Roman"/>
          <w:b/>
          <w:smallCaps/>
          <w:sz w:val="40"/>
          <w:szCs w:val="40"/>
        </w:rPr>
      </w:pPr>
    </w:p>
    <w:p w14:paraId="2421F910" w14:textId="465C999A" w:rsidR="00EA14E3" w:rsidRDefault="00EA14E3" w:rsidP="00807DDF">
      <w:pPr>
        <w:jc w:val="center"/>
        <w:rPr>
          <w:rFonts w:cs="Times New Roman"/>
          <w:b/>
          <w:smallCaps/>
          <w:sz w:val="40"/>
          <w:szCs w:val="40"/>
        </w:rPr>
      </w:pPr>
    </w:p>
    <w:p w14:paraId="697D8B06" w14:textId="77777777" w:rsidR="00EA14E3" w:rsidRPr="00C62310" w:rsidRDefault="00EA14E3" w:rsidP="00807DDF">
      <w:pPr>
        <w:jc w:val="center"/>
        <w:rPr>
          <w:rFonts w:cs="Times New Roman"/>
          <w:b/>
          <w:smallCaps/>
          <w:sz w:val="40"/>
          <w:szCs w:val="40"/>
        </w:rPr>
      </w:pPr>
    </w:p>
    <w:p w14:paraId="5C5C457B" w14:textId="77777777" w:rsidR="00535C31" w:rsidRPr="00C62310" w:rsidRDefault="00535C31" w:rsidP="00807DDF">
      <w:pPr>
        <w:jc w:val="center"/>
        <w:rPr>
          <w:rFonts w:cs="Times New Roman"/>
          <w:b/>
          <w:smallCaps/>
          <w:sz w:val="40"/>
          <w:szCs w:val="40"/>
        </w:rPr>
      </w:pPr>
    </w:p>
    <w:p w14:paraId="360112A3" w14:textId="3001902D" w:rsidR="009B267F" w:rsidRPr="006C054E" w:rsidRDefault="00DA3DA2">
      <w:pPr>
        <w:jc w:val="center"/>
        <w:rPr>
          <w:rFonts w:asciiTheme="minorHAnsi" w:hAnsiTheme="minorHAnsi"/>
          <w:smallCaps/>
          <w:sz w:val="40"/>
          <w:szCs w:val="40"/>
        </w:rPr>
      </w:pPr>
      <w:r>
        <w:rPr>
          <w:rFonts w:asciiTheme="minorHAnsi" w:hAnsiTheme="minorHAnsi"/>
          <w:b/>
          <w:bCs/>
          <w:smallCaps/>
          <w:sz w:val="40"/>
          <w:szCs w:val="40"/>
        </w:rPr>
        <w:t xml:space="preserve">Updated </w:t>
      </w:r>
      <w:r w:rsidR="00401F69">
        <w:rPr>
          <w:rFonts w:asciiTheme="minorHAnsi" w:hAnsiTheme="minorHAnsi"/>
          <w:b/>
          <w:bCs/>
          <w:smallCaps/>
          <w:sz w:val="40"/>
          <w:szCs w:val="40"/>
        </w:rPr>
        <w:t>June</w:t>
      </w:r>
      <w:r w:rsidR="2F5A3734" w:rsidRPr="00A74A8F">
        <w:rPr>
          <w:rFonts w:asciiTheme="minorHAnsi" w:hAnsiTheme="minorHAnsi"/>
          <w:b/>
          <w:bCs/>
          <w:smallCaps/>
          <w:sz w:val="40"/>
          <w:szCs w:val="40"/>
        </w:rPr>
        <w:t xml:space="preserve"> </w:t>
      </w:r>
      <w:r w:rsidR="00174315">
        <w:rPr>
          <w:rFonts w:asciiTheme="minorHAnsi" w:hAnsiTheme="minorHAnsi"/>
          <w:b/>
          <w:bCs/>
          <w:smallCaps/>
          <w:sz w:val="40"/>
          <w:szCs w:val="40"/>
        </w:rPr>
        <w:t xml:space="preserve">26, </w:t>
      </w:r>
      <w:r w:rsidR="008B1CD8" w:rsidRPr="00A74A8F">
        <w:rPr>
          <w:rFonts w:asciiTheme="minorHAnsi" w:hAnsiTheme="minorHAnsi"/>
          <w:b/>
          <w:bCs/>
          <w:smallCaps/>
          <w:sz w:val="40"/>
          <w:szCs w:val="40"/>
        </w:rPr>
        <w:t>201</w:t>
      </w:r>
      <w:r w:rsidR="00A14699" w:rsidRPr="00A74A8F">
        <w:rPr>
          <w:rFonts w:asciiTheme="minorHAnsi" w:hAnsiTheme="minorHAnsi"/>
          <w:b/>
          <w:bCs/>
          <w:smallCaps/>
          <w:sz w:val="40"/>
          <w:szCs w:val="40"/>
        </w:rPr>
        <w:t>9</w:t>
      </w:r>
    </w:p>
    <w:p w14:paraId="360112A4" w14:textId="77777777" w:rsidR="009B267F" w:rsidRPr="007A1178" w:rsidRDefault="009B267F" w:rsidP="009B267F">
      <w:pPr>
        <w:rPr>
          <w:rFonts w:cs="Times New Roman"/>
          <w:smallCaps/>
          <w:sz w:val="52"/>
          <w:szCs w:val="52"/>
        </w:rPr>
        <w:sectPr w:rsidR="009B267F" w:rsidRPr="007A1178" w:rsidSect="000A09C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pPr>
    </w:p>
    <w:p w14:paraId="360112A5" w14:textId="77777777" w:rsidR="006D1876" w:rsidRPr="007A1178" w:rsidRDefault="006D1876" w:rsidP="006D1876">
      <w:pPr>
        <w:jc w:val="center"/>
        <w:rPr>
          <w:rFonts w:cs="Times New Roman"/>
          <w:smallCaps/>
        </w:rPr>
      </w:pPr>
      <w:r w:rsidRPr="007A1178">
        <w:rPr>
          <w:rFonts w:cs="Times New Roman"/>
          <w:b/>
          <w:smallCaps/>
          <w:u w:val="single"/>
        </w:rPr>
        <w:lastRenderedPageBreak/>
        <w:t xml:space="preserve">Table of Contents </w:t>
      </w:r>
    </w:p>
    <w:p w14:paraId="360112A6" w14:textId="77777777" w:rsidR="006D1876" w:rsidRPr="007A1178" w:rsidRDefault="006D1876" w:rsidP="006D1876">
      <w:pPr>
        <w:jc w:val="center"/>
        <w:rPr>
          <w:rFonts w:cs="Times New Roman"/>
          <w:smallCaps/>
        </w:rPr>
      </w:pPr>
    </w:p>
    <w:p w14:paraId="360112A7" w14:textId="77777777" w:rsidR="006D1876" w:rsidRPr="007A1178" w:rsidRDefault="006D1876" w:rsidP="006D1876">
      <w:pPr>
        <w:rPr>
          <w:rFonts w:cs="Times New Roman"/>
          <w:smallCaps/>
        </w:rPr>
      </w:pPr>
    </w:p>
    <w:p w14:paraId="55B6312E" w14:textId="175B2CB5" w:rsidR="008B7CDC" w:rsidRDefault="00A62F65">
      <w:pPr>
        <w:pStyle w:val="TOC1"/>
        <w:rPr>
          <w:rFonts w:asciiTheme="minorHAnsi" w:eastAsiaTheme="minorEastAsia" w:hAnsiTheme="minorHAnsi"/>
          <w:b w:val="0"/>
          <w:smallCaps w:val="0"/>
          <w:noProof/>
          <w:sz w:val="22"/>
        </w:rPr>
      </w:pPr>
      <w:r>
        <w:rPr>
          <w:rFonts w:cs="Times New Roman"/>
        </w:rPr>
        <w:fldChar w:fldCharType="begin"/>
      </w:r>
      <w:r>
        <w:rPr>
          <w:rFonts w:cs="Times New Roman"/>
        </w:rPr>
        <w:instrText xml:space="preserve"> TOC \h \z \t "PforR Style1,1,PforR Style2,2" </w:instrText>
      </w:r>
      <w:r>
        <w:rPr>
          <w:rFonts w:cs="Times New Roman"/>
        </w:rPr>
        <w:fldChar w:fldCharType="separate"/>
      </w:r>
      <w:hyperlink w:anchor="_Toc12467024" w:history="1">
        <w:r w:rsidR="008B7CDC" w:rsidRPr="00385E86">
          <w:rPr>
            <w:rStyle w:val="Hyperlink"/>
            <w:rFonts w:cstheme="minorHAnsi"/>
            <w:noProof/>
          </w:rPr>
          <w:t>A.</w:t>
        </w:r>
        <w:r w:rsidR="008B7CDC">
          <w:rPr>
            <w:rFonts w:asciiTheme="minorHAnsi" w:eastAsiaTheme="minorEastAsia" w:hAnsiTheme="minorHAnsi"/>
            <w:b w:val="0"/>
            <w:smallCaps w:val="0"/>
            <w:noProof/>
            <w:sz w:val="22"/>
          </w:rPr>
          <w:tab/>
        </w:r>
        <w:r w:rsidR="008B7CDC" w:rsidRPr="00385E86">
          <w:rPr>
            <w:rStyle w:val="Hyperlink"/>
            <w:rFonts w:ascii="Calibri" w:hAnsi="Calibri" w:cs="Calibri"/>
            <w:noProof/>
          </w:rPr>
          <w:t>Executive Summary</w:t>
        </w:r>
        <w:r w:rsidR="008B7CDC">
          <w:rPr>
            <w:noProof/>
            <w:webHidden/>
          </w:rPr>
          <w:tab/>
        </w:r>
        <w:r w:rsidR="008B7CDC">
          <w:rPr>
            <w:noProof/>
            <w:webHidden/>
          </w:rPr>
          <w:fldChar w:fldCharType="begin"/>
        </w:r>
        <w:r w:rsidR="008B7CDC">
          <w:rPr>
            <w:noProof/>
            <w:webHidden/>
          </w:rPr>
          <w:instrText xml:space="preserve"> PAGEREF _Toc12467024 \h </w:instrText>
        </w:r>
        <w:r w:rsidR="008B7CDC">
          <w:rPr>
            <w:noProof/>
            <w:webHidden/>
          </w:rPr>
        </w:r>
        <w:r w:rsidR="008B7CDC">
          <w:rPr>
            <w:noProof/>
            <w:webHidden/>
          </w:rPr>
          <w:fldChar w:fldCharType="separate"/>
        </w:r>
        <w:r w:rsidR="008B7CDC">
          <w:rPr>
            <w:noProof/>
            <w:webHidden/>
          </w:rPr>
          <w:t>2</w:t>
        </w:r>
        <w:r w:rsidR="008B7CDC">
          <w:rPr>
            <w:noProof/>
            <w:webHidden/>
          </w:rPr>
          <w:fldChar w:fldCharType="end"/>
        </w:r>
      </w:hyperlink>
    </w:p>
    <w:p w14:paraId="49899777" w14:textId="1C67CE2D" w:rsidR="008B7CDC" w:rsidRDefault="008B7CDC">
      <w:pPr>
        <w:pStyle w:val="TOC1"/>
        <w:rPr>
          <w:rFonts w:asciiTheme="minorHAnsi" w:eastAsiaTheme="minorEastAsia" w:hAnsiTheme="minorHAnsi"/>
          <w:b w:val="0"/>
          <w:smallCaps w:val="0"/>
          <w:noProof/>
          <w:sz w:val="22"/>
        </w:rPr>
      </w:pPr>
      <w:hyperlink w:anchor="_Toc12467025" w:history="1">
        <w:r w:rsidRPr="00385E86">
          <w:rPr>
            <w:rStyle w:val="Hyperlink"/>
            <w:rFonts w:cstheme="minorHAnsi"/>
            <w:noProof/>
          </w:rPr>
          <w:t>B.</w:t>
        </w:r>
        <w:r>
          <w:rPr>
            <w:rFonts w:asciiTheme="minorHAnsi" w:eastAsiaTheme="minorEastAsia" w:hAnsiTheme="minorHAnsi"/>
            <w:b w:val="0"/>
            <w:smallCaps w:val="0"/>
            <w:noProof/>
            <w:sz w:val="22"/>
          </w:rPr>
          <w:tab/>
        </w:r>
        <w:r w:rsidRPr="00385E86">
          <w:rPr>
            <w:rStyle w:val="Hyperlink"/>
            <w:rFonts w:ascii="Calibri" w:hAnsi="Calibri" w:cs="Calibri"/>
            <w:noProof/>
          </w:rPr>
          <w:t>Background and Institutional Arrangements</w:t>
        </w:r>
        <w:r>
          <w:rPr>
            <w:noProof/>
            <w:webHidden/>
          </w:rPr>
          <w:tab/>
        </w:r>
        <w:r>
          <w:rPr>
            <w:noProof/>
            <w:webHidden/>
          </w:rPr>
          <w:fldChar w:fldCharType="begin"/>
        </w:r>
        <w:r>
          <w:rPr>
            <w:noProof/>
            <w:webHidden/>
          </w:rPr>
          <w:instrText xml:space="preserve"> PAGEREF _Toc12467025 \h </w:instrText>
        </w:r>
        <w:r>
          <w:rPr>
            <w:noProof/>
            <w:webHidden/>
          </w:rPr>
        </w:r>
        <w:r>
          <w:rPr>
            <w:noProof/>
            <w:webHidden/>
          </w:rPr>
          <w:fldChar w:fldCharType="separate"/>
        </w:r>
        <w:r>
          <w:rPr>
            <w:noProof/>
            <w:webHidden/>
          </w:rPr>
          <w:t>4</w:t>
        </w:r>
        <w:r>
          <w:rPr>
            <w:noProof/>
            <w:webHidden/>
          </w:rPr>
          <w:fldChar w:fldCharType="end"/>
        </w:r>
      </w:hyperlink>
    </w:p>
    <w:p w14:paraId="3E847D55" w14:textId="0707E471" w:rsidR="008B7CDC" w:rsidRDefault="008B7CDC">
      <w:pPr>
        <w:pStyle w:val="TOC2"/>
        <w:tabs>
          <w:tab w:val="left" w:pos="880"/>
          <w:tab w:val="right" w:leader="dot" w:pos="9350"/>
        </w:tabs>
        <w:rPr>
          <w:rFonts w:asciiTheme="minorHAnsi" w:eastAsiaTheme="minorEastAsia" w:hAnsiTheme="minorHAnsi"/>
          <w:noProof/>
          <w:sz w:val="22"/>
        </w:rPr>
      </w:pPr>
      <w:hyperlink w:anchor="_Toc12467026" w:history="1">
        <w:r w:rsidRPr="00385E86">
          <w:rPr>
            <w:rStyle w:val="Hyperlink"/>
            <w:rFonts w:cs="Calibri"/>
            <w:noProof/>
          </w:rPr>
          <w:t>B1.</w:t>
        </w:r>
        <w:r>
          <w:rPr>
            <w:rFonts w:asciiTheme="minorHAnsi" w:eastAsiaTheme="minorEastAsia" w:hAnsiTheme="minorHAnsi"/>
            <w:noProof/>
            <w:sz w:val="22"/>
          </w:rPr>
          <w:tab/>
        </w:r>
        <w:r w:rsidRPr="00385E86">
          <w:rPr>
            <w:rStyle w:val="Hyperlink"/>
            <w:rFonts w:ascii="Calibri" w:hAnsi="Calibri" w:cs="Calibri"/>
            <w:noProof/>
          </w:rPr>
          <w:t>Institutional Framework</w:t>
        </w:r>
        <w:r>
          <w:rPr>
            <w:noProof/>
            <w:webHidden/>
          </w:rPr>
          <w:tab/>
        </w:r>
        <w:r>
          <w:rPr>
            <w:noProof/>
            <w:webHidden/>
          </w:rPr>
          <w:fldChar w:fldCharType="begin"/>
        </w:r>
        <w:r>
          <w:rPr>
            <w:noProof/>
            <w:webHidden/>
          </w:rPr>
          <w:instrText xml:space="preserve"> PAGEREF _Toc12467026 \h </w:instrText>
        </w:r>
        <w:r>
          <w:rPr>
            <w:noProof/>
            <w:webHidden/>
          </w:rPr>
        </w:r>
        <w:r>
          <w:rPr>
            <w:noProof/>
            <w:webHidden/>
          </w:rPr>
          <w:fldChar w:fldCharType="separate"/>
        </w:r>
        <w:r>
          <w:rPr>
            <w:noProof/>
            <w:webHidden/>
          </w:rPr>
          <w:t>5</w:t>
        </w:r>
        <w:r>
          <w:rPr>
            <w:noProof/>
            <w:webHidden/>
          </w:rPr>
          <w:fldChar w:fldCharType="end"/>
        </w:r>
      </w:hyperlink>
    </w:p>
    <w:p w14:paraId="7BC8FC31" w14:textId="28E6BD28" w:rsidR="008B7CDC" w:rsidRDefault="008B7CDC">
      <w:pPr>
        <w:pStyle w:val="TOC2"/>
        <w:tabs>
          <w:tab w:val="left" w:pos="880"/>
          <w:tab w:val="right" w:leader="dot" w:pos="9350"/>
        </w:tabs>
        <w:rPr>
          <w:rFonts w:asciiTheme="minorHAnsi" w:eastAsiaTheme="minorEastAsia" w:hAnsiTheme="minorHAnsi"/>
          <w:noProof/>
          <w:sz w:val="22"/>
        </w:rPr>
      </w:pPr>
      <w:hyperlink w:anchor="_Toc12467027" w:history="1">
        <w:r w:rsidRPr="00385E86">
          <w:rPr>
            <w:rStyle w:val="Hyperlink"/>
            <w:rFonts w:cs="Calibri"/>
            <w:noProof/>
          </w:rPr>
          <w:t>B2.</w:t>
        </w:r>
        <w:r>
          <w:rPr>
            <w:rFonts w:asciiTheme="minorHAnsi" w:eastAsiaTheme="minorEastAsia" w:hAnsiTheme="minorHAnsi"/>
            <w:noProof/>
            <w:sz w:val="22"/>
          </w:rPr>
          <w:tab/>
        </w:r>
        <w:r w:rsidRPr="00385E86">
          <w:rPr>
            <w:rStyle w:val="Hyperlink"/>
            <w:rFonts w:ascii="Calibri" w:hAnsi="Calibri" w:cs="Calibri"/>
            <w:noProof/>
          </w:rPr>
          <w:t>Program Scope</w:t>
        </w:r>
        <w:r>
          <w:rPr>
            <w:noProof/>
            <w:webHidden/>
          </w:rPr>
          <w:tab/>
        </w:r>
        <w:r>
          <w:rPr>
            <w:noProof/>
            <w:webHidden/>
          </w:rPr>
          <w:fldChar w:fldCharType="begin"/>
        </w:r>
        <w:r>
          <w:rPr>
            <w:noProof/>
            <w:webHidden/>
          </w:rPr>
          <w:instrText xml:space="preserve"> PAGEREF _Toc12467027 \h </w:instrText>
        </w:r>
        <w:r>
          <w:rPr>
            <w:noProof/>
            <w:webHidden/>
          </w:rPr>
        </w:r>
        <w:r>
          <w:rPr>
            <w:noProof/>
            <w:webHidden/>
          </w:rPr>
          <w:fldChar w:fldCharType="separate"/>
        </w:r>
        <w:r>
          <w:rPr>
            <w:noProof/>
            <w:webHidden/>
          </w:rPr>
          <w:t>8</w:t>
        </w:r>
        <w:r>
          <w:rPr>
            <w:noProof/>
            <w:webHidden/>
          </w:rPr>
          <w:fldChar w:fldCharType="end"/>
        </w:r>
      </w:hyperlink>
    </w:p>
    <w:p w14:paraId="687FED97" w14:textId="19746994" w:rsidR="008B7CDC" w:rsidRDefault="008B7CDC">
      <w:pPr>
        <w:pStyle w:val="TOC2"/>
        <w:tabs>
          <w:tab w:val="left" w:pos="880"/>
          <w:tab w:val="right" w:leader="dot" w:pos="9350"/>
        </w:tabs>
        <w:rPr>
          <w:rFonts w:asciiTheme="minorHAnsi" w:eastAsiaTheme="minorEastAsia" w:hAnsiTheme="minorHAnsi"/>
          <w:noProof/>
          <w:sz w:val="22"/>
        </w:rPr>
      </w:pPr>
      <w:hyperlink w:anchor="_Toc12467028" w:history="1">
        <w:r w:rsidRPr="00385E86">
          <w:rPr>
            <w:rStyle w:val="Hyperlink"/>
            <w:rFonts w:cs="Calibri"/>
            <w:noProof/>
          </w:rPr>
          <w:t>B3.</w:t>
        </w:r>
        <w:r>
          <w:rPr>
            <w:rFonts w:asciiTheme="minorHAnsi" w:eastAsiaTheme="minorEastAsia" w:hAnsiTheme="minorHAnsi"/>
            <w:noProof/>
            <w:sz w:val="22"/>
          </w:rPr>
          <w:tab/>
        </w:r>
        <w:r w:rsidRPr="00385E86">
          <w:rPr>
            <w:rStyle w:val="Hyperlink"/>
            <w:rFonts w:ascii="Calibri" w:hAnsi="Calibri" w:cs="Calibri"/>
            <w:noProof/>
          </w:rPr>
          <w:t>Program Implementation</w:t>
        </w:r>
        <w:r>
          <w:rPr>
            <w:noProof/>
            <w:webHidden/>
          </w:rPr>
          <w:tab/>
        </w:r>
        <w:r>
          <w:rPr>
            <w:noProof/>
            <w:webHidden/>
          </w:rPr>
          <w:fldChar w:fldCharType="begin"/>
        </w:r>
        <w:r>
          <w:rPr>
            <w:noProof/>
            <w:webHidden/>
          </w:rPr>
          <w:instrText xml:space="preserve"> PAGEREF _Toc12467028 \h </w:instrText>
        </w:r>
        <w:r>
          <w:rPr>
            <w:noProof/>
            <w:webHidden/>
          </w:rPr>
        </w:r>
        <w:r>
          <w:rPr>
            <w:noProof/>
            <w:webHidden/>
          </w:rPr>
          <w:fldChar w:fldCharType="separate"/>
        </w:r>
        <w:r>
          <w:rPr>
            <w:noProof/>
            <w:webHidden/>
          </w:rPr>
          <w:t>8</w:t>
        </w:r>
        <w:r>
          <w:rPr>
            <w:noProof/>
            <w:webHidden/>
          </w:rPr>
          <w:fldChar w:fldCharType="end"/>
        </w:r>
      </w:hyperlink>
    </w:p>
    <w:p w14:paraId="0ECABB8F" w14:textId="7DECD535" w:rsidR="008B7CDC" w:rsidRDefault="008B7CDC">
      <w:pPr>
        <w:pStyle w:val="TOC2"/>
        <w:tabs>
          <w:tab w:val="left" w:pos="880"/>
          <w:tab w:val="right" w:leader="dot" w:pos="9350"/>
        </w:tabs>
        <w:rPr>
          <w:rFonts w:asciiTheme="minorHAnsi" w:eastAsiaTheme="minorEastAsia" w:hAnsiTheme="minorHAnsi"/>
          <w:noProof/>
          <w:sz w:val="22"/>
        </w:rPr>
      </w:pPr>
      <w:hyperlink w:anchor="_Toc12467029" w:history="1">
        <w:r w:rsidRPr="00385E86">
          <w:rPr>
            <w:rStyle w:val="Hyperlink"/>
            <w:rFonts w:cs="Calibri"/>
            <w:noProof/>
          </w:rPr>
          <w:t>B4.</w:t>
        </w:r>
        <w:r>
          <w:rPr>
            <w:rFonts w:asciiTheme="minorHAnsi" w:eastAsiaTheme="minorEastAsia" w:hAnsiTheme="minorHAnsi"/>
            <w:noProof/>
            <w:sz w:val="22"/>
          </w:rPr>
          <w:tab/>
        </w:r>
        <w:r w:rsidRPr="00385E86">
          <w:rPr>
            <w:rStyle w:val="Hyperlink"/>
            <w:rFonts w:ascii="Calibri" w:hAnsi="Calibri" w:cs="Calibri"/>
            <w:noProof/>
          </w:rPr>
          <w:t>Program Expenditure Framework</w:t>
        </w:r>
        <w:r>
          <w:rPr>
            <w:noProof/>
            <w:webHidden/>
          </w:rPr>
          <w:tab/>
        </w:r>
        <w:r>
          <w:rPr>
            <w:noProof/>
            <w:webHidden/>
          </w:rPr>
          <w:fldChar w:fldCharType="begin"/>
        </w:r>
        <w:r>
          <w:rPr>
            <w:noProof/>
            <w:webHidden/>
          </w:rPr>
          <w:instrText xml:space="preserve"> PAGEREF _Toc12467029 \h </w:instrText>
        </w:r>
        <w:r>
          <w:rPr>
            <w:noProof/>
            <w:webHidden/>
          </w:rPr>
        </w:r>
        <w:r>
          <w:rPr>
            <w:noProof/>
            <w:webHidden/>
          </w:rPr>
          <w:fldChar w:fldCharType="separate"/>
        </w:r>
        <w:r>
          <w:rPr>
            <w:noProof/>
            <w:webHidden/>
          </w:rPr>
          <w:t>9</w:t>
        </w:r>
        <w:r>
          <w:rPr>
            <w:noProof/>
            <w:webHidden/>
          </w:rPr>
          <w:fldChar w:fldCharType="end"/>
        </w:r>
      </w:hyperlink>
    </w:p>
    <w:p w14:paraId="128A208A" w14:textId="0E07CD7A" w:rsidR="008B7CDC" w:rsidRDefault="008B7CDC">
      <w:pPr>
        <w:pStyle w:val="TOC1"/>
        <w:rPr>
          <w:rFonts w:asciiTheme="minorHAnsi" w:eastAsiaTheme="minorEastAsia" w:hAnsiTheme="minorHAnsi"/>
          <w:b w:val="0"/>
          <w:smallCaps w:val="0"/>
          <w:noProof/>
          <w:sz w:val="22"/>
        </w:rPr>
      </w:pPr>
      <w:hyperlink w:anchor="_Toc12467030" w:history="1">
        <w:r w:rsidRPr="00385E86">
          <w:rPr>
            <w:rStyle w:val="Hyperlink"/>
            <w:rFonts w:cstheme="minorHAnsi"/>
            <w:noProof/>
          </w:rPr>
          <w:t>C.</w:t>
        </w:r>
        <w:r>
          <w:rPr>
            <w:rFonts w:asciiTheme="minorHAnsi" w:eastAsiaTheme="minorEastAsia" w:hAnsiTheme="minorHAnsi"/>
            <w:b w:val="0"/>
            <w:smallCaps w:val="0"/>
            <w:noProof/>
            <w:sz w:val="22"/>
          </w:rPr>
          <w:tab/>
        </w:r>
        <w:r w:rsidRPr="00385E86">
          <w:rPr>
            <w:rStyle w:val="Hyperlink"/>
            <w:rFonts w:ascii="Calibri" w:hAnsi="Calibri" w:cs="Calibri"/>
            <w:noProof/>
          </w:rPr>
          <w:t>Performance of Program Fiduciary Systems and Arrangements</w:t>
        </w:r>
        <w:r>
          <w:rPr>
            <w:noProof/>
            <w:webHidden/>
          </w:rPr>
          <w:tab/>
        </w:r>
        <w:r>
          <w:rPr>
            <w:noProof/>
            <w:webHidden/>
          </w:rPr>
          <w:fldChar w:fldCharType="begin"/>
        </w:r>
        <w:r>
          <w:rPr>
            <w:noProof/>
            <w:webHidden/>
          </w:rPr>
          <w:instrText xml:space="preserve"> PAGEREF _Toc12467030 \h </w:instrText>
        </w:r>
        <w:r>
          <w:rPr>
            <w:noProof/>
            <w:webHidden/>
          </w:rPr>
        </w:r>
        <w:r>
          <w:rPr>
            <w:noProof/>
            <w:webHidden/>
          </w:rPr>
          <w:fldChar w:fldCharType="separate"/>
        </w:r>
        <w:r>
          <w:rPr>
            <w:noProof/>
            <w:webHidden/>
          </w:rPr>
          <w:t>10</w:t>
        </w:r>
        <w:r>
          <w:rPr>
            <w:noProof/>
            <w:webHidden/>
          </w:rPr>
          <w:fldChar w:fldCharType="end"/>
        </w:r>
      </w:hyperlink>
    </w:p>
    <w:p w14:paraId="580EFB77" w14:textId="5F264757" w:rsidR="008B7CDC" w:rsidRDefault="008B7CDC">
      <w:pPr>
        <w:pStyle w:val="TOC2"/>
        <w:tabs>
          <w:tab w:val="left" w:pos="880"/>
          <w:tab w:val="right" w:leader="dot" w:pos="9350"/>
        </w:tabs>
        <w:rPr>
          <w:rFonts w:asciiTheme="minorHAnsi" w:eastAsiaTheme="minorEastAsia" w:hAnsiTheme="minorHAnsi"/>
          <w:noProof/>
          <w:sz w:val="22"/>
        </w:rPr>
      </w:pPr>
      <w:hyperlink w:anchor="_Toc12467031" w:history="1">
        <w:r w:rsidRPr="00385E86">
          <w:rPr>
            <w:rStyle w:val="Hyperlink"/>
            <w:rFonts w:cstheme="minorHAnsi"/>
            <w:noProof/>
          </w:rPr>
          <w:t>C1.</w:t>
        </w:r>
        <w:r>
          <w:rPr>
            <w:rFonts w:asciiTheme="minorHAnsi" w:eastAsiaTheme="minorEastAsia" w:hAnsiTheme="minorHAnsi"/>
            <w:noProof/>
            <w:sz w:val="22"/>
          </w:rPr>
          <w:tab/>
        </w:r>
        <w:r w:rsidRPr="00385E86">
          <w:rPr>
            <w:rStyle w:val="Hyperlink"/>
            <w:rFonts w:cstheme="minorHAnsi"/>
            <w:noProof/>
          </w:rPr>
          <w:t>Program Planning and Budgeting</w:t>
        </w:r>
        <w:r>
          <w:rPr>
            <w:noProof/>
            <w:webHidden/>
          </w:rPr>
          <w:tab/>
        </w:r>
        <w:r>
          <w:rPr>
            <w:noProof/>
            <w:webHidden/>
          </w:rPr>
          <w:fldChar w:fldCharType="begin"/>
        </w:r>
        <w:r>
          <w:rPr>
            <w:noProof/>
            <w:webHidden/>
          </w:rPr>
          <w:instrText xml:space="preserve"> PAGEREF _Toc12467031 \h </w:instrText>
        </w:r>
        <w:r>
          <w:rPr>
            <w:noProof/>
            <w:webHidden/>
          </w:rPr>
        </w:r>
        <w:r>
          <w:rPr>
            <w:noProof/>
            <w:webHidden/>
          </w:rPr>
          <w:fldChar w:fldCharType="separate"/>
        </w:r>
        <w:r>
          <w:rPr>
            <w:noProof/>
            <w:webHidden/>
          </w:rPr>
          <w:t>10</w:t>
        </w:r>
        <w:r>
          <w:rPr>
            <w:noProof/>
            <w:webHidden/>
          </w:rPr>
          <w:fldChar w:fldCharType="end"/>
        </w:r>
      </w:hyperlink>
    </w:p>
    <w:p w14:paraId="51D1D9F3" w14:textId="0B91B4AF" w:rsidR="008B7CDC" w:rsidRDefault="008B7CDC">
      <w:pPr>
        <w:pStyle w:val="TOC2"/>
        <w:tabs>
          <w:tab w:val="left" w:pos="880"/>
          <w:tab w:val="right" w:leader="dot" w:pos="9350"/>
        </w:tabs>
        <w:rPr>
          <w:rFonts w:asciiTheme="minorHAnsi" w:eastAsiaTheme="minorEastAsia" w:hAnsiTheme="minorHAnsi"/>
          <w:noProof/>
          <w:sz w:val="22"/>
        </w:rPr>
      </w:pPr>
      <w:hyperlink w:anchor="_Toc12467032" w:history="1">
        <w:r w:rsidRPr="00385E86">
          <w:rPr>
            <w:rStyle w:val="Hyperlink"/>
            <w:rFonts w:cs="Calibri"/>
            <w:noProof/>
            <w:lang w:val="en-GB"/>
          </w:rPr>
          <w:t>C2.</w:t>
        </w:r>
        <w:r>
          <w:rPr>
            <w:rFonts w:asciiTheme="minorHAnsi" w:eastAsiaTheme="minorEastAsia" w:hAnsiTheme="minorHAnsi"/>
            <w:noProof/>
            <w:sz w:val="22"/>
          </w:rPr>
          <w:tab/>
        </w:r>
        <w:r w:rsidRPr="00385E86">
          <w:rPr>
            <w:rStyle w:val="Hyperlink"/>
            <w:rFonts w:ascii="Calibri" w:hAnsi="Calibri" w:cs="Calibri"/>
            <w:noProof/>
            <w:lang w:val="en-GB"/>
          </w:rPr>
          <w:t>Procurement Arrangements</w:t>
        </w:r>
        <w:r>
          <w:rPr>
            <w:noProof/>
            <w:webHidden/>
          </w:rPr>
          <w:tab/>
        </w:r>
        <w:r>
          <w:rPr>
            <w:noProof/>
            <w:webHidden/>
          </w:rPr>
          <w:fldChar w:fldCharType="begin"/>
        </w:r>
        <w:r>
          <w:rPr>
            <w:noProof/>
            <w:webHidden/>
          </w:rPr>
          <w:instrText xml:space="preserve"> PAGEREF _Toc12467032 \h </w:instrText>
        </w:r>
        <w:r>
          <w:rPr>
            <w:noProof/>
            <w:webHidden/>
          </w:rPr>
        </w:r>
        <w:r>
          <w:rPr>
            <w:noProof/>
            <w:webHidden/>
          </w:rPr>
          <w:fldChar w:fldCharType="separate"/>
        </w:r>
        <w:r>
          <w:rPr>
            <w:noProof/>
            <w:webHidden/>
          </w:rPr>
          <w:t>11</w:t>
        </w:r>
        <w:r>
          <w:rPr>
            <w:noProof/>
            <w:webHidden/>
          </w:rPr>
          <w:fldChar w:fldCharType="end"/>
        </w:r>
      </w:hyperlink>
    </w:p>
    <w:p w14:paraId="7AA31152" w14:textId="35783EEA" w:rsidR="008B7CDC" w:rsidRDefault="008B7CDC">
      <w:pPr>
        <w:pStyle w:val="TOC2"/>
        <w:tabs>
          <w:tab w:val="left" w:pos="880"/>
          <w:tab w:val="right" w:leader="dot" w:pos="9350"/>
        </w:tabs>
        <w:rPr>
          <w:rFonts w:asciiTheme="minorHAnsi" w:eastAsiaTheme="minorEastAsia" w:hAnsiTheme="minorHAnsi"/>
          <w:noProof/>
          <w:sz w:val="22"/>
        </w:rPr>
      </w:pPr>
      <w:hyperlink w:anchor="_Toc12467033" w:history="1">
        <w:r w:rsidRPr="00385E86">
          <w:rPr>
            <w:rStyle w:val="Hyperlink"/>
            <w:rFonts w:cs="Calibri"/>
            <w:noProof/>
          </w:rPr>
          <w:t>C3.</w:t>
        </w:r>
        <w:r>
          <w:rPr>
            <w:rFonts w:asciiTheme="minorHAnsi" w:eastAsiaTheme="minorEastAsia" w:hAnsiTheme="minorHAnsi"/>
            <w:noProof/>
            <w:sz w:val="22"/>
          </w:rPr>
          <w:tab/>
        </w:r>
        <w:r w:rsidRPr="00385E86">
          <w:rPr>
            <w:rStyle w:val="Hyperlink"/>
            <w:rFonts w:ascii="Calibri" w:hAnsi="Calibri" w:cs="Calibri"/>
            <w:noProof/>
          </w:rPr>
          <w:t>Procurement Planning</w:t>
        </w:r>
        <w:r>
          <w:rPr>
            <w:noProof/>
            <w:webHidden/>
          </w:rPr>
          <w:tab/>
        </w:r>
        <w:r>
          <w:rPr>
            <w:noProof/>
            <w:webHidden/>
          </w:rPr>
          <w:fldChar w:fldCharType="begin"/>
        </w:r>
        <w:r>
          <w:rPr>
            <w:noProof/>
            <w:webHidden/>
          </w:rPr>
          <w:instrText xml:space="preserve"> PAGEREF _Toc12467033 \h </w:instrText>
        </w:r>
        <w:r>
          <w:rPr>
            <w:noProof/>
            <w:webHidden/>
          </w:rPr>
        </w:r>
        <w:r>
          <w:rPr>
            <w:noProof/>
            <w:webHidden/>
          </w:rPr>
          <w:fldChar w:fldCharType="separate"/>
        </w:r>
        <w:r>
          <w:rPr>
            <w:noProof/>
            <w:webHidden/>
          </w:rPr>
          <w:t>11</w:t>
        </w:r>
        <w:r>
          <w:rPr>
            <w:noProof/>
            <w:webHidden/>
          </w:rPr>
          <w:fldChar w:fldCharType="end"/>
        </w:r>
      </w:hyperlink>
    </w:p>
    <w:p w14:paraId="5CDC7305" w14:textId="686662C3" w:rsidR="008B7CDC" w:rsidRDefault="008B7CDC">
      <w:pPr>
        <w:pStyle w:val="TOC2"/>
        <w:tabs>
          <w:tab w:val="left" w:pos="880"/>
          <w:tab w:val="right" w:leader="dot" w:pos="9350"/>
        </w:tabs>
        <w:rPr>
          <w:rFonts w:asciiTheme="minorHAnsi" w:eastAsiaTheme="minorEastAsia" w:hAnsiTheme="minorHAnsi"/>
          <w:noProof/>
          <w:sz w:val="22"/>
        </w:rPr>
      </w:pPr>
      <w:hyperlink w:anchor="_Toc12467034" w:history="1">
        <w:r w:rsidRPr="00385E86">
          <w:rPr>
            <w:rStyle w:val="Hyperlink"/>
            <w:rFonts w:cs="Calibri"/>
            <w:noProof/>
          </w:rPr>
          <w:t>C4.</w:t>
        </w:r>
        <w:r>
          <w:rPr>
            <w:rFonts w:asciiTheme="minorHAnsi" w:eastAsiaTheme="minorEastAsia" w:hAnsiTheme="minorHAnsi"/>
            <w:noProof/>
            <w:sz w:val="22"/>
          </w:rPr>
          <w:tab/>
        </w:r>
        <w:r w:rsidRPr="00385E86">
          <w:rPr>
            <w:rStyle w:val="Hyperlink"/>
            <w:rFonts w:ascii="Calibri" w:hAnsi="Calibri" w:cs="Calibri"/>
            <w:noProof/>
          </w:rPr>
          <w:t>Procurable Items</w:t>
        </w:r>
        <w:r>
          <w:rPr>
            <w:noProof/>
            <w:webHidden/>
          </w:rPr>
          <w:tab/>
        </w:r>
        <w:r>
          <w:rPr>
            <w:noProof/>
            <w:webHidden/>
          </w:rPr>
          <w:fldChar w:fldCharType="begin"/>
        </w:r>
        <w:r>
          <w:rPr>
            <w:noProof/>
            <w:webHidden/>
          </w:rPr>
          <w:instrText xml:space="preserve"> PAGEREF _Toc12467034 \h </w:instrText>
        </w:r>
        <w:r>
          <w:rPr>
            <w:noProof/>
            <w:webHidden/>
          </w:rPr>
        </w:r>
        <w:r>
          <w:rPr>
            <w:noProof/>
            <w:webHidden/>
          </w:rPr>
          <w:fldChar w:fldCharType="separate"/>
        </w:r>
        <w:r>
          <w:rPr>
            <w:noProof/>
            <w:webHidden/>
          </w:rPr>
          <w:t>12</w:t>
        </w:r>
        <w:r>
          <w:rPr>
            <w:noProof/>
            <w:webHidden/>
          </w:rPr>
          <w:fldChar w:fldCharType="end"/>
        </w:r>
      </w:hyperlink>
    </w:p>
    <w:p w14:paraId="103566F4" w14:textId="7CE12796" w:rsidR="008B7CDC" w:rsidRDefault="008B7CDC">
      <w:pPr>
        <w:pStyle w:val="TOC2"/>
        <w:tabs>
          <w:tab w:val="left" w:pos="880"/>
          <w:tab w:val="right" w:leader="dot" w:pos="9350"/>
        </w:tabs>
        <w:rPr>
          <w:rFonts w:asciiTheme="minorHAnsi" w:eastAsiaTheme="minorEastAsia" w:hAnsiTheme="minorHAnsi"/>
          <w:noProof/>
          <w:sz w:val="22"/>
        </w:rPr>
      </w:pPr>
      <w:hyperlink w:anchor="_Toc12467036" w:history="1">
        <w:r w:rsidRPr="00385E86">
          <w:rPr>
            <w:rStyle w:val="Hyperlink"/>
            <w:rFonts w:cs="Calibri"/>
            <w:noProof/>
          </w:rPr>
          <w:t>C5.</w:t>
        </w:r>
        <w:r>
          <w:rPr>
            <w:rFonts w:asciiTheme="minorHAnsi" w:eastAsiaTheme="minorEastAsia" w:hAnsiTheme="minorHAnsi"/>
            <w:noProof/>
            <w:sz w:val="22"/>
          </w:rPr>
          <w:tab/>
        </w:r>
        <w:r w:rsidRPr="00385E86">
          <w:rPr>
            <w:rStyle w:val="Hyperlink"/>
            <w:rFonts w:ascii="Calibri" w:hAnsi="Calibri" w:cs="Calibri"/>
            <w:noProof/>
          </w:rPr>
          <w:t>Procurement Processing</w:t>
        </w:r>
        <w:r>
          <w:rPr>
            <w:noProof/>
            <w:webHidden/>
          </w:rPr>
          <w:tab/>
        </w:r>
        <w:r>
          <w:rPr>
            <w:noProof/>
            <w:webHidden/>
          </w:rPr>
          <w:fldChar w:fldCharType="begin"/>
        </w:r>
        <w:r>
          <w:rPr>
            <w:noProof/>
            <w:webHidden/>
          </w:rPr>
          <w:instrText xml:space="preserve"> PAGEREF _Toc12467036 \h </w:instrText>
        </w:r>
        <w:r>
          <w:rPr>
            <w:noProof/>
            <w:webHidden/>
          </w:rPr>
        </w:r>
        <w:r>
          <w:rPr>
            <w:noProof/>
            <w:webHidden/>
          </w:rPr>
          <w:fldChar w:fldCharType="separate"/>
        </w:r>
        <w:r>
          <w:rPr>
            <w:noProof/>
            <w:webHidden/>
          </w:rPr>
          <w:t>15</w:t>
        </w:r>
        <w:r>
          <w:rPr>
            <w:noProof/>
            <w:webHidden/>
          </w:rPr>
          <w:fldChar w:fldCharType="end"/>
        </w:r>
      </w:hyperlink>
    </w:p>
    <w:p w14:paraId="6BBB53D6" w14:textId="1F6F2144" w:rsidR="008B7CDC" w:rsidRDefault="008B7CDC">
      <w:pPr>
        <w:pStyle w:val="TOC2"/>
        <w:tabs>
          <w:tab w:val="left" w:pos="880"/>
          <w:tab w:val="right" w:leader="dot" w:pos="9350"/>
        </w:tabs>
        <w:rPr>
          <w:rFonts w:asciiTheme="minorHAnsi" w:eastAsiaTheme="minorEastAsia" w:hAnsiTheme="minorHAnsi"/>
          <w:noProof/>
          <w:sz w:val="22"/>
        </w:rPr>
      </w:pPr>
      <w:hyperlink w:anchor="_Toc12467037" w:history="1">
        <w:r w:rsidRPr="00385E86">
          <w:rPr>
            <w:rStyle w:val="Hyperlink"/>
            <w:rFonts w:cs="Calibri"/>
            <w:noProof/>
          </w:rPr>
          <w:t>C6.</w:t>
        </w:r>
        <w:r>
          <w:rPr>
            <w:rFonts w:asciiTheme="minorHAnsi" w:eastAsiaTheme="minorEastAsia" w:hAnsiTheme="minorHAnsi"/>
            <w:noProof/>
            <w:sz w:val="22"/>
          </w:rPr>
          <w:tab/>
        </w:r>
        <w:r w:rsidRPr="00385E86">
          <w:rPr>
            <w:rStyle w:val="Hyperlink"/>
            <w:rFonts w:ascii="Calibri" w:hAnsi="Calibri" w:cs="Calibri"/>
            <w:noProof/>
          </w:rPr>
          <w:t>Contract Management</w:t>
        </w:r>
        <w:r>
          <w:rPr>
            <w:noProof/>
            <w:webHidden/>
          </w:rPr>
          <w:tab/>
        </w:r>
        <w:r>
          <w:rPr>
            <w:noProof/>
            <w:webHidden/>
          </w:rPr>
          <w:fldChar w:fldCharType="begin"/>
        </w:r>
        <w:r>
          <w:rPr>
            <w:noProof/>
            <w:webHidden/>
          </w:rPr>
          <w:instrText xml:space="preserve"> PAGEREF _Toc12467037 \h </w:instrText>
        </w:r>
        <w:r>
          <w:rPr>
            <w:noProof/>
            <w:webHidden/>
          </w:rPr>
        </w:r>
        <w:r>
          <w:rPr>
            <w:noProof/>
            <w:webHidden/>
          </w:rPr>
          <w:fldChar w:fldCharType="separate"/>
        </w:r>
        <w:r>
          <w:rPr>
            <w:noProof/>
            <w:webHidden/>
          </w:rPr>
          <w:t>16</w:t>
        </w:r>
        <w:r>
          <w:rPr>
            <w:noProof/>
            <w:webHidden/>
          </w:rPr>
          <w:fldChar w:fldCharType="end"/>
        </w:r>
      </w:hyperlink>
    </w:p>
    <w:p w14:paraId="0C8C3799" w14:textId="05B63314" w:rsidR="008B7CDC" w:rsidRDefault="008B7CDC">
      <w:pPr>
        <w:pStyle w:val="TOC2"/>
        <w:tabs>
          <w:tab w:val="left" w:pos="880"/>
          <w:tab w:val="right" w:leader="dot" w:pos="9350"/>
        </w:tabs>
        <w:rPr>
          <w:rFonts w:asciiTheme="minorHAnsi" w:eastAsiaTheme="minorEastAsia" w:hAnsiTheme="minorHAnsi"/>
          <w:noProof/>
          <w:sz w:val="22"/>
        </w:rPr>
      </w:pPr>
      <w:hyperlink w:anchor="_Toc12467038" w:history="1">
        <w:r w:rsidRPr="00385E86">
          <w:rPr>
            <w:rStyle w:val="Hyperlink"/>
            <w:rFonts w:cs="Calibri"/>
            <w:noProof/>
          </w:rPr>
          <w:t>C7.</w:t>
        </w:r>
        <w:r>
          <w:rPr>
            <w:rFonts w:asciiTheme="minorHAnsi" w:eastAsiaTheme="minorEastAsia" w:hAnsiTheme="minorHAnsi"/>
            <w:noProof/>
            <w:sz w:val="22"/>
          </w:rPr>
          <w:tab/>
        </w:r>
        <w:r w:rsidRPr="00385E86">
          <w:rPr>
            <w:rStyle w:val="Hyperlink"/>
            <w:rFonts w:ascii="Calibri" w:hAnsi="Calibri" w:cs="Calibri"/>
            <w:noProof/>
          </w:rPr>
          <w:t>Transparency and Complaints Handling</w:t>
        </w:r>
        <w:r>
          <w:rPr>
            <w:noProof/>
            <w:webHidden/>
          </w:rPr>
          <w:tab/>
        </w:r>
        <w:r>
          <w:rPr>
            <w:noProof/>
            <w:webHidden/>
          </w:rPr>
          <w:fldChar w:fldCharType="begin"/>
        </w:r>
        <w:r>
          <w:rPr>
            <w:noProof/>
            <w:webHidden/>
          </w:rPr>
          <w:instrText xml:space="preserve"> PAGEREF _Toc12467038 \h </w:instrText>
        </w:r>
        <w:r>
          <w:rPr>
            <w:noProof/>
            <w:webHidden/>
          </w:rPr>
        </w:r>
        <w:r>
          <w:rPr>
            <w:noProof/>
            <w:webHidden/>
          </w:rPr>
          <w:fldChar w:fldCharType="separate"/>
        </w:r>
        <w:r>
          <w:rPr>
            <w:noProof/>
            <w:webHidden/>
          </w:rPr>
          <w:t>16</w:t>
        </w:r>
        <w:r>
          <w:rPr>
            <w:noProof/>
            <w:webHidden/>
          </w:rPr>
          <w:fldChar w:fldCharType="end"/>
        </w:r>
      </w:hyperlink>
    </w:p>
    <w:p w14:paraId="7A3DAFFC" w14:textId="2F0F0E30" w:rsidR="008B7CDC" w:rsidRDefault="008B7CDC">
      <w:pPr>
        <w:pStyle w:val="TOC2"/>
        <w:tabs>
          <w:tab w:val="left" w:pos="880"/>
          <w:tab w:val="right" w:leader="dot" w:pos="9350"/>
        </w:tabs>
        <w:rPr>
          <w:rFonts w:asciiTheme="minorHAnsi" w:eastAsiaTheme="minorEastAsia" w:hAnsiTheme="minorHAnsi"/>
          <w:noProof/>
          <w:sz w:val="22"/>
        </w:rPr>
      </w:pPr>
      <w:hyperlink w:anchor="_Toc12467039" w:history="1">
        <w:r w:rsidRPr="00385E86">
          <w:rPr>
            <w:rStyle w:val="Hyperlink"/>
            <w:rFonts w:cs="Calibri"/>
            <w:noProof/>
          </w:rPr>
          <w:t>C8.</w:t>
        </w:r>
        <w:r>
          <w:rPr>
            <w:rFonts w:asciiTheme="minorHAnsi" w:eastAsiaTheme="minorEastAsia" w:hAnsiTheme="minorHAnsi"/>
            <w:noProof/>
            <w:sz w:val="22"/>
          </w:rPr>
          <w:tab/>
        </w:r>
        <w:r w:rsidRPr="00385E86">
          <w:rPr>
            <w:rStyle w:val="Hyperlink"/>
            <w:rFonts w:ascii="Calibri" w:hAnsi="Calibri" w:cs="Calibri"/>
            <w:noProof/>
          </w:rPr>
          <w:t>Program Accounting and Financial Reporting</w:t>
        </w:r>
        <w:r>
          <w:rPr>
            <w:noProof/>
            <w:webHidden/>
          </w:rPr>
          <w:tab/>
        </w:r>
        <w:r>
          <w:rPr>
            <w:noProof/>
            <w:webHidden/>
          </w:rPr>
          <w:fldChar w:fldCharType="begin"/>
        </w:r>
        <w:r>
          <w:rPr>
            <w:noProof/>
            <w:webHidden/>
          </w:rPr>
          <w:instrText xml:space="preserve"> PAGEREF _Toc12467039 \h </w:instrText>
        </w:r>
        <w:r>
          <w:rPr>
            <w:noProof/>
            <w:webHidden/>
          </w:rPr>
        </w:r>
        <w:r>
          <w:rPr>
            <w:noProof/>
            <w:webHidden/>
          </w:rPr>
          <w:fldChar w:fldCharType="separate"/>
        </w:r>
        <w:r>
          <w:rPr>
            <w:noProof/>
            <w:webHidden/>
          </w:rPr>
          <w:t>17</w:t>
        </w:r>
        <w:r>
          <w:rPr>
            <w:noProof/>
            <w:webHidden/>
          </w:rPr>
          <w:fldChar w:fldCharType="end"/>
        </w:r>
      </w:hyperlink>
    </w:p>
    <w:p w14:paraId="2B955AB9" w14:textId="176AC997" w:rsidR="008B7CDC" w:rsidRDefault="008B7CDC">
      <w:pPr>
        <w:pStyle w:val="TOC2"/>
        <w:tabs>
          <w:tab w:val="left" w:pos="880"/>
          <w:tab w:val="right" w:leader="dot" w:pos="9350"/>
        </w:tabs>
        <w:rPr>
          <w:rFonts w:asciiTheme="minorHAnsi" w:eastAsiaTheme="minorEastAsia" w:hAnsiTheme="minorHAnsi"/>
          <w:noProof/>
          <w:sz w:val="22"/>
        </w:rPr>
      </w:pPr>
      <w:hyperlink w:anchor="_Toc12467040" w:history="1">
        <w:r w:rsidRPr="00385E86">
          <w:rPr>
            <w:rStyle w:val="Hyperlink"/>
            <w:rFonts w:cs="Calibri"/>
            <w:noProof/>
          </w:rPr>
          <w:t>C9.</w:t>
        </w:r>
        <w:r>
          <w:rPr>
            <w:rFonts w:asciiTheme="minorHAnsi" w:eastAsiaTheme="minorEastAsia" w:hAnsiTheme="minorHAnsi"/>
            <w:noProof/>
            <w:sz w:val="22"/>
          </w:rPr>
          <w:tab/>
        </w:r>
        <w:r w:rsidRPr="00385E86">
          <w:rPr>
            <w:rStyle w:val="Hyperlink"/>
            <w:rFonts w:ascii="Calibri" w:hAnsi="Calibri" w:cs="Calibri"/>
            <w:noProof/>
          </w:rPr>
          <w:t>The State Aid Scheme and Performance-Based Financing</w:t>
        </w:r>
        <w:r>
          <w:rPr>
            <w:noProof/>
            <w:webHidden/>
          </w:rPr>
          <w:tab/>
        </w:r>
        <w:r>
          <w:rPr>
            <w:noProof/>
            <w:webHidden/>
          </w:rPr>
          <w:fldChar w:fldCharType="begin"/>
        </w:r>
        <w:r>
          <w:rPr>
            <w:noProof/>
            <w:webHidden/>
          </w:rPr>
          <w:instrText xml:space="preserve"> PAGEREF _Toc12467040 \h </w:instrText>
        </w:r>
        <w:r>
          <w:rPr>
            <w:noProof/>
            <w:webHidden/>
          </w:rPr>
        </w:r>
        <w:r>
          <w:rPr>
            <w:noProof/>
            <w:webHidden/>
          </w:rPr>
          <w:fldChar w:fldCharType="separate"/>
        </w:r>
        <w:r>
          <w:rPr>
            <w:noProof/>
            <w:webHidden/>
          </w:rPr>
          <w:t>18</w:t>
        </w:r>
        <w:r>
          <w:rPr>
            <w:noProof/>
            <w:webHidden/>
          </w:rPr>
          <w:fldChar w:fldCharType="end"/>
        </w:r>
      </w:hyperlink>
    </w:p>
    <w:p w14:paraId="1BC62E92" w14:textId="5C85CEF5" w:rsidR="008B7CDC" w:rsidRDefault="008B7CDC">
      <w:pPr>
        <w:pStyle w:val="TOC2"/>
        <w:tabs>
          <w:tab w:val="left" w:pos="1100"/>
          <w:tab w:val="right" w:leader="dot" w:pos="9350"/>
        </w:tabs>
        <w:rPr>
          <w:rFonts w:asciiTheme="minorHAnsi" w:eastAsiaTheme="minorEastAsia" w:hAnsiTheme="minorHAnsi"/>
          <w:noProof/>
          <w:sz w:val="22"/>
        </w:rPr>
      </w:pPr>
      <w:hyperlink w:anchor="_Toc12467042" w:history="1">
        <w:r w:rsidRPr="00385E86">
          <w:rPr>
            <w:rStyle w:val="Hyperlink"/>
            <w:rFonts w:cs="Calibri"/>
            <w:noProof/>
          </w:rPr>
          <w:t>C10.</w:t>
        </w:r>
        <w:r>
          <w:rPr>
            <w:rFonts w:asciiTheme="minorHAnsi" w:eastAsiaTheme="minorEastAsia" w:hAnsiTheme="minorHAnsi"/>
            <w:noProof/>
            <w:sz w:val="22"/>
          </w:rPr>
          <w:tab/>
        </w:r>
        <w:r w:rsidRPr="00385E86">
          <w:rPr>
            <w:rStyle w:val="Hyperlink"/>
            <w:rFonts w:ascii="Calibri" w:hAnsi="Calibri" w:cs="Calibri"/>
            <w:noProof/>
          </w:rPr>
          <w:t>Program Treasury Management and Funds Flow</w:t>
        </w:r>
        <w:r>
          <w:rPr>
            <w:noProof/>
            <w:webHidden/>
          </w:rPr>
          <w:tab/>
        </w:r>
        <w:r>
          <w:rPr>
            <w:noProof/>
            <w:webHidden/>
          </w:rPr>
          <w:fldChar w:fldCharType="begin"/>
        </w:r>
        <w:r>
          <w:rPr>
            <w:noProof/>
            <w:webHidden/>
          </w:rPr>
          <w:instrText xml:space="preserve"> PAGEREF _Toc12467042 \h </w:instrText>
        </w:r>
        <w:r>
          <w:rPr>
            <w:noProof/>
            <w:webHidden/>
          </w:rPr>
        </w:r>
        <w:r>
          <w:rPr>
            <w:noProof/>
            <w:webHidden/>
          </w:rPr>
          <w:fldChar w:fldCharType="separate"/>
        </w:r>
        <w:r>
          <w:rPr>
            <w:noProof/>
            <w:webHidden/>
          </w:rPr>
          <w:t>19</w:t>
        </w:r>
        <w:r>
          <w:rPr>
            <w:noProof/>
            <w:webHidden/>
          </w:rPr>
          <w:fldChar w:fldCharType="end"/>
        </w:r>
      </w:hyperlink>
    </w:p>
    <w:p w14:paraId="1CF555D5" w14:textId="293504F7" w:rsidR="008B7CDC" w:rsidRDefault="008B7CDC">
      <w:pPr>
        <w:pStyle w:val="TOC2"/>
        <w:tabs>
          <w:tab w:val="left" w:pos="1100"/>
          <w:tab w:val="right" w:leader="dot" w:pos="9350"/>
        </w:tabs>
        <w:rPr>
          <w:rFonts w:asciiTheme="minorHAnsi" w:eastAsiaTheme="minorEastAsia" w:hAnsiTheme="minorHAnsi"/>
          <w:noProof/>
          <w:sz w:val="22"/>
        </w:rPr>
      </w:pPr>
      <w:hyperlink w:anchor="_Toc12467043" w:history="1">
        <w:r w:rsidRPr="00385E86">
          <w:rPr>
            <w:rStyle w:val="Hyperlink"/>
            <w:rFonts w:cs="Calibri"/>
            <w:noProof/>
          </w:rPr>
          <w:t>C11.</w:t>
        </w:r>
        <w:r>
          <w:rPr>
            <w:rFonts w:asciiTheme="minorHAnsi" w:eastAsiaTheme="minorEastAsia" w:hAnsiTheme="minorHAnsi"/>
            <w:noProof/>
            <w:sz w:val="22"/>
          </w:rPr>
          <w:tab/>
        </w:r>
        <w:r w:rsidRPr="00385E86">
          <w:rPr>
            <w:rStyle w:val="Hyperlink"/>
            <w:rFonts w:ascii="Calibri" w:hAnsi="Calibri" w:cs="Calibri"/>
            <w:noProof/>
          </w:rPr>
          <w:t>Internal Controls and Internal Audit</w:t>
        </w:r>
        <w:r>
          <w:rPr>
            <w:noProof/>
            <w:webHidden/>
          </w:rPr>
          <w:tab/>
        </w:r>
        <w:r>
          <w:rPr>
            <w:noProof/>
            <w:webHidden/>
          </w:rPr>
          <w:fldChar w:fldCharType="begin"/>
        </w:r>
        <w:r>
          <w:rPr>
            <w:noProof/>
            <w:webHidden/>
          </w:rPr>
          <w:instrText xml:space="preserve"> PAGEREF _Toc12467043 \h </w:instrText>
        </w:r>
        <w:r>
          <w:rPr>
            <w:noProof/>
            <w:webHidden/>
          </w:rPr>
        </w:r>
        <w:r>
          <w:rPr>
            <w:noProof/>
            <w:webHidden/>
          </w:rPr>
          <w:fldChar w:fldCharType="separate"/>
        </w:r>
        <w:r>
          <w:rPr>
            <w:noProof/>
            <w:webHidden/>
          </w:rPr>
          <w:t>20</w:t>
        </w:r>
        <w:r>
          <w:rPr>
            <w:noProof/>
            <w:webHidden/>
          </w:rPr>
          <w:fldChar w:fldCharType="end"/>
        </w:r>
      </w:hyperlink>
    </w:p>
    <w:p w14:paraId="0AEA881A" w14:textId="6D659035" w:rsidR="008B7CDC" w:rsidRDefault="008B7CDC">
      <w:pPr>
        <w:pStyle w:val="TOC2"/>
        <w:tabs>
          <w:tab w:val="left" w:pos="1100"/>
          <w:tab w:val="right" w:leader="dot" w:pos="9350"/>
        </w:tabs>
        <w:rPr>
          <w:rFonts w:asciiTheme="minorHAnsi" w:eastAsiaTheme="minorEastAsia" w:hAnsiTheme="minorHAnsi"/>
          <w:noProof/>
          <w:sz w:val="22"/>
        </w:rPr>
      </w:pPr>
      <w:hyperlink w:anchor="_Toc12467044" w:history="1">
        <w:r w:rsidRPr="00385E86">
          <w:rPr>
            <w:rStyle w:val="Hyperlink"/>
            <w:rFonts w:cs="Calibri"/>
            <w:noProof/>
          </w:rPr>
          <w:t>C12.</w:t>
        </w:r>
        <w:r>
          <w:rPr>
            <w:rFonts w:asciiTheme="minorHAnsi" w:eastAsiaTheme="minorEastAsia" w:hAnsiTheme="minorHAnsi"/>
            <w:noProof/>
            <w:sz w:val="22"/>
          </w:rPr>
          <w:tab/>
        </w:r>
        <w:r w:rsidRPr="00385E86">
          <w:rPr>
            <w:rStyle w:val="Hyperlink"/>
            <w:rFonts w:ascii="Calibri" w:hAnsi="Calibri" w:cs="Calibri"/>
            <w:noProof/>
          </w:rPr>
          <w:t>Program Audit</w:t>
        </w:r>
        <w:r>
          <w:rPr>
            <w:noProof/>
            <w:webHidden/>
          </w:rPr>
          <w:tab/>
        </w:r>
        <w:r>
          <w:rPr>
            <w:noProof/>
            <w:webHidden/>
          </w:rPr>
          <w:fldChar w:fldCharType="begin"/>
        </w:r>
        <w:r>
          <w:rPr>
            <w:noProof/>
            <w:webHidden/>
          </w:rPr>
          <w:instrText xml:space="preserve"> PAGEREF _Toc12467044 \h </w:instrText>
        </w:r>
        <w:r>
          <w:rPr>
            <w:noProof/>
            <w:webHidden/>
          </w:rPr>
        </w:r>
        <w:r>
          <w:rPr>
            <w:noProof/>
            <w:webHidden/>
          </w:rPr>
          <w:fldChar w:fldCharType="separate"/>
        </w:r>
        <w:r>
          <w:rPr>
            <w:noProof/>
            <w:webHidden/>
          </w:rPr>
          <w:t>20</w:t>
        </w:r>
        <w:r>
          <w:rPr>
            <w:noProof/>
            <w:webHidden/>
          </w:rPr>
          <w:fldChar w:fldCharType="end"/>
        </w:r>
      </w:hyperlink>
    </w:p>
    <w:p w14:paraId="6273F801" w14:textId="22E82E2B" w:rsidR="008B7CDC" w:rsidRDefault="008B7CDC">
      <w:pPr>
        <w:pStyle w:val="TOC2"/>
        <w:tabs>
          <w:tab w:val="left" w:pos="1100"/>
          <w:tab w:val="right" w:leader="dot" w:pos="9350"/>
        </w:tabs>
        <w:rPr>
          <w:rFonts w:asciiTheme="minorHAnsi" w:eastAsiaTheme="minorEastAsia" w:hAnsiTheme="minorHAnsi"/>
          <w:noProof/>
          <w:sz w:val="22"/>
        </w:rPr>
      </w:pPr>
      <w:hyperlink w:anchor="_Toc12467045" w:history="1">
        <w:r w:rsidRPr="00385E86">
          <w:rPr>
            <w:rStyle w:val="Hyperlink"/>
            <w:rFonts w:cs="Calibri"/>
            <w:noProof/>
          </w:rPr>
          <w:t>C13.</w:t>
        </w:r>
        <w:r>
          <w:rPr>
            <w:rFonts w:asciiTheme="minorHAnsi" w:eastAsiaTheme="minorEastAsia" w:hAnsiTheme="minorHAnsi"/>
            <w:noProof/>
            <w:sz w:val="22"/>
          </w:rPr>
          <w:tab/>
        </w:r>
        <w:r w:rsidRPr="00385E86">
          <w:rPr>
            <w:rStyle w:val="Hyperlink"/>
            <w:rFonts w:ascii="Calibri" w:hAnsi="Calibri" w:cs="Calibri"/>
            <w:noProof/>
          </w:rPr>
          <w:t>Key Fiduciary Risks and Mitigating Measures</w:t>
        </w:r>
        <w:r>
          <w:rPr>
            <w:noProof/>
            <w:webHidden/>
          </w:rPr>
          <w:tab/>
        </w:r>
        <w:r>
          <w:rPr>
            <w:noProof/>
            <w:webHidden/>
          </w:rPr>
          <w:fldChar w:fldCharType="begin"/>
        </w:r>
        <w:r>
          <w:rPr>
            <w:noProof/>
            <w:webHidden/>
          </w:rPr>
          <w:instrText xml:space="preserve"> PAGEREF _Toc12467045 \h </w:instrText>
        </w:r>
        <w:r>
          <w:rPr>
            <w:noProof/>
            <w:webHidden/>
          </w:rPr>
        </w:r>
        <w:r>
          <w:rPr>
            <w:noProof/>
            <w:webHidden/>
          </w:rPr>
          <w:fldChar w:fldCharType="separate"/>
        </w:r>
        <w:r>
          <w:rPr>
            <w:noProof/>
            <w:webHidden/>
          </w:rPr>
          <w:t>22</w:t>
        </w:r>
        <w:r>
          <w:rPr>
            <w:noProof/>
            <w:webHidden/>
          </w:rPr>
          <w:fldChar w:fldCharType="end"/>
        </w:r>
      </w:hyperlink>
    </w:p>
    <w:p w14:paraId="15FE1ECD" w14:textId="502026F6" w:rsidR="008B7CDC" w:rsidRDefault="008B7CDC">
      <w:pPr>
        <w:pStyle w:val="TOC1"/>
        <w:rPr>
          <w:rFonts w:asciiTheme="minorHAnsi" w:eastAsiaTheme="minorEastAsia" w:hAnsiTheme="minorHAnsi"/>
          <w:b w:val="0"/>
          <w:smallCaps w:val="0"/>
          <w:noProof/>
          <w:sz w:val="22"/>
        </w:rPr>
      </w:pPr>
      <w:hyperlink w:anchor="_Toc12467046" w:history="1">
        <w:r w:rsidRPr="00385E86">
          <w:rPr>
            <w:rStyle w:val="Hyperlink"/>
            <w:rFonts w:cstheme="minorHAnsi"/>
            <w:noProof/>
          </w:rPr>
          <w:t>D.</w:t>
        </w:r>
        <w:r>
          <w:rPr>
            <w:rFonts w:asciiTheme="minorHAnsi" w:eastAsiaTheme="minorEastAsia" w:hAnsiTheme="minorHAnsi"/>
            <w:b w:val="0"/>
            <w:smallCaps w:val="0"/>
            <w:noProof/>
            <w:sz w:val="22"/>
          </w:rPr>
          <w:tab/>
        </w:r>
        <w:r w:rsidRPr="00385E86">
          <w:rPr>
            <w:rStyle w:val="Hyperlink"/>
            <w:rFonts w:cstheme="minorHAnsi"/>
            <w:noProof/>
          </w:rPr>
          <w:t>Governance and Anticorruption</w:t>
        </w:r>
        <w:r>
          <w:rPr>
            <w:noProof/>
            <w:webHidden/>
          </w:rPr>
          <w:tab/>
        </w:r>
        <w:r>
          <w:rPr>
            <w:noProof/>
            <w:webHidden/>
          </w:rPr>
          <w:fldChar w:fldCharType="begin"/>
        </w:r>
        <w:r>
          <w:rPr>
            <w:noProof/>
            <w:webHidden/>
          </w:rPr>
          <w:instrText xml:space="preserve"> PAGEREF _Toc12467046 \h </w:instrText>
        </w:r>
        <w:r>
          <w:rPr>
            <w:noProof/>
            <w:webHidden/>
          </w:rPr>
        </w:r>
        <w:r>
          <w:rPr>
            <w:noProof/>
            <w:webHidden/>
          </w:rPr>
          <w:fldChar w:fldCharType="separate"/>
        </w:r>
        <w:r>
          <w:rPr>
            <w:noProof/>
            <w:webHidden/>
          </w:rPr>
          <w:t>25</w:t>
        </w:r>
        <w:r>
          <w:rPr>
            <w:noProof/>
            <w:webHidden/>
          </w:rPr>
          <w:fldChar w:fldCharType="end"/>
        </w:r>
      </w:hyperlink>
    </w:p>
    <w:p w14:paraId="50F0492E" w14:textId="0A0FC793" w:rsidR="008B7CDC" w:rsidRDefault="008B7CDC">
      <w:pPr>
        <w:pStyle w:val="TOC2"/>
        <w:tabs>
          <w:tab w:val="left" w:pos="880"/>
          <w:tab w:val="right" w:leader="dot" w:pos="9350"/>
        </w:tabs>
        <w:rPr>
          <w:rFonts w:asciiTheme="minorHAnsi" w:eastAsiaTheme="minorEastAsia" w:hAnsiTheme="minorHAnsi"/>
          <w:noProof/>
          <w:sz w:val="22"/>
        </w:rPr>
      </w:pPr>
      <w:hyperlink w:anchor="_Toc12467047" w:history="1">
        <w:r w:rsidRPr="00385E86">
          <w:rPr>
            <w:rStyle w:val="Hyperlink"/>
            <w:rFonts w:cs="Calibri"/>
            <w:noProof/>
          </w:rPr>
          <w:t>C1.</w:t>
        </w:r>
        <w:r>
          <w:rPr>
            <w:rFonts w:asciiTheme="minorHAnsi" w:eastAsiaTheme="minorEastAsia" w:hAnsiTheme="minorHAnsi"/>
            <w:noProof/>
            <w:sz w:val="22"/>
          </w:rPr>
          <w:tab/>
        </w:r>
        <w:r w:rsidRPr="00385E86">
          <w:rPr>
            <w:rStyle w:val="Hyperlink"/>
            <w:rFonts w:ascii="Calibri" w:hAnsi="Calibri" w:cs="Calibri"/>
            <w:noProof/>
          </w:rPr>
          <w:t>Institutional Arrangements</w:t>
        </w:r>
        <w:r>
          <w:rPr>
            <w:noProof/>
            <w:webHidden/>
          </w:rPr>
          <w:tab/>
        </w:r>
        <w:r>
          <w:rPr>
            <w:noProof/>
            <w:webHidden/>
          </w:rPr>
          <w:fldChar w:fldCharType="begin"/>
        </w:r>
        <w:r>
          <w:rPr>
            <w:noProof/>
            <w:webHidden/>
          </w:rPr>
          <w:instrText xml:space="preserve"> PAGEREF _Toc12467047 \h </w:instrText>
        </w:r>
        <w:r>
          <w:rPr>
            <w:noProof/>
            <w:webHidden/>
          </w:rPr>
        </w:r>
        <w:r>
          <w:rPr>
            <w:noProof/>
            <w:webHidden/>
          </w:rPr>
          <w:fldChar w:fldCharType="separate"/>
        </w:r>
        <w:r>
          <w:rPr>
            <w:noProof/>
            <w:webHidden/>
          </w:rPr>
          <w:t>25</w:t>
        </w:r>
        <w:r>
          <w:rPr>
            <w:noProof/>
            <w:webHidden/>
          </w:rPr>
          <w:fldChar w:fldCharType="end"/>
        </w:r>
      </w:hyperlink>
    </w:p>
    <w:p w14:paraId="2D345815" w14:textId="4D103534" w:rsidR="008B7CDC" w:rsidRDefault="008B7CDC">
      <w:pPr>
        <w:pStyle w:val="TOC2"/>
        <w:tabs>
          <w:tab w:val="left" w:pos="880"/>
          <w:tab w:val="right" w:leader="dot" w:pos="9350"/>
        </w:tabs>
        <w:rPr>
          <w:rFonts w:asciiTheme="minorHAnsi" w:eastAsiaTheme="minorEastAsia" w:hAnsiTheme="minorHAnsi"/>
          <w:noProof/>
          <w:sz w:val="22"/>
        </w:rPr>
      </w:pPr>
      <w:hyperlink w:anchor="_Toc12467048" w:history="1">
        <w:r w:rsidRPr="00385E86">
          <w:rPr>
            <w:rStyle w:val="Hyperlink"/>
            <w:rFonts w:cstheme="minorHAnsi"/>
            <w:noProof/>
          </w:rPr>
          <w:t>C2.</w:t>
        </w:r>
        <w:r>
          <w:rPr>
            <w:rFonts w:asciiTheme="minorHAnsi" w:eastAsiaTheme="minorEastAsia" w:hAnsiTheme="minorHAnsi"/>
            <w:noProof/>
            <w:sz w:val="22"/>
          </w:rPr>
          <w:tab/>
        </w:r>
        <w:r w:rsidRPr="00385E86">
          <w:rPr>
            <w:rStyle w:val="Hyperlink"/>
            <w:rFonts w:ascii="Calibri" w:hAnsi="Calibri" w:cs="Calibri"/>
            <w:noProof/>
          </w:rPr>
          <w:t>Capacity to Handle Risks of Fraud and Corruption</w:t>
        </w:r>
        <w:r>
          <w:rPr>
            <w:noProof/>
            <w:webHidden/>
          </w:rPr>
          <w:tab/>
        </w:r>
        <w:r>
          <w:rPr>
            <w:noProof/>
            <w:webHidden/>
          </w:rPr>
          <w:fldChar w:fldCharType="begin"/>
        </w:r>
        <w:r>
          <w:rPr>
            <w:noProof/>
            <w:webHidden/>
          </w:rPr>
          <w:instrText xml:space="preserve"> PAGEREF _Toc12467048 \h </w:instrText>
        </w:r>
        <w:r>
          <w:rPr>
            <w:noProof/>
            <w:webHidden/>
          </w:rPr>
        </w:r>
        <w:r>
          <w:rPr>
            <w:noProof/>
            <w:webHidden/>
          </w:rPr>
          <w:fldChar w:fldCharType="separate"/>
        </w:r>
        <w:r>
          <w:rPr>
            <w:noProof/>
            <w:webHidden/>
          </w:rPr>
          <w:t>25</w:t>
        </w:r>
        <w:r>
          <w:rPr>
            <w:noProof/>
            <w:webHidden/>
          </w:rPr>
          <w:fldChar w:fldCharType="end"/>
        </w:r>
      </w:hyperlink>
    </w:p>
    <w:p w14:paraId="4C23E675" w14:textId="052CBC0C" w:rsidR="008B7CDC" w:rsidRDefault="008B7CDC">
      <w:pPr>
        <w:pStyle w:val="TOC2"/>
        <w:tabs>
          <w:tab w:val="left" w:pos="880"/>
          <w:tab w:val="right" w:leader="dot" w:pos="9350"/>
        </w:tabs>
        <w:rPr>
          <w:rFonts w:asciiTheme="minorHAnsi" w:eastAsiaTheme="minorEastAsia" w:hAnsiTheme="minorHAnsi"/>
          <w:noProof/>
          <w:sz w:val="22"/>
        </w:rPr>
      </w:pPr>
      <w:hyperlink w:anchor="_Toc12467049" w:history="1">
        <w:r w:rsidRPr="00385E86">
          <w:rPr>
            <w:rStyle w:val="Hyperlink"/>
            <w:rFonts w:cs="Calibri"/>
            <w:noProof/>
          </w:rPr>
          <w:t>C3.</w:t>
        </w:r>
        <w:r>
          <w:rPr>
            <w:rFonts w:asciiTheme="minorHAnsi" w:eastAsiaTheme="minorEastAsia" w:hAnsiTheme="minorHAnsi"/>
            <w:noProof/>
            <w:sz w:val="22"/>
          </w:rPr>
          <w:tab/>
        </w:r>
        <w:r w:rsidRPr="00385E86">
          <w:rPr>
            <w:rStyle w:val="Hyperlink"/>
            <w:rFonts w:ascii="Calibri" w:hAnsi="Calibri" w:cs="Calibri"/>
            <w:noProof/>
          </w:rPr>
          <w:t>Transparency, integrity and accountability in selection of the Program’s activities</w:t>
        </w:r>
        <w:r>
          <w:rPr>
            <w:noProof/>
            <w:webHidden/>
          </w:rPr>
          <w:tab/>
        </w:r>
        <w:r>
          <w:rPr>
            <w:noProof/>
            <w:webHidden/>
          </w:rPr>
          <w:fldChar w:fldCharType="begin"/>
        </w:r>
        <w:r>
          <w:rPr>
            <w:noProof/>
            <w:webHidden/>
          </w:rPr>
          <w:instrText xml:space="preserve"> PAGEREF _Toc12467049 \h </w:instrText>
        </w:r>
        <w:r>
          <w:rPr>
            <w:noProof/>
            <w:webHidden/>
          </w:rPr>
        </w:r>
        <w:r>
          <w:rPr>
            <w:noProof/>
            <w:webHidden/>
          </w:rPr>
          <w:fldChar w:fldCharType="separate"/>
        </w:r>
        <w:r>
          <w:rPr>
            <w:noProof/>
            <w:webHidden/>
          </w:rPr>
          <w:t>27</w:t>
        </w:r>
        <w:r>
          <w:rPr>
            <w:noProof/>
            <w:webHidden/>
          </w:rPr>
          <w:fldChar w:fldCharType="end"/>
        </w:r>
      </w:hyperlink>
    </w:p>
    <w:p w14:paraId="184D05A0" w14:textId="1E6B030D" w:rsidR="008B7CDC" w:rsidRDefault="008B7CDC">
      <w:pPr>
        <w:pStyle w:val="TOC2"/>
        <w:tabs>
          <w:tab w:val="left" w:pos="880"/>
          <w:tab w:val="right" w:leader="dot" w:pos="9350"/>
        </w:tabs>
        <w:rPr>
          <w:rFonts w:asciiTheme="minorHAnsi" w:eastAsiaTheme="minorEastAsia" w:hAnsiTheme="minorHAnsi"/>
          <w:noProof/>
          <w:sz w:val="22"/>
        </w:rPr>
      </w:pPr>
      <w:hyperlink w:anchor="_Toc12467050" w:history="1">
        <w:r w:rsidRPr="00385E86">
          <w:rPr>
            <w:rStyle w:val="Hyperlink"/>
            <w:rFonts w:cs="Calibri"/>
            <w:noProof/>
          </w:rPr>
          <w:t>C4.</w:t>
        </w:r>
        <w:r>
          <w:rPr>
            <w:rFonts w:asciiTheme="minorHAnsi" w:eastAsiaTheme="minorEastAsia" w:hAnsiTheme="minorHAnsi"/>
            <w:noProof/>
            <w:sz w:val="22"/>
          </w:rPr>
          <w:tab/>
        </w:r>
        <w:r w:rsidRPr="00385E86">
          <w:rPr>
            <w:rStyle w:val="Hyperlink"/>
            <w:rFonts w:ascii="Calibri" w:hAnsi="Calibri" w:cs="Calibri"/>
            <w:noProof/>
          </w:rPr>
          <w:t>Integrity issues within the health sector</w:t>
        </w:r>
        <w:r>
          <w:rPr>
            <w:noProof/>
            <w:webHidden/>
          </w:rPr>
          <w:tab/>
        </w:r>
        <w:r>
          <w:rPr>
            <w:noProof/>
            <w:webHidden/>
          </w:rPr>
          <w:fldChar w:fldCharType="begin"/>
        </w:r>
        <w:r>
          <w:rPr>
            <w:noProof/>
            <w:webHidden/>
          </w:rPr>
          <w:instrText xml:space="preserve"> PAGEREF _Toc12467050 \h </w:instrText>
        </w:r>
        <w:r>
          <w:rPr>
            <w:noProof/>
            <w:webHidden/>
          </w:rPr>
        </w:r>
        <w:r>
          <w:rPr>
            <w:noProof/>
            <w:webHidden/>
          </w:rPr>
          <w:fldChar w:fldCharType="separate"/>
        </w:r>
        <w:r>
          <w:rPr>
            <w:noProof/>
            <w:webHidden/>
          </w:rPr>
          <w:t>27</w:t>
        </w:r>
        <w:r>
          <w:rPr>
            <w:noProof/>
            <w:webHidden/>
          </w:rPr>
          <w:fldChar w:fldCharType="end"/>
        </w:r>
      </w:hyperlink>
    </w:p>
    <w:p w14:paraId="5DDD8CE9" w14:textId="47C76F78" w:rsidR="008B7CDC" w:rsidRDefault="008B7CDC">
      <w:pPr>
        <w:pStyle w:val="TOC1"/>
        <w:rPr>
          <w:rFonts w:asciiTheme="minorHAnsi" w:eastAsiaTheme="minorEastAsia" w:hAnsiTheme="minorHAnsi"/>
          <w:b w:val="0"/>
          <w:smallCaps w:val="0"/>
          <w:noProof/>
          <w:sz w:val="22"/>
        </w:rPr>
      </w:pPr>
      <w:hyperlink w:anchor="_Toc12467051" w:history="1">
        <w:r w:rsidRPr="00385E86">
          <w:rPr>
            <w:rStyle w:val="Hyperlink"/>
            <w:rFonts w:cstheme="minorHAnsi"/>
            <w:noProof/>
          </w:rPr>
          <w:t>E.</w:t>
        </w:r>
        <w:r>
          <w:rPr>
            <w:rFonts w:asciiTheme="minorHAnsi" w:eastAsiaTheme="minorEastAsia" w:hAnsiTheme="minorHAnsi"/>
            <w:b w:val="0"/>
            <w:smallCaps w:val="0"/>
            <w:noProof/>
            <w:sz w:val="22"/>
          </w:rPr>
          <w:tab/>
        </w:r>
        <w:r w:rsidRPr="00385E86">
          <w:rPr>
            <w:rStyle w:val="Hyperlink"/>
            <w:rFonts w:cstheme="minorHAnsi"/>
            <w:noProof/>
          </w:rPr>
          <w:t>Implementation Support Plan</w:t>
        </w:r>
        <w:r>
          <w:rPr>
            <w:noProof/>
            <w:webHidden/>
          </w:rPr>
          <w:tab/>
        </w:r>
        <w:r>
          <w:rPr>
            <w:noProof/>
            <w:webHidden/>
          </w:rPr>
          <w:fldChar w:fldCharType="begin"/>
        </w:r>
        <w:r>
          <w:rPr>
            <w:noProof/>
            <w:webHidden/>
          </w:rPr>
          <w:instrText xml:space="preserve"> PAGEREF _Toc12467051 \h </w:instrText>
        </w:r>
        <w:r>
          <w:rPr>
            <w:noProof/>
            <w:webHidden/>
          </w:rPr>
        </w:r>
        <w:r>
          <w:rPr>
            <w:noProof/>
            <w:webHidden/>
          </w:rPr>
          <w:fldChar w:fldCharType="separate"/>
        </w:r>
        <w:r>
          <w:rPr>
            <w:noProof/>
            <w:webHidden/>
          </w:rPr>
          <w:t>28</w:t>
        </w:r>
        <w:r>
          <w:rPr>
            <w:noProof/>
            <w:webHidden/>
          </w:rPr>
          <w:fldChar w:fldCharType="end"/>
        </w:r>
      </w:hyperlink>
    </w:p>
    <w:p w14:paraId="360112C0" w14:textId="65937A7A" w:rsidR="009B267F" w:rsidRPr="007A1178" w:rsidRDefault="00A62F65">
      <w:pPr>
        <w:rPr>
          <w:rFonts w:cs="Times New Roman"/>
        </w:rPr>
        <w:sectPr w:rsidR="009B267F" w:rsidRPr="007A1178" w:rsidSect="00D15A89">
          <w:headerReference w:type="even" r:id="rId14"/>
          <w:headerReference w:type="default" r:id="rId15"/>
          <w:footerReference w:type="default" r:id="rId16"/>
          <w:headerReference w:type="first" r:id="rId17"/>
          <w:pgSz w:w="12240" w:h="15840"/>
          <w:pgMar w:top="1440" w:right="1440" w:bottom="1440" w:left="1440" w:header="720" w:footer="720" w:gutter="0"/>
          <w:pgNumType w:fmt="lowerRoman" w:start="1"/>
          <w:cols w:space="720"/>
          <w:docGrid w:linePitch="360"/>
        </w:sectPr>
      </w:pPr>
      <w:r>
        <w:rPr>
          <w:rFonts w:cs="Times New Roman"/>
        </w:rPr>
        <w:fldChar w:fldCharType="end"/>
      </w:r>
    </w:p>
    <w:p w14:paraId="360112C1" w14:textId="77777777" w:rsidR="00AD5EDB" w:rsidRPr="00C62310" w:rsidRDefault="009B267F" w:rsidP="008F726F">
      <w:pPr>
        <w:pStyle w:val="PforRStyle1"/>
        <w:rPr>
          <w:rFonts w:ascii="Calibri" w:hAnsi="Calibri" w:cs="Calibri"/>
        </w:rPr>
      </w:pPr>
      <w:bookmarkStart w:id="1" w:name="_Toc12467024"/>
      <w:r w:rsidRPr="00C62310">
        <w:rPr>
          <w:rFonts w:ascii="Calibri" w:hAnsi="Calibri" w:cs="Calibri"/>
        </w:rPr>
        <w:lastRenderedPageBreak/>
        <w:t>Executive Summary</w:t>
      </w:r>
      <w:bookmarkEnd w:id="1"/>
    </w:p>
    <w:p w14:paraId="360112C2" w14:textId="5B32F502" w:rsidR="00367AA5" w:rsidRPr="006C054E" w:rsidRDefault="00367AA5">
      <w:pPr>
        <w:jc w:val="both"/>
        <w:rPr>
          <w:rFonts w:ascii="Calibri" w:hAnsi="Calibri" w:cs="Calibri"/>
          <w:sz w:val="22"/>
          <w:lang w:val="en-GB"/>
        </w:rPr>
      </w:pPr>
      <w:r w:rsidRPr="2F5A3734">
        <w:rPr>
          <w:rFonts w:ascii="Calibri" w:hAnsi="Calibri" w:cs="Calibri"/>
          <w:sz w:val="22"/>
          <w:lang w:val="en-GB"/>
        </w:rPr>
        <w:t xml:space="preserve">A Fiduciary System Assessment (FSA) was carried out in accordance with </w:t>
      </w:r>
      <w:r w:rsidR="001303AC" w:rsidRPr="2F5A3734">
        <w:rPr>
          <w:rFonts w:ascii="Calibri" w:hAnsi="Calibri" w:cs="Calibri"/>
          <w:sz w:val="22"/>
          <w:lang w:val="en-GB"/>
        </w:rPr>
        <w:t>the Bank Policy and Directive on Program-for-Results Financing. It</w:t>
      </w:r>
      <w:r w:rsidRPr="2F5A3734">
        <w:rPr>
          <w:rFonts w:ascii="Calibri" w:hAnsi="Calibri" w:cs="Calibri"/>
          <w:sz w:val="22"/>
          <w:lang w:val="en-GB"/>
        </w:rPr>
        <w:t xml:space="preserve"> evaluated the fiduciary systems pertaining to the </w:t>
      </w:r>
      <w:r w:rsidR="00182141" w:rsidRPr="2F5A3734">
        <w:rPr>
          <w:rFonts w:ascii="Calibri" w:hAnsi="Calibri" w:cs="Calibri"/>
          <w:sz w:val="22"/>
          <w:lang w:val="en-GB"/>
        </w:rPr>
        <w:t xml:space="preserve">Romania </w:t>
      </w:r>
      <w:r w:rsidRPr="2F5A3734">
        <w:rPr>
          <w:rFonts w:ascii="Calibri" w:hAnsi="Calibri" w:cs="Calibri"/>
          <w:sz w:val="22"/>
          <w:lang w:val="en-GB"/>
        </w:rPr>
        <w:t>Health</w:t>
      </w:r>
      <w:r w:rsidR="00535C31" w:rsidRPr="2F5A3734">
        <w:rPr>
          <w:rFonts w:ascii="Calibri" w:hAnsi="Calibri" w:cs="Calibri"/>
          <w:sz w:val="22"/>
          <w:lang w:val="en-GB"/>
        </w:rPr>
        <w:t xml:space="preserve"> </w:t>
      </w:r>
      <w:r w:rsidR="001303AC" w:rsidRPr="2F5A3734">
        <w:rPr>
          <w:rFonts w:ascii="Calibri" w:hAnsi="Calibri" w:cs="Calibri"/>
          <w:sz w:val="22"/>
          <w:lang w:val="en-GB"/>
        </w:rPr>
        <w:t>Program-for-</w:t>
      </w:r>
      <w:r w:rsidRPr="2F5A3734">
        <w:rPr>
          <w:rFonts w:ascii="Calibri" w:hAnsi="Calibri" w:cs="Calibri"/>
          <w:sz w:val="22"/>
          <w:lang w:val="en-GB"/>
        </w:rPr>
        <w:t>Results</w:t>
      </w:r>
      <w:r w:rsidR="001303AC" w:rsidRPr="2F5A3734">
        <w:rPr>
          <w:rFonts w:ascii="Calibri" w:hAnsi="Calibri" w:cs="Calibri"/>
          <w:sz w:val="22"/>
          <w:lang w:val="en-GB"/>
        </w:rPr>
        <w:t xml:space="preserve"> (PforR) Program</w:t>
      </w:r>
      <w:r w:rsidRPr="2F5A3734">
        <w:rPr>
          <w:rFonts w:ascii="Calibri" w:hAnsi="Calibri" w:cs="Calibri"/>
          <w:sz w:val="22"/>
          <w:lang w:val="en-GB"/>
        </w:rPr>
        <w:t xml:space="preserve">. The integrated fiduciary assessment comprised assessment of the fiduciary </w:t>
      </w:r>
      <w:r w:rsidR="001303AC" w:rsidRPr="2F5A3734">
        <w:rPr>
          <w:rFonts w:ascii="Calibri" w:hAnsi="Calibri" w:cs="Calibri"/>
          <w:sz w:val="22"/>
          <w:lang w:val="en-GB"/>
        </w:rPr>
        <w:t xml:space="preserve">arrangements, performance and </w:t>
      </w:r>
      <w:r w:rsidRPr="2F5A3734">
        <w:rPr>
          <w:rFonts w:ascii="Calibri" w:hAnsi="Calibri" w:cs="Calibri"/>
          <w:sz w:val="22"/>
          <w:lang w:val="en-GB"/>
        </w:rPr>
        <w:t>risks relating to the Program’s procurement; financial management; and governance</w:t>
      </w:r>
      <w:r w:rsidR="001303AC" w:rsidRPr="2F5A3734">
        <w:rPr>
          <w:rFonts w:ascii="Calibri" w:hAnsi="Calibri" w:cs="Calibri"/>
          <w:sz w:val="22"/>
          <w:lang w:val="en-GB"/>
        </w:rPr>
        <w:t xml:space="preserve"> and anticorruption activities</w:t>
      </w:r>
      <w:r w:rsidRPr="2F5A3734">
        <w:rPr>
          <w:rFonts w:ascii="Calibri" w:hAnsi="Calibri" w:cs="Calibri"/>
          <w:sz w:val="22"/>
          <w:lang w:val="en-GB"/>
        </w:rPr>
        <w:t xml:space="preserve">. The objective of the assessment was to provide reference that could be used to monitor fiduciary system performance during the implementation of the </w:t>
      </w:r>
      <w:r w:rsidR="001434DC" w:rsidRPr="2F5A3734">
        <w:rPr>
          <w:rFonts w:ascii="Calibri" w:hAnsi="Calibri" w:cs="Calibri"/>
          <w:sz w:val="22"/>
          <w:lang w:val="en-GB"/>
        </w:rPr>
        <w:t>Program</w:t>
      </w:r>
      <w:r w:rsidRPr="2F5A3734">
        <w:rPr>
          <w:rFonts w:ascii="Calibri" w:hAnsi="Calibri" w:cs="Calibri"/>
          <w:sz w:val="22"/>
          <w:lang w:val="en-GB"/>
        </w:rPr>
        <w:t xml:space="preserve">, as well as to identify actions, as relevant, to enhance the performance of the systems. </w:t>
      </w:r>
      <w:r w:rsidR="00F72E65" w:rsidRPr="2F5A3734">
        <w:rPr>
          <w:rFonts w:ascii="Calibri" w:hAnsi="Calibri" w:cs="Calibri"/>
          <w:sz w:val="22"/>
          <w:lang w:val="en-GB"/>
        </w:rPr>
        <w:t xml:space="preserve">An evaluation of findings </w:t>
      </w:r>
      <w:r w:rsidRPr="2F5A3734">
        <w:rPr>
          <w:rFonts w:ascii="Calibri" w:hAnsi="Calibri" w:cs="Calibri"/>
          <w:sz w:val="22"/>
          <w:lang w:val="en-GB"/>
        </w:rPr>
        <w:t xml:space="preserve">from the assessment, </w:t>
      </w:r>
      <w:r w:rsidR="00F72E65" w:rsidRPr="2F5A3734">
        <w:rPr>
          <w:rFonts w:ascii="Calibri" w:hAnsi="Calibri" w:cs="Calibri"/>
          <w:sz w:val="22"/>
          <w:lang w:val="en-GB"/>
        </w:rPr>
        <w:t>including</w:t>
      </w:r>
      <w:r w:rsidRPr="2F5A3734">
        <w:rPr>
          <w:rFonts w:ascii="Calibri" w:hAnsi="Calibri" w:cs="Calibri"/>
          <w:sz w:val="22"/>
          <w:lang w:val="en-GB"/>
        </w:rPr>
        <w:t xml:space="preserve"> a review of existing analytical and diagnostic work, conclude</w:t>
      </w:r>
      <w:r w:rsidR="00F72E65" w:rsidRPr="2F5A3734">
        <w:rPr>
          <w:rFonts w:ascii="Calibri" w:hAnsi="Calibri" w:cs="Calibri"/>
          <w:sz w:val="22"/>
          <w:lang w:val="en-GB"/>
        </w:rPr>
        <w:t>s</w:t>
      </w:r>
      <w:r w:rsidRPr="2F5A3734">
        <w:rPr>
          <w:rFonts w:ascii="Calibri" w:hAnsi="Calibri" w:cs="Calibri"/>
          <w:sz w:val="22"/>
          <w:lang w:val="en-GB"/>
        </w:rPr>
        <w:t xml:space="preserve"> that the overall fiduciary and governance framework is adequate to support the implementation of </w:t>
      </w:r>
      <w:r w:rsidR="00535C31" w:rsidRPr="2F5A3734">
        <w:rPr>
          <w:rFonts w:ascii="Calibri" w:hAnsi="Calibri" w:cs="Calibri"/>
          <w:sz w:val="22"/>
          <w:lang w:val="en-GB"/>
        </w:rPr>
        <w:t>Romania</w:t>
      </w:r>
      <w:r w:rsidRPr="2F5A3734">
        <w:rPr>
          <w:rFonts w:ascii="Calibri" w:hAnsi="Calibri" w:cs="Calibri"/>
          <w:sz w:val="22"/>
          <w:lang w:val="en-GB"/>
        </w:rPr>
        <w:t xml:space="preserve">’s Health </w:t>
      </w:r>
      <w:r w:rsidR="00A04735" w:rsidRPr="2F5A3734">
        <w:rPr>
          <w:rFonts w:ascii="Calibri" w:hAnsi="Calibri" w:cs="Calibri"/>
          <w:sz w:val="22"/>
          <w:lang w:val="en-GB"/>
        </w:rPr>
        <w:t>PforR</w:t>
      </w:r>
      <w:r w:rsidR="00F72E65" w:rsidRPr="2F5A3734">
        <w:rPr>
          <w:rFonts w:ascii="Calibri" w:hAnsi="Calibri" w:cs="Calibri"/>
          <w:sz w:val="22"/>
          <w:lang w:val="en-GB"/>
        </w:rPr>
        <w:t xml:space="preserve">, subject to addressing </w:t>
      </w:r>
      <w:r w:rsidRPr="2F5A3734">
        <w:rPr>
          <w:rFonts w:ascii="Calibri" w:hAnsi="Calibri" w:cs="Calibri"/>
          <w:sz w:val="22"/>
          <w:lang w:val="en-GB"/>
        </w:rPr>
        <w:t xml:space="preserve">the key risks </w:t>
      </w:r>
      <w:r w:rsidR="00F72E65" w:rsidRPr="2F5A3734">
        <w:rPr>
          <w:rFonts w:ascii="Calibri" w:hAnsi="Calibri" w:cs="Calibri"/>
          <w:sz w:val="22"/>
          <w:lang w:val="en-GB"/>
        </w:rPr>
        <w:t>through</w:t>
      </w:r>
      <w:r w:rsidRPr="2F5A3734">
        <w:rPr>
          <w:rFonts w:ascii="Calibri" w:hAnsi="Calibri" w:cs="Calibri"/>
          <w:sz w:val="22"/>
          <w:lang w:val="en-GB"/>
        </w:rPr>
        <w:t xml:space="preserve"> </w:t>
      </w:r>
      <w:r w:rsidR="00F72E65" w:rsidRPr="2F5A3734">
        <w:rPr>
          <w:rFonts w:ascii="Calibri" w:hAnsi="Calibri" w:cs="Calibri"/>
          <w:sz w:val="22"/>
          <w:lang w:val="en-GB"/>
        </w:rPr>
        <w:t xml:space="preserve">proposed </w:t>
      </w:r>
      <w:r w:rsidRPr="2F5A3734">
        <w:rPr>
          <w:rFonts w:ascii="Calibri" w:hAnsi="Calibri" w:cs="Calibri"/>
          <w:sz w:val="22"/>
          <w:lang w:val="en-GB"/>
        </w:rPr>
        <w:t xml:space="preserve">mitigation actions </w:t>
      </w:r>
      <w:r w:rsidR="00F72E65" w:rsidRPr="2F5A3734">
        <w:rPr>
          <w:rFonts w:ascii="Calibri" w:hAnsi="Calibri" w:cs="Calibri"/>
          <w:sz w:val="22"/>
          <w:lang w:val="en-GB"/>
        </w:rPr>
        <w:t>included in the Program Action Plan (PAP)</w:t>
      </w:r>
      <w:r w:rsidRPr="2F5A3734">
        <w:rPr>
          <w:rFonts w:ascii="Calibri" w:hAnsi="Calibri" w:cs="Calibri"/>
          <w:sz w:val="22"/>
          <w:lang w:val="en-GB"/>
        </w:rPr>
        <w:t>.</w:t>
      </w:r>
    </w:p>
    <w:p w14:paraId="360112C3" w14:textId="77777777" w:rsidR="00367AA5" w:rsidRPr="00C62310" w:rsidRDefault="00367AA5" w:rsidP="00367AA5">
      <w:pPr>
        <w:pStyle w:val="ListParagraph"/>
        <w:spacing w:after="0" w:line="240" w:lineRule="auto"/>
        <w:ind w:left="0"/>
        <w:jc w:val="both"/>
        <w:rPr>
          <w:rFonts w:ascii="Calibri" w:hAnsi="Calibri" w:cs="Calibri"/>
          <w:lang w:val="en-GB"/>
        </w:rPr>
      </w:pPr>
    </w:p>
    <w:p w14:paraId="71EAD388" w14:textId="68708BD6" w:rsidR="00035381" w:rsidRPr="006C054E" w:rsidRDefault="001202A8">
      <w:pPr>
        <w:ind w:left="90"/>
        <w:jc w:val="both"/>
        <w:rPr>
          <w:rFonts w:ascii="Calibri" w:hAnsi="Calibri" w:cs="Calibri"/>
          <w:sz w:val="22"/>
        </w:rPr>
      </w:pPr>
      <w:r w:rsidRPr="00A74A8F">
        <w:rPr>
          <w:rFonts w:ascii="Calibri" w:hAnsi="Calibri" w:cs="Calibri"/>
          <w:b/>
          <w:bCs/>
          <w:sz w:val="22"/>
        </w:rPr>
        <w:t xml:space="preserve">The Program’s financial management </w:t>
      </w:r>
      <w:r w:rsidR="2F5A3734" w:rsidRPr="00A74A8F">
        <w:rPr>
          <w:rFonts w:ascii="Calibri" w:hAnsi="Calibri" w:cs="Calibri"/>
          <w:b/>
          <w:bCs/>
          <w:sz w:val="22"/>
        </w:rPr>
        <w:t xml:space="preserve">(FM) </w:t>
      </w:r>
      <w:r w:rsidRPr="00A74A8F">
        <w:rPr>
          <w:rFonts w:ascii="Calibri" w:hAnsi="Calibri" w:cs="Calibri"/>
          <w:b/>
          <w:bCs/>
          <w:sz w:val="22"/>
        </w:rPr>
        <w:t>and procurement systems and institutions provide reasonable assurance that the financing under the Program is used for intended purposes, with due regard to the principles of economy, efficiency, effectiveness, transparency and accountability</w:t>
      </w:r>
      <w:r w:rsidRPr="7A927A01">
        <w:rPr>
          <w:rFonts w:ascii="Calibri" w:hAnsi="Calibri" w:cs="Calibri"/>
          <w:sz w:val="22"/>
        </w:rPr>
        <w:t xml:space="preserve">.  </w:t>
      </w:r>
      <w:r w:rsidR="00035381" w:rsidRPr="00A74A8F">
        <w:rPr>
          <w:rFonts w:ascii="Calibri" w:hAnsi="Calibri" w:cs="Calibri"/>
          <w:sz w:val="22"/>
        </w:rPr>
        <w:t xml:space="preserve">The FSA aimed to review the capacity of the implementing agencies on their ability to (a) record, control, and manage all Program resources and produce timely, understandable, relevant and reliable information for the Borrower and the World Bank; (b) </w:t>
      </w:r>
      <w:r w:rsidR="7A927A01" w:rsidRPr="006C054E">
        <w:rPr>
          <w:rFonts w:ascii="Calibri" w:eastAsia="Calibri" w:hAnsi="Calibri" w:cs="Calibri"/>
          <w:sz w:val="22"/>
        </w:rPr>
        <w:t>follow good procurement practices based on the applicable legislative framework and using procurement performance indicators with focus on outcomes to support the PDO and mitigate risks associated with the Program and the implementing agencies</w:t>
      </w:r>
      <w:r w:rsidR="00035381" w:rsidRPr="00A74A8F">
        <w:rPr>
          <w:rFonts w:ascii="Calibri" w:hAnsi="Calibri" w:cs="Calibri"/>
          <w:sz w:val="22"/>
        </w:rPr>
        <w:t>; and (c) ensure that implementation arrangements are adequate and risks related to fraud and corruption as well as complaints handling mechanism is reasonably mitigated by the existing framework.</w:t>
      </w:r>
      <w:r w:rsidR="00035381" w:rsidRPr="7A927A01">
        <w:rPr>
          <w:rFonts w:ascii="Calibri" w:hAnsi="Calibri" w:cs="Calibri"/>
          <w:sz w:val="22"/>
        </w:rPr>
        <w:t xml:space="preserve"> The FSA includes a summary</w:t>
      </w:r>
      <w:r w:rsidR="00A04735" w:rsidRPr="7A927A01">
        <w:rPr>
          <w:rFonts w:ascii="Calibri" w:hAnsi="Calibri" w:cs="Calibri"/>
          <w:sz w:val="22"/>
        </w:rPr>
        <w:t xml:space="preserve"> of</w:t>
      </w:r>
      <w:r w:rsidR="00035381" w:rsidRPr="7A927A01">
        <w:rPr>
          <w:rFonts w:ascii="Calibri" w:hAnsi="Calibri" w:cs="Calibri"/>
          <w:sz w:val="22"/>
        </w:rPr>
        <w:t xml:space="preserve"> key risks and respective mitigation measures, together with institutional strengthening actions reflected in the P</w:t>
      </w:r>
      <w:r w:rsidR="00066B69" w:rsidRPr="7A927A01">
        <w:rPr>
          <w:rFonts w:ascii="Calibri" w:hAnsi="Calibri" w:cs="Calibri"/>
          <w:sz w:val="22"/>
        </w:rPr>
        <w:t>AP</w:t>
      </w:r>
      <w:r w:rsidR="00035381" w:rsidRPr="7A927A01">
        <w:rPr>
          <w:rFonts w:ascii="Calibri" w:hAnsi="Calibri" w:cs="Calibri"/>
          <w:sz w:val="22"/>
        </w:rPr>
        <w:t>.</w:t>
      </w:r>
      <w:r w:rsidR="009A0DA6" w:rsidRPr="7A927A01">
        <w:rPr>
          <w:rFonts w:ascii="Calibri" w:hAnsi="Calibri" w:cs="Calibri"/>
          <w:sz w:val="22"/>
        </w:rPr>
        <w:t xml:space="preserve"> </w:t>
      </w:r>
    </w:p>
    <w:p w14:paraId="6C61E1DC" w14:textId="0222B68D" w:rsidR="00035381" w:rsidRPr="00C62310" w:rsidRDefault="00035381" w:rsidP="00871DF1">
      <w:pPr>
        <w:jc w:val="both"/>
        <w:rPr>
          <w:rFonts w:ascii="Calibri" w:hAnsi="Calibri" w:cs="Calibri"/>
          <w:sz w:val="22"/>
        </w:rPr>
      </w:pPr>
    </w:p>
    <w:p w14:paraId="360112D1" w14:textId="6C87F2B2" w:rsidR="00367AA5" w:rsidRPr="006C054E" w:rsidRDefault="00035381">
      <w:pPr>
        <w:jc w:val="both"/>
        <w:rPr>
          <w:rFonts w:ascii="Calibri" w:hAnsi="Calibri" w:cs="Calibri"/>
          <w:sz w:val="22"/>
          <w:lang w:val="en-GB"/>
        </w:rPr>
      </w:pPr>
      <w:r w:rsidRPr="4AC6A024">
        <w:rPr>
          <w:rFonts w:ascii="Calibri" w:hAnsi="Calibri" w:cs="Calibri"/>
          <w:b/>
          <w:bCs/>
          <w:sz w:val="22"/>
        </w:rPr>
        <w:t xml:space="preserve">The Program’s Fiduciary risk rating is substantial. </w:t>
      </w:r>
      <w:r w:rsidR="4AC6A024" w:rsidRPr="006C054E">
        <w:rPr>
          <w:rFonts w:ascii="Calibri" w:eastAsia="Calibri" w:hAnsi="Calibri" w:cs="Calibri"/>
          <w:sz w:val="22"/>
        </w:rPr>
        <w:t xml:space="preserve">The analysis was based on various assessments and activities carried out by the Bank as part of the ongoing Reimbursable Advisory Services (RAS)  Agreement on the Support to the Implementation of the Public Procurement Strategy and the </w:t>
      </w:r>
      <w:r w:rsidR="00401F69">
        <w:rPr>
          <w:rFonts w:ascii="Calibri" w:eastAsia="Calibri" w:hAnsi="Calibri" w:cs="Calibri"/>
          <w:sz w:val="22"/>
        </w:rPr>
        <w:t>recen</w:t>
      </w:r>
      <w:r w:rsidR="00401F69">
        <w:rPr>
          <w:rFonts w:ascii="Calibri" w:eastAsia="Calibri" w:hAnsi="Calibri" w:cs="Calibri"/>
          <w:sz w:val="22"/>
        </w:rPr>
        <w:t xml:space="preserve">tly-signed </w:t>
      </w:r>
      <w:r w:rsidR="4AC6A024" w:rsidRPr="006C054E">
        <w:rPr>
          <w:rFonts w:ascii="Calibri" w:eastAsia="Calibri" w:hAnsi="Calibri" w:cs="Calibri"/>
          <w:sz w:val="22"/>
        </w:rPr>
        <w:t>RAS for Assessing the Public Procurement System; the Bank’s assessment of the systemic causes of delays and inefficiencies in the preparation and implementation of Bank-financed investment projects</w:t>
      </w:r>
      <w:r w:rsidR="3E387D73" w:rsidRPr="006C054E">
        <w:rPr>
          <w:rFonts w:ascii="Calibri" w:eastAsia="Calibri" w:hAnsi="Calibri" w:cs="Calibri"/>
          <w:sz w:val="22"/>
        </w:rPr>
        <w:t>;</w:t>
      </w:r>
      <w:r w:rsidR="00306475" w:rsidRPr="4AC6A024">
        <w:rPr>
          <w:rFonts w:ascii="Calibri" w:hAnsi="Calibri" w:cs="Calibri"/>
          <w:sz w:val="22"/>
        </w:rPr>
        <w:t xml:space="preserve"> </w:t>
      </w:r>
      <w:r w:rsidRPr="4AC6A024">
        <w:rPr>
          <w:rFonts w:ascii="Calibri" w:hAnsi="Calibri" w:cs="Calibri"/>
          <w:sz w:val="22"/>
        </w:rPr>
        <w:t>the Bank’s knowledge of the health sector</w:t>
      </w:r>
      <w:r w:rsidR="00066B69" w:rsidRPr="4AC6A024">
        <w:rPr>
          <w:rFonts w:ascii="Calibri" w:hAnsi="Calibri" w:cs="Calibri"/>
          <w:sz w:val="22"/>
        </w:rPr>
        <w:t xml:space="preserve"> (including fiduciary performance of the ongoing Health Sector </w:t>
      </w:r>
      <w:r w:rsidR="00A04735" w:rsidRPr="4AC6A024">
        <w:rPr>
          <w:rFonts w:ascii="Calibri" w:hAnsi="Calibri" w:cs="Calibri"/>
          <w:sz w:val="22"/>
        </w:rPr>
        <w:t xml:space="preserve">Reform </w:t>
      </w:r>
      <w:r w:rsidR="00066B69" w:rsidRPr="4AC6A024">
        <w:rPr>
          <w:rFonts w:ascii="Calibri" w:hAnsi="Calibri" w:cs="Calibri"/>
          <w:sz w:val="22"/>
        </w:rPr>
        <w:t>project implemented by MoH)</w:t>
      </w:r>
      <w:r w:rsidR="031ECE95" w:rsidRPr="006C054E">
        <w:rPr>
          <w:rFonts w:ascii="Calibri" w:hAnsi="Calibri" w:cs="Calibri"/>
          <w:sz w:val="22"/>
        </w:rPr>
        <w:t>;</w:t>
      </w:r>
      <w:r w:rsidR="00DD394B" w:rsidRPr="4AC6A024">
        <w:rPr>
          <w:rFonts w:ascii="Calibri" w:hAnsi="Calibri" w:cs="Calibri"/>
          <w:sz w:val="22"/>
        </w:rPr>
        <w:t xml:space="preserve"> </w:t>
      </w:r>
      <w:r w:rsidR="00066B69" w:rsidRPr="4AC6A024">
        <w:rPr>
          <w:rFonts w:ascii="Calibri" w:hAnsi="Calibri" w:cs="Calibri"/>
          <w:sz w:val="22"/>
        </w:rPr>
        <w:t xml:space="preserve"> and country public financial management systems</w:t>
      </w:r>
      <w:r w:rsidRPr="4AC6A024">
        <w:rPr>
          <w:rFonts w:ascii="Calibri" w:hAnsi="Calibri" w:cs="Calibri"/>
          <w:sz w:val="22"/>
        </w:rPr>
        <w:t xml:space="preserve">, reviews of external audit </w:t>
      </w:r>
      <w:r w:rsidR="00066B69" w:rsidRPr="4AC6A024">
        <w:rPr>
          <w:rFonts w:ascii="Calibri" w:hAnsi="Calibri" w:cs="Calibri"/>
          <w:sz w:val="22"/>
        </w:rPr>
        <w:t>findings</w:t>
      </w:r>
      <w:r w:rsidRPr="4AC6A024">
        <w:rPr>
          <w:rFonts w:ascii="Calibri" w:hAnsi="Calibri" w:cs="Calibri"/>
          <w:sz w:val="22"/>
        </w:rPr>
        <w:t xml:space="preserve"> as well as the results of field visits implemented within the assessment frames. </w:t>
      </w:r>
      <w:r w:rsidR="00367AA5" w:rsidRPr="4AC6A024">
        <w:rPr>
          <w:rFonts w:ascii="Calibri" w:hAnsi="Calibri" w:cs="Calibri"/>
          <w:sz w:val="22"/>
          <w:lang w:val="en-GB"/>
        </w:rPr>
        <w:t xml:space="preserve"> </w:t>
      </w:r>
      <w:r w:rsidR="00F72E65" w:rsidRPr="4AC6A024">
        <w:rPr>
          <w:rFonts w:ascii="Calibri" w:hAnsi="Calibri" w:cs="Calibri"/>
          <w:sz w:val="22"/>
          <w:lang w:val="en-GB"/>
        </w:rPr>
        <w:t>Key issues included in the PAP are summarised in the following table:</w:t>
      </w:r>
      <w:r w:rsidR="009A0DA6" w:rsidRPr="4AC6A024">
        <w:rPr>
          <w:rFonts w:ascii="Calibri" w:hAnsi="Calibri" w:cs="Calibri"/>
          <w:sz w:val="22"/>
          <w:lang w:val="en-GB"/>
        </w:rPr>
        <w:t xml:space="preserve"> </w:t>
      </w:r>
    </w:p>
    <w:p w14:paraId="1AD59CAE" w14:textId="77777777" w:rsidR="002A723E" w:rsidRPr="002A723E" w:rsidRDefault="002A723E" w:rsidP="002A723E">
      <w:pPr>
        <w:widowControl w:val="0"/>
        <w:autoSpaceDE w:val="0"/>
        <w:autoSpaceDN w:val="0"/>
        <w:adjustRightInd w:val="0"/>
        <w:ind w:left="720"/>
        <w:contextualSpacing/>
        <w:rPr>
          <w:rFonts w:ascii="Calibri" w:eastAsia="Calibri" w:hAnsi="Calibri" w:cs="Calibri"/>
          <w:sz w:val="22"/>
        </w:rPr>
      </w:pPr>
    </w:p>
    <w:tbl>
      <w:tblPr>
        <w:tblStyle w:val="TableGrid7"/>
        <w:tblW w:w="0" w:type="auto"/>
        <w:tblLook w:val="04A0" w:firstRow="1" w:lastRow="0" w:firstColumn="1" w:lastColumn="0" w:noHBand="0" w:noVBand="1"/>
      </w:tblPr>
      <w:tblGrid>
        <w:gridCol w:w="4675"/>
        <w:gridCol w:w="4675"/>
      </w:tblGrid>
      <w:tr w:rsidR="002A723E" w:rsidRPr="002A723E" w14:paraId="4F49CC7A" w14:textId="77777777" w:rsidTr="187A9B7B">
        <w:trPr>
          <w:tblHeader/>
        </w:trPr>
        <w:tc>
          <w:tcPr>
            <w:tcW w:w="4675" w:type="dxa"/>
          </w:tcPr>
          <w:p w14:paraId="0FE88905" w14:textId="77777777" w:rsidR="002A723E" w:rsidRPr="002A723E" w:rsidRDefault="002A723E" w:rsidP="002A723E">
            <w:pPr>
              <w:keepNext/>
              <w:jc w:val="center"/>
              <w:rPr>
                <w:rFonts w:ascii="Calibri" w:hAnsi="Calibri" w:cs="Calibri"/>
                <w:b/>
                <w:sz w:val="22"/>
                <w:lang w:val="en-GB"/>
              </w:rPr>
            </w:pPr>
            <w:r w:rsidRPr="002A723E">
              <w:rPr>
                <w:rFonts w:ascii="Calibri" w:hAnsi="Calibri" w:cs="Calibri"/>
                <w:b/>
                <w:sz w:val="22"/>
                <w:lang w:val="en-GB"/>
              </w:rPr>
              <w:t>Issues</w:t>
            </w:r>
          </w:p>
        </w:tc>
        <w:tc>
          <w:tcPr>
            <w:tcW w:w="4675" w:type="dxa"/>
          </w:tcPr>
          <w:p w14:paraId="66DD3511" w14:textId="77777777" w:rsidR="002A723E" w:rsidRPr="002A723E" w:rsidRDefault="002A723E" w:rsidP="002A723E">
            <w:pPr>
              <w:keepNext/>
              <w:jc w:val="center"/>
              <w:rPr>
                <w:rFonts w:ascii="Calibri" w:hAnsi="Calibri" w:cs="Calibri"/>
                <w:b/>
                <w:sz w:val="22"/>
                <w:lang w:val="en-GB"/>
              </w:rPr>
            </w:pPr>
            <w:r w:rsidRPr="002A723E">
              <w:rPr>
                <w:rFonts w:ascii="Calibri" w:hAnsi="Calibri" w:cs="Calibri"/>
                <w:b/>
                <w:sz w:val="22"/>
                <w:lang w:val="en-GB"/>
              </w:rPr>
              <w:t>Proposed mitigation measures</w:t>
            </w:r>
          </w:p>
        </w:tc>
      </w:tr>
      <w:tr w:rsidR="002A723E" w:rsidRPr="002A723E" w14:paraId="0879745A" w14:textId="77777777" w:rsidTr="006C054E">
        <w:tc>
          <w:tcPr>
            <w:tcW w:w="9350" w:type="dxa"/>
            <w:gridSpan w:val="2"/>
          </w:tcPr>
          <w:p w14:paraId="5D365576" w14:textId="77777777" w:rsidR="002A723E" w:rsidRPr="002A723E" w:rsidRDefault="002A723E" w:rsidP="002A723E">
            <w:pPr>
              <w:jc w:val="both"/>
              <w:rPr>
                <w:rFonts w:ascii="Calibri" w:hAnsi="Calibri" w:cs="Calibri"/>
                <w:b/>
                <w:sz w:val="22"/>
                <w:lang w:val="en-GB"/>
              </w:rPr>
            </w:pPr>
            <w:r w:rsidRPr="002A723E">
              <w:rPr>
                <w:rFonts w:ascii="Calibri" w:hAnsi="Calibri" w:cs="Calibri"/>
                <w:b/>
                <w:sz w:val="22"/>
                <w:lang w:val="en-GB"/>
              </w:rPr>
              <w:t>Financial Management</w:t>
            </w:r>
          </w:p>
        </w:tc>
      </w:tr>
      <w:tr w:rsidR="002A723E" w:rsidRPr="002A723E" w14:paraId="4BA530EE" w14:textId="77777777" w:rsidTr="187A9B7B">
        <w:tc>
          <w:tcPr>
            <w:tcW w:w="4675" w:type="dxa"/>
          </w:tcPr>
          <w:p w14:paraId="36714410" w14:textId="6EC8C0EE" w:rsidR="002A723E" w:rsidRPr="002A723E" w:rsidRDefault="002A723E" w:rsidP="00767A4F">
            <w:pPr>
              <w:jc w:val="both"/>
              <w:rPr>
                <w:rFonts w:ascii="Calibri" w:hAnsi="Calibri" w:cs="Calibri"/>
                <w:sz w:val="20"/>
                <w:szCs w:val="20"/>
                <w:lang w:val="en-GB"/>
              </w:rPr>
            </w:pPr>
            <w:r w:rsidRPr="002A723E">
              <w:rPr>
                <w:rFonts w:ascii="Calibri" w:hAnsi="Calibri" w:cs="Calibri"/>
                <w:sz w:val="20"/>
                <w:szCs w:val="20"/>
                <w:lang w:val="en-GB"/>
              </w:rPr>
              <w:t>Risk of insufficient</w:t>
            </w:r>
            <w:r w:rsidR="018E6164" w:rsidRPr="002A723E">
              <w:rPr>
                <w:rFonts w:ascii="Calibri" w:hAnsi="Calibri" w:cs="Calibri"/>
                <w:sz w:val="20"/>
                <w:szCs w:val="20"/>
                <w:lang w:val="en-GB"/>
              </w:rPr>
              <w:t xml:space="preserve"> and</w:t>
            </w:r>
            <w:r w:rsidRPr="002A723E">
              <w:rPr>
                <w:rFonts w:ascii="Calibri" w:hAnsi="Calibri" w:cs="Calibri"/>
                <w:sz w:val="20"/>
                <w:szCs w:val="20"/>
                <w:lang w:val="en-GB"/>
              </w:rPr>
              <w:t>/</w:t>
            </w:r>
            <w:r w:rsidR="018E6164" w:rsidRPr="002A723E">
              <w:rPr>
                <w:rFonts w:ascii="Calibri" w:hAnsi="Calibri" w:cs="Calibri"/>
                <w:sz w:val="20"/>
                <w:szCs w:val="20"/>
                <w:lang w:val="en-GB"/>
              </w:rPr>
              <w:t xml:space="preserve">or </w:t>
            </w:r>
            <w:r w:rsidRPr="002A723E">
              <w:rPr>
                <w:rFonts w:ascii="Calibri" w:hAnsi="Calibri" w:cs="Calibri"/>
                <w:sz w:val="20"/>
                <w:szCs w:val="20"/>
                <w:lang w:val="en-GB"/>
              </w:rPr>
              <w:t xml:space="preserve">delayed financing of Program activities by the MoPF (considering the increased envelope needed for certain results areas and the systemic budgetary constraints) </w:t>
            </w:r>
          </w:p>
        </w:tc>
        <w:tc>
          <w:tcPr>
            <w:tcW w:w="4675" w:type="dxa"/>
          </w:tcPr>
          <w:p w14:paraId="324CE976" w14:textId="5FFAA293" w:rsidR="002A723E" w:rsidRPr="002A723E" w:rsidRDefault="002A723E" w:rsidP="00767A4F">
            <w:pPr>
              <w:spacing w:after="240"/>
              <w:jc w:val="both"/>
              <w:rPr>
                <w:rFonts w:ascii="Calibri" w:hAnsi="Calibri" w:cs="Calibri"/>
                <w:sz w:val="20"/>
                <w:szCs w:val="20"/>
                <w:lang w:val="en-GB"/>
              </w:rPr>
            </w:pPr>
            <w:r w:rsidRPr="002A723E">
              <w:rPr>
                <w:rFonts w:ascii="Calibri" w:hAnsi="Calibri" w:cs="Calibri"/>
                <w:sz w:val="20"/>
                <w:szCs w:val="20"/>
                <w:lang w:val="en-GB"/>
              </w:rPr>
              <w:t>While the relevant sector legislation would be revised to accommodate the proposed changes, the operation envisages to earmark transfers</w:t>
            </w:r>
            <w:r w:rsidR="1B6E2781" w:rsidRPr="002A723E">
              <w:rPr>
                <w:rFonts w:ascii="Calibri" w:hAnsi="Calibri" w:cs="Calibri"/>
                <w:sz w:val="20"/>
                <w:szCs w:val="20"/>
                <w:lang w:val="en-GB"/>
              </w:rPr>
              <w:t xml:space="preserve"> </w:t>
            </w:r>
            <w:r w:rsidRPr="002A723E">
              <w:rPr>
                <w:rFonts w:ascii="Calibri" w:hAnsi="Calibri" w:cs="Calibri"/>
                <w:sz w:val="20"/>
                <w:szCs w:val="20"/>
                <w:lang w:val="en-GB"/>
              </w:rPr>
              <w:t xml:space="preserve">to NHIH to cover for additional costs and for increasing predictability </w:t>
            </w:r>
            <w:r w:rsidR="1B6E2781" w:rsidRPr="002A723E">
              <w:rPr>
                <w:rFonts w:ascii="Calibri" w:hAnsi="Calibri" w:cs="Calibri"/>
                <w:sz w:val="20"/>
                <w:szCs w:val="20"/>
                <w:lang w:val="en-GB"/>
              </w:rPr>
              <w:t xml:space="preserve">of funding. </w:t>
            </w:r>
            <w:r w:rsidRPr="002A723E">
              <w:rPr>
                <w:rFonts w:ascii="Calibri" w:hAnsi="Calibri" w:cs="Calibri"/>
                <w:sz w:val="20"/>
                <w:szCs w:val="20"/>
                <w:lang w:val="en-GB"/>
              </w:rPr>
              <w:t>To that effect,</w:t>
            </w:r>
            <w:r w:rsidR="00401F69">
              <w:rPr>
                <w:rFonts w:ascii="Calibri" w:hAnsi="Calibri" w:cs="Calibri"/>
                <w:sz w:val="20"/>
                <w:szCs w:val="20"/>
                <w:lang w:val="en-GB"/>
              </w:rPr>
              <w:t xml:space="preserve"> the adequacy of Program financing will be monitored through the PAP and the regular Ba</w:t>
            </w:r>
            <w:r w:rsidR="00401F69">
              <w:rPr>
                <w:rFonts w:ascii="Calibri" w:hAnsi="Calibri" w:cs="Calibri"/>
                <w:sz w:val="20"/>
                <w:szCs w:val="20"/>
                <w:lang w:val="en-GB"/>
              </w:rPr>
              <w:t xml:space="preserve">nk implementation support and supervision </w:t>
            </w:r>
            <w:r w:rsidR="00E22B24">
              <w:rPr>
                <w:rFonts w:ascii="Calibri" w:hAnsi="Calibri" w:cs="Calibri"/>
                <w:sz w:val="20"/>
                <w:szCs w:val="20"/>
                <w:lang w:val="en-GB"/>
              </w:rPr>
              <w:t>missions. Some</w:t>
            </w:r>
            <w:r w:rsidR="00E22B24">
              <w:rPr>
                <w:rFonts w:ascii="Calibri" w:hAnsi="Calibri" w:cs="Calibri"/>
                <w:sz w:val="20"/>
                <w:szCs w:val="20"/>
                <w:lang w:val="en-GB"/>
              </w:rPr>
              <w:t xml:space="preserve"> Program</w:t>
            </w:r>
            <w:r w:rsidR="00EA5905">
              <w:rPr>
                <w:rFonts w:ascii="Calibri" w:hAnsi="Calibri" w:cs="Calibri"/>
                <w:sz w:val="20"/>
                <w:szCs w:val="20"/>
                <w:lang w:val="en-GB"/>
              </w:rPr>
              <w:t xml:space="preserve"> </w:t>
            </w:r>
            <w:r w:rsidR="00DA3DA2">
              <w:rPr>
                <w:rFonts w:ascii="Calibri" w:hAnsi="Calibri" w:cs="Calibri"/>
                <w:sz w:val="20"/>
                <w:szCs w:val="20"/>
                <w:lang w:val="en-GB"/>
              </w:rPr>
              <w:t>DLRs (</w:t>
            </w:r>
            <w:r w:rsidR="00E22B24">
              <w:rPr>
                <w:rFonts w:ascii="Calibri" w:hAnsi="Calibri" w:cs="Calibri"/>
                <w:sz w:val="20"/>
                <w:szCs w:val="20"/>
                <w:lang w:val="en-GB"/>
              </w:rPr>
              <w:t>under DLI</w:t>
            </w:r>
            <w:r w:rsidR="00E22B24">
              <w:rPr>
                <w:rFonts w:ascii="Calibri" w:hAnsi="Calibri" w:cs="Calibri"/>
                <w:sz w:val="20"/>
                <w:szCs w:val="20"/>
                <w:lang w:val="en-GB"/>
              </w:rPr>
              <w:t xml:space="preserve"> </w:t>
            </w:r>
            <w:r w:rsidR="00FA5252">
              <w:rPr>
                <w:rFonts w:ascii="Calibri" w:hAnsi="Calibri" w:cs="Calibri"/>
                <w:sz w:val="20"/>
                <w:szCs w:val="20"/>
                <w:lang w:val="en-GB"/>
              </w:rPr>
              <w:t xml:space="preserve">1 and </w:t>
            </w:r>
            <w:r w:rsidR="00E22B24">
              <w:rPr>
                <w:rFonts w:ascii="Calibri" w:hAnsi="Calibri" w:cs="Calibri"/>
                <w:sz w:val="20"/>
                <w:szCs w:val="20"/>
                <w:lang w:val="en-GB"/>
              </w:rPr>
              <w:t xml:space="preserve">3) </w:t>
            </w:r>
            <w:r w:rsidR="00EA5905">
              <w:rPr>
                <w:rFonts w:ascii="Calibri" w:hAnsi="Calibri" w:cs="Calibri"/>
                <w:sz w:val="20"/>
                <w:szCs w:val="20"/>
                <w:lang w:val="en-GB"/>
              </w:rPr>
              <w:t>als</w:t>
            </w:r>
            <w:r w:rsidR="00EA5905">
              <w:rPr>
                <w:rFonts w:ascii="Calibri" w:hAnsi="Calibri" w:cs="Calibri"/>
                <w:sz w:val="20"/>
                <w:szCs w:val="20"/>
                <w:lang w:val="en-GB"/>
              </w:rPr>
              <w:t xml:space="preserve">o </w:t>
            </w:r>
            <w:r w:rsidR="00EA5905">
              <w:rPr>
                <w:rFonts w:ascii="Calibri" w:hAnsi="Calibri" w:cs="Calibri"/>
                <w:sz w:val="20"/>
                <w:szCs w:val="20"/>
                <w:lang w:val="en-GB"/>
              </w:rPr>
              <w:lastRenderedPageBreak/>
              <w:t xml:space="preserve">refer to </w:t>
            </w:r>
            <w:r w:rsidR="00E22B24">
              <w:rPr>
                <w:rFonts w:ascii="Calibri" w:hAnsi="Calibri" w:cs="Calibri"/>
                <w:sz w:val="20"/>
                <w:szCs w:val="20"/>
                <w:lang w:val="en-GB"/>
              </w:rPr>
              <w:t xml:space="preserve">meeting specific budgetary </w:t>
            </w:r>
            <w:r w:rsidR="00FA5252">
              <w:rPr>
                <w:rFonts w:ascii="Calibri" w:hAnsi="Calibri" w:cs="Calibri"/>
                <w:sz w:val="20"/>
                <w:szCs w:val="20"/>
                <w:lang w:val="en-GB"/>
              </w:rPr>
              <w:t xml:space="preserve">conditions and </w:t>
            </w:r>
            <w:r w:rsidR="00E22B24">
              <w:rPr>
                <w:rFonts w:ascii="Calibri" w:hAnsi="Calibri" w:cs="Calibri"/>
                <w:sz w:val="20"/>
                <w:szCs w:val="20"/>
                <w:lang w:val="en-GB"/>
              </w:rPr>
              <w:t xml:space="preserve">targets to ensure </w:t>
            </w:r>
            <w:r w:rsidR="00E22B24">
              <w:rPr>
                <w:rFonts w:ascii="Calibri" w:hAnsi="Calibri" w:cs="Calibri"/>
                <w:sz w:val="20"/>
                <w:szCs w:val="20"/>
                <w:lang w:val="en-GB"/>
              </w:rPr>
              <w:t xml:space="preserve">the intended indicators </w:t>
            </w:r>
            <w:r w:rsidR="00E22B24">
              <w:rPr>
                <w:rFonts w:ascii="Calibri" w:hAnsi="Calibri" w:cs="Calibri"/>
                <w:sz w:val="20"/>
                <w:szCs w:val="20"/>
                <w:lang w:val="en-GB"/>
              </w:rPr>
              <w:t>are achieved.</w:t>
            </w:r>
            <w:r w:rsidR="00EA5905">
              <w:rPr>
                <w:rFonts w:ascii="Calibri" w:hAnsi="Calibri" w:cs="Calibri"/>
                <w:sz w:val="20"/>
                <w:szCs w:val="20"/>
                <w:lang w:val="en-GB"/>
              </w:rPr>
              <w:t xml:space="preserve"> </w:t>
            </w:r>
            <w:r w:rsidR="00EA5905">
              <w:rPr>
                <w:rFonts w:ascii="Calibri" w:hAnsi="Calibri" w:cs="Calibri"/>
                <w:sz w:val="20"/>
                <w:szCs w:val="20"/>
                <w:lang w:val="en-GB"/>
              </w:rPr>
              <w:t xml:space="preserve"> </w:t>
            </w:r>
          </w:p>
        </w:tc>
      </w:tr>
      <w:tr w:rsidR="002A723E" w:rsidRPr="002A723E" w14:paraId="7DB69F55" w14:textId="77777777" w:rsidTr="187A9B7B">
        <w:tc>
          <w:tcPr>
            <w:tcW w:w="4675" w:type="dxa"/>
          </w:tcPr>
          <w:p w14:paraId="1B52E4DE" w14:textId="77777777" w:rsidR="002A723E" w:rsidRPr="002A723E" w:rsidRDefault="002A723E" w:rsidP="00767A4F">
            <w:pPr>
              <w:jc w:val="both"/>
              <w:rPr>
                <w:rFonts w:ascii="Calibri" w:hAnsi="Calibri" w:cs="Calibri"/>
                <w:sz w:val="20"/>
                <w:szCs w:val="20"/>
                <w:lang w:val="en-GB"/>
              </w:rPr>
            </w:pPr>
            <w:r w:rsidRPr="002A723E">
              <w:rPr>
                <w:rFonts w:ascii="Calibri" w:hAnsi="Calibri" w:cs="Calibri"/>
                <w:sz w:val="20"/>
                <w:szCs w:val="20"/>
                <w:lang w:val="en-GB"/>
              </w:rPr>
              <w:lastRenderedPageBreak/>
              <w:t xml:space="preserve">Capacity constraints in the oversight of primary and community care staffing and related expenses by MoH and NHIH </w:t>
            </w:r>
          </w:p>
        </w:tc>
        <w:tc>
          <w:tcPr>
            <w:tcW w:w="4675" w:type="dxa"/>
          </w:tcPr>
          <w:p w14:paraId="5622DA49" w14:textId="2C764374" w:rsidR="002A723E" w:rsidRPr="002A723E" w:rsidRDefault="002A723E" w:rsidP="00767A4F">
            <w:pPr>
              <w:spacing w:after="240"/>
              <w:jc w:val="both"/>
              <w:rPr>
                <w:rFonts w:ascii="Calibri" w:hAnsi="Calibri" w:cs="Calibri"/>
                <w:sz w:val="20"/>
                <w:szCs w:val="20"/>
                <w:lang w:val="en-GB"/>
              </w:rPr>
            </w:pPr>
            <w:r w:rsidRPr="002A723E">
              <w:rPr>
                <w:rFonts w:ascii="Calibri" w:hAnsi="Calibri" w:cs="Calibri"/>
                <w:sz w:val="20"/>
                <w:szCs w:val="20"/>
                <w:lang w:val="en-GB"/>
              </w:rPr>
              <w:t xml:space="preserve">The Program finances activities to enhance the quality of monitoring. (i.e., </w:t>
            </w:r>
            <w:r w:rsidR="5388A345" w:rsidRPr="002A723E">
              <w:rPr>
                <w:rFonts w:ascii="Calibri" w:hAnsi="Calibri" w:cs="Calibri"/>
                <w:sz w:val="20"/>
                <w:szCs w:val="20"/>
                <w:lang w:val="en-GB"/>
              </w:rPr>
              <w:t xml:space="preserve">upgrading and </w:t>
            </w:r>
            <w:r w:rsidRPr="002A723E">
              <w:rPr>
                <w:rFonts w:ascii="Calibri" w:hAnsi="Calibri" w:cs="Calibri"/>
                <w:sz w:val="20"/>
                <w:szCs w:val="20"/>
                <w:lang w:val="en-GB"/>
              </w:rPr>
              <w:t>integrating health systems, public disclosure of relevant data, establishment of a unit for governance of primary and community health care in the MoH, revision of clinical protocols</w:t>
            </w:r>
            <w:r w:rsidR="26138B7C" w:rsidRPr="002A723E">
              <w:rPr>
                <w:rFonts w:ascii="Calibri" w:hAnsi="Calibri" w:cs="Calibri"/>
                <w:sz w:val="20"/>
                <w:szCs w:val="20"/>
                <w:lang w:val="en-GB"/>
              </w:rPr>
              <w:t xml:space="preserve"> and care pathways</w:t>
            </w:r>
            <w:r w:rsidRPr="002A723E">
              <w:rPr>
                <w:rFonts w:ascii="Calibri" w:hAnsi="Calibri" w:cs="Calibri"/>
                <w:sz w:val="20"/>
                <w:szCs w:val="20"/>
                <w:lang w:val="en-GB"/>
              </w:rPr>
              <w:t xml:space="preserve">, etc.) </w:t>
            </w:r>
          </w:p>
          <w:p w14:paraId="121D00DB" w14:textId="2857E6C2" w:rsidR="002A723E" w:rsidRPr="002A723E" w:rsidRDefault="002A723E" w:rsidP="00767A4F">
            <w:pPr>
              <w:spacing w:after="240"/>
              <w:jc w:val="both"/>
              <w:rPr>
                <w:rFonts w:ascii="Calibri" w:hAnsi="Calibri" w:cs="Calibri"/>
                <w:sz w:val="20"/>
                <w:szCs w:val="20"/>
                <w:lang w:val="en-GB"/>
              </w:rPr>
            </w:pPr>
            <w:r w:rsidRPr="002A723E">
              <w:rPr>
                <w:rFonts w:ascii="Calibri" w:hAnsi="Calibri" w:cs="Calibri"/>
                <w:sz w:val="20"/>
                <w:szCs w:val="20"/>
                <w:lang w:val="en-GB"/>
              </w:rPr>
              <w:t xml:space="preserve">The proposed revisions in the Framework Contract </w:t>
            </w:r>
            <w:r w:rsidR="00A04735">
              <w:rPr>
                <w:rFonts w:ascii="Calibri" w:hAnsi="Calibri" w:cs="Calibri"/>
                <w:sz w:val="20"/>
                <w:szCs w:val="20"/>
                <w:lang w:val="en-GB"/>
              </w:rPr>
              <w:t>to expand the</w:t>
            </w:r>
            <w:r w:rsidRPr="002A723E">
              <w:rPr>
                <w:rFonts w:ascii="Calibri" w:hAnsi="Calibri" w:cs="Calibri"/>
                <w:sz w:val="20"/>
                <w:szCs w:val="20"/>
                <w:lang w:val="en-GB"/>
              </w:rPr>
              <w:t xml:space="preserve"> scope of primary care services and payment mechanisms should be duly reflected in the NHIH`s internal procedures. </w:t>
            </w:r>
            <w:r w:rsidR="00EA5905">
              <w:rPr>
                <w:rFonts w:ascii="Calibri" w:hAnsi="Calibri" w:cs="Calibri"/>
                <w:sz w:val="20"/>
                <w:szCs w:val="20"/>
                <w:lang w:val="en-GB"/>
              </w:rPr>
              <w:t>T</w:t>
            </w:r>
            <w:r w:rsidR="00A04735">
              <w:rPr>
                <w:rFonts w:ascii="Calibri" w:hAnsi="Calibri" w:cs="Calibri"/>
                <w:sz w:val="20"/>
                <w:szCs w:val="20"/>
                <w:lang w:val="en-GB"/>
              </w:rPr>
              <w:t xml:space="preserve">he </w:t>
            </w:r>
            <w:r w:rsidRPr="002A723E">
              <w:rPr>
                <w:rFonts w:ascii="Calibri" w:hAnsi="Calibri" w:cs="Calibri"/>
                <w:sz w:val="20"/>
                <w:szCs w:val="20"/>
                <w:lang w:val="en-GB"/>
              </w:rPr>
              <w:t>institutions’ capacity to oversee and monitor performance</w:t>
            </w:r>
            <w:r w:rsidR="00EA5905">
              <w:rPr>
                <w:rFonts w:ascii="Calibri" w:hAnsi="Calibri" w:cs="Calibri"/>
                <w:sz w:val="20"/>
                <w:szCs w:val="20"/>
                <w:lang w:val="en-GB"/>
              </w:rPr>
              <w:t xml:space="preserve"> in these areas would be assessed during the regular Bank implementation support and supervision missions.</w:t>
            </w:r>
          </w:p>
        </w:tc>
      </w:tr>
      <w:tr w:rsidR="002A723E" w:rsidRPr="002A723E" w14:paraId="7ABCB3D0" w14:textId="77777777" w:rsidTr="187A9B7B">
        <w:tc>
          <w:tcPr>
            <w:tcW w:w="4675" w:type="dxa"/>
          </w:tcPr>
          <w:p w14:paraId="620B6E8C" w14:textId="26ABFF95" w:rsidR="002A723E" w:rsidRPr="002A723E" w:rsidRDefault="193FF90C" w:rsidP="00767A4F">
            <w:pPr>
              <w:jc w:val="both"/>
              <w:rPr>
                <w:rFonts w:ascii="Calibri" w:hAnsi="Calibri" w:cs="Calibri"/>
                <w:sz w:val="20"/>
                <w:szCs w:val="20"/>
                <w:lang w:val="en-GB"/>
              </w:rPr>
            </w:pPr>
            <w:r w:rsidRPr="002A723E">
              <w:rPr>
                <w:rFonts w:ascii="Calibri" w:hAnsi="Calibri" w:cs="Calibri"/>
                <w:sz w:val="20"/>
                <w:szCs w:val="20"/>
                <w:lang w:val="en-GB"/>
              </w:rPr>
              <w:t>P</w:t>
            </w:r>
            <w:r w:rsidR="33495188" w:rsidRPr="002A723E">
              <w:rPr>
                <w:rFonts w:ascii="Calibri" w:hAnsi="Calibri" w:cs="Calibri"/>
                <w:sz w:val="20"/>
                <w:szCs w:val="20"/>
                <w:lang w:val="en-GB"/>
              </w:rPr>
              <w:t>otential w</w:t>
            </w:r>
            <w:r w:rsidR="002A723E" w:rsidRPr="002A723E">
              <w:rPr>
                <w:rFonts w:ascii="Calibri" w:hAnsi="Calibri" w:cs="Calibri"/>
                <w:sz w:val="20"/>
                <w:szCs w:val="20"/>
                <w:lang w:val="en-GB"/>
              </w:rPr>
              <w:t xml:space="preserve">eaknesses in </w:t>
            </w:r>
            <w:r w:rsidRPr="002A723E">
              <w:rPr>
                <w:rFonts w:ascii="Calibri" w:hAnsi="Calibri" w:cs="Calibri"/>
                <w:sz w:val="20"/>
                <w:szCs w:val="20"/>
                <w:lang w:val="en-GB"/>
              </w:rPr>
              <w:t xml:space="preserve">the design, implementation and </w:t>
            </w:r>
            <w:r w:rsidR="002A723E" w:rsidRPr="002A723E">
              <w:rPr>
                <w:rFonts w:ascii="Calibri" w:hAnsi="Calibri" w:cs="Calibri"/>
                <w:sz w:val="20"/>
                <w:szCs w:val="20"/>
                <w:lang w:val="en-GB"/>
              </w:rPr>
              <w:t xml:space="preserve">internal controls and oversight of the </w:t>
            </w:r>
            <w:r w:rsidR="33495188" w:rsidRPr="002A723E">
              <w:rPr>
                <w:rFonts w:ascii="Calibri" w:hAnsi="Calibri" w:cs="Calibri"/>
                <w:sz w:val="20"/>
                <w:szCs w:val="20"/>
                <w:lang w:val="en-GB"/>
              </w:rPr>
              <w:t xml:space="preserve">proposed </w:t>
            </w:r>
            <w:r w:rsidR="002A723E" w:rsidRPr="002A723E">
              <w:rPr>
                <w:rFonts w:ascii="Calibri" w:hAnsi="Calibri" w:cs="Calibri"/>
                <w:sz w:val="20"/>
                <w:szCs w:val="20"/>
                <w:lang w:val="en-GB"/>
              </w:rPr>
              <w:t>State Aid financing scheme for family physicians</w:t>
            </w:r>
          </w:p>
        </w:tc>
        <w:tc>
          <w:tcPr>
            <w:tcW w:w="4675" w:type="dxa"/>
          </w:tcPr>
          <w:p w14:paraId="6B9CD5A3" w14:textId="77777777" w:rsidR="002A723E" w:rsidRPr="002A723E" w:rsidRDefault="002A723E" w:rsidP="00767A4F">
            <w:pPr>
              <w:spacing w:after="240"/>
              <w:jc w:val="both"/>
              <w:rPr>
                <w:rFonts w:ascii="Calibri" w:hAnsi="Calibri" w:cs="Calibri"/>
                <w:sz w:val="20"/>
                <w:szCs w:val="20"/>
              </w:rPr>
            </w:pPr>
            <w:r w:rsidRPr="002A723E">
              <w:rPr>
                <w:rFonts w:ascii="Calibri" w:hAnsi="Calibri" w:cs="Calibri"/>
                <w:sz w:val="20"/>
                <w:szCs w:val="20"/>
                <w:lang w:val="en-GB"/>
              </w:rPr>
              <w:t>Technical assistance for establishing the scheme, including a system of internal controls, performance monitoring and oversight as reflected in the PAP.</w:t>
            </w:r>
          </w:p>
        </w:tc>
      </w:tr>
      <w:tr w:rsidR="002A723E" w:rsidRPr="002A723E" w14:paraId="50818394" w14:textId="77777777" w:rsidTr="187A9B7B">
        <w:tc>
          <w:tcPr>
            <w:tcW w:w="4675" w:type="dxa"/>
          </w:tcPr>
          <w:p w14:paraId="344B3E74" w14:textId="2F78C0A3" w:rsidR="002A723E" w:rsidRPr="002A723E" w:rsidRDefault="130A3A77" w:rsidP="00767A4F">
            <w:pPr>
              <w:jc w:val="both"/>
              <w:rPr>
                <w:rFonts w:ascii="Calibri" w:hAnsi="Calibri" w:cs="Calibri"/>
                <w:sz w:val="20"/>
                <w:szCs w:val="20"/>
                <w:lang w:val="en-GB"/>
              </w:rPr>
            </w:pPr>
            <w:r w:rsidRPr="002A723E">
              <w:rPr>
                <w:rFonts w:ascii="Calibri" w:hAnsi="Calibri" w:cs="Calibri"/>
                <w:sz w:val="20"/>
                <w:szCs w:val="20"/>
                <w:lang w:val="en-GB"/>
              </w:rPr>
              <w:t>Potential w</w:t>
            </w:r>
            <w:r w:rsidR="002A723E" w:rsidRPr="002A723E">
              <w:rPr>
                <w:rFonts w:ascii="Calibri" w:hAnsi="Calibri" w:cs="Calibri"/>
                <w:sz w:val="20"/>
                <w:szCs w:val="20"/>
                <w:lang w:val="en-GB"/>
              </w:rPr>
              <w:t>eaknesses in internal controls and oversight of the performance-based financing mechanism for family physicians at NHIH</w:t>
            </w:r>
          </w:p>
        </w:tc>
        <w:tc>
          <w:tcPr>
            <w:tcW w:w="4675" w:type="dxa"/>
          </w:tcPr>
          <w:p w14:paraId="3D74AB3F" w14:textId="3FB72184" w:rsidR="002A723E" w:rsidRPr="006C054E" w:rsidRDefault="002A723E" w:rsidP="00EA5905">
            <w:pPr>
              <w:spacing w:after="240"/>
              <w:jc w:val="both"/>
              <w:rPr>
                <w:rFonts w:ascii="Calibri" w:hAnsi="Calibri" w:cs="Calibri"/>
                <w:sz w:val="20"/>
                <w:szCs w:val="20"/>
                <w:lang w:val="en-GB"/>
              </w:rPr>
            </w:pPr>
            <w:r w:rsidRPr="002A723E">
              <w:rPr>
                <w:rFonts w:ascii="Calibri" w:hAnsi="Calibri" w:cs="Calibri"/>
                <w:sz w:val="20"/>
                <w:szCs w:val="20"/>
                <w:lang w:val="en-GB"/>
              </w:rPr>
              <w:t>Technical assistance for establishing the mechanism, including a system of internal controls, performance monitoring and oversight as reflected in the PAP.</w:t>
            </w:r>
          </w:p>
          <w:p w14:paraId="45A7C6C6" w14:textId="39CDA468" w:rsidR="002A723E" w:rsidRPr="006C054E" w:rsidRDefault="7F643F04" w:rsidP="00EA5905">
            <w:pPr>
              <w:spacing w:after="240"/>
              <w:jc w:val="both"/>
              <w:rPr>
                <w:rFonts w:ascii="Calibri" w:hAnsi="Calibri" w:cs="Calibri"/>
                <w:sz w:val="20"/>
                <w:szCs w:val="20"/>
                <w:lang w:val="en-GB"/>
              </w:rPr>
            </w:pPr>
            <w:r w:rsidRPr="002A723E">
              <w:rPr>
                <w:rFonts w:ascii="Calibri" w:hAnsi="Calibri" w:cs="Calibri"/>
                <w:sz w:val="20"/>
                <w:szCs w:val="20"/>
                <w:lang w:val="en-GB"/>
              </w:rPr>
              <w:t>Certain Program DLIs also envisage enhancing the IT tools</w:t>
            </w:r>
            <w:r w:rsidR="1ADD8ABD" w:rsidRPr="002A723E">
              <w:rPr>
                <w:rFonts w:ascii="Calibri" w:hAnsi="Calibri" w:cs="Calibri"/>
                <w:sz w:val="20"/>
                <w:szCs w:val="20"/>
                <w:lang w:val="en-GB"/>
              </w:rPr>
              <w:t xml:space="preserve"> o</w:t>
            </w:r>
            <w:r w:rsidR="384DAA74" w:rsidRPr="002A723E">
              <w:rPr>
                <w:rFonts w:ascii="Calibri" w:hAnsi="Calibri" w:cs="Calibri"/>
                <w:sz w:val="20"/>
                <w:szCs w:val="20"/>
                <w:lang w:val="en-GB"/>
              </w:rPr>
              <w:t>f NHIH</w:t>
            </w:r>
            <w:r w:rsidRPr="002A723E">
              <w:rPr>
                <w:rFonts w:ascii="Calibri" w:hAnsi="Calibri" w:cs="Calibri"/>
                <w:sz w:val="20"/>
                <w:szCs w:val="20"/>
                <w:lang w:val="en-GB"/>
              </w:rPr>
              <w:t xml:space="preserve">, including </w:t>
            </w:r>
            <w:r w:rsidR="384DAA74" w:rsidRPr="002A723E">
              <w:rPr>
                <w:rFonts w:ascii="Calibri" w:hAnsi="Calibri" w:cs="Calibri"/>
                <w:sz w:val="20"/>
                <w:szCs w:val="20"/>
                <w:lang w:val="en-GB"/>
              </w:rPr>
              <w:t xml:space="preserve">system </w:t>
            </w:r>
            <w:r w:rsidR="1ADD8ABD" w:rsidRPr="002A723E">
              <w:rPr>
                <w:rFonts w:ascii="Calibri" w:hAnsi="Calibri" w:cs="Calibri"/>
                <w:sz w:val="20"/>
                <w:szCs w:val="20"/>
                <w:lang w:val="en-GB"/>
              </w:rPr>
              <w:t xml:space="preserve">error and fraud detection </w:t>
            </w:r>
            <w:r w:rsidR="384DAA74" w:rsidRPr="002A723E">
              <w:rPr>
                <w:rFonts w:ascii="Calibri" w:hAnsi="Calibri" w:cs="Calibri"/>
                <w:sz w:val="20"/>
                <w:szCs w:val="20"/>
                <w:lang w:val="en-GB"/>
              </w:rPr>
              <w:t>functionalities.</w:t>
            </w:r>
          </w:p>
        </w:tc>
      </w:tr>
      <w:tr w:rsidR="002A723E" w:rsidRPr="002A723E" w14:paraId="6A6B813B" w14:textId="77777777" w:rsidTr="187A9B7B">
        <w:tc>
          <w:tcPr>
            <w:tcW w:w="4675" w:type="dxa"/>
          </w:tcPr>
          <w:p w14:paraId="13A1A2F4" w14:textId="4F3C5DB1" w:rsidR="002A723E" w:rsidRPr="002A723E" w:rsidRDefault="002A723E" w:rsidP="00767A4F">
            <w:pPr>
              <w:jc w:val="both"/>
              <w:rPr>
                <w:rFonts w:ascii="Calibri" w:hAnsi="Calibri" w:cs="Calibri"/>
                <w:sz w:val="20"/>
                <w:szCs w:val="20"/>
                <w:lang w:val="en-GB"/>
              </w:rPr>
            </w:pPr>
            <w:r w:rsidRPr="002A723E">
              <w:rPr>
                <w:rFonts w:ascii="Calibri" w:hAnsi="Calibri" w:cs="Calibri"/>
                <w:sz w:val="20"/>
                <w:szCs w:val="20"/>
                <w:lang w:val="en-GB"/>
              </w:rPr>
              <w:t>Potential delays in preparation and audit of the Program financial statements (considering the multiple stakeholders).</w:t>
            </w:r>
          </w:p>
        </w:tc>
        <w:tc>
          <w:tcPr>
            <w:tcW w:w="4675" w:type="dxa"/>
          </w:tcPr>
          <w:p w14:paraId="3AF52A7B" w14:textId="2E81109C" w:rsidR="002A723E" w:rsidRPr="002A723E" w:rsidRDefault="002A723E" w:rsidP="00EA5905">
            <w:pPr>
              <w:spacing w:after="240"/>
              <w:jc w:val="both"/>
              <w:rPr>
                <w:rFonts w:ascii="Calibri" w:hAnsi="Calibri" w:cs="Calibri"/>
                <w:sz w:val="20"/>
                <w:szCs w:val="20"/>
                <w:lang w:val="en-GB"/>
              </w:rPr>
            </w:pPr>
            <w:r w:rsidRPr="002A723E">
              <w:rPr>
                <w:rFonts w:ascii="Calibri" w:hAnsi="Calibri" w:cs="Calibri"/>
                <w:sz w:val="20"/>
                <w:szCs w:val="20"/>
                <w:lang w:val="en-GB"/>
              </w:rPr>
              <w:t>Program coordination arrangements will include centralised preparation of Program financial statements</w:t>
            </w:r>
            <w:r w:rsidR="00EA5905">
              <w:rPr>
                <w:rFonts w:ascii="Calibri" w:hAnsi="Calibri" w:cs="Calibri"/>
                <w:sz w:val="20"/>
                <w:szCs w:val="20"/>
                <w:lang w:val="en-GB"/>
              </w:rPr>
              <w:t xml:space="preserve"> by MoH,</w:t>
            </w:r>
            <w:r w:rsidRPr="002A723E">
              <w:rPr>
                <w:rFonts w:ascii="Calibri" w:hAnsi="Calibri" w:cs="Calibri"/>
                <w:sz w:val="20"/>
                <w:szCs w:val="20"/>
                <w:lang w:val="en-GB"/>
              </w:rPr>
              <w:t xml:space="preserve"> as reflected in the PAP. </w:t>
            </w:r>
            <w:r w:rsidR="00EA5905">
              <w:rPr>
                <w:rFonts w:ascii="Calibri" w:hAnsi="Calibri" w:cs="Calibri"/>
                <w:sz w:val="20"/>
                <w:szCs w:val="20"/>
                <w:lang w:val="en-GB"/>
              </w:rPr>
              <w:t xml:space="preserve">The terms of reference for the Program audit and arrangements for carrying out the audit will be agreed in due time </w:t>
            </w:r>
            <w:r w:rsidR="00EA5905">
              <w:rPr>
                <w:rFonts w:ascii="Calibri" w:hAnsi="Calibri" w:cs="Calibri"/>
                <w:sz w:val="20"/>
                <w:szCs w:val="20"/>
                <w:lang w:val="en-GB"/>
              </w:rPr>
              <w:t>among the</w:t>
            </w:r>
            <w:r w:rsidR="00EA5905">
              <w:rPr>
                <w:rFonts w:ascii="Calibri" w:hAnsi="Calibri" w:cs="Calibri"/>
                <w:sz w:val="20"/>
                <w:szCs w:val="20"/>
                <w:lang w:val="en-GB"/>
              </w:rPr>
              <w:t xml:space="preserve"> implementing entities, </w:t>
            </w:r>
            <w:r w:rsidR="00EA5905">
              <w:rPr>
                <w:rFonts w:ascii="Calibri" w:hAnsi="Calibri" w:cs="Calibri"/>
                <w:sz w:val="20"/>
                <w:szCs w:val="20"/>
                <w:lang w:val="en-GB"/>
              </w:rPr>
              <w:t>so</w:t>
            </w:r>
            <w:r w:rsidR="00EA5905">
              <w:rPr>
                <w:rFonts w:ascii="Calibri" w:hAnsi="Calibri" w:cs="Calibri"/>
                <w:sz w:val="20"/>
                <w:szCs w:val="20"/>
                <w:lang w:val="en-GB"/>
              </w:rPr>
              <w:t xml:space="preserve"> audit planning and work </w:t>
            </w:r>
            <w:r w:rsidR="00EA5905">
              <w:rPr>
                <w:rFonts w:ascii="Calibri" w:hAnsi="Calibri" w:cs="Calibri"/>
                <w:sz w:val="20"/>
                <w:szCs w:val="20"/>
                <w:lang w:val="en-GB"/>
              </w:rPr>
              <w:t>are</w:t>
            </w:r>
            <w:r w:rsidR="00EA5905">
              <w:rPr>
                <w:rFonts w:ascii="Calibri" w:hAnsi="Calibri" w:cs="Calibri"/>
                <w:sz w:val="20"/>
                <w:szCs w:val="20"/>
                <w:lang w:val="en-GB"/>
              </w:rPr>
              <w:t xml:space="preserve"> conducted in a satisfactory manner.</w:t>
            </w:r>
          </w:p>
        </w:tc>
      </w:tr>
      <w:tr w:rsidR="002A723E" w:rsidRPr="002A723E" w14:paraId="34B3FE58" w14:textId="77777777" w:rsidTr="187A9B7B">
        <w:tc>
          <w:tcPr>
            <w:tcW w:w="4675" w:type="dxa"/>
          </w:tcPr>
          <w:p w14:paraId="39499863" w14:textId="77777777" w:rsidR="002A723E" w:rsidRPr="002A723E" w:rsidRDefault="002A723E" w:rsidP="00767A4F">
            <w:pPr>
              <w:spacing w:after="240"/>
              <w:jc w:val="both"/>
              <w:rPr>
                <w:rFonts w:ascii="Calibri" w:hAnsi="Calibri" w:cs="Calibri"/>
                <w:sz w:val="20"/>
                <w:szCs w:val="20"/>
                <w:lang w:val="en-GB"/>
              </w:rPr>
            </w:pPr>
            <w:r w:rsidRPr="002A723E">
              <w:rPr>
                <w:rFonts w:ascii="Calibri" w:hAnsi="Calibri" w:cs="Calibri"/>
                <w:sz w:val="20"/>
                <w:szCs w:val="20"/>
                <w:lang w:val="en-GB"/>
              </w:rPr>
              <w:t xml:space="preserve">Complexity of arrangements for: (i) pricing and reimbursement of medicines; and (ii) clawback tax calculation and management by the NHIH.   </w:t>
            </w:r>
          </w:p>
        </w:tc>
        <w:tc>
          <w:tcPr>
            <w:tcW w:w="4675" w:type="dxa"/>
          </w:tcPr>
          <w:p w14:paraId="5767F3A4" w14:textId="52CE39B9" w:rsidR="002A723E" w:rsidRPr="002A723E" w:rsidRDefault="002A723E" w:rsidP="00767A4F">
            <w:pPr>
              <w:spacing w:after="240"/>
              <w:jc w:val="both"/>
              <w:rPr>
                <w:rFonts w:ascii="Calibri" w:hAnsi="Calibri" w:cs="Calibri"/>
                <w:sz w:val="20"/>
                <w:szCs w:val="20"/>
                <w:lang w:val="en-GB"/>
              </w:rPr>
            </w:pPr>
            <w:r w:rsidRPr="002A723E">
              <w:rPr>
                <w:rFonts w:ascii="Calibri" w:hAnsi="Calibri" w:cs="Calibri"/>
                <w:sz w:val="20"/>
                <w:szCs w:val="20"/>
                <w:lang w:val="en-GB"/>
              </w:rPr>
              <w:t>T</w:t>
            </w:r>
            <w:r w:rsidR="00EA5905">
              <w:rPr>
                <w:rFonts w:ascii="Calibri" w:hAnsi="Calibri" w:cs="Calibri"/>
                <w:sz w:val="20"/>
                <w:szCs w:val="20"/>
                <w:lang w:val="en-GB"/>
              </w:rPr>
              <w:t xml:space="preserve">he Bank will review as part of the regular implementation support and supervision </w:t>
            </w:r>
            <w:r w:rsidR="00EA5905">
              <w:rPr>
                <w:rFonts w:ascii="Calibri" w:hAnsi="Calibri" w:cs="Calibri"/>
                <w:sz w:val="20"/>
                <w:szCs w:val="20"/>
                <w:lang w:val="en-GB"/>
              </w:rPr>
              <w:t xml:space="preserve">the aspects pertaining to </w:t>
            </w:r>
            <w:r w:rsidRPr="002A723E">
              <w:rPr>
                <w:rFonts w:ascii="Calibri" w:hAnsi="Calibri" w:cs="Calibri"/>
                <w:sz w:val="20"/>
                <w:szCs w:val="20"/>
                <w:lang w:val="en-GB"/>
              </w:rPr>
              <w:t>establishing the mechanism, including a system of internal controls, performance monitoring and oversight</w:t>
            </w:r>
            <w:r w:rsidR="00EA5905">
              <w:rPr>
                <w:rFonts w:ascii="Calibri" w:hAnsi="Calibri" w:cs="Calibri"/>
                <w:sz w:val="20"/>
                <w:szCs w:val="20"/>
                <w:lang w:val="en-GB"/>
              </w:rPr>
              <w:t>.</w:t>
            </w:r>
          </w:p>
          <w:p w14:paraId="49FAC713" w14:textId="77777777" w:rsidR="002A723E" w:rsidRPr="002A723E" w:rsidRDefault="002A723E" w:rsidP="00767A4F">
            <w:pPr>
              <w:spacing w:after="240"/>
              <w:jc w:val="both"/>
              <w:rPr>
                <w:rFonts w:ascii="Calibri" w:hAnsi="Calibri" w:cs="Calibri"/>
                <w:sz w:val="20"/>
                <w:szCs w:val="20"/>
                <w:lang w:val="en-GB"/>
              </w:rPr>
            </w:pPr>
            <w:r w:rsidRPr="002A723E">
              <w:rPr>
                <w:rFonts w:ascii="Calibri" w:hAnsi="Calibri" w:cs="Calibri"/>
                <w:sz w:val="20"/>
                <w:szCs w:val="20"/>
                <w:lang w:val="en-GB"/>
              </w:rPr>
              <w:t>To improve transparency and accountability, the MoH and NHIH pricing process for medicines will be completed and published on the NHIH website annually. Any notifications received on the pricing process will be duly tackled and outcome of investigations made public.</w:t>
            </w:r>
          </w:p>
        </w:tc>
      </w:tr>
      <w:tr w:rsidR="002A723E" w:rsidRPr="002A723E" w14:paraId="2E2783A4" w14:textId="77777777" w:rsidTr="187A9B7B">
        <w:tc>
          <w:tcPr>
            <w:tcW w:w="4675" w:type="dxa"/>
          </w:tcPr>
          <w:p w14:paraId="783132A8" w14:textId="523D6E05" w:rsidR="002A723E" w:rsidRPr="002A723E" w:rsidRDefault="002A723E" w:rsidP="002A723E">
            <w:pPr>
              <w:spacing w:after="240"/>
              <w:rPr>
                <w:rFonts w:ascii="Calibri" w:hAnsi="Calibri" w:cs="Calibri"/>
                <w:sz w:val="20"/>
                <w:szCs w:val="20"/>
                <w:lang w:val="en-GB"/>
              </w:rPr>
            </w:pPr>
            <w:r w:rsidRPr="002A723E">
              <w:rPr>
                <w:rFonts w:ascii="Calibri" w:hAnsi="Calibri" w:cs="Calibri"/>
                <w:sz w:val="20"/>
                <w:szCs w:val="20"/>
                <w:lang w:val="en-GB"/>
              </w:rPr>
              <w:lastRenderedPageBreak/>
              <w:t xml:space="preserve">The </w:t>
            </w:r>
            <w:r w:rsidR="00E22B24">
              <w:rPr>
                <w:rFonts w:ascii="Calibri" w:hAnsi="Calibri" w:cs="Calibri"/>
                <w:sz w:val="20"/>
                <w:szCs w:val="20"/>
                <w:lang w:val="en-GB"/>
              </w:rPr>
              <w:t xml:space="preserve">Romanian </w:t>
            </w:r>
            <w:r w:rsidRPr="002A723E">
              <w:rPr>
                <w:rFonts w:ascii="Calibri" w:hAnsi="Calibri" w:cs="Calibri"/>
                <w:sz w:val="20"/>
                <w:szCs w:val="20"/>
                <w:lang w:val="en-GB"/>
              </w:rPr>
              <w:t xml:space="preserve">Court of Accounts </w:t>
            </w:r>
            <w:r w:rsidR="00E22B24">
              <w:rPr>
                <w:rFonts w:ascii="Calibri" w:hAnsi="Calibri" w:cs="Calibri"/>
                <w:sz w:val="20"/>
                <w:szCs w:val="20"/>
                <w:lang w:val="en-GB"/>
              </w:rPr>
              <w:t xml:space="preserve">(RCoA) </w:t>
            </w:r>
            <w:r w:rsidRPr="002A723E">
              <w:rPr>
                <w:rFonts w:ascii="Calibri" w:hAnsi="Calibri" w:cs="Calibri"/>
                <w:sz w:val="20"/>
                <w:szCs w:val="20"/>
                <w:lang w:val="en-GB"/>
              </w:rPr>
              <w:t>may not have enough capacity and experience in auditing the new activities proposed under the Program</w:t>
            </w:r>
          </w:p>
        </w:tc>
        <w:tc>
          <w:tcPr>
            <w:tcW w:w="4675" w:type="dxa"/>
          </w:tcPr>
          <w:p w14:paraId="21EA2203" w14:textId="0BAD45D8" w:rsidR="002A723E" w:rsidRPr="002A723E" w:rsidRDefault="000D2BC3" w:rsidP="002A723E">
            <w:pPr>
              <w:spacing w:after="240"/>
              <w:rPr>
                <w:rFonts w:ascii="Calibri" w:hAnsi="Calibri" w:cs="Calibri"/>
                <w:sz w:val="20"/>
                <w:szCs w:val="20"/>
                <w:lang w:val="en-GB"/>
              </w:rPr>
            </w:pPr>
            <w:r w:rsidRPr="00767A4F">
              <w:rPr>
                <w:rFonts w:ascii="Calibri" w:hAnsi="Calibri" w:cs="Calibri"/>
                <w:sz w:val="20"/>
                <w:szCs w:val="20"/>
                <w:lang w:val="en-GB"/>
              </w:rPr>
              <w:t xml:space="preserve">RCoA is presently undertaking </w:t>
            </w:r>
            <w:r>
              <w:rPr>
                <w:rFonts w:ascii="Calibri" w:hAnsi="Calibri" w:cs="Calibri"/>
                <w:sz w:val="20"/>
                <w:szCs w:val="20"/>
                <w:lang w:val="en-GB"/>
              </w:rPr>
              <w:t xml:space="preserve">a </w:t>
            </w:r>
            <w:r w:rsidRPr="00767A4F">
              <w:rPr>
                <w:rFonts w:ascii="Calibri" w:hAnsi="Calibri" w:cs="Calibri"/>
                <w:sz w:val="20"/>
                <w:szCs w:val="20"/>
                <w:lang w:val="en-GB"/>
              </w:rPr>
              <w:t xml:space="preserve">comprehensive institutional reform and capacity building effort, under a separately-funded initiative. It is intended that as that capacity is attained, the RCoA may be engaged to audit the Program financial statements. In the interim, this assessment proposes engaging a private sector firm under terms of reference acceptable to the Bank. </w:t>
            </w:r>
          </w:p>
        </w:tc>
      </w:tr>
      <w:tr w:rsidR="002A723E" w:rsidRPr="002A723E" w14:paraId="2739813E" w14:textId="77777777" w:rsidTr="006C054E">
        <w:tc>
          <w:tcPr>
            <w:tcW w:w="9350" w:type="dxa"/>
            <w:gridSpan w:val="2"/>
          </w:tcPr>
          <w:p w14:paraId="3CF1E70C" w14:textId="77777777" w:rsidR="002A723E" w:rsidRPr="002A723E" w:rsidRDefault="002A723E" w:rsidP="002A723E">
            <w:pPr>
              <w:rPr>
                <w:rFonts w:ascii="Calibri" w:hAnsi="Calibri" w:cs="Calibri"/>
                <w:b/>
                <w:sz w:val="22"/>
                <w:lang w:val="en-GB"/>
              </w:rPr>
            </w:pPr>
            <w:r w:rsidRPr="002A723E">
              <w:rPr>
                <w:rFonts w:ascii="Calibri" w:hAnsi="Calibri" w:cs="Calibri"/>
                <w:b/>
                <w:sz w:val="22"/>
                <w:lang w:val="en-GB"/>
              </w:rPr>
              <w:t>Procurement</w:t>
            </w:r>
          </w:p>
        </w:tc>
      </w:tr>
      <w:tr w:rsidR="002A723E" w:rsidRPr="002A723E" w14:paraId="53CC2CBD" w14:textId="77777777" w:rsidTr="773BB04F">
        <w:tc>
          <w:tcPr>
            <w:tcW w:w="4675" w:type="dxa"/>
          </w:tcPr>
          <w:p w14:paraId="641FDEBE" w14:textId="151597C5" w:rsidR="002A723E" w:rsidRPr="002A723E" w:rsidRDefault="002A723E" w:rsidP="00767A4F">
            <w:pPr>
              <w:jc w:val="both"/>
              <w:rPr>
                <w:rFonts w:ascii="Calibri" w:hAnsi="Calibri" w:cs="Calibri"/>
                <w:sz w:val="20"/>
                <w:szCs w:val="20"/>
                <w:lang w:val="en-GB"/>
              </w:rPr>
            </w:pPr>
            <w:r w:rsidRPr="002A723E">
              <w:rPr>
                <w:rFonts w:ascii="Calibri" w:hAnsi="Calibri" w:cs="Calibri"/>
                <w:sz w:val="20"/>
                <w:szCs w:val="20"/>
                <w:lang w:val="en-GB"/>
              </w:rPr>
              <w:t>ONAC is newly established and has not yet developed requisite capacity to perform the full range of procurement activities, including of specialized medical supplies and equipment</w:t>
            </w:r>
          </w:p>
        </w:tc>
        <w:tc>
          <w:tcPr>
            <w:tcW w:w="4675" w:type="dxa"/>
          </w:tcPr>
          <w:p w14:paraId="35B11A35" w14:textId="77777777" w:rsidR="002A723E" w:rsidRPr="002A723E" w:rsidRDefault="002A723E" w:rsidP="00767A4F">
            <w:pPr>
              <w:spacing w:after="240"/>
              <w:jc w:val="both"/>
              <w:rPr>
                <w:rFonts w:ascii="Calibri" w:hAnsi="Calibri" w:cs="Calibri"/>
                <w:sz w:val="20"/>
                <w:szCs w:val="20"/>
                <w:lang w:val="en-GB"/>
              </w:rPr>
            </w:pPr>
            <w:r w:rsidRPr="002A723E">
              <w:rPr>
                <w:rFonts w:ascii="Calibri" w:hAnsi="Calibri" w:cs="Calibri"/>
                <w:sz w:val="20"/>
                <w:szCs w:val="20"/>
                <w:lang w:val="en-GB"/>
              </w:rPr>
              <w:t xml:space="preserve">Technical assistance to build capacity including establishing systems and resources for efficient and effective performance. </w:t>
            </w:r>
          </w:p>
          <w:p w14:paraId="66472E68" w14:textId="77777777" w:rsidR="002A723E" w:rsidRPr="002A723E" w:rsidRDefault="002A723E" w:rsidP="00767A4F">
            <w:pPr>
              <w:spacing w:after="240"/>
              <w:jc w:val="both"/>
              <w:rPr>
                <w:rFonts w:ascii="Calibri" w:hAnsi="Calibri" w:cs="Calibri"/>
                <w:sz w:val="20"/>
                <w:szCs w:val="20"/>
                <w:lang w:val="en-GB"/>
              </w:rPr>
            </w:pPr>
            <w:r w:rsidRPr="002A723E">
              <w:rPr>
                <w:rFonts w:ascii="Calibri" w:hAnsi="Calibri" w:cs="Calibri"/>
                <w:sz w:val="20"/>
                <w:szCs w:val="20"/>
                <w:lang w:val="en-GB"/>
              </w:rPr>
              <w:t>Establishment of mechanisms for ongoing specialized supplies’ procurement support by the MoH</w:t>
            </w:r>
          </w:p>
        </w:tc>
      </w:tr>
      <w:tr w:rsidR="002A723E" w:rsidRPr="002A723E" w14:paraId="25ECF2F8" w14:textId="77777777" w:rsidTr="773BB04F">
        <w:tc>
          <w:tcPr>
            <w:tcW w:w="4675" w:type="dxa"/>
          </w:tcPr>
          <w:p w14:paraId="5ADD2A25" w14:textId="77777777" w:rsidR="002A723E" w:rsidRPr="002A723E" w:rsidRDefault="002A723E" w:rsidP="00767A4F">
            <w:pPr>
              <w:spacing w:after="240"/>
              <w:jc w:val="both"/>
              <w:rPr>
                <w:rFonts w:ascii="Calibri" w:hAnsi="Calibri" w:cs="Calibri"/>
                <w:sz w:val="20"/>
                <w:szCs w:val="20"/>
                <w:lang w:val="en-GB"/>
              </w:rPr>
            </w:pPr>
            <w:r w:rsidRPr="002A723E">
              <w:rPr>
                <w:rFonts w:ascii="Calibri" w:hAnsi="Calibri" w:cs="Calibri"/>
                <w:sz w:val="20"/>
                <w:szCs w:val="20"/>
              </w:rPr>
              <w:t>Lack of electronic platforms to collect and consolidate the procurement needs of beneficiaries delays the preparation of the tenders and unnecessarily increases the level of effort of personnel managing the procurement process</w:t>
            </w:r>
          </w:p>
        </w:tc>
        <w:tc>
          <w:tcPr>
            <w:tcW w:w="4675" w:type="dxa"/>
          </w:tcPr>
          <w:p w14:paraId="71A6C553" w14:textId="77777777" w:rsidR="002A723E" w:rsidRPr="002A723E" w:rsidRDefault="002A723E" w:rsidP="00767A4F">
            <w:pPr>
              <w:jc w:val="both"/>
              <w:rPr>
                <w:rFonts w:ascii="Calibri" w:hAnsi="Calibri" w:cs="Calibri"/>
                <w:sz w:val="20"/>
                <w:szCs w:val="20"/>
                <w:lang w:val="en-GB"/>
              </w:rPr>
            </w:pPr>
            <w:r w:rsidRPr="002A723E">
              <w:rPr>
                <w:rFonts w:ascii="Calibri" w:hAnsi="Calibri" w:cs="Calibri"/>
                <w:sz w:val="20"/>
                <w:szCs w:val="20"/>
              </w:rPr>
              <w:t>Complete the initiated development of the proposed electronic platform</w:t>
            </w:r>
          </w:p>
        </w:tc>
      </w:tr>
      <w:tr w:rsidR="002A723E" w:rsidRPr="002A723E" w14:paraId="478DB395" w14:textId="77777777" w:rsidTr="773BB04F">
        <w:tc>
          <w:tcPr>
            <w:tcW w:w="4675" w:type="dxa"/>
          </w:tcPr>
          <w:p w14:paraId="0E31EAA4" w14:textId="77777777" w:rsidR="002A723E" w:rsidRPr="002A723E" w:rsidRDefault="002A723E" w:rsidP="00767A4F">
            <w:pPr>
              <w:spacing w:after="240"/>
              <w:contextualSpacing/>
              <w:jc w:val="both"/>
              <w:rPr>
                <w:rFonts w:ascii="Calibri" w:hAnsi="Calibri" w:cs="Calibri"/>
                <w:sz w:val="20"/>
                <w:szCs w:val="20"/>
              </w:rPr>
            </w:pPr>
            <w:r w:rsidRPr="002A723E">
              <w:rPr>
                <w:rFonts w:ascii="Calibri" w:hAnsi="Calibri" w:cs="Calibri"/>
                <w:sz w:val="20"/>
                <w:szCs w:val="20"/>
              </w:rPr>
              <w:t>Limited experience with IT procurement might delay the procurement process and affect its quality and outcome</w:t>
            </w:r>
          </w:p>
          <w:p w14:paraId="2C034130" w14:textId="77777777" w:rsidR="002A723E" w:rsidRPr="002A723E" w:rsidRDefault="002A723E" w:rsidP="00767A4F">
            <w:pPr>
              <w:spacing w:after="240"/>
              <w:contextualSpacing/>
              <w:jc w:val="both"/>
              <w:rPr>
                <w:rFonts w:ascii="Calibri" w:hAnsi="Calibri" w:cs="Calibri"/>
                <w:sz w:val="20"/>
                <w:szCs w:val="20"/>
                <w:lang w:val="en-GB"/>
              </w:rPr>
            </w:pPr>
          </w:p>
        </w:tc>
        <w:tc>
          <w:tcPr>
            <w:tcW w:w="4675" w:type="dxa"/>
          </w:tcPr>
          <w:p w14:paraId="13E89D57" w14:textId="762FD873" w:rsidR="002A723E" w:rsidRPr="002A723E" w:rsidRDefault="002A723E" w:rsidP="00767A4F">
            <w:pPr>
              <w:contextualSpacing/>
              <w:jc w:val="both"/>
              <w:rPr>
                <w:rFonts w:ascii="Calibri" w:eastAsia="Calibri" w:hAnsi="Calibri" w:cs="Calibri"/>
                <w:sz w:val="20"/>
                <w:szCs w:val="20"/>
              </w:rPr>
            </w:pPr>
            <w:r w:rsidRPr="002A723E">
              <w:rPr>
                <w:rFonts w:ascii="Calibri" w:eastAsia="Calibri" w:hAnsi="Calibri" w:cs="Calibri"/>
                <w:sz w:val="20"/>
                <w:szCs w:val="20"/>
              </w:rPr>
              <w:t>Enhance the IT expertise</w:t>
            </w:r>
            <w:r w:rsidR="773BB04F" w:rsidRPr="002A723E">
              <w:rPr>
                <w:rFonts w:ascii="Calibri" w:eastAsia="Calibri" w:hAnsi="Calibri" w:cs="Calibri"/>
                <w:sz w:val="20"/>
                <w:szCs w:val="20"/>
              </w:rPr>
              <w:t xml:space="preserve">, </w:t>
            </w:r>
            <w:r w:rsidR="00DC0C31">
              <w:rPr>
                <w:rFonts w:ascii="Calibri" w:eastAsia="Calibri" w:hAnsi="Calibri" w:cs="Calibri"/>
                <w:sz w:val="20"/>
                <w:szCs w:val="20"/>
              </w:rPr>
              <w:t>e</w:t>
            </w:r>
            <w:r w:rsidR="773BB04F">
              <w:rPr>
                <w:rFonts w:ascii="Calibri" w:eastAsia="Calibri" w:hAnsi="Calibri" w:cs="Calibri"/>
                <w:sz w:val="20"/>
                <w:szCs w:val="20"/>
              </w:rPr>
              <w:t xml:space="preserve">.g. </w:t>
            </w:r>
            <w:r w:rsidRPr="002A723E">
              <w:rPr>
                <w:rFonts w:ascii="Calibri" w:eastAsia="Calibri" w:hAnsi="Calibri" w:cs="Calibri"/>
                <w:sz w:val="20"/>
                <w:szCs w:val="20"/>
              </w:rPr>
              <w:t>through technical assistance programs and/or employ specialists in the area</w:t>
            </w:r>
          </w:p>
          <w:p w14:paraId="5DE8D058" w14:textId="77777777" w:rsidR="002A723E" w:rsidRPr="002A723E" w:rsidRDefault="002A723E" w:rsidP="00767A4F">
            <w:pPr>
              <w:jc w:val="both"/>
              <w:rPr>
                <w:rFonts w:ascii="Calibri" w:hAnsi="Calibri" w:cs="Calibri"/>
                <w:sz w:val="20"/>
                <w:szCs w:val="20"/>
              </w:rPr>
            </w:pPr>
          </w:p>
        </w:tc>
      </w:tr>
    </w:tbl>
    <w:p w14:paraId="222F3F63" w14:textId="77777777" w:rsidR="002A723E" w:rsidRDefault="002A723E" w:rsidP="002A723E">
      <w:pPr>
        <w:widowControl w:val="0"/>
        <w:tabs>
          <w:tab w:val="left" w:pos="810"/>
        </w:tabs>
        <w:autoSpaceDE w:val="0"/>
        <w:autoSpaceDN w:val="0"/>
        <w:adjustRightInd w:val="0"/>
        <w:contextualSpacing/>
        <w:jc w:val="both"/>
        <w:rPr>
          <w:rFonts w:ascii="Calibri" w:eastAsia="Calibri" w:hAnsi="Calibri" w:cs="Calibri"/>
          <w:sz w:val="22"/>
        </w:rPr>
      </w:pPr>
    </w:p>
    <w:p w14:paraId="634311C6" w14:textId="03733AC5" w:rsidR="006159FA" w:rsidRDefault="008C5712" w:rsidP="00673100">
      <w:pPr>
        <w:widowControl w:val="0"/>
        <w:tabs>
          <w:tab w:val="left" w:pos="810"/>
        </w:tabs>
        <w:autoSpaceDE w:val="0"/>
        <w:autoSpaceDN w:val="0"/>
        <w:adjustRightInd w:val="0"/>
        <w:contextualSpacing/>
        <w:jc w:val="both"/>
        <w:rPr>
          <w:rFonts w:asciiTheme="minorHAnsi" w:eastAsia="Calibri" w:hAnsiTheme="minorHAnsi" w:cstheme="minorHAnsi"/>
          <w:iCs/>
          <w:sz w:val="22"/>
        </w:rPr>
      </w:pPr>
      <w:r w:rsidRPr="00C468EB">
        <w:rPr>
          <w:rFonts w:asciiTheme="minorHAnsi" w:eastAsia="Calibri" w:hAnsiTheme="minorHAnsi" w:cstheme="minorHAnsi"/>
          <w:b/>
          <w:sz w:val="22"/>
        </w:rPr>
        <w:t>Procurement Exclusions:</w:t>
      </w:r>
      <w:r w:rsidRPr="00C468EB">
        <w:rPr>
          <w:rFonts w:asciiTheme="minorHAnsi" w:eastAsia="Calibri" w:hAnsiTheme="minorHAnsi" w:cstheme="minorHAnsi"/>
          <w:sz w:val="22"/>
        </w:rPr>
        <w:t xml:space="preserve"> </w:t>
      </w:r>
      <w:r w:rsidR="001F2F92" w:rsidRPr="00C468EB">
        <w:rPr>
          <w:rFonts w:asciiTheme="minorHAnsi" w:eastAsia="Calibri" w:hAnsiTheme="minorHAnsi" w:cstheme="minorHAnsi"/>
          <w:sz w:val="22"/>
        </w:rPr>
        <w:t xml:space="preserve">The Program </w:t>
      </w:r>
      <w:r w:rsidR="00D6326B" w:rsidRPr="00C468EB">
        <w:rPr>
          <w:rFonts w:asciiTheme="minorHAnsi" w:eastAsia="Calibri" w:hAnsiTheme="minorHAnsi" w:cstheme="minorHAnsi"/>
          <w:iCs/>
          <w:sz w:val="22"/>
        </w:rPr>
        <w:t>will require financing of goods and services needed to achieve the agreed milestones and DLIs</w:t>
      </w:r>
      <w:r w:rsidR="00D86EFD">
        <w:rPr>
          <w:rFonts w:asciiTheme="minorHAnsi" w:eastAsia="Calibri" w:hAnsiTheme="minorHAnsi" w:cstheme="minorHAnsi"/>
          <w:iCs/>
          <w:sz w:val="22"/>
        </w:rPr>
        <w:t>.</w:t>
      </w:r>
      <w:r w:rsidR="00250273">
        <w:rPr>
          <w:rFonts w:asciiTheme="minorHAnsi" w:eastAsia="Calibri" w:hAnsiTheme="minorHAnsi" w:cstheme="minorHAnsi"/>
          <w:iCs/>
          <w:sz w:val="22"/>
        </w:rPr>
        <w:t xml:space="preserve"> </w:t>
      </w:r>
      <w:r w:rsidR="00D6326B" w:rsidRPr="00C468EB">
        <w:rPr>
          <w:rFonts w:asciiTheme="minorHAnsi" w:eastAsia="Calibri" w:hAnsiTheme="minorHAnsi" w:cstheme="minorHAnsi"/>
          <w:iCs/>
          <w:sz w:val="22"/>
        </w:rPr>
        <w:t>The size of contracts is envisaged to be small</w:t>
      </w:r>
      <w:r w:rsidR="00D86EFD">
        <w:rPr>
          <w:rFonts w:asciiTheme="minorHAnsi" w:eastAsia="Calibri" w:hAnsiTheme="minorHAnsi" w:cstheme="minorHAnsi"/>
          <w:iCs/>
          <w:sz w:val="22"/>
        </w:rPr>
        <w:t xml:space="preserve"> to medium</w:t>
      </w:r>
      <w:r w:rsidR="00250273">
        <w:rPr>
          <w:rFonts w:asciiTheme="minorHAnsi" w:eastAsia="Calibri" w:hAnsiTheme="minorHAnsi" w:cstheme="minorHAnsi"/>
          <w:iCs/>
          <w:sz w:val="22"/>
        </w:rPr>
        <w:t xml:space="preserve"> and </w:t>
      </w:r>
      <w:r w:rsidR="00BF4C8C">
        <w:rPr>
          <w:rFonts w:asciiTheme="minorHAnsi" w:eastAsia="Calibri" w:hAnsiTheme="minorHAnsi" w:cstheme="minorHAnsi"/>
          <w:iCs/>
          <w:sz w:val="22"/>
        </w:rPr>
        <w:t xml:space="preserve">as such, </w:t>
      </w:r>
      <w:r w:rsidR="00D6326B" w:rsidRPr="00AA7108">
        <w:rPr>
          <w:rFonts w:asciiTheme="minorHAnsi" w:eastAsia="Calibri" w:hAnsiTheme="minorHAnsi" w:cstheme="minorHAnsi"/>
          <w:iCs/>
          <w:sz w:val="22"/>
        </w:rPr>
        <w:t>the Program is not expected to include the financing of contracts which would require the mandatory review by the Bank’s Operational Procurement Review Committee</w:t>
      </w:r>
      <w:r w:rsidR="00250273">
        <w:rPr>
          <w:rFonts w:asciiTheme="minorHAnsi" w:eastAsia="Calibri" w:hAnsiTheme="minorHAnsi" w:cstheme="minorHAnsi"/>
          <w:iCs/>
          <w:sz w:val="22"/>
        </w:rPr>
        <w:t xml:space="preserve"> (OPRC)</w:t>
      </w:r>
      <w:r w:rsidR="00D6326B" w:rsidRPr="00AA7108">
        <w:rPr>
          <w:rFonts w:asciiTheme="minorHAnsi" w:eastAsia="Calibri" w:hAnsiTheme="minorHAnsi" w:cstheme="minorHAnsi"/>
          <w:iCs/>
          <w:sz w:val="22"/>
        </w:rPr>
        <w:t>.</w:t>
      </w:r>
      <w:r w:rsidR="007D26CF">
        <w:rPr>
          <w:rFonts w:asciiTheme="minorHAnsi" w:eastAsia="Calibri" w:hAnsiTheme="minorHAnsi" w:cstheme="minorHAnsi"/>
          <w:iCs/>
          <w:sz w:val="22"/>
        </w:rPr>
        <w:t xml:space="preserve"> </w:t>
      </w:r>
      <w:r w:rsidR="00816341">
        <w:rPr>
          <w:rFonts w:asciiTheme="minorHAnsi" w:eastAsia="Calibri" w:hAnsiTheme="minorHAnsi" w:cstheme="minorHAnsi"/>
          <w:iCs/>
          <w:sz w:val="22"/>
        </w:rPr>
        <w:t xml:space="preserve">Detailed analysis provided in Section C. </w:t>
      </w:r>
    </w:p>
    <w:p w14:paraId="05F91727" w14:textId="115D2532" w:rsidR="00B25C46" w:rsidRPr="002A723E" w:rsidRDefault="00B25C46" w:rsidP="006159FA">
      <w:pPr>
        <w:widowControl w:val="0"/>
        <w:tabs>
          <w:tab w:val="left" w:pos="810"/>
        </w:tabs>
        <w:autoSpaceDE w:val="0"/>
        <w:autoSpaceDN w:val="0"/>
        <w:adjustRightInd w:val="0"/>
        <w:contextualSpacing/>
        <w:jc w:val="both"/>
        <w:rPr>
          <w:rFonts w:ascii="Calibri" w:eastAsia="Calibri" w:hAnsi="Calibri" w:cs="Calibri"/>
          <w:sz w:val="22"/>
        </w:rPr>
      </w:pPr>
    </w:p>
    <w:p w14:paraId="360112D3" w14:textId="77777777" w:rsidR="00AE3DF1" w:rsidRPr="00C62310" w:rsidRDefault="00AE3DF1" w:rsidP="008F726F">
      <w:pPr>
        <w:pStyle w:val="PforRStyle1"/>
        <w:rPr>
          <w:rFonts w:ascii="Calibri" w:hAnsi="Calibri" w:cs="Calibri"/>
          <w:sz w:val="22"/>
          <w:szCs w:val="22"/>
        </w:rPr>
      </w:pPr>
      <w:bookmarkStart w:id="2" w:name="_Toc12467025"/>
      <w:r w:rsidRPr="00C62310">
        <w:rPr>
          <w:rFonts w:ascii="Calibri" w:hAnsi="Calibri" w:cs="Calibri"/>
          <w:sz w:val="22"/>
          <w:szCs w:val="22"/>
        </w:rPr>
        <w:t>Background and Institutional Arrangements</w:t>
      </w:r>
      <w:bookmarkEnd w:id="2"/>
    </w:p>
    <w:p w14:paraId="360112D4" w14:textId="3D68ABB5" w:rsidR="005C335D" w:rsidRPr="00C62310" w:rsidRDefault="00B078B5" w:rsidP="005E2E33">
      <w:pPr>
        <w:jc w:val="both"/>
        <w:rPr>
          <w:rFonts w:ascii="Calibri" w:hAnsi="Calibri" w:cs="Calibri"/>
          <w:sz w:val="22"/>
        </w:rPr>
      </w:pPr>
      <w:r w:rsidRPr="00C62310">
        <w:rPr>
          <w:rFonts w:ascii="Calibri" w:hAnsi="Calibri" w:cs="Calibri"/>
          <w:sz w:val="22"/>
        </w:rPr>
        <w:t xml:space="preserve">In preparation for the Program for Result operation in support of </w:t>
      </w:r>
      <w:r w:rsidR="00FD0CBC">
        <w:rPr>
          <w:rFonts w:ascii="Calibri" w:hAnsi="Calibri" w:cs="Calibri"/>
          <w:sz w:val="22"/>
        </w:rPr>
        <w:t xml:space="preserve">the </w:t>
      </w:r>
      <w:r w:rsidR="008E6A28" w:rsidRPr="00C62310">
        <w:rPr>
          <w:rFonts w:ascii="Calibri" w:hAnsi="Calibri" w:cs="Calibri"/>
          <w:sz w:val="22"/>
        </w:rPr>
        <w:t>Romania</w:t>
      </w:r>
      <w:r w:rsidRPr="00C62310">
        <w:rPr>
          <w:rFonts w:ascii="Calibri" w:hAnsi="Calibri" w:cs="Calibri"/>
          <w:sz w:val="22"/>
        </w:rPr>
        <w:t>’s National Health Strategy 201</w:t>
      </w:r>
      <w:r w:rsidR="008E6A28" w:rsidRPr="00C62310">
        <w:rPr>
          <w:rFonts w:ascii="Calibri" w:hAnsi="Calibri" w:cs="Calibri"/>
          <w:sz w:val="22"/>
        </w:rPr>
        <w:t>4</w:t>
      </w:r>
      <w:r w:rsidRPr="00C62310">
        <w:rPr>
          <w:rFonts w:ascii="Calibri" w:hAnsi="Calibri" w:cs="Calibri"/>
          <w:sz w:val="22"/>
        </w:rPr>
        <w:t xml:space="preserve">-2020, an Integrated Fiduciary Assessment </w:t>
      </w:r>
      <w:r w:rsidR="004C7CCF" w:rsidRPr="00C62310">
        <w:rPr>
          <w:rFonts w:ascii="Calibri" w:hAnsi="Calibri" w:cs="Calibri"/>
          <w:sz w:val="22"/>
        </w:rPr>
        <w:t xml:space="preserve">(FSA) </w:t>
      </w:r>
      <w:r w:rsidRPr="00C62310">
        <w:rPr>
          <w:rFonts w:ascii="Calibri" w:hAnsi="Calibri" w:cs="Calibri"/>
          <w:sz w:val="22"/>
        </w:rPr>
        <w:t>(including governance), was conducted.</w:t>
      </w:r>
      <w:r w:rsidR="00284599" w:rsidRPr="00C62310">
        <w:rPr>
          <w:rFonts w:ascii="Calibri" w:hAnsi="Calibri" w:cs="Calibri"/>
          <w:sz w:val="22"/>
        </w:rPr>
        <w:t xml:space="preserve">  As the program has been defined in the technical assessment, the fiduciary and governance assessment </w:t>
      </w:r>
      <w:proofErr w:type="gramStart"/>
      <w:r w:rsidR="00523BD1" w:rsidRPr="00C62310">
        <w:rPr>
          <w:rFonts w:ascii="Calibri" w:hAnsi="Calibri" w:cs="Calibri"/>
          <w:sz w:val="22"/>
        </w:rPr>
        <w:t>cover</w:t>
      </w:r>
      <w:r w:rsidR="000D2BC3">
        <w:rPr>
          <w:rFonts w:ascii="Calibri" w:hAnsi="Calibri" w:cs="Calibri"/>
          <w:sz w:val="22"/>
        </w:rPr>
        <w:t>s</w:t>
      </w:r>
      <w:proofErr w:type="gramEnd"/>
      <w:r w:rsidR="00284599" w:rsidRPr="00C62310">
        <w:rPr>
          <w:rFonts w:ascii="Calibri" w:hAnsi="Calibri" w:cs="Calibri"/>
          <w:sz w:val="22"/>
        </w:rPr>
        <w:t xml:space="preserve"> </w:t>
      </w:r>
      <w:r w:rsidR="00FD0CBC">
        <w:rPr>
          <w:rFonts w:ascii="Calibri" w:hAnsi="Calibri" w:cs="Calibri"/>
          <w:sz w:val="22"/>
        </w:rPr>
        <w:t xml:space="preserve">the </w:t>
      </w:r>
      <w:r w:rsidR="00284599" w:rsidRPr="00C62310">
        <w:rPr>
          <w:rFonts w:ascii="Calibri" w:hAnsi="Calibri" w:cs="Calibri"/>
          <w:sz w:val="22"/>
        </w:rPr>
        <w:t>Ministry of Health</w:t>
      </w:r>
      <w:r w:rsidR="008E6A28" w:rsidRPr="00C62310">
        <w:rPr>
          <w:rFonts w:ascii="Calibri" w:hAnsi="Calibri" w:cs="Calibri"/>
          <w:sz w:val="22"/>
        </w:rPr>
        <w:t xml:space="preserve"> (MoH)</w:t>
      </w:r>
      <w:r w:rsidR="00284599" w:rsidRPr="00C62310">
        <w:rPr>
          <w:rFonts w:ascii="Calibri" w:hAnsi="Calibri" w:cs="Calibri"/>
          <w:sz w:val="22"/>
        </w:rPr>
        <w:t xml:space="preserve">, </w:t>
      </w:r>
      <w:r w:rsidR="008E6A28" w:rsidRPr="00C62310">
        <w:rPr>
          <w:rFonts w:ascii="Calibri" w:hAnsi="Calibri" w:cs="Calibri"/>
          <w:sz w:val="22"/>
        </w:rPr>
        <w:t>National Insurance Health House (NHIH) and ONAC (under MoPF) as main entities contributing towards Program activities and results.</w:t>
      </w:r>
    </w:p>
    <w:p w14:paraId="360112D5" w14:textId="77777777" w:rsidR="005C335D" w:rsidRPr="00C62310" w:rsidRDefault="005C335D" w:rsidP="005E2E33">
      <w:pPr>
        <w:jc w:val="both"/>
        <w:rPr>
          <w:rFonts w:ascii="Calibri" w:hAnsi="Calibri" w:cs="Calibri"/>
          <w:sz w:val="22"/>
        </w:rPr>
      </w:pPr>
    </w:p>
    <w:p w14:paraId="6D75AEEB" w14:textId="5AE31F74" w:rsidR="00035381" w:rsidRDefault="00035381" w:rsidP="00035381">
      <w:pPr>
        <w:jc w:val="both"/>
        <w:rPr>
          <w:rFonts w:ascii="Calibri" w:hAnsi="Calibri" w:cs="Calibri"/>
          <w:sz w:val="22"/>
        </w:rPr>
      </w:pPr>
      <w:r w:rsidRPr="00C62310">
        <w:rPr>
          <w:rFonts w:ascii="Calibri" w:hAnsi="Calibri" w:cs="Calibri"/>
          <w:b/>
          <w:sz w:val="22"/>
        </w:rPr>
        <w:t xml:space="preserve">The scope of the FSA covers the Program institutional framework, fiduciary capacity and implementation performance, and institutions and systems responsible for governance and anti-corruption aspects within the Program. </w:t>
      </w:r>
      <w:r w:rsidRPr="00C62310">
        <w:rPr>
          <w:rFonts w:ascii="Calibri" w:hAnsi="Calibri" w:cs="Calibri"/>
          <w:sz w:val="22"/>
        </w:rPr>
        <w:t xml:space="preserve">It covers: (i) financial management (FM) arrangements such as planning, budgeting, accounting, internal controls, funds flow, financial reporting, and auditing; and (ii) procurement arrangements (such as planning, bidding, evaluation, contract award, and contract administration) of the Program. The FSA considers the degree to which: </w:t>
      </w:r>
    </w:p>
    <w:p w14:paraId="137A68F0" w14:textId="77777777" w:rsidR="002A723E" w:rsidRPr="00C62310" w:rsidRDefault="002A723E" w:rsidP="00035381">
      <w:pPr>
        <w:jc w:val="both"/>
        <w:rPr>
          <w:rFonts w:ascii="Calibri" w:hAnsi="Calibri" w:cs="Calibri"/>
          <w:sz w:val="22"/>
        </w:rPr>
      </w:pPr>
    </w:p>
    <w:p w14:paraId="56C45BD0" w14:textId="4682E7F5" w:rsidR="00035381" w:rsidRDefault="00035381" w:rsidP="00C62310">
      <w:pPr>
        <w:numPr>
          <w:ilvl w:val="0"/>
          <w:numId w:val="8"/>
        </w:numPr>
        <w:ind w:left="360"/>
        <w:jc w:val="both"/>
        <w:rPr>
          <w:rFonts w:ascii="Calibri" w:hAnsi="Calibri" w:cs="Calibri"/>
          <w:sz w:val="22"/>
        </w:rPr>
      </w:pPr>
      <w:r w:rsidRPr="00C62310">
        <w:rPr>
          <w:rFonts w:ascii="Calibri" w:hAnsi="Calibri" w:cs="Calibri"/>
          <w:sz w:val="22"/>
        </w:rPr>
        <w:lastRenderedPageBreak/>
        <w:t>From a procurement perspective there are reasonable: (i) arrangements for planning and budgeting; (ii) procurement rules and such rules are easily accessible to the public; (iii) capacit</w:t>
      </w:r>
      <w:r w:rsidR="008E1A89">
        <w:rPr>
          <w:rFonts w:ascii="Calibri" w:hAnsi="Calibri" w:cs="Calibri"/>
          <w:sz w:val="22"/>
        </w:rPr>
        <w:t>ies</w:t>
      </w:r>
      <w:r w:rsidRPr="00C62310">
        <w:rPr>
          <w:rFonts w:ascii="Calibri" w:hAnsi="Calibri" w:cs="Calibri"/>
          <w:sz w:val="22"/>
        </w:rPr>
        <w:t xml:space="preserve"> for contract management and administration; (iv) complaint mechanisms, including clarity on how they are utilized; (v) systems for the Program oversight and control and; </w:t>
      </w:r>
    </w:p>
    <w:p w14:paraId="570F22E4" w14:textId="77777777" w:rsidR="002A723E" w:rsidRPr="00C62310" w:rsidRDefault="002A723E" w:rsidP="004247CA">
      <w:pPr>
        <w:jc w:val="both"/>
        <w:rPr>
          <w:rFonts w:ascii="Calibri" w:hAnsi="Calibri" w:cs="Calibri"/>
          <w:sz w:val="22"/>
        </w:rPr>
      </w:pPr>
    </w:p>
    <w:p w14:paraId="460330E0" w14:textId="3ED0B106" w:rsidR="00035381" w:rsidRPr="00C62310" w:rsidRDefault="00035381" w:rsidP="00C62310">
      <w:pPr>
        <w:numPr>
          <w:ilvl w:val="0"/>
          <w:numId w:val="8"/>
        </w:numPr>
        <w:ind w:left="360"/>
        <w:jc w:val="both"/>
        <w:rPr>
          <w:rFonts w:ascii="Calibri" w:hAnsi="Calibri" w:cs="Calibri"/>
          <w:sz w:val="22"/>
        </w:rPr>
      </w:pPr>
      <w:r w:rsidRPr="00C62310">
        <w:rPr>
          <w:rFonts w:ascii="Calibri" w:hAnsi="Calibri" w:cs="Calibri"/>
          <w:sz w:val="22"/>
        </w:rPr>
        <w:t>From a financial management perspective: (i) the budgeted expenditures are realistic, prepared with due regard to relevant policies, and executed in an orderly and predictable manner; (ii) reasonable records are maintained and financial reports produced and disseminated for decision-making, management, and reporting; (iii) adequate funds are available to finance the Program; (iv) there are reasonable controls over the Program funds; and (v) independent audit arrangements are in place.</w:t>
      </w:r>
    </w:p>
    <w:p w14:paraId="672414BC" w14:textId="77777777" w:rsidR="00035381" w:rsidRPr="00C62310" w:rsidRDefault="00035381" w:rsidP="00C62310">
      <w:pPr>
        <w:ind w:left="360"/>
        <w:jc w:val="both"/>
        <w:rPr>
          <w:rFonts w:ascii="Calibri" w:hAnsi="Calibri" w:cs="Calibri"/>
          <w:sz w:val="22"/>
        </w:rPr>
      </w:pPr>
    </w:p>
    <w:p w14:paraId="0376D3F3" w14:textId="017A763E" w:rsidR="00035381" w:rsidRPr="00C62310" w:rsidRDefault="00035381" w:rsidP="00C62310">
      <w:pPr>
        <w:jc w:val="both"/>
        <w:rPr>
          <w:rFonts w:ascii="Calibri" w:hAnsi="Calibri" w:cs="Calibri"/>
          <w:sz w:val="22"/>
        </w:rPr>
      </w:pPr>
      <w:r w:rsidRPr="00C62310">
        <w:rPr>
          <w:rFonts w:ascii="Calibri" w:hAnsi="Calibri" w:cs="Calibri"/>
          <w:b/>
          <w:sz w:val="22"/>
        </w:rPr>
        <w:t xml:space="preserve">The FSA also considers how the Program systems handle the risks of fraud and corruption, including by providing complaint mechanisms, and how such risks are managed and/or mitigated. </w:t>
      </w:r>
      <w:r w:rsidRPr="00C62310">
        <w:rPr>
          <w:rFonts w:ascii="Calibri" w:hAnsi="Calibri" w:cs="Calibri"/>
          <w:sz w:val="22"/>
        </w:rPr>
        <w:t>At the national level, the Program will be implemented by the MoH, NHIH and ONAC. The Program will be coordinated by the MoPF</w:t>
      </w:r>
      <w:r w:rsidR="00FD0CBC">
        <w:rPr>
          <w:rFonts w:ascii="Calibri" w:hAnsi="Calibri" w:cs="Calibri"/>
          <w:sz w:val="22"/>
        </w:rPr>
        <w:t xml:space="preserve"> while the</w:t>
      </w:r>
      <w:r w:rsidRPr="00C62310">
        <w:rPr>
          <w:rFonts w:ascii="Calibri" w:hAnsi="Calibri" w:cs="Calibri"/>
          <w:sz w:val="22"/>
        </w:rPr>
        <w:t xml:space="preserve"> fiduciary responsibilities will be carried out by the MoH, NHIH and ONAC. </w:t>
      </w:r>
    </w:p>
    <w:p w14:paraId="360112D7" w14:textId="77777777" w:rsidR="003818B0" w:rsidRPr="00C62310" w:rsidRDefault="003818B0" w:rsidP="00B078B5">
      <w:pPr>
        <w:rPr>
          <w:rFonts w:ascii="Calibri" w:hAnsi="Calibri" w:cs="Calibri"/>
          <w:sz w:val="22"/>
        </w:rPr>
      </w:pPr>
    </w:p>
    <w:p w14:paraId="360112D8" w14:textId="1BD699CA" w:rsidR="003818B0" w:rsidRPr="00C62310" w:rsidRDefault="00083E60" w:rsidP="00951121">
      <w:pPr>
        <w:pStyle w:val="PforRStyle2"/>
        <w:keepNext/>
        <w:rPr>
          <w:rFonts w:ascii="Calibri" w:hAnsi="Calibri" w:cs="Calibri"/>
          <w:sz w:val="22"/>
          <w:szCs w:val="22"/>
        </w:rPr>
      </w:pPr>
      <w:bookmarkStart w:id="3" w:name="_Toc12467026"/>
      <w:r w:rsidRPr="00C62310">
        <w:rPr>
          <w:rFonts w:ascii="Calibri" w:hAnsi="Calibri" w:cs="Calibri"/>
          <w:sz w:val="22"/>
          <w:szCs w:val="22"/>
        </w:rPr>
        <w:t>Institutional Framework</w:t>
      </w:r>
      <w:bookmarkEnd w:id="3"/>
      <w:r w:rsidR="00243B42" w:rsidRPr="00C62310">
        <w:rPr>
          <w:rFonts w:ascii="Calibri" w:hAnsi="Calibri" w:cs="Calibri"/>
          <w:sz w:val="22"/>
          <w:szCs w:val="22"/>
        </w:rPr>
        <w:t xml:space="preserve"> </w:t>
      </w:r>
    </w:p>
    <w:p w14:paraId="14341E1C" w14:textId="3DA7E201" w:rsidR="00F27386" w:rsidRPr="00C62310" w:rsidRDefault="00035381" w:rsidP="00035381">
      <w:pPr>
        <w:jc w:val="both"/>
        <w:rPr>
          <w:rFonts w:ascii="Calibri" w:hAnsi="Calibri" w:cs="Calibri"/>
          <w:i/>
          <w:sz w:val="22"/>
        </w:rPr>
      </w:pPr>
      <w:bookmarkStart w:id="4" w:name="_Hlk4089777"/>
      <w:r w:rsidRPr="00C62310">
        <w:rPr>
          <w:rFonts w:ascii="Calibri" w:hAnsi="Calibri" w:cs="Calibri"/>
          <w:b/>
          <w:i/>
          <w:sz w:val="22"/>
        </w:rPr>
        <w:t>Procurement Legislative Framework</w:t>
      </w:r>
      <w:r w:rsidR="00F27386" w:rsidRPr="00C62310">
        <w:rPr>
          <w:rFonts w:ascii="Calibri" w:hAnsi="Calibri" w:cs="Calibri"/>
          <w:i/>
          <w:sz w:val="22"/>
        </w:rPr>
        <w:t xml:space="preserve"> </w:t>
      </w:r>
    </w:p>
    <w:bookmarkEnd w:id="4"/>
    <w:p w14:paraId="2C442660" w14:textId="77777777" w:rsidR="00F27386" w:rsidRPr="00C62310" w:rsidRDefault="00F27386" w:rsidP="00035381">
      <w:pPr>
        <w:jc w:val="both"/>
        <w:rPr>
          <w:rFonts w:ascii="Calibri" w:hAnsi="Calibri" w:cs="Calibri"/>
          <w:sz w:val="22"/>
        </w:rPr>
      </w:pPr>
    </w:p>
    <w:p w14:paraId="787714C6" w14:textId="3436C43E" w:rsidR="00035381" w:rsidRPr="00C62310" w:rsidRDefault="00035381" w:rsidP="00C62310">
      <w:pPr>
        <w:jc w:val="both"/>
        <w:rPr>
          <w:rFonts w:ascii="Calibri" w:hAnsi="Calibri" w:cs="Calibri"/>
          <w:sz w:val="22"/>
        </w:rPr>
      </w:pPr>
      <w:r w:rsidRPr="00C62310">
        <w:rPr>
          <w:rFonts w:ascii="Calibri" w:hAnsi="Calibri" w:cs="Calibri"/>
          <w:b/>
          <w:sz w:val="22"/>
        </w:rPr>
        <w:t>The governing law in public procurement is the Law No. 98/2016 on public procurement (PPL)</w:t>
      </w:r>
      <w:r w:rsidR="00F27386" w:rsidRPr="00C62310">
        <w:rPr>
          <w:rFonts w:ascii="Calibri" w:hAnsi="Calibri" w:cs="Calibri"/>
          <w:b/>
          <w:sz w:val="22"/>
        </w:rPr>
        <w:t xml:space="preserve"> that</w:t>
      </w:r>
      <w:r w:rsidRPr="00C62310">
        <w:rPr>
          <w:rFonts w:ascii="Calibri" w:hAnsi="Calibri" w:cs="Calibri"/>
          <w:b/>
          <w:sz w:val="22"/>
        </w:rPr>
        <w:t xml:space="preserve"> covers procurement of goods, services, and works</w:t>
      </w:r>
      <w:r w:rsidRPr="00C62310">
        <w:rPr>
          <w:rFonts w:ascii="Calibri" w:hAnsi="Calibri" w:cs="Calibri"/>
          <w:sz w:val="22"/>
        </w:rPr>
        <w:t xml:space="preserve">. The law regulates the </w:t>
      </w:r>
      <w:r w:rsidR="00032C5C" w:rsidRPr="00C62310">
        <w:rPr>
          <w:rFonts w:ascii="Calibri" w:hAnsi="Calibri" w:cs="Calibri"/>
          <w:sz w:val="22"/>
        </w:rPr>
        <w:t>way</w:t>
      </w:r>
      <w:r w:rsidRPr="00C62310">
        <w:rPr>
          <w:rFonts w:ascii="Calibri" w:hAnsi="Calibri" w:cs="Calibri"/>
          <w:sz w:val="22"/>
        </w:rPr>
        <w:t xml:space="preserve"> public procurement is conducted, the tools and specialized techniques which can be applied for award of public procurement contracts and some specific aspects which relate to the execution of public procurement contracts. Subject to established exceptions, the PPL applies to all public procurement contracts above a defined threshold (Article 7 (1)). Contracts estimated to cost less than the specified thresholds are subject to simplified procedures which will follow the principles of non-discrimination, equal treatment, mutual recognition, transparency, proportionality and responsibility. Another set of thresholds defined in the PPL (Article 7 (5)) allow for the application of direct contracting procedures by the contracting authorities. The entire legislative package is published on the website of the National Agency for Public Procurement (ANAP) and is easily accessible to the public. Procurement under the proposed Program will be conducted in accordance with the existing PPL and subsequent amendments to it. </w:t>
      </w:r>
    </w:p>
    <w:p w14:paraId="0B64D769" w14:textId="77777777" w:rsidR="00035381" w:rsidRPr="00C62310" w:rsidRDefault="00035381" w:rsidP="00C62310">
      <w:pPr>
        <w:pStyle w:val="PforRStyle2"/>
        <w:keepNext/>
        <w:numPr>
          <w:ilvl w:val="0"/>
          <w:numId w:val="0"/>
        </w:numPr>
        <w:spacing w:after="0"/>
        <w:ind w:left="1080"/>
        <w:rPr>
          <w:rFonts w:ascii="Calibri" w:hAnsi="Calibri" w:cs="Calibri"/>
          <w:sz w:val="22"/>
          <w:szCs w:val="22"/>
        </w:rPr>
      </w:pPr>
    </w:p>
    <w:p w14:paraId="36A884C7" w14:textId="34134ABA" w:rsidR="00035381" w:rsidRPr="00C62310" w:rsidRDefault="00035381" w:rsidP="00F27386">
      <w:pPr>
        <w:jc w:val="both"/>
        <w:rPr>
          <w:rFonts w:ascii="Calibri" w:hAnsi="Calibri" w:cs="Calibri"/>
          <w:sz w:val="22"/>
        </w:rPr>
      </w:pPr>
      <w:r w:rsidRPr="00C62310">
        <w:rPr>
          <w:rFonts w:ascii="Calibri" w:hAnsi="Calibri" w:cs="Calibri"/>
          <w:b/>
          <w:sz w:val="22"/>
        </w:rPr>
        <w:t>The Law is supported by its implementing rules adopted by Government Decision no. 395/2016 on public procurement and a Web-based Guide which covers the entire procurement cycles from setting the needs, market consultations, conducting the procedure, contract signature and contract management</w:t>
      </w:r>
      <w:r w:rsidRPr="00C62310">
        <w:rPr>
          <w:rFonts w:ascii="Calibri" w:hAnsi="Calibri" w:cs="Calibri"/>
          <w:sz w:val="22"/>
        </w:rPr>
        <w:t>. The Guide includes additional guidance, tools, instruments and templates, as well as best practices and standardized tender documents for specific categories of services, goods and works, for the use of the contracting authorities. Standard tender documents for supplies were adopted by Order of the President of ANAP in March 2019, which establishes the format and mandatory minimum content of the tender documents to be elaborated by the contracting authorities.</w:t>
      </w:r>
    </w:p>
    <w:p w14:paraId="6F0B6327" w14:textId="77777777" w:rsidR="00F27386" w:rsidRPr="00C62310" w:rsidRDefault="00F27386" w:rsidP="00C62310">
      <w:pPr>
        <w:jc w:val="both"/>
        <w:rPr>
          <w:rFonts w:ascii="Calibri" w:hAnsi="Calibri" w:cs="Calibri"/>
          <w:sz w:val="22"/>
        </w:rPr>
      </w:pPr>
    </w:p>
    <w:p w14:paraId="1CAD833F" w14:textId="2B8846F1" w:rsidR="00035381" w:rsidRPr="00C62310" w:rsidRDefault="00035381" w:rsidP="00C62310">
      <w:pPr>
        <w:jc w:val="both"/>
        <w:rPr>
          <w:rFonts w:ascii="Calibri" w:hAnsi="Calibri" w:cs="Calibri"/>
          <w:sz w:val="22"/>
        </w:rPr>
      </w:pPr>
      <w:r w:rsidRPr="00C62310">
        <w:rPr>
          <w:rFonts w:ascii="Calibri" w:hAnsi="Calibri" w:cs="Calibri"/>
          <w:b/>
          <w:sz w:val="22"/>
        </w:rPr>
        <w:t>A national strategy on public procurement was adopted in 2015</w:t>
      </w:r>
      <w:r w:rsidRPr="00C62310">
        <w:rPr>
          <w:rFonts w:ascii="Calibri" w:hAnsi="Calibri" w:cs="Calibri"/>
          <w:sz w:val="22"/>
        </w:rPr>
        <w:t>. The strategy envisages measures aimed to improve the quality of the legislative framework, to ensure overall coherence and efficiency of the institutional system, to enhance the regularity and quality of the public procurement process and, at the same time, to raise capacity of the contracting authorities with emphasis on professionalization and integrity issues. Most of the measures are fully implemented, and for the measures where implementation is still pending or ongoing, the E</w:t>
      </w:r>
      <w:r w:rsidR="00C82EF8">
        <w:rPr>
          <w:rFonts w:ascii="Calibri" w:hAnsi="Calibri" w:cs="Calibri"/>
          <w:sz w:val="22"/>
        </w:rPr>
        <w:t xml:space="preserve">uropean </w:t>
      </w:r>
      <w:r w:rsidRPr="00C62310">
        <w:rPr>
          <w:rFonts w:ascii="Calibri" w:hAnsi="Calibri" w:cs="Calibri"/>
          <w:sz w:val="22"/>
        </w:rPr>
        <w:t>C</w:t>
      </w:r>
      <w:r w:rsidR="00C82EF8">
        <w:rPr>
          <w:rFonts w:ascii="Calibri" w:hAnsi="Calibri" w:cs="Calibri"/>
          <w:sz w:val="22"/>
        </w:rPr>
        <w:t>ommission</w:t>
      </w:r>
      <w:r w:rsidRPr="00C62310">
        <w:rPr>
          <w:rFonts w:ascii="Calibri" w:hAnsi="Calibri" w:cs="Calibri"/>
          <w:sz w:val="22"/>
        </w:rPr>
        <w:t xml:space="preserve"> concluded that the actions taken has led to </w:t>
      </w:r>
      <w:r w:rsidRPr="00C62310">
        <w:rPr>
          <w:rFonts w:ascii="Calibri" w:hAnsi="Calibri" w:cs="Calibri"/>
          <w:sz w:val="22"/>
        </w:rPr>
        <w:lastRenderedPageBreak/>
        <w:t>irreversible progress in the right direction; however further monitoring is still necessary. Pending measures mainly refer to the continuation of the ex-ante control reform, centralized procurement, and professionalization.</w:t>
      </w:r>
    </w:p>
    <w:p w14:paraId="3B0570E1" w14:textId="77777777" w:rsidR="00F27386" w:rsidRPr="00C62310" w:rsidRDefault="00F27386" w:rsidP="00F27386">
      <w:pPr>
        <w:jc w:val="both"/>
        <w:rPr>
          <w:rFonts w:ascii="Calibri" w:hAnsi="Calibri" w:cs="Calibri"/>
          <w:b/>
          <w:i/>
          <w:sz w:val="22"/>
        </w:rPr>
      </w:pPr>
    </w:p>
    <w:p w14:paraId="4790B8F7" w14:textId="28CC4300" w:rsidR="00035381" w:rsidRDefault="00F27386" w:rsidP="00767A4F">
      <w:pPr>
        <w:spacing w:after="200" w:line="276" w:lineRule="auto"/>
        <w:rPr>
          <w:rFonts w:ascii="Calibri" w:hAnsi="Calibri" w:cs="Calibri"/>
          <w:b/>
          <w:i/>
          <w:sz w:val="22"/>
        </w:rPr>
      </w:pPr>
      <w:r w:rsidRPr="00C62310">
        <w:rPr>
          <w:rFonts w:ascii="Calibri" w:hAnsi="Calibri" w:cs="Calibri"/>
          <w:b/>
          <w:i/>
          <w:sz w:val="22"/>
        </w:rPr>
        <w:t>Financial Management Legislative Framework</w:t>
      </w:r>
    </w:p>
    <w:p w14:paraId="1E15CC07" w14:textId="4111E3F8" w:rsidR="008F4155" w:rsidRDefault="00E30612" w:rsidP="008F4155">
      <w:pPr>
        <w:jc w:val="both"/>
        <w:rPr>
          <w:rFonts w:ascii="Calibri" w:hAnsi="Calibri" w:cs="Calibri"/>
          <w:sz w:val="22"/>
        </w:rPr>
      </w:pPr>
      <w:r w:rsidRPr="00E30612">
        <w:rPr>
          <w:rFonts w:ascii="Calibri" w:hAnsi="Calibri" w:cs="Calibri"/>
          <w:b/>
          <w:sz w:val="22"/>
        </w:rPr>
        <w:t xml:space="preserve">Since 2002, </w:t>
      </w:r>
      <w:r w:rsidR="008F4155" w:rsidRPr="00E30612">
        <w:rPr>
          <w:rFonts w:ascii="Calibri" w:hAnsi="Calibri" w:cs="Calibri"/>
          <w:b/>
          <w:sz w:val="22"/>
        </w:rPr>
        <w:t xml:space="preserve">Romania has made great strides steps toward modernizing its PFM </w:t>
      </w:r>
      <w:r w:rsidRPr="00E30612">
        <w:rPr>
          <w:rFonts w:ascii="Calibri" w:hAnsi="Calibri" w:cs="Calibri"/>
          <w:b/>
          <w:sz w:val="22"/>
        </w:rPr>
        <w:t xml:space="preserve">system, but progress achieved should be sustained and reforms continued. </w:t>
      </w:r>
      <w:r w:rsidR="008F4155" w:rsidRPr="008F4155">
        <w:rPr>
          <w:rFonts w:ascii="Calibri" w:hAnsi="Calibri" w:cs="Calibri"/>
          <w:sz w:val="22"/>
        </w:rPr>
        <w:t>The Public Finance Law of 2002 and the Fiscal Responsibility Law of 2010</w:t>
      </w:r>
      <w:r>
        <w:rPr>
          <w:rFonts w:ascii="Calibri" w:hAnsi="Calibri" w:cs="Calibri"/>
          <w:sz w:val="22"/>
        </w:rPr>
        <w:t xml:space="preserve"> </w:t>
      </w:r>
      <w:r w:rsidR="008F4155" w:rsidRPr="008F4155">
        <w:rPr>
          <w:rFonts w:ascii="Calibri" w:hAnsi="Calibri" w:cs="Calibri"/>
          <w:sz w:val="22"/>
        </w:rPr>
        <w:t xml:space="preserve">provide a comprehensive regulatory foundation for the operation of a results-oriented PFM system. </w:t>
      </w:r>
      <w:r>
        <w:rPr>
          <w:rFonts w:ascii="Calibri" w:hAnsi="Calibri" w:cs="Calibri"/>
          <w:sz w:val="22"/>
        </w:rPr>
        <w:t>T</w:t>
      </w:r>
      <w:r w:rsidR="008F4155" w:rsidRPr="008F4155">
        <w:rPr>
          <w:rFonts w:ascii="Calibri" w:hAnsi="Calibri" w:cs="Calibri"/>
          <w:sz w:val="22"/>
        </w:rPr>
        <w:t xml:space="preserve">he country has built up </w:t>
      </w:r>
      <w:r>
        <w:rPr>
          <w:rFonts w:ascii="Calibri" w:hAnsi="Calibri" w:cs="Calibri"/>
          <w:sz w:val="22"/>
        </w:rPr>
        <w:t xml:space="preserve">the </w:t>
      </w:r>
      <w:r w:rsidR="008F4155" w:rsidRPr="008F4155">
        <w:rPr>
          <w:rFonts w:ascii="Calibri" w:hAnsi="Calibri" w:cs="Calibri"/>
          <w:sz w:val="22"/>
        </w:rPr>
        <w:t xml:space="preserve">macroeconomic and fiscal forecasting, established a </w:t>
      </w:r>
      <w:r>
        <w:rPr>
          <w:rFonts w:ascii="Calibri" w:hAnsi="Calibri" w:cs="Calibri"/>
          <w:sz w:val="22"/>
        </w:rPr>
        <w:t>T</w:t>
      </w:r>
      <w:r w:rsidR="008F4155" w:rsidRPr="008F4155">
        <w:rPr>
          <w:rFonts w:ascii="Calibri" w:hAnsi="Calibri" w:cs="Calibri"/>
          <w:sz w:val="22"/>
        </w:rPr>
        <w:t>reasury single account, introduced more efficient management of the portfolio of significant public investment projects</w:t>
      </w:r>
      <w:r w:rsidR="008F4155" w:rsidRPr="00E30612">
        <w:rPr>
          <w:rFonts w:ascii="Calibri" w:hAnsi="Calibri" w:cs="Calibri"/>
          <w:sz w:val="22"/>
          <w:vertAlign w:val="superscript"/>
        </w:rPr>
        <w:footnoteReference w:id="1"/>
      </w:r>
      <w:r w:rsidR="008F4155" w:rsidRPr="008F4155">
        <w:rPr>
          <w:rFonts w:ascii="Calibri" w:hAnsi="Calibri" w:cs="Calibri"/>
          <w:sz w:val="22"/>
        </w:rPr>
        <w:t xml:space="preserve"> and set up the Fiscal Council.</w:t>
      </w:r>
    </w:p>
    <w:p w14:paraId="666370BE" w14:textId="0FE90616" w:rsidR="00E30612" w:rsidRDefault="00E30612" w:rsidP="008F4155">
      <w:pPr>
        <w:jc w:val="both"/>
        <w:rPr>
          <w:rFonts w:ascii="Calibri" w:hAnsi="Calibri" w:cs="Calibri"/>
          <w:sz w:val="22"/>
        </w:rPr>
      </w:pPr>
    </w:p>
    <w:p w14:paraId="799B4465" w14:textId="2E1662DF" w:rsidR="00E30612" w:rsidRPr="00FF31E4" w:rsidRDefault="00E30612" w:rsidP="008F4155">
      <w:pPr>
        <w:jc w:val="both"/>
        <w:rPr>
          <w:rFonts w:ascii="Calibri" w:hAnsi="Calibri" w:cs="Calibri"/>
          <w:sz w:val="22"/>
        </w:rPr>
      </w:pPr>
      <w:r w:rsidRPr="00E30612">
        <w:rPr>
          <w:rFonts w:ascii="Calibri" w:hAnsi="Calibri" w:cs="Calibri"/>
          <w:b/>
          <w:sz w:val="22"/>
        </w:rPr>
        <w:t>The country PFM system is regulated through a plethora of comprehensive legislative and methodological norms.</w:t>
      </w:r>
      <w:r>
        <w:rPr>
          <w:rFonts w:ascii="Calibri" w:hAnsi="Calibri" w:cs="Calibri"/>
          <w:b/>
          <w:sz w:val="22"/>
        </w:rPr>
        <w:t xml:space="preserve"> </w:t>
      </w:r>
      <w:r w:rsidR="00FF31E4">
        <w:rPr>
          <w:rFonts w:ascii="Calibri" w:hAnsi="Calibri" w:cs="Calibri"/>
          <w:sz w:val="22"/>
        </w:rPr>
        <w:t xml:space="preserve">Processes are well-regulated and closely monitored by MoPF. </w:t>
      </w:r>
      <w:r w:rsidRPr="00FF31E4">
        <w:rPr>
          <w:rFonts w:ascii="Calibri" w:hAnsi="Calibri" w:cs="Calibri"/>
          <w:sz w:val="22"/>
        </w:rPr>
        <w:t xml:space="preserve">Some of the </w:t>
      </w:r>
      <w:r w:rsidR="00FF31E4" w:rsidRPr="00FF31E4">
        <w:rPr>
          <w:rFonts w:ascii="Calibri" w:hAnsi="Calibri" w:cs="Calibri"/>
          <w:sz w:val="22"/>
        </w:rPr>
        <w:t>most relevant</w:t>
      </w:r>
      <w:r w:rsidR="007537A1">
        <w:rPr>
          <w:rFonts w:ascii="Calibri" w:hAnsi="Calibri" w:cs="Calibri"/>
          <w:sz w:val="22"/>
        </w:rPr>
        <w:t xml:space="preserve"> pieces of legislation</w:t>
      </w:r>
      <w:r w:rsidRPr="00FF31E4">
        <w:rPr>
          <w:rFonts w:ascii="Calibri" w:hAnsi="Calibri" w:cs="Calibri"/>
          <w:sz w:val="22"/>
        </w:rPr>
        <w:t xml:space="preserve"> are listed below:</w:t>
      </w:r>
    </w:p>
    <w:p w14:paraId="3C31D383" w14:textId="5E8C20EE" w:rsidR="00E30612" w:rsidRPr="00003C23" w:rsidRDefault="00E30612" w:rsidP="008F4155">
      <w:pPr>
        <w:jc w:val="both"/>
        <w:rPr>
          <w:rFonts w:ascii="Calibri" w:hAnsi="Calibri" w:cs="Calibri"/>
          <w:sz w:val="22"/>
        </w:rPr>
      </w:pPr>
    </w:p>
    <w:p w14:paraId="3FD8856E" w14:textId="30A56189" w:rsidR="00E30612" w:rsidRPr="00003C23" w:rsidRDefault="00E30612" w:rsidP="00003C23">
      <w:pPr>
        <w:numPr>
          <w:ilvl w:val="0"/>
          <w:numId w:val="30"/>
        </w:numPr>
        <w:jc w:val="both"/>
        <w:rPr>
          <w:rFonts w:ascii="Calibri" w:hAnsi="Calibri" w:cs="Calibri"/>
          <w:sz w:val="22"/>
        </w:rPr>
      </w:pPr>
      <w:r w:rsidRPr="00003C23">
        <w:rPr>
          <w:rFonts w:ascii="Calibri" w:hAnsi="Calibri" w:cs="Calibri"/>
          <w:sz w:val="22"/>
        </w:rPr>
        <w:t>Public Finance Law no. 500/2002, as amended and supplemented;</w:t>
      </w:r>
    </w:p>
    <w:p w14:paraId="02C5D920" w14:textId="4150B84E" w:rsidR="00E30612" w:rsidRPr="00003C23" w:rsidRDefault="000218D1" w:rsidP="00003C23">
      <w:pPr>
        <w:numPr>
          <w:ilvl w:val="0"/>
          <w:numId w:val="30"/>
        </w:numPr>
        <w:jc w:val="both"/>
        <w:rPr>
          <w:rFonts w:ascii="Calibri" w:hAnsi="Calibri" w:cs="Calibri"/>
          <w:sz w:val="22"/>
        </w:rPr>
      </w:pPr>
      <w:r w:rsidRPr="00003C23">
        <w:rPr>
          <w:rFonts w:ascii="Calibri" w:hAnsi="Calibri" w:cs="Calibri"/>
          <w:sz w:val="22"/>
        </w:rPr>
        <w:t>Fiscal-</w:t>
      </w:r>
      <w:r w:rsidR="00003C23">
        <w:rPr>
          <w:rFonts w:ascii="Calibri" w:hAnsi="Calibri" w:cs="Calibri"/>
          <w:sz w:val="22"/>
        </w:rPr>
        <w:t xml:space="preserve">Budgetary </w:t>
      </w:r>
      <w:r w:rsidRPr="00003C23">
        <w:rPr>
          <w:rFonts w:ascii="Calibri" w:hAnsi="Calibri" w:cs="Calibri"/>
          <w:sz w:val="22"/>
        </w:rPr>
        <w:t>Responsibility Law</w:t>
      </w:r>
      <w:r w:rsidR="00003C23">
        <w:rPr>
          <w:rFonts w:ascii="Calibri" w:hAnsi="Calibri" w:cs="Calibri"/>
          <w:sz w:val="22"/>
        </w:rPr>
        <w:t xml:space="preserve"> no. 69/2010, republished;</w:t>
      </w:r>
      <w:r w:rsidRPr="00003C23">
        <w:rPr>
          <w:rFonts w:ascii="Calibri" w:hAnsi="Calibri" w:cs="Calibri"/>
          <w:sz w:val="22"/>
        </w:rPr>
        <w:t xml:space="preserve"> </w:t>
      </w:r>
    </w:p>
    <w:p w14:paraId="7B2762C9" w14:textId="474CDF36" w:rsidR="00E30612" w:rsidRPr="00003C23" w:rsidRDefault="00E30612" w:rsidP="00003C23">
      <w:pPr>
        <w:numPr>
          <w:ilvl w:val="0"/>
          <w:numId w:val="30"/>
        </w:numPr>
        <w:jc w:val="both"/>
        <w:rPr>
          <w:rFonts w:ascii="Calibri" w:hAnsi="Calibri" w:cs="Calibri"/>
          <w:sz w:val="22"/>
        </w:rPr>
      </w:pPr>
      <w:r w:rsidRPr="00003C23">
        <w:rPr>
          <w:rFonts w:ascii="Calibri" w:hAnsi="Calibri" w:cs="Calibri"/>
          <w:sz w:val="22"/>
        </w:rPr>
        <w:t>Government Ordinance no. 119/1999, republished, on internal</w:t>
      </w:r>
      <w:r w:rsidR="00FF31E4">
        <w:rPr>
          <w:rFonts w:ascii="Calibri" w:hAnsi="Calibri" w:cs="Calibri"/>
          <w:sz w:val="22"/>
        </w:rPr>
        <w:t xml:space="preserve"> </w:t>
      </w:r>
      <w:r w:rsidRPr="00003C23">
        <w:rPr>
          <w:rFonts w:ascii="Calibri" w:hAnsi="Calibri" w:cs="Calibri"/>
          <w:sz w:val="22"/>
        </w:rPr>
        <w:t>managerial control and preventive financial control, with subsequent amendments and additions;</w:t>
      </w:r>
    </w:p>
    <w:p w14:paraId="3105A1C6" w14:textId="380131EF" w:rsidR="00E30612" w:rsidRPr="00003C23" w:rsidRDefault="00E30612" w:rsidP="00003C23">
      <w:pPr>
        <w:numPr>
          <w:ilvl w:val="0"/>
          <w:numId w:val="30"/>
        </w:numPr>
        <w:jc w:val="both"/>
        <w:rPr>
          <w:rFonts w:ascii="Calibri" w:hAnsi="Calibri" w:cs="Calibri"/>
          <w:sz w:val="22"/>
        </w:rPr>
      </w:pPr>
      <w:r w:rsidRPr="00003C23">
        <w:rPr>
          <w:rFonts w:ascii="Calibri" w:hAnsi="Calibri" w:cs="Calibri"/>
          <w:sz w:val="22"/>
        </w:rPr>
        <w:t>MoPF Order no. 923/2014, republished, approving the general methodological norms to exercise preventive financial control and the specific Code of professional norms for persons performing the internal financial preventive control activity, as subsequently amended and supplemented</w:t>
      </w:r>
      <w:r w:rsidR="000218D1" w:rsidRPr="00003C23">
        <w:rPr>
          <w:rFonts w:ascii="Calibri" w:hAnsi="Calibri" w:cs="Calibri"/>
          <w:sz w:val="22"/>
        </w:rPr>
        <w:t>;</w:t>
      </w:r>
    </w:p>
    <w:p w14:paraId="401BF0F0" w14:textId="74765691" w:rsidR="00E30612" w:rsidRPr="00003C23" w:rsidRDefault="000218D1" w:rsidP="00003C23">
      <w:pPr>
        <w:numPr>
          <w:ilvl w:val="0"/>
          <w:numId w:val="30"/>
        </w:numPr>
        <w:jc w:val="both"/>
        <w:rPr>
          <w:rFonts w:ascii="Calibri" w:hAnsi="Calibri" w:cs="Calibri"/>
          <w:sz w:val="22"/>
        </w:rPr>
      </w:pPr>
      <w:r w:rsidRPr="00003C23">
        <w:rPr>
          <w:rFonts w:ascii="Calibri" w:hAnsi="Calibri" w:cs="Calibri"/>
          <w:sz w:val="22"/>
        </w:rPr>
        <w:t>MoPF Order</w:t>
      </w:r>
      <w:r w:rsidR="00E30612" w:rsidRPr="00003C23">
        <w:rPr>
          <w:rFonts w:ascii="Calibri" w:hAnsi="Calibri" w:cs="Calibri"/>
          <w:sz w:val="22"/>
        </w:rPr>
        <w:t xml:space="preserve"> no. 1792/2002 approving the </w:t>
      </w:r>
      <w:r w:rsidRPr="00003C23">
        <w:rPr>
          <w:rFonts w:ascii="Calibri" w:hAnsi="Calibri" w:cs="Calibri"/>
          <w:sz w:val="22"/>
        </w:rPr>
        <w:t>m</w:t>
      </w:r>
      <w:r w:rsidR="00E30612" w:rsidRPr="00003C23">
        <w:rPr>
          <w:rFonts w:ascii="Calibri" w:hAnsi="Calibri" w:cs="Calibri"/>
          <w:sz w:val="22"/>
        </w:rPr>
        <w:t xml:space="preserve">ethodological </w:t>
      </w:r>
      <w:r w:rsidRPr="00003C23">
        <w:rPr>
          <w:rFonts w:ascii="Calibri" w:hAnsi="Calibri" w:cs="Calibri"/>
          <w:sz w:val="22"/>
        </w:rPr>
        <w:t>n</w:t>
      </w:r>
      <w:r w:rsidR="00E30612" w:rsidRPr="00003C23">
        <w:rPr>
          <w:rFonts w:ascii="Calibri" w:hAnsi="Calibri" w:cs="Calibri"/>
          <w:sz w:val="22"/>
        </w:rPr>
        <w:t xml:space="preserve">orms regarding </w:t>
      </w:r>
      <w:r w:rsidR="00FF31E4" w:rsidRPr="00003C23">
        <w:rPr>
          <w:rFonts w:ascii="Calibri" w:hAnsi="Calibri" w:cs="Calibri"/>
          <w:sz w:val="22"/>
        </w:rPr>
        <w:t>commitment</w:t>
      </w:r>
      <w:r w:rsidR="00E30612" w:rsidRPr="00003C23">
        <w:rPr>
          <w:rFonts w:ascii="Calibri" w:hAnsi="Calibri" w:cs="Calibri"/>
          <w:sz w:val="22"/>
        </w:rPr>
        <w:t xml:space="preserve">, </w:t>
      </w:r>
      <w:r w:rsidRPr="00003C23">
        <w:rPr>
          <w:rFonts w:ascii="Calibri" w:hAnsi="Calibri" w:cs="Calibri"/>
          <w:sz w:val="22"/>
        </w:rPr>
        <w:t>verification</w:t>
      </w:r>
      <w:r w:rsidR="00E30612" w:rsidRPr="00003C23">
        <w:rPr>
          <w:rFonts w:ascii="Calibri" w:hAnsi="Calibri" w:cs="Calibri"/>
          <w:sz w:val="22"/>
        </w:rPr>
        <w:t>, authorization and payment (ALOP) of public institutions</w:t>
      </w:r>
      <w:r w:rsidRPr="00003C23">
        <w:rPr>
          <w:rFonts w:ascii="Calibri" w:hAnsi="Calibri" w:cs="Calibri"/>
          <w:sz w:val="22"/>
        </w:rPr>
        <w:t xml:space="preserve"> expenses,</w:t>
      </w:r>
      <w:r w:rsidR="00E30612" w:rsidRPr="00003C23">
        <w:rPr>
          <w:rFonts w:ascii="Calibri" w:hAnsi="Calibri" w:cs="Calibri"/>
          <w:sz w:val="22"/>
        </w:rPr>
        <w:t xml:space="preserve"> as well as the organization, recording and reporting of budgetary and legal commitments, with subsequent amendments and </w:t>
      </w:r>
      <w:r w:rsidRPr="00003C23">
        <w:rPr>
          <w:rFonts w:ascii="Calibri" w:hAnsi="Calibri" w:cs="Calibri"/>
          <w:sz w:val="22"/>
        </w:rPr>
        <w:t>additions;</w:t>
      </w:r>
    </w:p>
    <w:p w14:paraId="0AF6F005" w14:textId="4832D6DA" w:rsidR="00E30612" w:rsidRPr="00003C23" w:rsidRDefault="000218D1" w:rsidP="00003C23">
      <w:pPr>
        <w:numPr>
          <w:ilvl w:val="0"/>
          <w:numId w:val="30"/>
        </w:numPr>
        <w:jc w:val="both"/>
        <w:rPr>
          <w:rFonts w:ascii="Calibri" w:hAnsi="Calibri" w:cs="Calibri"/>
          <w:sz w:val="22"/>
        </w:rPr>
      </w:pPr>
      <w:r w:rsidRPr="00003C23">
        <w:rPr>
          <w:rFonts w:ascii="Calibri" w:hAnsi="Calibri" w:cs="Calibri"/>
          <w:sz w:val="22"/>
        </w:rPr>
        <w:t>MoPF Order</w:t>
      </w:r>
      <w:r w:rsidR="00E30612" w:rsidRPr="00003C23">
        <w:rPr>
          <w:rFonts w:ascii="Calibri" w:hAnsi="Calibri" w:cs="Calibri"/>
          <w:sz w:val="22"/>
        </w:rPr>
        <w:t xml:space="preserve"> no. 1917/2005 for the approval of the </w:t>
      </w:r>
      <w:r w:rsidRPr="00003C23">
        <w:rPr>
          <w:rFonts w:ascii="Calibri" w:hAnsi="Calibri" w:cs="Calibri"/>
          <w:sz w:val="22"/>
        </w:rPr>
        <w:t>m</w:t>
      </w:r>
      <w:r w:rsidR="00E30612" w:rsidRPr="00003C23">
        <w:rPr>
          <w:rFonts w:ascii="Calibri" w:hAnsi="Calibri" w:cs="Calibri"/>
          <w:sz w:val="22"/>
        </w:rPr>
        <w:t xml:space="preserve">ethodological </w:t>
      </w:r>
      <w:r w:rsidRPr="00003C23">
        <w:rPr>
          <w:rFonts w:ascii="Calibri" w:hAnsi="Calibri" w:cs="Calibri"/>
          <w:sz w:val="22"/>
        </w:rPr>
        <w:t>n</w:t>
      </w:r>
      <w:r w:rsidR="00E30612" w:rsidRPr="00003C23">
        <w:rPr>
          <w:rFonts w:ascii="Calibri" w:hAnsi="Calibri" w:cs="Calibri"/>
          <w:sz w:val="22"/>
        </w:rPr>
        <w:t xml:space="preserve">orms regarding the organization and management of the accounting of public institutions, the </w:t>
      </w:r>
      <w:r w:rsidRPr="00003C23">
        <w:rPr>
          <w:rFonts w:ascii="Calibri" w:hAnsi="Calibri" w:cs="Calibri"/>
          <w:sz w:val="22"/>
        </w:rPr>
        <w:t>Chart</w:t>
      </w:r>
      <w:r w:rsidR="00E30612" w:rsidRPr="00003C23">
        <w:rPr>
          <w:rFonts w:ascii="Calibri" w:hAnsi="Calibri" w:cs="Calibri"/>
          <w:sz w:val="22"/>
        </w:rPr>
        <w:t xml:space="preserve"> of Accounts for </w:t>
      </w:r>
      <w:r w:rsidRPr="00003C23">
        <w:rPr>
          <w:rFonts w:ascii="Calibri" w:hAnsi="Calibri" w:cs="Calibri"/>
          <w:sz w:val="22"/>
        </w:rPr>
        <w:t>p</w:t>
      </w:r>
      <w:r w:rsidR="00E30612" w:rsidRPr="00003C23">
        <w:rPr>
          <w:rFonts w:ascii="Calibri" w:hAnsi="Calibri" w:cs="Calibri"/>
          <w:sz w:val="22"/>
        </w:rPr>
        <w:t xml:space="preserve">ublic </w:t>
      </w:r>
      <w:r w:rsidRPr="00003C23">
        <w:rPr>
          <w:rFonts w:ascii="Calibri" w:hAnsi="Calibri" w:cs="Calibri"/>
          <w:sz w:val="22"/>
        </w:rPr>
        <w:t>i</w:t>
      </w:r>
      <w:r w:rsidR="00E30612" w:rsidRPr="00003C23">
        <w:rPr>
          <w:rFonts w:ascii="Calibri" w:hAnsi="Calibri" w:cs="Calibri"/>
          <w:sz w:val="22"/>
        </w:rPr>
        <w:t xml:space="preserve">nstitutions and </w:t>
      </w:r>
      <w:r w:rsidRPr="00003C23">
        <w:rPr>
          <w:rFonts w:ascii="Calibri" w:hAnsi="Calibri" w:cs="Calibri"/>
          <w:sz w:val="22"/>
        </w:rPr>
        <w:t xml:space="preserve">instructions for </w:t>
      </w:r>
      <w:r w:rsidR="00E30612" w:rsidRPr="00003C23">
        <w:rPr>
          <w:rFonts w:ascii="Calibri" w:hAnsi="Calibri" w:cs="Calibri"/>
          <w:sz w:val="22"/>
        </w:rPr>
        <w:t xml:space="preserve">its </w:t>
      </w:r>
      <w:r w:rsidRPr="00003C23">
        <w:rPr>
          <w:rFonts w:ascii="Calibri" w:hAnsi="Calibri" w:cs="Calibri"/>
          <w:sz w:val="22"/>
        </w:rPr>
        <w:t>application</w:t>
      </w:r>
      <w:r w:rsidR="00E30612" w:rsidRPr="00003C23">
        <w:rPr>
          <w:rFonts w:ascii="Calibri" w:hAnsi="Calibri" w:cs="Calibri"/>
          <w:sz w:val="22"/>
        </w:rPr>
        <w:t xml:space="preserve"> as amended and supplemented</w:t>
      </w:r>
      <w:r w:rsidRPr="00003C23">
        <w:rPr>
          <w:rFonts w:ascii="Calibri" w:hAnsi="Calibri" w:cs="Calibri"/>
          <w:sz w:val="22"/>
        </w:rPr>
        <w:t>;</w:t>
      </w:r>
    </w:p>
    <w:p w14:paraId="3E62B892" w14:textId="2B12858E" w:rsidR="00E30612" w:rsidRPr="00003C23" w:rsidRDefault="00E30612" w:rsidP="00003C23">
      <w:pPr>
        <w:numPr>
          <w:ilvl w:val="0"/>
          <w:numId w:val="30"/>
        </w:numPr>
        <w:jc w:val="both"/>
        <w:rPr>
          <w:rFonts w:ascii="Calibri" w:hAnsi="Calibri" w:cs="Calibri"/>
          <w:sz w:val="22"/>
        </w:rPr>
      </w:pPr>
      <w:r w:rsidRPr="00003C23">
        <w:rPr>
          <w:rFonts w:ascii="Calibri" w:hAnsi="Calibri" w:cs="Calibri"/>
          <w:sz w:val="22"/>
        </w:rPr>
        <w:t xml:space="preserve">Accounting </w:t>
      </w:r>
      <w:r w:rsidR="000218D1" w:rsidRPr="00003C23">
        <w:rPr>
          <w:rFonts w:ascii="Calibri" w:hAnsi="Calibri" w:cs="Calibri"/>
          <w:sz w:val="22"/>
        </w:rPr>
        <w:t>L</w:t>
      </w:r>
      <w:r w:rsidRPr="00003C23">
        <w:rPr>
          <w:rFonts w:ascii="Calibri" w:hAnsi="Calibri" w:cs="Calibri"/>
          <w:sz w:val="22"/>
        </w:rPr>
        <w:t>aw no. 82/1991, republished</w:t>
      </w:r>
      <w:r w:rsidR="00003C23">
        <w:rPr>
          <w:rFonts w:ascii="Calibri" w:hAnsi="Calibri" w:cs="Calibri"/>
          <w:sz w:val="22"/>
        </w:rPr>
        <w:t>;</w:t>
      </w:r>
    </w:p>
    <w:p w14:paraId="6C4FA130" w14:textId="6BD21CFE" w:rsidR="00E30612" w:rsidRPr="00003C23" w:rsidRDefault="000218D1" w:rsidP="00003C23">
      <w:pPr>
        <w:numPr>
          <w:ilvl w:val="0"/>
          <w:numId w:val="30"/>
        </w:numPr>
        <w:jc w:val="both"/>
        <w:rPr>
          <w:rFonts w:ascii="Calibri" w:hAnsi="Calibri" w:cs="Calibri"/>
          <w:sz w:val="22"/>
        </w:rPr>
      </w:pPr>
      <w:r w:rsidRPr="00003C23">
        <w:rPr>
          <w:rFonts w:ascii="Calibri" w:hAnsi="Calibri" w:cs="Calibri"/>
          <w:sz w:val="22"/>
        </w:rPr>
        <w:t xml:space="preserve">MoPF Order </w:t>
      </w:r>
      <w:r w:rsidR="00E30612" w:rsidRPr="00003C23">
        <w:rPr>
          <w:rFonts w:ascii="Calibri" w:hAnsi="Calibri" w:cs="Calibri"/>
          <w:sz w:val="22"/>
        </w:rPr>
        <w:t xml:space="preserve">no. 517/2016 for the approval of procedures related to some modules that are part of the national reporting system operation – </w:t>
      </w:r>
      <w:proofErr w:type="spellStart"/>
      <w:r w:rsidRPr="00003C23">
        <w:rPr>
          <w:rFonts w:ascii="Calibri" w:hAnsi="Calibri" w:cs="Calibri"/>
          <w:sz w:val="22"/>
        </w:rPr>
        <w:t>F</w:t>
      </w:r>
      <w:r w:rsidR="00E30612" w:rsidRPr="00003C23">
        <w:rPr>
          <w:rFonts w:ascii="Calibri" w:hAnsi="Calibri" w:cs="Calibri"/>
          <w:sz w:val="22"/>
        </w:rPr>
        <w:t>orexebug</w:t>
      </w:r>
      <w:proofErr w:type="spellEnd"/>
      <w:r w:rsidRPr="00003C23">
        <w:rPr>
          <w:rFonts w:ascii="Calibri" w:hAnsi="Calibri" w:cs="Calibri"/>
          <w:sz w:val="22"/>
        </w:rPr>
        <w:t>;</w:t>
      </w:r>
    </w:p>
    <w:p w14:paraId="45E79AB5" w14:textId="5F351D6C" w:rsidR="00E30612" w:rsidRPr="00003C23" w:rsidRDefault="000218D1" w:rsidP="00003C23">
      <w:pPr>
        <w:numPr>
          <w:ilvl w:val="0"/>
          <w:numId w:val="30"/>
        </w:numPr>
        <w:jc w:val="both"/>
        <w:rPr>
          <w:rFonts w:ascii="Calibri" w:hAnsi="Calibri" w:cs="Calibri"/>
          <w:sz w:val="22"/>
        </w:rPr>
      </w:pPr>
      <w:r w:rsidRPr="00003C23">
        <w:rPr>
          <w:rFonts w:ascii="Calibri" w:hAnsi="Calibri" w:cs="Calibri"/>
          <w:sz w:val="22"/>
        </w:rPr>
        <w:t xml:space="preserve">MoPF Order </w:t>
      </w:r>
      <w:r w:rsidR="00E30612" w:rsidRPr="00003C23">
        <w:rPr>
          <w:rFonts w:ascii="Calibri" w:hAnsi="Calibri" w:cs="Calibri"/>
          <w:sz w:val="22"/>
        </w:rPr>
        <w:t xml:space="preserve">no. 2634/2015 regarding </w:t>
      </w:r>
      <w:r w:rsidRPr="00003C23">
        <w:rPr>
          <w:rFonts w:ascii="Calibri" w:hAnsi="Calibri" w:cs="Calibri"/>
          <w:sz w:val="22"/>
        </w:rPr>
        <w:t xml:space="preserve">maintenance of </w:t>
      </w:r>
      <w:r w:rsidR="00E30612" w:rsidRPr="00003C23">
        <w:rPr>
          <w:rFonts w:ascii="Calibri" w:hAnsi="Calibri" w:cs="Calibri"/>
          <w:sz w:val="22"/>
        </w:rPr>
        <w:t xml:space="preserve">financial and accounting documents, with subsequent amendments and </w:t>
      </w:r>
      <w:r w:rsidRPr="00003C23">
        <w:rPr>
          <w:rFonts w:ascii="Calibri" w:hAnsi="Calibri" w:cs="Calibri"/>
          <w:sz w:val="22"/>
        </w:rPr>
        <w:t>additions;</w:t>
      </w:r>
    </w:p>
    <w:p w14:paraId="6126FDB9" w14:textId="22FEB414" w:rsidR="00E30612" w:rsidRPr="00003C23" w:rsidRDefault="000218D1" w:rsidP="00FF31E4">
      <w:pPr>
        <w:numPr>
          <w:ilvl w:val="0"/>
          <w:numId w:val="30"/>
        </w:numPr>
        <w:jc w:val="both"/>
        <w:rPr>
          <w:rFonts w:ascii="Calibri" w:hAnsi="Calibri" w:cs="Calibri"/>
          <w:sz w:val="22"/>
        </w:rPr>
      </w:pPr>
      <w:r w:rsidRPr="00003C23">
        <w:rPr>
          <w:rFonts w:ascii="Calibri" w:hAnsi="Calibri" w:cs="Calibri"/>
          <w:sz w:val="22"/>
        </w:rPr>
        <w:t>MoPF Order no.</w:t>
      </w:r>
      <w:r w:rsidR="00E30612" w:rsidRPr="00003C23">
        <w:rPr>
          <w:rFonts w:ascii="Calibri" w:hAnsi="Calibri" w:cs="Calibri"/>
          <w:sz w:val="22"/>
        </w:rPr>
        <w:t xml:space="preserve"> no. 2861/2009 for the approval of the </w:t>
      </w:r>
      <w:r w:rsidRPr="00003C23">
        <w:rPr>
          <w:rFonts w:ascii="Calibri" w:hAnsi="Calibri" w:cs="Calibri"/>
          <w:sz w:val="22"/>
        </w:rPr>
        <w:t>n</w:t>
      </w:r>
      <w:r w:rsidR="00E30612" w:rsidRPr="00003C23">
        <w:rPr>
          <w:rFonts w:ascii="Calibri" w:hAnsi="Calibri" w:cs="Calibri"/>
          <w:sz w:val="22"/>
        </w:rPr>
        <w:t>orms regarding the o</w:t>
      </w:r>
      <w:r w:rsidRPr="00003C23">
        <w:rPr>
          <w:rFonts w:ascii="Calibri" w:hAnsi="Calibri" w:cs="Calibri"/>
          <w:sz w:val="22"/>
        </w:rPr>
        <w:t>rganization</w:t>
      </w:r>
      <w:r w:rsidR="00E30612" w:rsidRPr="00003C23">
        <w:rPr>
          <w:rFonts w:ascii="Calibri" w:hAnsi="Calibri" w:cs="Calibri"/>
          <w:sz w:val="22"/>
        </w:rPr>
        <w:t xml:space="preserve"> and performance of the inventory of the assets, liabilities and equity, with subsequent amendments and </w:t>
      </w:r>
      <w:r w:rsidR="00C744B8" w:rsidRPr="00003C23">
        <w:rPr>
          <w:rFonts w:ascii="Calibri" w:hAnsi="Calibri" w:cs="Calibri"/>
          <w:sz w:val="22"/>
        </w:rPr>
        <w:t>additions;</w:t>
      </w:r>
    </w:p>
    <w:p w14:paraId="4ADE05C7" w14:textId="77777777" w:rsidR="00003C23" w:rsidRPr="00FF31E4" w:rsidRDefault="00003C23" w:rsidP="00FF31E4">
      <w:pPr>
        <w:numPr>
          <w:ilvl w:val="0"/>
          <w:numId w:val="30"/>
        </w:numPr>
        <w:jc w:val="both"/>
        <w:rPr>
          <w:rFonts w:ascii="Calibri" w:hAnsi="Calibri" w:cs="Calibri"/>
          <w:sz w:val="22"/>
        </w:rPr>
      </w:pPr>
      <w:r w:rsidRPr="00003C23">
        <w:rPr>
          <w:rFonts w:ascii="Calibri" w:hAnsi="Calibri" w:cs="Calibri"/>
          <w:sz w:val="22"/>
        </w:rPr>
        <w:t>Internal Audit Law 672/2002 regulating internal audit function in public institutions;</w:t>
      </w:r>
    </w:p>
    <w:p w14:paraId="7E152FC5" w14:textId="77777777" w:rsidR="00FF31E4" w:rsidRDefault="00003C23" w:rsidP="00FF31E4">
      <w:pPr>
        <w:numPr>
          <w:ilvl w:val="0"/>
          <w:numId w:val="30"/>
        </w:numPr>
        <w:jc w:val="both"/>
        <w:rPr>
          <w:rFonts w:ascii="Calibri" w:hAnsi="Calibri" w:cs="Calibri"/>
          <w:sz w:val="22"/>
        </w:rPr>
      </w:pPr>
      <w:r w:rsidRPr="00003C23">
        <w:rPr>
          <w:rFonts w:ascii="Calibri" w:hAnsi="Calibri" w:cs="Calibri"/>
          <w:sz w:val="22"/>
        </w:rPr>
        <w:t>GSG Order no. 600/2018 approving the Code for managerial internal controls in public institutions</w:t>
      </w:r>
      <w:r w:rsidR="00FF31E4">
        <w:rPr>
          <w:rFonts w:ascii="Calibri" w:hAnsi="Calibri" w:cs="Calibri"/>
          <w:sz w:val="22"/>
        </w:rPr>
        <w:t>;</w:t>
      </w:r>
    </w:p>
    <w:p w14:paraId="51320A7C" w14:textId="542DDA1B" w:rsidR="00003C23" w:rsidRPr="00FF31E4" w:rsidRDefault="00003C23" w:rsidP="00FF31E4">
      <w:pPr>
        <w:numPr>
          <w:ilvl w:val="0"/>
          <w:numId w:val="30"/>
        </w:numPr>
        <w:spacing w:after="200" w:line="276" w:lineRule="auto"/>
        <w:contextualSpacing/>
        <w:jc w:val="both"/>
        <w:rPr>
          <w:rFonts w:ascii="Calibri" w:hAnsi="Calibri" w:cs="Calibri"/>
          <w:sz w:val="22"/>
        </w:rPr>
      </w:pPr>
      <w:r w:rsidRPr="00FF31E4">
        <w:rPr>
          <w:rFonts w:ascii="Calibri" w:hAnsi="Calibri" w:cs="Calibri"/>
          <w:sz w:val="22"/>
        </w:rPr>
        <w:t>Law 94/1992 regulating organization and functioning of the Romanian Court of Accounts.</w:t>
      </w:r>
    </w:p>
    <w:p w14:paraId="557A050B" w14:textId="77777777" w:rsidR="008F4155" w:rsidRPr="00ED4204" w:rsidRDefault="008F4155" w:rsidP="00F27386">
      <w:pPr>
        <w:jc w:val="both"/>
        <w:rPr>
          <w:rFonts w:ascii="Calibri" w:hAnsi="Calibri" w:cs="Calibri"/>
          <w:b/>
          <w:sz w:val="22"/>
        </w:rPr>
      </w:pPr>
    </w:p>
    <w:p w14:paraId="730B1EDD" w14:textId="77777777" w:rsidR="00273C9B" w:rsidRDefault="00273C9B">
      <w:pPr>
        <w:spacing w:after="200" w:line="276" w:lineRule="auto"/>
        <w:rPr>
          <w:rFonts w:ascii="Calibri" w:hAnsi="Calibri" w:cs="Calibri"/>
          <w:b/>
          <w:i/>
          <w:sz w:val="22"/>
        </w:rPr>
      </w:pPr>
      <w:r>
        <w:rPr>
          <w:rFonts w:ascii="Calibri" w:hAnsi="Calibri" w:cs="Calibri"/>
          <w:b/>
          <w:i/>
          <w:sz w:val="22"/>
        </w:rPr>
        <w:br w:type="page"/>
      </w:r>
    </w:p>
    <w:p w14:paraId="1614B499" w14:textId="0C109404" w:rsidR="00035381" w:rsidRPr="00C62310" w:rsidRDefault="00035381" w:rsidP="00F27386">
      <w:pPr>
        <w:jc w:val="both"/>
        <w:rPr>
          <w:rFonts w:ascii="Calibri" w:hAnsi="Calibri" w:cs="Calibri"/>
          <w:b/>
          <w:i/>
          <w:sz w:val="22"/>
        </w:rPr>
      </w:pPr>
      <w:r w:rsidRPr="00C62310">
        <w:rPr>
          <w:rFonts w:ascii="Calibri" w:hAnsi="Calibri" w:cs="Calibri"/>
          <w:b/>
          <w:i/>
          <w:sz w:val="22"/>
        </w:rPr>
        <w:lastRenderedPageBreak/>
        <w:t>Fiduciary Regulatory Bodies</w:t>
      </w:r>
    </w:p>
    <w:p w14:paraId="2288E269" w14:textId="77777777" w:rsidR="00F27386" w:rsidRPr="00C62310" w:rsidRDefault="00F27386" w:rsidP="00C62310">
      <w:pPr>
        <w:jc w:val="both"/>
        <w:rPr>
          <w:rFonts w:ascii="Calibri" w:hAnsi="Calibri" w:cs="Calibri"/>
          <w:sz w:val="22"/>
        </w:rPr>
      </w:pPr>
    </w:p>
    <w:p w14:paraId="0E281D7A" w14:textId="71BB0079" w:rsidR="00035381" w:rsidRPr="00C62310" w:rsidRDefault="00035381" w:rsidP="00F27386">
      <w:pPr>
        <w:jc w:val="both"/>
        <w:rPr>
          <w:rFonts w:ascii="Calibri" w:hAnsi="Calibri" w:cs="Calibri"/>
          <w:sz w:val="22"/>
        </w:rPr>
      </w:pPr>
      <w:r w:rsidRPr="00C62310">
        <w:rPr>
          <w:rFonts w:ascii="Calibri" w:hAnsi="Calibri" w:cs="Calibri"/>
          <w:b/>
          <w:sz w:val="22"/>
        </w:rPr>
        <w:t xml:space="preserve">The National Agency for Public Procurement </w:t>
      </w:r>
      <w:r w:rsidR="00294DB8">
        <w:rPr>
          <w:rFonts w:ascii="Calibri" w:hAnsi="Calibri" w:cs="Calibri"/>
          <w:b/>
          <w:sz w:val="22"/>
        </w:rPr>
        <w:t xml:space="preserve">(ANAP) </w:t>
      </w:r>
      <w:r w:rsidRPr="00C62310">
        <w:rPr>
          <w:rFonts w:ascii="Calibri" w:hAnsi="Calibri" w:cs="Calibri"/>
          <w:b/>
          <w:sz w:val="22"/>
        </w:rPr>
        <w:t>is the public procurement main regulatory body.</w:t>
      </w:r>
      <w:r w:rsidRPr="00C62310">
        <w:rPr>
          <w:rFonts w:ascii="Calibri" w:hAnsi="Calibri" w:cs="Calibri"/>
          <w:sz w:val="22"/>
        </w:rPr>
        <w:t xml:space="preserve"> ANAP has been established under the Government Decision No 634/2015 of July 28, 2015 regarding the organization and functioning of ANAP, which is subordinated to the MoPF. It operates both at central and regional level, in the latter case by means of eight regional entities without legal personality. It is responsible for strategy, regulation, establishing and implementing the control and monitoring system in public procurement. ANAP is also responsible for ensuring the implementation of the strategy. In accordance with the recent changes in the legislation, the ex-ante control exercised by ANAP is exclusively conducted at the request of the contracting authorities (“ex-ante voluntary control”) and focuses on quality and compliance aspects. Ex-post control of the public procurement is conducted by the </w:t>
      </w:r>
      <w:r w:rsidR="00F27386" w:rsidRPr="00C62310">
        <w:rPr>
          <w:rFonts w:ascii="Calibri" w:hAnsi="Calibri" w:cs="Calibri"/>
          <w:sz w:val="22"/>
        </w:rPr>
        <w:t xml:space="preserve">Romanian </w:t>
      </w:r>
      <w:r w:rsidRPr="00C62310">
        <w:rPr>
          <w:rFonts w:ascii="Calibri" w:hAnsi="Calibri" w:cs="Calibri"/>
          <w:sz w:val="22"/>
        </w:rPr>
        <w:t>Court of Accounts and by the Audit Authority for EU-funded contracts. In addition, each implementing agency under the Program has an internal audit unit which reviews financial and procurement operations on a regular basis.</w:t>
      </w:r>
    </w:p>
    <w:p w14:paraId="5EF245E1" w14:textId="0F6FB038" w:rsidR="00F27386" w:rsidRPr="00C62310" w:rsidRDefault="00F27386" w:rsidP="00F27386">
      <w:pPr>
        <w:jc w:val="both"/>
        <w:rPr>
          <w:rFonts w:ascii="Calibri" w:hAnsi="Calibri" w:cs="Calibri"/>
          <w:sz w:val="22"/>
        </w:rPr>
      </w:pPr>
    </w:p>
    <w:p w14:paraId="27BC4484" w14:textId="48B9EEFD" w:rsidR="00FF16B9" w:rsidRPr="006C054E" w:rsidRDefault="00F27386">
      <w:pPr>
        <w:jc w:val="both"/>
        <w:rPr>
          <w:rFonts w:ascii="Calibri" w:hAnsi="Calibri" w:cs="Calibri"/>
          <w:sz w:val="22"/>
        </w:rPr>
      </w:pPr>
      <w:r w:rsidRPr="00A74A8F">
        <w:rPr>
          <w:rFonts w:ascii="Calibri" w:hAnsi="Calibri" w:cs="Calibri"/>
          <w:b/>
          <w:bCs/>
          <w:sz w:val="22"/>
        </w:rPr>
        <w:t xml:space="preserve">The </w:t>
      </w:r>
      <w:r w:rsidR="00FF16B9" w:rsidRPr="00A74A8F">
        <w:rPr>
          <w:rFonts w:ascii="Calibri" w:hAnsi="Calibri" w:cs="Calibri"/>
          <w:b/>
          <w:bCs/>
          <w:sz w:val="22"/>
        </w:rPr>
        <w:t xml:space="preserve">main regulatory institution in terms of public financial management is the Ministry of Public Finance </w:t>
      </w:r>
      <w:r w:rsidR="7C472454" w:rsidRPr="00A74A8F">
        <w:rPr>
          <w:rFonts w:ascii="Calibri" w:hAnsi="Calibri" w:cs="Calibri"/>
          <w:b/>
          <w:bCs/>
          <w:sz w:val="22"/>
        </w:rPr>
        <w:t xml:space="preserve">(MoPF) </w:t>
      </w:r>
      <w:r w:rsidR="00FF16B9" w:rsidRPr="00A74A8F">
        <w:rPr>
          <w:rFonts w:ascii="Calibri" w:hAnsi="Calibri" w:cs="Calibri"/>
          <w:b/>
          <w:bCs/>
          <w:sz w:val="22"/>
        </w:rPr>
        <w:t>which issues legislation and methodological norms in terms of budgeting formulation and execution, Trea</w:t>
      </w:r>
      <w:r w:rsidR="00FF16B9" w:rsidRPr="00D81831">
        <w:rPr>
          <w:rFonts w:ascii="Calibri" w:hAnsi="Calibri" w:cs="Calibri"/>
          <w:b/>
          <w:bCs/>
          <w:sz w:val="22"/>
        </w:rPr>
        <w:t xml:space="preserve">sury operations, accounting and financial reporting, internal auditing. </w:t>
      </w:r>
      <w:r w:rsidR="00FF16B9" w:rsidRPr="7C472454">
        <w:rPr>
          <w:rFonts w:ascii="Calibri" w:hAnsi="Calibri" w:cs="Calibri"/>
          <w:sz w:val="22"/>
        </w:rPr>
        <w:t>The General Secretariat of the Government (GSG) has attributions relating to managerial internal controls</w:t>
      </w:r>
      <w:r w:rsidR="00660E27" w:rsidRPr="7C472454">
        <w:rPr>
          <w:rFonts w:ascii="Calibri" w:hAnsi="Calibri" w:cs="Calibri"/>
          <w:sz w:val="22"/>
        </w:rPr>
        <w:t xml:space="preserve"> (broader than fiduciary controls)</w:t>
      </w:r>
      <w:r w:rsidR="00FF16B9" w:rsidRPr="7C472454">
        <w:rPr>
          <w:rFonts w:ascii="Calibri" w:hAnsi="Calibri" w:cs="Calibri"/>
          <w:sz w:val="22"/>
        </w:rPr>
        <w:t>, while the Romanian Court of Accounts (RCoA) is the country Supreme Audit Institution (SAI).</w:t>
      </w:r>
    </w:p>
    <w:p w14:paraId="3572CEFB" w14:textId="77777777" w:rsidR="00660E27" w:rsidRDefault="00660E27" w:rsidP="00660E27">
      <w:pPr>
        <w:pStyle w:val="ListParagraph"/>
        <w:spacing w:after="0" w:line="360" w:lineRule="auto"/>
        <w:ind w:left="0"/>
        <w:jc w:val="both"/>
        <w:rPr>
          <w:rFonts w:ascii="Calibri" w:eastAsiaTheme="minorHAnsi" w:hAnsi="Calibri" w:cs="Calibri"/>
        </w:rPr>
      </w:pPr>
    </w:p>
    <w:p w14:paraId="5D976236" w14:textId="2D93AF39" w:rsidR="00660E27" w:rsidRPr="00660E27" w:rsidRDefault="00660E27" w:rsidP="00660E27">
      <w:pPr>
        <w:jc w:val="both"/>
        <w:rPr>
          <w:rFonts w:ascii="Calibri" w:hAnsi="Calibri" w:cs="Calibri"/>
          <w:sz w:val="22"/>
        </w:rPr>
      </w:pPr>
      <w:r w:rsidRPr="00660E27">
        <w:rPr>
          <w:rFonts w:ascii="Calibri" w:hAnsi="Calibri" w:cs="Calibri"/>
          <w:sz w:val="22"/>
        </w:rPr>
        <w:t>The MoPF takes the lead in setting fiscal policy and is responsible for preparing the macro-fiscal framework. The ministry currently performs all major PFM functions: (a) budget formulation, macroeconomic</w:t>
      </w:r>
      <w:r w:rsidRPr="00660E27">
        <w:rPr>
          <w:rFonts w:ascii="Calibri" w:hAnsi="Calibri" w:cs="Calibri"/>
          <w:sz w:val="22"/>
          <w:vertAlign w:val="superscript"/>
        </w:rPr>
        <w:footnoteReference w:id="2"/>
      </w:r>
      <w:r w:rsidRPr="00660E27">
        <w:rPr>
          <w:rFonts w:ascii="Calibri" w:hAnsi="Calibri" w:cs="Calibri"/>
          <w:sz w:val="22"/>
        </w:rPr>
        <w:t xml:space="preserve"> and fiscal policy, and programming expenditures; (b) budget execution: payments processing, cash and debt management, accounting, and reporting; (c) tax policy</w:t>
      </w:r>
      <w:r w:rsidRPr="00660E27">
        <w:rPr>
          <w:rFonts w:ascii="Calibri" w:hAnsi="Calibri" w:cs="Calibri"/>
          <w:sz w:val="22"/>
          <w:vertAlign w:val="superscript"/>
        </w:rPr>
        <w:footnoteReference w:id="3"/>
      </w:r>
      <w:r w:rsidRPr="00660E27">
        <w:rPr>
          <w:rFonts w:ascii="Calibri" w:hAnsi="Calibri" w:cs="Calibri"/>
          <w:sz w:val="22"/>
        </w:rPr>
        <w:t>; (d) regulatory and control functions related to PFM</w:t>
      </w:r>
      <w:r>
        <w:rPr>
          <w:rFonts w:ascii="Calibri" w:hAnsi="Calibri" w:cs="Calibri"/>
          <w:sz w:val="22"/>
        </w:rPr>
        <w:t xml:space="preserve">. </w:t>
      </w:r>
      <w:r w:rsidRPr="00660E27">
        <w:rPr>
          <w:rFonts w:ascii="Calibri" w:hAnsi="Calibri" w:cs="Calibri"/>
          <w:sz w:val="22"/>
        </w:rPr>
        <w:t xml:space="preserve"> </w:t>
      </w:r>
      <w:r w:rsidR="004003A8">
        <w:rPr>
          <w:rFonts w:ascii="Calibri" w:hAnsi="Calibri" w:cs="Calibri"/>
          <w:sz w:val="22"/>
        </w:rPr>
        <w:t xml:space="preserve">It issues detailed instructions and methodologies on budget preparation, budget execution controls, accounting procedures and year-end closure process, financial reporting, internal audit. </w:t>
      </w:r>
      <w:r>
        <w:rPr>
          <w:rFonts w:ascii="Calibri" w:hAnsi="Calibri" w:cs="Calibri"/>
          <w:sz w:val="22"/>
        </w:rPr>
        <w:t xml:space="preserve">It </w:t>
      </w:r>
      <w:r w:rsidRPr="00660E27">
        <w:rPr>
          <w:rFonts w:ascii="Calibri" w:hAnsi="Calibri" w:cs="Calibri"/>
          <w:sz w:val="22"/>
        </w:rPr>
        <w:t>has a focused mandate and span of control.</w:t>
      </w:r>
    </w:p>
    <w:p w14:paraId="5A60E225" w14:textId="77777777" w:rsidR="005A1AEA" w:rsidRDefault="005A1AEA" w:rsidP="00F27386">
      <w:pPr>
        <w:jc w:val="both"/>
        <w:rPr>
          <w:rFonts w:ascii="Calibri" w:hAnsi="Calibri" w:cs="Calibri"/>
          <w:sz w:val="22"/>
        </w:rPr>
      </w:pPr>
    </w:p>
    <w:p w14:paraId="4ED99F7E" w14:textId="7AA6B980" w:rsidR="00FF16B9" w:rsidRPr="006C054E" w:rsidRDefault="00F5331C">
      <w:pPr>
        <w:jc w:val="both"/>
        <w:rPr>
          <w:rFonts w:asciiTheme="minorHAnsi" w:eastAsiaTheme="minorEastAsia" w:hAnsiTheme="minorHAnsi"/>
          <w:sz w:val="22"/>
        </w:rPr>
      </w:pPr>
      <w:r w:rsidRPr="0F3F6C9C">
        <w:rPr>
          <w:rFonts w:ascii="Calibri" w:hAnsi="Calibri" w:cs="Calibri"/>
          <w:sz w:val="22"/>
        </w:rPr>
        <w:t>Since 201</w:t>
      </w:r>
      <w:r w:rsidR="005A1AEA" w:rsidRPr="0F3F6C9C">
        <w:rPr>
          <w:rFonts w:ascii="Calibri" w:hAnsi="Calibri" w:cs="Calibri"/>
          <w:sz w:val="22"/>
        </w:rPr>
        <w:t xml:space="preserve">6, </w:t>
      </w:r>
      <w:r w:rsidR="00FF16B9" w:rsidRPr="0F3F6C9C">
        <w:rPr>
          <w:rFonts w:ascii="Calibri" w:hAnsi="Calibri" w:cs="Calibri"/>
          <w:sz w:val="22"/>
        </w:rPr>
        <w:t>GSG</w:t>
      </w:r>
      <w:r w:rsidRPr="0F3F6C9C">
        <w:rPr>
          <w:rFonts w:ascii="Calibri" w:hAnsi="Calibri" w:cs="Calibri"/>
          <w:sz w:val="22"/>
        </w:rPr>
        <w:t xml:space="preserve"> (through its Direction for Managerial Internal Control and Int</w:t>
      </w:r>
      <w:r w:rsidRPr="006C054E">
        <w:rPr>
          <w:rFonts w:asciiTheme="minorHAnsi" w:eastAsiaTheme="minorEastAsia" w:hAnsiTheme="minorHAnsi"/>
          <w:sz w:val="22"/>
        </w:rPr>
        <w:t>erinstitutional Relations) is in charge with implementation and development of the internal control system in central and local administration.</w:t>
      </w:r>
      <w:r w:rsidRPr="006C054E">
        <w:rPr>
          <w:rFonts w:asciiTheme="minorHAnsi" w:eastAsiaTheme="minorEastAsia" w:hAnsiTheme="minorHAnsi" w:hint="eastAsia"/>
          <w:sz w:val="22"/>
        </w:rPr>
        <w:t> </w:t>
      </w:r>
      <w:r w:rsidRPr="006C054E">
        <w:rPr>
          <w:rFonts w:asciiTheme="minorHAnsi" w:eastAsiaTheme="minorEastAsia" w:hAnsiTheme="minorHAnsi"/>
          <w:sz w:val="22"/>
        </w:rPr>
        <w:t>In this capacity, it elaborates the national strategy in this area, it initiates legislative changes, and develops methodologies and standards to be used by the public entities to implement and report the managerial internal controls standards.</w:t>
      </w:r>
    </w:p>
    <w:p w14:paraId="36455438" w14:textId="77777777" w:rsidR="00FF16B9" w:rsidRDefault="00FF16B9" w:rsidP="00F27386">
      <w:pPr>
        <w:jc w:val="both"/>
        <w:rPr>
          <w:rFonts w:ascii="Calibri" w:hAnsi="Calibri" w:cs="Calibri"/>
          <w:b/>
          <w:sz w:val="22"/>
        </w:rPr>
      </w:pPr>
    </w:p>
    <w:p w14:paraId="0B9A2A32" w14:textId="0A0D97A8" w:rsidR="00F27386" w:rsidRPr="00C62310" w:rsidRDefault="001D33E0" w:rsidP="00F27386">
      <w:pPr>
        <w:jc w:val="both"/>
        <w:rPr>
          <w:rFonts w:ascii="Calibri" w:hAnsi="Calibri" w:cs="Calibri"/>
          <w:sz w:val="22"/>
        </w:rPr>
      </w:pPr>
      <w:r>
        <w:rPr>
          <w:rFonts w:ascii="Calibri" w:hAnsi="Calibri" w:cs="Calibri"/>
          <w:b/>
          <w:sz w:val="22"/>
        </w:rPr>
        <w:t>T</w:t>
      </w:r>
      <w:r w:rsidR="00F27386" w:rsidRPr="00C62310">
        <w:rPr>
          <w:rFonts w:ascii="Calibri" w:hAnsi="Calibri" w:cs="Calibri"/>
          <w:sz w:val="22"/>
        </w:rPr>
        <w:t xml:space="preserve">he </w:t>
      </w:r>
      <w:r w:rsidR="00FF16B9">
        <w:rPr>
          <w:rFonts w:ascii="Calibri" w:hAnsi="Calibri" w:cs="Calibri"/>
          <w:sz w:val="22"/>
        </w:rPr>
        <w:t>RCoA</w:t>
      </w:r>
      <w:r>
        <w:rPr>
          <w:rFonts w:ascii="Calibri" w:hAnsi="Calibri" w:cs="Calibri"/>
          <w:sz w:val="22"/>
        </w:rPr>
        <w:t xml:space="preserve"> </w:t>
      </w:r>
      <w:r w:rsidR="00F27386" w:rsidRPr="00C62310">
        <w:rPr>
          <w:rFonts w:ascii="Calibri" w:hAnsi="Calibri" w:cs="Calibri"/>
          <w:sz w:val="22"/>
        </w:rPr>
        <w:t xml:space="preserve">has the mandate to audit all public revenues and expenditures as per the Law No. 92/1994 determining its organization and functioning. It has a constitutional role of control over the formation, management and use of public finances. As an independent check on the executive branch of Government, it answers only to the Parliament. Public accounts are generally audited in a professional and comprehensive manner, and the institution aims to further strengthen its capacity to proper respond to the risks. The external audit report which summarizes the findings per each auditee in a year is publicly available.  According to article 140 of the Constitution of Romania, RCoA must present annually to the Parliament a report over the administration accounts of the national state budget from the previous year, </w:t>
      </w:r>
      <w:r w:rsidR="00F27386" w:rsidRPr="00C62310">
        <w:rPr>
          <w:rFonts w:ascii="Calibri" w:hAnsi="Calibri" w:cs="Calibri"/>
          <w:sz w:val="22"/>
        </w:rPr>
        <w:lastRenderedPageBreak/>
        <w:t xml:space="preserve">mentioning any irregularities detected. These are considered by the Parliamentary Committee in charge of public accounts. </w:t>
      </w:r>
    </w:p>
    <w:p w14:paraId="345188D8" w14:textId="77777777" w:rsidR="00F27386" w:rsidRPr="00C62310" w:rsidRDefault="00F27386" w:rsidP="00F27386">
      <w:pPr>
        <w:jc w:val="both"/>
        <w:rPr>
          <w:rFonts w:ascii="Calibri" w:hAnsi="Calibri" w:cs="Calibri"/>
          <w:sz w:val="22"/>
        </w:rPr>
      </w:pPr>
    </w:p>
    <w:p w14:paraId="4AC801E6" w14:textId="36FBA7A7" w:rsidR="00F27386" w:rsidRPr="00C62310" w:rsidRDefault="00F27386" w:rsidP="00C62310">
      <w:pPr>
        <w:jc w:val="both"/>
        <w:rPr>
          <w:rFonts w:ascii="Calibri" w:hAnsi="Calibri" w:cs="Calibri"/>
          <w:sz w:val="22"/>
        </w:rPr>
      </w:pPr>
      <w:r w:rsidRPr="00C62310">
        <w:rPr>
          <w:rFonts w:ascii="Calibri" w:hAnsi="Calibri" w:cs="Calibri"/>
          <w:sz w:val="22"/>
        </w:rPr>
        <w:t>Starting 2017, under a new leadership, the Court has embarked in a broad institutional reform that aims full endorsement and de facto application of the international standards, enhanced performance audits, digitalization of audit processes and stronger quality assurance and communication of findings to stakeholders.</w:t>
      </w:r>
    </w:p>
    <w:p w14:paraId="591EEFC3" w14:textId="77777777" w:rsidR="00F72E65" w:rsidRPr="00C62310" w:rsidRDefault="00F72E65" w:rsidP="00C62310">
      <w:pPr>
        <w:pStyle w:val="PforRStyle2"/>
        <w:keepNext/>
        <w:numPr>
          <w:ilvl w:val="0"/>
          <w:numId w:val="0"/>
        </w:numPr>
        <w:ind w:left="360" w:hanging="360"/>
        <w:rPr>
          <w:rFonts w:ascii="Calibri" w:hAnsi="Calibri" w:cs="Calibri"/>
          <w:sz w:val="22"/>
          <w:szCs w:val="22"/>
        </w:rPr>
      </w:pPr>
    </w:p>
    <w:p w14:paraId="360112F4" w14:textId="73900F99" w:rsidR="00C56F93" w:rsidRPr="00C62310" w:rsidRDefault="00C56F93" w:rsidP="00C62310">
      <w:pPr>
        <w:pStyle w:val="PforRStyle2"/>
        <w:rPr>
          <w:rFonts w:ascii="Calibri" w:hAnsi="Calibri" w:cs="Calibri"/>
          <w:sz w:val="22"/>
          <w:szCs w:val="22"/>
        </w:rPr>
      </w:pPr>
      <w:bookmarkStart w:id="5" w:name="_Toc12467027"/>
      <w:r w:rsidRPr="00C62310">
        <w:rPr>
          <w:rFonts w:ascii="Calibri" w:hAnsi="Calibri" w:cs="Calibri"/>
          <w:sz w:val="22"/>
          <w:szCs w:val="22"/>
        </w:rPr>
        <w:t xml:space="preserve">Program </w:t>
      </w:r>
      <w:r w:rsidR="00D91F25">
        <w:rPr>
          <w:rFonts w:ascii="Calibri" w:hAnsi="Calibri" w:cs="Calibri"/>
          <w:sz w:val="22"/>
          <w:szCs w:val="22"/>
        </w:rPr>
        <w:t>Scope</w:t>
      </w:r>
      <w:bookmarkEnd w:id="5"/>
    </w:p>
    <w:p w14:paraId="5DE725B3" w14:textId="4EA76EB3" w:rsidR="00ED78FB" w:rsidRPr="00B31405" w:rsidRDefault="00ED78FB" w:rsidP="00260A4E">
      <w:pPr>
        <w:keepNext/>
        <w:tabs>
          <w:tab w:val="left" w:pos="720"/>
        </w:tabs>
        <w:spacing w:after="160" w:line="259" w:lineRule="auto"/>
        <w:contextualSpacing/>
        <w:jc w:val="both"/>
        <w:rPr>
          <w:rFonts w:asciiTheme="minorHAnsi" w:hAnsiTheme="minorHAnsi" w:cstheme="minorHAnsi"/>
          <w:noProof/>
          <w:sz w:val="22"/>
        </w:rPr>
      </w:pPr>
      <w:bookmarkStart w:id="6" w:name="_Hlk4090148"/>
      <w:r w:rsidRPr="00B31405">
        <w:rPr>
          <w:rFonts w:asciiTheme="minorHAnsi" w:hAnsiTheme="minorHAnsi" w:cstheme="minorHAnsi"/>
          <w:noProof/>
          <w:sz w:val="22"/>
        </w:rPr>
        <w:t>The proposed Program focuses on three results areas in which the Government requested the Bank’s support and where the Bank’s engagment is likely to make a signficant impact</w:t>
      </w:r>
      <w:r w:rsidR="00B31405">
        <w:rPr>
          <w:rFonts w:asciiTheme="minorHAnsi" w:hAnsiTheme="minorHAnsi" w:cstheme="minorHAnsi"/>
          <w:noProof/>
          <w:sz w:val="22"/>
        </w:rPr>
        <w:t>, as follows:</w:t>
      </w:r>
    </w:p>
    <w:p w14:paraId="2B859B96" w14:textId="3FAE97CB" w:rsidR="00DD4B1E" w:rsidRDefault="00DD4B1E" w:rsidP="00260A4E">
      <w:pPr>
        <w:keepNext/>
        <w:tabs>
          <w:tab w:val="left" w:pos="720"/>
        </w:tabs>
        <w:spacing w:after="160" w:line="259" w:lineRule="auto"/>
        <w:contextualSpacing/>
        <w:jc w:val="both"/>
        <w:rPr>
          <w:rFonts w:asciiTheme="minorHAnsi" w:hAnsiTheme="minorHAnsi"/>
          <w:b/>
          <w:bCs/>
          <w:sz w:val="22"/>
        </w:rPr>
      </w:pPr>
    </w:p>
    <w:p w14:paraId="6165554A" w14:textId="77777777" w:rsidR="00260A4E" w:rsidRDefault="00260A4E" w:rsidP="00260A4E">
      <w:pPr>
        <w:ind w:left="-634"/>
        <w:jc w:val="both"/>
        <w:rPr>
          <w:rFonts w:asciiTheme="minorHAnsi" w:hAnsiTheme="minorHAnsi" w:cstheme="minorHAnsi"/>
          <w:bCs/>
          <w:sz w:val="22"/>
        </w:rPr>
      </w:pPr>
      <w:r>
        <w:rPr>
          <w:rFonts w:asciiTheme="minorHAnsi" w:hAnsiTheme="minorHAnsi" w:cstheme="minorHAnsi"/>
          <w:b/>
          <w:bCs/>
          <w:sz w:val="22"/>
        </w:rPr>
        <w:t xml:space="preserve">             </w:t>
      </w:r>
      <w:r w:rsidR="00DD4B1E" w:rsidRPr="00F9054A">
        <w:rPr>
          <w:rFonts w:asciiTheme="minorHAnsi" w:hAnsiTheme="minorHAnsi" w:cstheme="minorHAnsi"/>
          <w:b/>
          <w:bCs/>
          <w:sz w:val="22"/>
        </w:rPr>
        <w:t>Result</w:t>
      </w:r>
      <w:r w:rsidR="00DD4B1E">
        <w:rPr>
          <w:rFonts w:asciiTheme="minorHAnsi" w:hAnsiTheme="minorHAnsi" w:cstheme="minorHAnsi"/>
          <w:b/>
          <w:bCs/>
          <w:sz w:val="22"/>
        </w:rPr>
        <w:t>s</w:t>
      </w:r>
      <w:r w:rsidR="00DD4B1E" w:rsidRPr="00F9054A">
        <w:rPr>
          <w:rFonts w:asciiTheme="minorHAnsi" w:hAnsiTheme="minorHAnsi" w:cstheme="minorHAnsi"/>
          <w:b/>
          <w:bCs/>
          <w:sz w:val="22"/>
        </w:rPr>
        <w:t xml:space="preserve"> area 1: </w:t>
      </w:r>
      <w:r w:rsidR="00DD4B1E">
        <w:rPr>
          <w:rFonts w:asciiTheme="minorHAnsi" w:hAnsiTheme="minorHAnsi" w:cstheme="minorHAnsi"/>
          <w:b/>
          <w:bCs/>
          <w:sz w:val="22"/>
        </w:rPr>
        <w:t>I</w:t>
      </w:r>
      <w:r w:rsidR="00DD4B1E" w:rsidRPr="00F9054A">
        <w:rPr>
          <w:rFonts w:asciiTheme="minorHAnsi" w:hAnsiTheme="minorHAnsi" w:cstheme="minorHAnsi"/>
          <w:b/>
          <w:bCs/>
          <w:sz w:val="22"/>
        </w:rPr>
        <w:t xml:space="preserve">mproving </w:t>
      </w:r>
      <w:r w:rsidR="00DD4B1E">
        <w:rPr>
          <w:rFonts w:asciiTheme="minorHAnsi" w:hAnsiTheme="minorHAnsi" w:cstheme="minorHAnsi"/>
          <w:b/>
          <w:bCs/>
          <w:sz w:val="22"/>
        </w:rPr>
        <w:t xml:space="preserve">PHC </w:t>
      </w:r>
      <w:r w:rsidR="00DD4B1E" w:rsidRPr="00F9054A">
        <w:rPr>
          <w:rFonts w:asciiTheme="minorHAnsi" w:hAnsiTheme="minorHAnsi" w:cstheme="minorHAnsi"/>
          <w:b/>
          <w:bCs/>
          <w:sz w:val="22"/>
        </w:rPr>
        <w:t>coverage for underserved populations</w:t>
      </w:r>
      <w:r w:rsidR="00B31405">
        <w:rPr>
          <w:rFonts w:asciiTheme="minorHAnsi" w:hAnsiTheme="minorHAnsi" w:cstheme="minorHAnsi"/>
          <w:b/>
          <w:bCs/>
          <w:sz w:val="22"/>
        </w:rPr>
        <w:t xml:space="preserve"> </w:t>
      </w:r>
      <w:r w:rsidR="00767DE0">
        <w:rPr>
          <w:rFonts w:asciiTheme="minorHAnsi" w:hAnsiTheme="minorHAnsi" w:cstheme="minorHAnsi"/>
          <w:b/>
          <w:bCs/>
          <w:sz w:val="22"/>
        </w:rPr>
        <w:t>–</w:t>
      </w:r>
      <w:r w:rsidR="00B31405">
        <w:rPr>
          <w:rFonts w:asciiTheme="minorHAnsi" w:hAnsiTheme="minorHAnsi" w:cstheme="minorHAnsi"/>
          <w:b/>
          <w:bCs/>
          <w:sz w:val="22"/>
        </w:rPr>
        <w:t xml:space="preserve"> </w:t>
      </w:r>
      <w:r w:rsidR="00767DE0">
        <w:rPr>
          <w:rFonts w:asciiTheme="minorHAnsi" w:hAnsiTheme="minorHAnsi" w:cstheme="minorHAnsi"/>
          <w:bCs/>
          <w:sz w:val="22"/>
        </w:rPr>
        <w:t xml:space="preserve">aims to improve PHC coverage </w:t>
      </w:r>
      <w:r>
        <w:rPr>
          <w:rFonts w:asciiTheme="minorHAnsi" w:hAnsiTheme="minorHAnsi" w:cstheme="minorHAnsi"/>
          <w:bCs/>
          <w:sz w:val="22"/>
        </w:rPr>
        <w:t xml:space="preserve"> </w:t>
      </w:r>
    </w:p>
    <w:p w14:paraId="6C4D9BCC" w14:textId="6B4058A5" w:rsidR="00DD4B1E" w:rsidRPr="000E5EBB" w:rsidRDefault="00260A4E" w:rsidP="00260A4E">
      <w:pPr>
        <w:ind w:left="-634"/>
        <w:jc w:val="both"/>
        <w:rPr>
          <w:rFonts w:asciiTheme="minorHAnsi" w:hAnsiTheme="minorHAnsi" w:cstheme="minorHAnsi"/>
          <w:bCs/>
          <w:sz w:val="22"/>
          <w:lang w:val="en-GB"/>
        </w:rPr>
      </w:pPr>
      <w:r>
        <w:rPr>
          <w:rFonts w:asciiTheme="minorHAnsi" w:hAnsiTheme="minorHAnsi" w:cstheme="minorHAnsi"/>
          <w:bCs/>
          <w:sz w:val="22"/>
        </w:rPr>
        <w:t xml:space="preserve">             </w:t>
      </w:r>
      <w:r w:rsidR="00767DE0">
        <w:rPr>
          <w:rFonts w:asciiTheme="minorHAnsi" w:hAnsiTheme="minorHAnsi" w:cstheme="minorHAnsi"/>
          <w:bCs/>
          <w:sz w:val="22"/>
        </w:rPr>
        <w:t xml:space="preserve">for underserved people by addressing the physical, financial, and social barriers they face. </w:t>
      </w:r>
    </w:p>
    <w:p w14:paraId="785EE282" w14:textId="77777777" w:rsidR="00DD4B1E" w:rsidRDefault="00DD4B1E" w:rsidP="00260A4E">
      <w:pPr>
        <w:contextualSpacing/>
        <w:jc w:val="both"/>
        <w:rPr>
          <w:rFonts w:asciiTheme="minorHAnsi" w:hAnsiTheme="minorHAnsi" w:cstheme="minorHAnsi"/>
          <w:sz w:val="22"/>
          <w:lang w:val="en-GB"/>
        </w:rPr>
      </w:pPr>
    </w:p>
    <w:p w14:paraId="680C6F3E" w14:textId="36ED36A5" w:rsidR="00DD4B1E" w:rsidRDefault="00DD4B1E" w:rsidP="00260A4E">
      <w:pPr>
        <w:jc w:val="both"/>
        <w:rPr>
          <w:rFonts w:asciiTheme="minorHAnsi" w:hAnsiTheme="minorHAnsi" w:cstheme="minorHAnsi"/>
          <w:b/>
          <w:noProof/>
          <w:sz w:val="22"/>
        </w:rPr>
      </w:pPr>
      <w:r w:rsidRPr="00F9054A">
        <w:rPr>
          <w:rFonts w:asciiTheme="minorHAnsi" w:hAnsiTheme="minorHAnsi" w:cstheme="minorHAnsi"/>
          <w:b/>
          <w:bCs/>
          <w:sz w:val="22"/>
        </w:rPr>
        <w:t>Result</w:t>
      </w:r>
      <w:r>
        <w:rPr>
          <w:rFonts w:asciiTheme="minorHAnsi" w:hAnsiTheme="minorHAnsi" w:cstheme="minorHAnsi"/>
          <w:b/>
          <w:bCs/>
          <w:sz w:val="22"/>
        </w:rPr>
        <w:t>s</w:t>
      </w:r>
      <w:r w:rsidRPr="00F9054A">
        <w:rPr>
          <w:rFonts w:asciiTheme="minorHAnsi" w:hAnsiTheme="minorHAnsi" w:cstheme="minorHAnsi"/>
          <w:b/>
          <w:bCs/>
          <w:sz w:val="22"/>
        </w:rPr>
        <w:t xml:space="preserve"> area 2: </w:t>
      </w:r>
      <w:r>
        <w:rPr>
          <w:rFonts w:asciiTheme="minorHAnsi" w:hAnsiTheme="minorHAnsi" w:cstheme="minorHAnsi"/>
          <w:b/>
          <w:bCs/>
          <w:sz w:val="22"/>
        </w:rPr>
        <w:t>R</w:t>
      </w:r>
      <w:r w:rsidRPr="00F9054A">
        <w:rPr>
          <w:rFonts w:asciiTheme="minorHAnsi" w:hAnsiTheme="minorHAnsi" w:cstheme="minorHAnsi"/>
          <w:b/>
          <w:bCs/>
          <w:sz w:val="22"/>
        </w:rPr>
        <w:t xml:space="preserve">ebalancing the hospital-centric system toward effective </w:t>
      </w:r>
      <w:r>
        <w:rPr>
          <w:rFonts w:asciiTheme="minorHAnsi" w:hAnsiTheme="minorHAnsi" w:cstheme="minorHAnsi"/>
          <w:b/>
          <w:bCs/>
          <w:sz w:val="22"/>
        </w:rPr>
        <w:t>PHC</w:t>
      </w:r>
      <w:r w:rsidRPr="00F9054A">
        <w:rPr>
          <w:rFonts w:asciiTheme="minorHAnsi" w:hAnsiTheme="minorHAnsi" w:cstheme="minorHAnsi"/>
          <w:b/>
          <w:bCs/>
          <w:sz w:val="22"/>
        </w:rPr>
        <w:t xml:space="preserve"> </w:t>
      </w:r>
      <w:r w:rsidR="0003348F">
        <w:rPr>
          <w:rFonts w:asciiTheme="minorHAnsi" w:hAnsiTheme="minorHAnsi" w:cstheme="minorHAnsi"/>
          <w:b/>
          <w:bCs/>
          <w:sz w:val="22"/>
        </w:rPr>
        <w:t>–</w:t>
      </w:r>
      <w:r w:rsidR="000A6E73">
        <w:rPr>
          <w:rFonts w:asciiTheme="minorHAnsi" w:hAnsiTheme="minorHAnsi" w:cstheme="minorHAnsi"/>
          <w:b/>
          <w:bCs/>
          <w:sz w:val="22"/>
        </w:rPr>
        <w:t xml:space="preserve"> </w:t>
      </w:r>
      <w:r w:rsidR="0003348F">
        <w:rPr>
          <w:rFonts w:asciiTheme="minorHAnsi" w:hAnsiTheme="minorHAnsi" w:cstheme="minorHAnsi"/>
          <w:bCs/>
          <w:sz w:val="22"/>
        </w:rPr>
        <w:t xml:space="preserve">aims to rebalance </w:t>
      </w:r>
      <w:r w:rsidRPr="008F1A73">
        <w:rPr>
          <w:rFonts w:asciiTheme="minorHAnsi" w:hAnsiTheme="minorHAnsi" w:cstheme="minorHAnsi"/>
          <w:bCs/>
          <w:sz w:val="22"/>
        </w:rPr>
        <w:t>the hospital-centric system toward effective PHC</w:t>
      </w:r>
      <w:r w:rsidRPr="005C3759">
        <w:rPr>
          <w:rFonts w:asciiTheme="minorHAnsi" w:hAnsiTheme="minorHAnsi" w:cstheme="minorHAnsi"/>
          <w:sz w:val="22"/>
        </w:rPr>
        <w:t xml:space="preserve"> by addressing the underlying institutional constraints: chronic underinvestment in PHC, </w:t>
      </w:r>
      <w:r>
        <w:rPr>
          <w:rFonts w:asciiTheme="minorHAnsi" w:hAnsiTheme="minorHAnsi" w:cstheme="minorHAnsi"/>
          <w:sz w:val="22"/>
        </w:rPr>
        <w:t xml:space="preserve">the </w:t>
      </w:r>
      <w:r w:rsidRPr="005C3759">
        <w:rPr>
          <w:rFonts w:asciiTheme="minorHAnsi" w:hAnsiTheme="minorHAnsi" w:cstheme="minorHAnsi"/>
          <w:sz w:val="22"/>
        </w:rPr>
        <w:t xml:space="preserve">misalignment of </w:t>
      </w:r>
      <w:r w:rsidRPr="00081208">
        <w:rPr>
          <w:rFonts w:asciiTheme="minorHAnsi" w:hAnsiTheme="minorHAnsi" w:cstheme="minorHAnsi"/>
          <w:sz w:val="22"/>
        </w:rPr>
        <w:t xml:space="preserve">incentives </w:t>
      </w:r>
      <w:r>
        <w:rPr>
          <w:rFonts w:asciiTheme="minorHAnsi" w:hAnsiTheme="minorHAnsi" w:cstheme="minorHAnsi"/>
          <w:sz w:val="22"/>
        </w:rPr>
        <w:t xml:space="preserve">that is embedded in NHIH’s </w:t>
      </w:r>
      <w:r w:rsidRPr="00081208">
        <w:rPr>
          <w:rFonts w:asciiTheme="minorHAnsi" w:hAnsiTheme="minorHAnsi" w:cstheme="minorHAnsi"/>
          <w:sz w:val="22"/>
        </w:rPr>
        <w:t>provider payment mechanism</w:t>
      </w:r>
      <w:r>
        <w:rPr>
          <w:rFonts w:asciiTheme="minorHAnsi" w:hAnsiTheme="minorHAnsi" w:cstheme="minorHAnsi"/>
          <w:sz w:val="22"/>
        </w:rPr>
        <w:t xml:space="preserve">s, and regulatory restrictions on the scope of PHC services. </w:t>
      </w:r>
      <w:r w:rsidRPr="008F1A73">
        <w:rPr>
          <w:rFonts w:asciiTheme="minorHAnsi" w:hAnsiTheme="minorHAnsi" w:cstheme="minorHAnsi"/>
          <w:bCs/>
          <w:sz w:val="22"/>
        </w:rPr>
        <w:t>T</w:t>
      </w:r>
      <w:r w:rsidRPr="008F1A73">
        <w:rPr>
          <w:rFonts w:asciiTheme="minorHAnsi" w:hAnsiTheme="minorHAnsi" w:cstheme="minorHAnsi"/>
          <w:sz w:val="22"/>
        </w:rPr>
        <w:t xml:space="preserve">he Government </w:t>
      </w:r>
      <w:r>
        <w:rPr>
          <w:rFonts w:asciiTheme="minorHAnsi" w:hAnsiTheme="minorHAnsi" w:cstheme="minorHAnsi"/>
          <w:sz w:val="22"/>
        </w:rPr>
        <w:t>plan</w:t>
      </w:r>
      <w:r w:rsidRPr="008F1A73">
        <w:rPr>
          <w:rFonts w:asciiTheme="minorHAnsi" w:hAnsiTheme="minorHAnsi" w:cstheme="minorHAnsi"/>
          <w:sz w:val="22"/>
        </w:rPr>
        <w:t>s a set of initiatives to make PHC comprehensive, widely accessible, and effective.</w:t>
      </w:r>
      <w:r w:rsidRPr="00C22145">
        <w:rPr>
          <w:rFonts w:asciiTheme="minorHAnsi" w:hAnsiTheme="minorHAnsi" w:cstheme="minorHAnsi"/>
          <w:sz w:val="22"/>
        </w:rPr>
        <w:t xml:space="preserve"> </w:t>
      </w:r>
    </w:p>
    <w:p w14:paraId="3BCBA44D" w14:textId="77777777" w:rsidR="00DD4B1E" w:rsidRDefault="00DD4B1E" w:rsidP="00260A4E">
      <w:pPr>
        <w:ind w:left="-634" w:firstLine="634"/>
        <w:jc w:val="both"/>
        <w:rPr>
          <w:rFonts w:asciiTheme="minorHAnsi" w:hAnsiTheme="minorHAnsi" w:cstheme="minorHAnsi"/>
          <w:b/>
          <w:bCs/>
          <w:sz w:val="22"/>
        </w:rPr>
      </w:pPr>
    </w:p>
    <w:p w14:paraId="4B7DBD1A" w14:textId="108533BD" w:rsidR="00DD4B1E" w:rsidRPr="00A26F65" w:rsidRDefault="00DD4B1E" w:rsidP="00260A4E">
      <w:pPr>
        <w:keepNext/>
        <w:jc w:val="both"/>
        <w:rPr>
          <w:rFonts w:asciiTheme="minorHAnsi" w:hAnsiTheme="minorHAnsi" w:cstheme="minorHAnsi"/>
          <w:bCs/>
          <w:sz w:val="22"/>
        </w:rPr>
      </w:pPr>
      <w:r w:rsidRPr="00F9054A">
        <w:rPr>
          <w:rFonts w:asciiTheme="minorHAnsi" w:hAnsiTheme="minorHAnsi" w:cstheme="minorHAnsi"/>
          <w:b/>
          <w:bCs/>
          <w:sz w:val="22"/>
        </w:rPr>
        <w:t>Result</w:t>
      </w:r>
      <w:r>
        <w:rPr>
          <w:rFonts w:asciiTheme="minorHAnsi" w:hAnsiTheme="minorHAnsi" w:cstheme="minorHAnsi"/>
          <w:b/>
          <w:bCs/>
          <w:sz w:val="22"/>
        </w:rPr>
        <w:t>s</w:t>
      </w:r>
      <w:r w:rsidRPr="00F9054A">
        <w:rPr>
          <w:rFonts w:asciiTheme="minorHAnsi" w:hAnsiTheme="minorHAnsi" w:cstheme="minorHAnsi"/>
          <w:b/>
          <w:bCs/>
          <w:sz w:val="22"/>
        </w:rPr>
        <w:t xml:space="preserve"> area 3: Improving health expenditure efficiency by addressing </w:t>
      </w:r>
      <w:r>
        <w:rPr>
          <w:rFonts w:asciiTheme="minorHAnsi" w:hAnsiTheme="minorHAnsi" w:cstheme="minorHAnsi"/>
          <w:b/>
          <w:bCs/>
          <w:sz w:val="22"/>
        </w:rPr>
        <w:t xml:space="preserve">critical </w:t>
      </w:r>
      <w:r w:rsidRPr="00F9054A">
        <w:rPr>
          <w:rFonts w:asciiTheme="minorHAnsi" w:hAnsiTheme="minorHAnsi" w:cstheme="minorHAnsi"/>
          <w:b/>
          <w:bCs/>
          <w:sz w:val="22"/>
        </w:rPr>
        <w:t xml:space="preserve">cost drivers </w:t>
      </w:r>
      <w:r w:rsidR="00C81D0E">
        <w:rPr>
          <w:rFonts w:asciiTheme="minorHAnsi" w:hAnsiTheme="minorHAnsi" w:cstheme="minorHAnsi"/>
          <w:b/>
          <w:bCs/>
          <w:sz w:val="22"/>
        </w:rPr>
        <w:t>–</w:t>
      </w:r>
      <w:r w:rsidR="0003348F">
        <w:rPr>
          <w:rFonts w:asciiTheme="minorHAnsi" w:hAnsiTheme="minorHAnsi" w:cstheme="minorHAnsi"/>
          <w:b/>
          <w:bCs/>
          <w:sz w:val="22"/>
        </w:rPr>
        <w:t xml:space="preserve"> </w:t>
      </w:r>
      <w:r w:rsidR="00C81D0E">
        <w:rPr>
          <w:rFonts w:asciiTheme="minorHAnsi" w:hAnsiTheme="minorHAnsi" w:cstheme="minorHAnsi"/>
          <w:bCs/>
          <w:sz w:val="22"/>
        </w:rPr>
        <w:t xml:space="preserve">aims to increase the efficiency of health expenditure by addressing critical cost drivers, </w:t>
      </w:r>
      <w:r>
        <w:rPr>
          <w:rFonts w:asciiTheme="minorHAnsi" w:hAnsiTheme="minorHAnsi" w:cstheme="minorHAnsi"/>
          <w:bCs/>
          <w:sz w:val="22"/>
        </w:rPr>
        <w:t xml:space="preserve">including high spending on pharmaceuticals, devices and supplies and inefficient spending that can be </w:t>
      </w:r>
      <w:r w:rsidRPr="0028188A">
        <w:rPr>
          <w:rFonts w:asciiTheme="minorHAnsi" w:hAnsiTheme="minorHAnsi" w:cstheme="minorHAnsi"/>
          <w:bCs/>
          <w:sz w:val="22"/>
        </w:rPr>
        <w:t>detect</w:t>
      </w:r>
      <w:r>
        <w:rPr>
          <w:rFonts w:asciiTheme="minorHAnsi" w:hAnsiTheme="minorHAnsi" w:cstheme="minorHAnsi"/>
          <w:bCs/>
          <w:sz w:val="22"/>
        </w:rPr>
        <w:t>ed</w:t>
      </w:r>
      <w:r w:rsidRPr="0028188A">
        <w:rPr>
          <w:rFonts w:asciiTheme="minorHAnsi" w:hAnsiTheme="minorHAnsi" w:cstheme="minorHAnsi"/>
          <w:bCs/>
          <w:sz w:val="22"/>
        </w:rPr>
        <w:t xml:space="preserve"> </w:t>
      </w:r>
      <w:r>
        <w:rPr>
          <w:rFonts w:asciiTheme="minorHAnsi" w:hAnsiTheme="minorHAnsi" w:cstheme="minorHAnsi"/>
          <w:bCs/>
          <w:sz w:val="22"/>
        </w:rPr>
        <w:t>through</w:t>
      </w:r>
      <w:r w:rsidRPr="0028188A">
        <w:rPr>
          <w:rFonts w:asciiTheme="minorHAnsi" w:hAnsiTheme="minorHAnsi" w:cstheme="minorHAnsi"/>
          <w:bCs/>
          <w:sz w:val="22"/>
        </w:rPr>
        <w:t xml:space="preserve"> </w:t>
      </w:r>
      <w:r>
        <w:rPr>
          <w:rFonts w:asciiTheme="minorHAnsi" w:hAnsiTheme="minorHAnsi" w:cstheme="minorHAnsi"/>
          <w:bCs/>
          <w:sz w:val="22"/>
        </w:rPr>
        <w:t xml:space="preserve">effective use of information. </w:t>
      </w:r>
    </w:p>
    <w:p w14:paraId="6102C30C" w14:textId="585D0885" w:rsidR="00EE3C0F" w:rsidRDefault="00EE3C0F" w:rsidP="00767A4F">
      <w:pPr>
        <w:jc w:val="both"/>
        <w:rPr>
          <w:rFonts w:asciiTheme="minorHAnsi" w:hAnsiTheme="minorHAnsi"/>
          <w:bCs/>
          <w:sz w:val="22"/>
        </w:rPr>
      </w:pPr>
    </w:p>
    <w:p w14:paraId="36011339" w14:textId="768C14A3" w:rsidR="00610474" w:rsidRPr="00C62310" w:rsidRDefault="00D731DA" w:rsidP="00C62310">
      <w:pPr>
        <w:pStyle w:val="PforRStyle2"/>
        <w:rPr>
          <w:rFonts w:ascii="Calibri" w:hAnsi="Calibri" w:cs="Calibri"/>
          <w:sz w:val="22"/>
          <w:szCs w:val="22"/>
        </w:rPr>
      </w:pPr>
      <w:bookmarkStart w:id="7" w:name="_Toc4090005"/>
      <w:bookmarkStart w:id="8" w:name="_Toc363720504"/>
      <w:bookmarkStart w:id="9" w:name="_Toc12467028"/>
      <w:bookmarkEnd w:id="6"/>
      <w:bookmarkEnd w:id="7"/>
      <w:r w:rsidRPr="00C62310">
        <w:rPr>
          <w:rFonts w:ascii="Calibri" w:hAnsi="Calibri" w:cs="Calibri"/>
          <w:sz w:val="22"/>
          <w:szCs w:val="22"/>
        </w:rPr>
        <w:t>Program Implementation</w:t>
      </w:r>
      <w:bookmarkEnd w:id="8"/>
      <w:bookmarkEnd w:id="9"/>
    </w:p>
    <w:p w14:paraId="1F01AE40" w14:textId="6F40A0F9" w:rsidR="001D33E0" w:rsidRPr="000A190A" w:rsidRDefault="001D33E0" w:rsidP="004247CA">
      <w:pPr>
        <w:keepNext/>
        <w:tabs>
          <w:tab w:val="left" w:pos="720"/>
        </w:tabs>
        <w:contextualSpacing/>
        <w:jc w:val="both"/>
        <w:rPr>
          <w:rFonts w:asciiTheme="minorHAnsi" w:hAnsiTheme="minorHAnsi" w:cstheme="minorHAnsi"/>
          <w:sz w:val="22"/>
        </w:rPr>
      </w:pPr>
      <w:r w:rsidRPr="000A190A">
        <w:rPr>
          <w:rFonts w:asciiTheme="minorHAnsi" w:hAnsiTheme="minorHAnsi" w:cstheme="minorHAnsi"/>
          <w:b/>
          <w:bCs/>
          <w:sz w:val="22"/>
        </w:rPr>
        <w:t>Program implementation will be supervised at the national level using existing institutions and supervision practices.</w:t>
      </w:r>
      <w:r w:rsidRPr="000A190A">
        <w:rPr>
          <w:rFonts w:asciiTheme="minorHAnsi" w:hAnsiTheme="minorHAnsi" w:cstheme="minorHAnsi"/>
          <w:sz w:val="22"/>
        </w:rPr>
        <w:t xml:space="preserve"> </w:t>
      </w:r>
      <w:r w:rsidR="008F7495">
        <w:rPr>
          <w:rFonts w:asciiTheme="minorHAnsi" w:hAnsiTheme="minorHAnsi" w:cstheme="minorHAnsi"/>
          <w:sz w:val="22"/>
        </w:rPr>
        <w:t xml:space="preserve">The MoH will provide overall oversight of the Program, facilitate strategic decision-making and ensure cross-agency coordination during Program Implementation. </w:t>
      </w:r>
      <w:r w:rsidR="00AC51E4">
        <w:rPr>
          <w:rFonts w:asciiTheme="minorHAnsi" w:hAnsiTheme="minorHAnsi" w:cstheme="minorHAnsi"/>
          <w:sz w:val="22"/>
        </w:rPr>
        <w:t>The MoH will be supported by a Program Coordinator whose main responsibility will be to support the day-to</w:t>
      </w:r>
      <w:r w:rsidR="00AC51E4">
        <w:rPr>
          <w:rFonts w:asciiTheme="minorHAnsi" w:hAnsiTheme="minorHAnsi" w:cstheme="minorHAnsi"/>
          <w:sz w:val="22"/>
        </w:rPr>
        <w:t>-day implementation of the relevant DLRs related to the results areas, lia</w:t>
      </w:r>
      <w:r w:rsidR="0001268E">
        <w:rPr>
          <w:rFonts w:asciiTheme="minorHAnsi" w:hAnsiTheme="minorHAnsi" w:cstheme="minorHAnsi"/>
          <w:sz w:val="22"/>
        </w:rPr>
        <w:t>ise with the Bank on all matters pertaining to the Pro</w:t>
      </w:r>
      <w:r w:rsidR="008C6D62">
        <w:rPr>
          <w:rFonts w:asciiTheme="minorHAnsi" w:hAnsiTheme="minorHAnsi" w:cstheme="minorHAnsi"/>
          <w:sz w:val="22"/>
        </w:rPr>
        <w:t>g</w:t>
      </w:r>
      <w:r w:rsidR="0001268E">
        <w:rPr>
          <w:rFonts w:asciiTheme="minorHAnsi" w:hAnsiTheme="minorHAnsi" w:cstheme="minorHAnsi"/>
          <w:sz w:val="22"/>
        </w:rPr>
        <w:t xml:space="preserve">ram, and </w:t>
      </w:r>
      <w:r w:rsidR="008C6D62">
        <w:rPr>
          <w:rFonts w:asciiTheme="minorHAnsi" w:hAnsiTheme="minorHAnsi" w:cstheme="minorHAnsi"/>
          <w:sz w:val="22"/>
        </w:rPr>
        <w:t xml:space="preserve">submit evidence on the achievement of DLIs/DLRs to the Bank in accordance with the verification protocol. </w:t>
      </w:r>
    </w:p>
    <w:p w14:paraId="2EA2F48D" w14:textId="77777777" w:rsidR="00790ACA" w:rsidRDefault="00790ACA" w:rsidP="00790ACA">
      <w:pPr>
        <w:rPr>
          <w:rFonts w:asciiTheme="minorHAnsi" w:hAnsiTheme="minorHAnsi" w:cstheme="minorHAnsi"/>
          <w:b/>
          <w:bCs/>
          <w:sz w:val="22"/>
        </w:rPr>
      </w:pPr>
    </w:p>
    <w:p w14:paraId="38DA937A" w14:textId="58406CA1" w:rsidR="001D33E0" w:rsidRPr="00C62310" w:rsidRDefault="001D33E0" w:rsidP="00FD2A7D">
      <w:pPr>
        <w:keepNext/>
        <w:tabs>
          <w:tab w:val="left" w:pos="720"/>
        </w:tabs>
        <w:contextualSpacing/>
        <w:jc w:val="both"/>
        <w:rPr>
          <w:rFonts w:ascii="Calibri" w:hAnsi="Calibri" w:cs="Calibri"/>
        </w:rPr>
      </w:pPr>
      <w:r w:rsidRPr="000A190A">
        <w:rPr>
          <w:rFonts w:asciiTheme="minorHAnsi" w:hAnsiTheme="minorHAnsi" w:cstheme="minorHAnsi"/>
          <w:b/>
          <w:bCs/>
          <w:sz w:val="22"/>
        </w:rPr>
        <w:t>The MoPF</w:t>
      </w:r>
      <w:r w:rsidR="00931E57">
        <w:rPr>
          <w:rFonts w:asciiTheme="minorHAnsi" w:hAnsiTheme="minorHAnsi" w:cstheme="minorHAnsi"/>
          <w:b/>
          <w:bCs/>
          <w:sz w:val="22"/>
        </w:rPr>
        <w:t>/ONAC</w:t>
      </w:r>
      <w:r w:rsidRPr="000A190A">
        <w:rPr>
          <w:rFonts w:asciiTheme="minorHAnsi" w:hAnsiTheme="minorHAnsi" w:cstheme="minorHAnsi"/>
          <w:b/>
          <w:bCs/>
          <w:sz w:val="22"/>
        </w:rPr>
        <w:t>, MoH, NHIH will be jointly responsible for the national level day-to-day supervision, technical guidance and actual implementation of the Program</w:t>
      </w:r>
      <w:r w:rsidRPr="000A190A">
        <w:rPr>
          <w:rFonts w:asciiTheme="minorHAnsi" w:hAnsiTheme="minorHAnsi" w:cstheme="minorHAnsi"/>
          <w:sz w:val="22"/>
        </w:rPr>
        <w:t xml:space="preserve">. </w:t>
      </w:r>
      <w:r w:rsidR="0082700F" w:rsidRPr="00980DDF">
        <w:rPr>
          <w:rFonts w:asciiTheme="minorHAnsi" w:hAnsiTheme="minorHAnsi" w:cstheme="minorHAnsi"/>
          <w:sz w:val="22"/>
        </w:rPr>
        <w:t>Within each entity, a team of three to four key staff members will be designated as focal points</w:t>
      </w:r>
      <w:r w:rsidR="0082700F">
        <w:rPr>
          <w:rFonts w:asciiTheme="minorHAnsi" w:hAnsiTheme="minorHAnsi" w:cstheme="minorHAnsi"/>
          <w:sz w:val="22"/>
        </w:rPr>
        <w:t>. They will be</w:t>
      </w:r>
      <w:r w:rsidR="0082700F" w:rsidRPr="00980DDF">
        <w:rPr>
          <w:rFonts w:asciiTheme="minorHAnsi" w:hAnsiTheme="minorHAnsi" w:cstheme="minorHAnsi"/>
          <w:sz w:val="22"/>
        </w:rPr>
        <w:t xml:space="preserve"> responsible for supervisin</w:t>
      </w:r>
      <w:r w:rsidR="0082700F">
        <w:rPr>
          <w:rFonts w:asciiTheme="minorHAnsi" w:hAnsiTheme="minorHAnsi" w:cstheme="minorHAnsi"/>
          <w:sz w:val="22"/>
        </w:rPr>
        <w:t>g</w:t>
      </w:r>
      <w:r w:rsidR="0082700F" w:rsidRPr="00980DDF">
        <w:rPr>
          <w:rFonts w:asciiTheme="minorHAnsi" w:hAnsiTheme="minorHAnsi" w:cstheme="minorHAnsi"/>
          <w:sz w:val="22"/>
        </w:rPr>
        <w:t xml:space="preserve"> </w:t>
      </w:r>
      <w:r w:rsidR="0082700F">
        <w:rPr>
          <w:rFonts w:asciiTheme="minorHAnsi" w:hAnsiTheme="minorHAnsi" w:cstheme="minorHAnsi"/>
          <w:sz w:val="22"/>
        </w:rPr>
        <w:t>Program</w:t>
      </w:r>
      <w:r w:rsidR="0082700F" w:rsidRPr="00980DDF">
        <w:rPr>
          <w:rFonts w:asciiTheme="minorHAnsi" w:hAnsiTheme="minorHAnsi" w:cstheme="minorHAnsi"/>
          <w:sz w:val="22"/>
        </w:rPr>
        <w:t xml:space="preserve"> implementation and ensur</w:t>
      </w:r>
      <w:r w:rsidR="0082700F">
        <w:rPr>
          <w:rFonts w:asciiTheme="minorHAnsi" w:hAnsiTheme="minorHAnsi" w:cstheme="minorHAnsi"/>
          <w:sz w:val="22"/>
        </w:rPr>
        <w:t>ing</w:t>
      </w:r>
      <w:r w:rsidR="0082700F" w:rsidRPr="00980DDF">
        <w:rPr>
          <w:rFonts w:asciiTheme="minorHAnsi" w:hAnsiTheme="minorHAnsi" w:cstheme="minorHAnsi"/>
          <w:sz w:val="22"/>
        </w:rPr>
        <w:t xml:space="preserve"> timely coordination with the relevant departments within each entity </w:t>
      </w:r>
      <w:r w:rsidR="0082700F">
        <w:rPr>
          <w:rFonts w:asciiTheme="minorHAnsi" w:hAnsiTheme="minorHAnsi" w:cstheme="minorHAnsi"/>
          <w:sz w:val="22"/>
        </w:rPr>
        <w:t xml:space="preserve">that are </w:t>
      </w:r>
      <w:r w:rsidR="0082700F" w:rsidRPr="00980DDF">
        <w:rPr>
          <w:rFonts w:asciiTheme="minorHAnsi" w:hAnsiTheme="minorHAnsi" w:cstheme="minorHAnsi"/>
          <w:sz w:val="22"/>
        </w:rPr>
        <w:t>responsible for the implementation of the activities to achieve the DLIs/</w:t>
      </w:r>
      <w:proofErr w:type="spellStart"/>
      <w:r w:rsidR="0082700F">
        <w:rPr>
          <w:rFonts w:asciiTheme="minorHAnsi" w:hAnsiTheme="minorHAnsi" w:cstheme="minorHAnsi"/>
          <w:sz w:val="22"/>
        </w:rPr>
        <w:t>DLRs</w:t>
      </w:r>
      <w:r w:rsidR="0082700F" w:rsidRPr="00980DDF">
        <w:rPr>
          <w:rFonts w:asciiTheme="minorHAnsi" w:hAnsiTheme="minorHAnsi" w:cstheme="minorHAnsi"/>
          <w:sz w:val="22"/>
        </w:rPr>
        <w:t>.</w:t>
      </w:r>
      <w:proofErr w:type="spellEnd"/>
      <w:r w:rsidR="0082700F" w:rsidRPr="00980DDF">
        <w:rPr>
          <w:rFonts w:asciiTheme="minorHAnsi" w:hAnsiTheme="minorHAnsi" w:cstheme="minorHAnsi"/>
          <w:sz w:val="22"/>
        </w:rPr>
        <w:t xml:space="preserve"> They will work in close collaboration with the Program </w:t>
      </w:r>
      <w:r w:rsidR="0082700F">
        <w:rPr>
          <w:rFonts w:asciiTheme="minorHAnsi" w:hAnsiTheme="minorHAnsi" w:cstheme="minorHAnsi"/>
          <w:sz w:val="22"/>
        </w:rPr>
        <w:t>C</w:t>
      </w:r>
      <w:r w:rsidR="0082700F" w:rsidRPr="00980DDF">
        <w:rPr>
          <w:rFonts w:asciiTheme="minorHAnsi" w:hAnsiTheme="minorHAnsi" w:cstheme="minorHAnsi"/>
          <w:sz w:val="22"/>
        </w:rPr>
        <w:t xml:space="preserve">oordinator of the MoH. At a minimum, the following supervisory teams will be established: </w:t>
      </w:r>
      <w:bookmarkStart w:id="10" w:name="_Hlk3616983"/>
      <w:r w:rsidR="0082700F" w:rsidRPr="00980DDF">
        <w:rPr>
          <w:rFonts w:asciiTheme="minorHAnsi" w:hAnsiTheme="minorHAnsi" w:cstheme="minorHAnsi"/>
          <w:sz w:val="22"/>
        </w:rPr>
        <w:t xml:space="preserve">(a) MoPF: heads of the </w:t>
      </w:r>
      <w:r w:rsidR="0082700F" w:rsidRPr="00980DDF">
        <w:rPr>
          <w:rStyle w:val="FontStyle220"/>
          <w:rFonts w:asciiTheme="minorHAnsi" w:hAnsiTheme="minorHAnsi" w:cstheme="minorHAnsi"/>
          <w:sz w:val="22"/>
        </w:rPr>
        <w:t>General Directorate of International Financial Relation</w:t>
      </w:r>
      <w:r w:rsidR="0082700F">
        <w:rPr>
          <w:rStyle w:val="FontStyle220"/>
          <w:rFonts w:asciiTheme="minorHAnsi" w:hAnsiTheme="minorHAnsi" w:cstheme="minorHAnsi"/>
          <w:sz w:val="22"/>
        </w:rPr>
        <w:t>s</w:t>
      </w:r>
      <w:r w:rsidR="0082700F" w:rsidRPr="00980DDF">
        <w:rPr>
          <w:rStyle w:val="FontStyle220"/>
          <w:rFonts w:asciiTheme="minorHAnsi" w:hAnsiTheme="minorHAnsi" w:cstheme="minorHAnsi"/>
          <w:sz w:val="22"/>
        </w:rPr>
        <w:t>, Directorate of Analysis and Streamlining of Public Spending, and ONAC (responsible for achievement of DLI 7 in coordination with other agencies, including Mo</w:t>
      </w:r>
      <w:r w:rsidR="0082700F">
        <w:rPr>
          <w:rStyle w:val="FontStyle220"/>
          <w:rFonts w:asciiTheme="minorHAnsi" w:hAnsiTheme="minorHAnsi" w:cstheme="minorHAnsi"/>
          <w:sz w:val="22"/>
        </w:rPr>
        <w:t>P</w:t>
      </w:r>
      <w:r w:rsidR="0082700F" w:rsidRPr="00980DDF">
        <w:rPr>
          <w:rStyle w:val="FontStyle220"/>
          <w:rFonts w:asciiTheme="minorHAnsi" w:hAnsiTheme="minorHAnsi" w:cstheme="minorHAnsi"/>
          <w:sz w:val="22"/>
        </w:rPr>
        <w:t>F, Ministry of Interior, NHIH); (b) M</w:t>
      </w:r>
      <w:r w:rsidR="0082700F" w:rsidRPr="00980DDF">
        <w:rPr>
          <w:rFonts w:asciiTheme="minorHAnsi" w:hAnsiTheme="minorHAnsi" w:cstheme="minorHAnsi"/>
          <w:sz w:val="22"/>
        </w:rPr>
        <w:t xml:space="preserve">oH: the General Secretary, heads of the General Directorate of Medical Assistance and Public Health, General Directorate of Procurement, Informatization and Patrimony, National Agency of Drugs and Medical Devices, and </w:t>
      </w:r>
      <w:r w:rsidR="0082700F" w:rsidRPr="00980DDF">
        <w:rPr>
          <w:rFonts w:asciiTheme="minorHAnsi" w:hAnsiTheme="minorHAnsi" w:cstheme="minorHAnsi"/>
          <w:sz w:val="22"/>
        </w:rPr>
        <w:lastRenderedPageBreak/>
        <w:t xml:space="preserve">Institute of Public Health; (c) NHIH: Chief Doctor, heads of Contracts with Health Providers Directorate, Legal Department, </w:t>
      </w:r>
      <w:bookmarkEnd w:id="10"/>
      <w:r w:rsidR="0082700F" w:rsidRPr="00980DDF">
        <w:rPr>
          <w:rFonts w:asciiTheme="minorHAnsi" w:hAnsiTheme="minorHAnsi" w:cstheme="minorHAnsi"/>
          <w:sz w:val="22"/>
        </w:rPr>
        <w:t xml:space="preserve">Economic Department, and </w:t>
      </w:r>
      <w:r w:rsidR="0082700F">
        <w:rPr>
          <w:rFonts w:asciiTheme="minorHAnsi" w:hAnsiTheme="minorHAnsi" w:cstheme="minorHAnsi"/>
          <w:sz w:val="22"/>
        </w:rPr>
        <w:t>IT Department; Financial Management Department</w:t>
      </w:r>
      <w:r w:rsidR="0082700F" w:rsidRPr="00980DDF">
        <w:rPr>
          <w:rFonts w:asciiTheme="minorHAnsi" w:hAnsiTheme="minorHAnsi" w:cstheme="minorHAnsi"/>
          <w:sz w:val="22"/>
        </w:rPr>
        <w:t xml:space="preserve">. These supervisory teams are expected to work in close collaboration </w:t>
      </w:r>
      <w:r w:rsidR="0082700F">
        <w:rPr>
          <w:rFonts w:asciiTheme="minorHAnsi" w:hAnsiTheme="minorHAnsi" w:cstheme="minorHAnsi"/>
          <w:sz w:val="22"/>
        </w:rPr>
        <w:t>to</w:t>
      </w:r>
      <w:r w:rsidR="0082700F" w:rsidRPr="00980DDF">
        <w:rPr>
          <w:rFonts w:asciiTheme="minorHAnsi" w:hAnsiTheme="minorHAnsi" w:cstheme="minorHAnsi"/>
          <w:sz w:val="22"/>
        </w:rPr>
        <w:t xml:space="preserve"> ensur</w:t>
      </w:r>
      <w:r w:rsidR="0082700F">
        <w:rPr>
          <w:rFonts w:asciiTheme="minorHAnsi" w:hAnsiTheme="minorHAnsi" w:cstheme="minorHAnsi"/>
          <w:sz w:val="22"/>
        </w:rPr>
        <w:t>e</w:t>
      </w:r>
      <w:r w:rsidR="0082700F" w:rsidRPr="00980DDF">
        <w:rPr>
          <w:rFonts w:asciiTheme="minorHAnsi" w:hAnsiTheme="minorHAnsi" w:cstheme="minorHAnsi"/>
          <w:sz w:val="22"/>
        </w:rPr>
        <w:t xml:space="preserve"> timely achievement of the </w:t>
      </w:r>
      <w:r w:rsidR="0082700F">
        <w:rPr>
          <w:rFonts w:asciiTheme="minorHAnsi" w:hAnsiTheme="minorHAnsi" w:cstheme="minorHAnsi"/>
          <w:sz w:val="22"/>
        </w:rPr>
        <w:t xml:space="preserve">Program </w:t>
      </w:r>
      <w:r w:rsidR="0082700F" w:rsidRPr="00980DDF">
        <w:rPr>
          <w:rFonts w:asciiTheme="minorHAnsi" w:hAnsiTheme="minorHAnsi" w:cstheme="minorHAnsi"/>
          <w:sz w:val="22"/>
        </w:rPr>
        <w:t>DLIs/</w:t>
      </w:r>
      <w:proofErr w:type="spellStart"/>
      <w:proofErr w:type="gramStart"/>
      <w:r w:rsidR="0082700F">
        <w:rPr>
          <w:rFonts w:asciiTheme="minorHAnsi" w:hAnsiTheme="minorHAnsi" w:cstheme="minorHAnsi"/>
          <w:sz w:val="22"/>
        </w:rPr>
        <w:t>DLRs</w:t>
      </w:r>
      <w:r w:rsidR="0082700F" w:rsidRPr="00980DDF">
        <w:rPr>
          <w:rFonts w:asciiTheme="minorHAnsi" w:hAnsiTheme="minorHAnsi" w:cstheme="minorHAnsi"/>
          <w:sz w:val="22"/>
        </w:rPr>
        <w:t>.</w:t>
      </w:r>
      <w:proofErr w:type="spellEnd"/>
      <w:r w:rsidR="00790ACA">
        <w:rPr>
          <w:rFonts w:asciiTheme="minorHAnsi" w:hAnsiTheme="minorHAnsi" w:cstheme="minorHAnsi"/>
          <w:sz w:val="22"/>
        </w:rPr>
        <w:t>.</w:t>
      </w:r>
      <w:proofErr w:type="gramEnd"/>
      <w:r w:rsidR="00790ACA">
        <w:rPr>
          <w:rFonts w:asciiTheme="minorHAnsi" w:hAnsiTheme="minorHAnsi" w:cstheme="minorHAnsi"/>
          <w:sz w:val="22"/>
        </w:rPr>
        <w:t xml:space="preserve"> </w:t>
      </w:r>
    </w:p>
    <w:p w14:paraId="18FDA7C8" w14:textId="77777777" w:rsidR="006742FF" w:rsidRPr="00C62310" w:rsidRDefault="006742FF" w:rsidP="00C62310">
      <w:pPr>
        <w:pStyle w:val="ListParagraph"/>
        <w:spacing w:after="0"/>
        <w:ind w:left="360" w:hanging="360"/>
        <w:rPr>
          <w:rFonts w:ascii="Calibri" w:hAnsi="Calibri" w:cs="Calibri"/>
        </w:rPr>
      </w:pPr>
    </w:p>
    <w:p w14:paraId="360113BB" w14:textId="6B051CE4" w:rsidR="00CD0ED9" w:rsidRDefault="00D731DA" w:rsidP="00C62310">
      <w:pPr>
        <w:pStyle w:val="PforRStyle2"/>
        <w:spacing w:after="0"/>
        <w:rPr>
          <w:rFonts w:ascii="Calibri" w:hAnsi="Calibri" w:cs="Calibri"/>
          <w:sz w:val="22"/>
          <w:szCs w:val="22"/>
        </w:rPr>
      </w:pPr>
      <w:bookmarkStart w:id="11" w:name="_Toc12467029"/>
      <w:r w:rsidRPr="00C62310">
        <w:rPr>
          <w:rFonts w:ascii="Calibri" w:hAnsi="Calibri" w:cs="Calibri"/>
          <w:sz w:val="22"/>
          <w:szCs w:val="22"/>
        </w:rPr>
        <w:t>Program Expenditure Framework</w:t>
      </w:r>
      <w:bookmarkEnd w:id="11"/>
    </w:p>
    <w:p w14:paraId="5303C775" w14:textId="77777777" w:rsidR="00EE3C0F" w:rsidRDefault="00EE3C0F" w:rsidP="00A52B6D">
      <w:pPr>
        <w:pStyle w:val="PKFNormalNumbered"/>
        <w:tabs>
          <w:tab w:val="clear" w:pos="851"/>
        </w:tabs>
        <w:spacing w:after="0" w:line="240" w:lineRule="auto"/>
        <w:ind w:left="0" w:firstLine="0"/>
        <w:rPr>
          <w:rFonts w:asciiTheme="minorHAnsi" w:eastAsiaTheme="minorEastAsia" w:hAnsiTheme="minorHAnsi" w:cstheme="minorHAnsi"/>
          <w:b/>
          <w:sz w:val="22"/>
          <w:szCs w:val="22"/>
          <w:lang w:val="en-US" w:eastAsia="en-US"/>
        </w:rPr>
      </w:pPr>
    </w:p>
    <w:p w14:paraId="1A3A7A95" w14:textId="584D4059" w:rsidR="004D320C" w:rsidRDefault="00260A4E" w:rsidP="004D320C">
      <w:pPr>
        <w:keepNext/>
        <w:tabs>
          <w:tab w:val="left" w:pos="720"/>
        </w:tabs>
        <w:autoSpaceDN w:val="0"/>
        <w:contextualSpacing/>
        <w:jc w:val="both"/>
        <w:rPr>
          <w:rFonts w:asciiTheme="minorHAnsi" w:hAnsiTheme="minorHAnsi" w:cstheme="minorHAnsi"/>
          <w:sz w:val="22"/>
        </w:rPr>
      </w:pPr>
      <w:r w:rsidRPr="00F405BF">
        <w:rPr>
          <w:rFonts w:asciiTheme="minorHAnsi" w:hAnsiTheme="minorHAnsi" w:cstheme="minorHAnsi"/>
          <w:b/>
          <w:noProof/>
          <w:sz w:val="22"/>
        </w:rPr>
        <w:t xml:space="preserve">The budget for the </w:t>
      </w:r>
      <w:r>
        <w:rPr>
          <w:rFonts w:asciiTheme="minorHAnsi" w:hAnsiTheme="minorHAnsi" w:cstheme="minorHAnsi"/>
          <w:b/>
          <w:noProof/>
          <w:sz w:val="22"/>
        </w:rPr>
        <w:t>Government p</w:t>
      </w:r>
      <w:r w:rsidRPr="00F405BF">
        <w:rPr>
          <w:rFonts w:asciiTheme="minorHAnsi" w:hAnsiTheme="minorHAnsi" w:cstheme="minorHAnsi"/>
          <w:b/>
          <w:noProof/>
          <w:sz w:val="22"/>
        </w:rPr>
        <w:t>rogram over the next four years</w:t>
      </w:r>
      <w:r w:rsidR="003A604B">
        <w:rPr>
          <w:rFonts w:asciiTheme="minorHAnsi" w:hAnsiTheme="minorHAnsi" w:cstheme="minorHAnsi"/>
          <w:b/>
          <w:noProof/>
          <w:sz w:val="22"/>
        </w:rPr>
        <w:t xml:space="preserve"> (2020-2023)</w:t>
      </w:r>
      <w:r w:rsidRPr="00F405BF">
        <w:rPr>
          <w:rFonts w:asciiTheme="minorHAnsi" w:hAnsiTheme="minorHAnsi" w:cstheme="minorHAnsi"/>
          <w:b/>
          <w:noProof/>
          <w:sz w:val="22"/>
        </w:rPr>
        <w:t xml:space="preserve"> is estimated at US$4.</w:t>
      </w:r>
      <w:r w:rsidR="003A604B">
        <w:rPr>
          <w:rFonts w:asciiTheme="minorHAnsi" w:hAnsiTheme="minorHAnsi" w:cstheme="minorHAnsi"/>
          <w:b/>
          <w:noProof/>
          <w:sz w:val="22"/>
        </w:rPr>
        <w:t>53</w:t>
      </w:r>
      <w:r w:rsidRPr="00F405BF">
        <w:rPr>
          <w:rFonts w:asciiTheme="minorHAnsi" w:hAnsiTheme="minorHAnsi" w:cstheme="minorHAnsi"/>
          <w:b/>
          <w:noProof/>
          <w:sz w:val="22"/>
        </w:rPr>
        <w:t xml:space="preserve">billion, of which IBRD financing would be US$570 million, </w:t>
      </w:r>
      <w:r>
        <w:rPr>
          <w:rFonts w:asciiTheme="minorHAnsi" w:hAnsiTheme="minorHAnsi" w:cstheme="minorHAnsi"/>
          <w:b/>
          <w:noProof/>
          <w:sz w:val="22"/>
        </w:rPr>
        <w:t>or</w:t>
      </w:r>
      <w:r w:rsidRPr="00F405BF">
        <w:rPr>
          <w:rFonts w:asciiTheme="minorHAnsi" w:hAnsiTheme="minorHAnsi" w:cstheme="minorHAnsi"/>
          <w:b/>
          <w:noProof/>
          <w:sz w:val="22"/>
        </w:rPr>
        <w:t xml:space="preserve"> 1</w:t>
      </w:r>
      <w:r w:rsidR="003A604B">
        <w:rPr>
          <w:rFonts w:asciiTheme="minorHAnsi" w:hAnsiTheme="minorHAnsi" w:cstheme="minorHAnsi"/>
          <w:b/>
          <w:noProof/>
          <w:sz w:val="22"/>
        </w:rPr>
        <w:t>2</w:t>
      </w:r>
      <w:r w:rsidRPr="00F405BF">
        <w:rPr>
          <w:rFonts w:asciiTheme="minorHAnsi" w:hAnsiTheme="minorHAnsi" w:cstheme="minorHAnsi"/>
          <w:b/>
          <w:noProof/>
          <w:sz w:val="22"/>
        </w:rPr>
        <w:t>.</w:t>
      </w:r>
      <w:r w:rsidR="003A604B">
        <w:rPr>
          <w:rFonts w:asciiTheme="minorHAnsi" w:hAnsiTheme="minorHAnsi" w:cstheme="minorHAnsi"/>
          <w:b/>
          <w:noProof/>
          <w:sz w:val="22"/>
        </w:rPr>
        <w:t>6</w:t>
      </w:r>
      <w:r w:rsidRPr="00F405BF">
        <w:rPr>
          <w:rFonts w:asciiTheme="minorHAnsi" w:hAnsiTheme="minorHAnsi" w:cstheme="minorHAnsi"/>
          <w:b/>
          <w:noProof/>
          <w:sz w:val="22"/>
        </w:rPr>
        <w:t xml:space="preserve"> percent of the </w:t>
      </w:r>
      <w:r w:rsidR="003A604B">
        <w:rPr>
          <w:rFonts w:asciiTheme="minorHAnsi" w:hAnsiTheme="minorHAnsi" w:cstheme="minorHAnsi"/>
          <w:b/>
          <w:noProof/>
          <w:sz w:val="22"/>
        </w:rPr>
        <w:t>P</w:t>
      </w:r>
      <w:r w:rsidRPr="00F405BF">
        <w:rPr>
          <w:rFonts w:asciiTheme="minorHAnsi" w:hAnsiTheme="minorHAnsi" w:cstheme="minorHAnsi"/>
          <w:b/>
          <w:noProof/>
          <w:sz w:val="22"/>
        </w:rPr>
        <w:t>rogram budget.</w:t>
      </w:r>
      <w:r w:rsidR="004D320C" w:rsidRPr="004D320C">
        <w:rPr>
          <w:rFonts w:asciiTheme="minorHAnsi" w:hAnsiTheme="minorHAnsi" w:cstheme="minorHAnsi"/>
          <w:sz w:val="22"/>
        </w:rPr>
        <w:t xml:space="preserve"> </w:t>
      </w:r>
      <w:r w:rsidR="004D320C" w:rsidRPr="004725D4">
        <w:rPr>
          <w:rFonts w:asciiTheme="minorHAnsi" w:hAnsiTheme="minorHAnsi" w:cstheme="minorHAnsi"/>
          <w:sz w:val="22"/>
        </w:rPr>
        <w:t>Total government expenditure pertaining to the Program is expected to grow incrementally</w:t>
      </w:r>
      <w:r w:rsidR="004D320C">
        <w:rPr>
          <w:rFonts w:asciiTheme="minorHAnsi" w:hAnsiTheme="minorHAnsi" w:cstheme="minorHAnsi"/>
          <w:sz w:val="22"/>
        </w:rPr>
        <w:t xml:space="preserve"> until 2023</w:t>
      </w:r>
      <w:r w:rsidR="004D320C" w:rsidRPr="004725D4">
        <w:rPr>
          <w:rFonts w:asciiTheme="minorHAnsi" w:hAnsiTheme="minorHAnsi" w:cstheme="minorHAnsi"/>
          <w:sz w:val="22"/>
        </w:rPr>
        <w:t xml:space="preserve">, as the interventions foreseen in primary care will be rolled out nationally. As a share in total Government expenditure, the </w:t>
      </w:r>
      <w:r w:rsidR="004D320C">
        <w:rPr>
          <w:rFonts w:asciiTheme="minorHAnsi" w:hAnsiTheme="minorHAnsi" w:cstheme="minorHAnsi"/>
          <w:sz w:val="22"/>
        </w:rPr>
        <w:t>P</w:t>
      </w:r>
      <w:r w:rsidR="004D320C" w:rsidRPr="004725D4">
        <w:rPr>
          <w:rFonts w:asciiTheme="minorHAnsi" w:hAnsiTheme="minorHAnsi" w:cstheme="minorHAnsi"/>
          <w:sz w:val="22"/>
        </w:rPr>
        <w:t xml:space="preserve">rogram </w:t>
      </w:r>
      <w:r w:rsidR="004D320C">
        <w:rPr>
          <w:rFonts w:asciiTheme="minorHAnsi" w:hAnsiTheme="minorHAnsi" w:cstheme="minorHAnsi"/>
          <w:sz w:val="22"/>
        </w:rPr>
        <w:t xml:space="preserve">costs </w:t>
      </w:r>
      <w:r w:rsidR="004D320C" w:rsidRPr="004D320C">
        <w:rPr>
          <w:rFonts w:asciiTheme="minorHAnsi" w:hAnsiTheme="minorHAnsi" w:cstheme="minorHAnsi"/>
          <w:sz w:val="22"/>
        </w:rPr>
        <w:t xml:space="preserve">will </w:t>
      </w:r>
      <w:r w:rsidR="004D320C" w:rsidRPr="00767A4F">
        <w:rPr>
          <w:rFonts w:asciiTheme="minorHAnsi" w:hAnsiTheme="minorHAnsi" w:cstheme="minorHAnsi"/>
          <w:sz w:val="22"/>
        </w:rPr>
        <w:t>grow from 0.9 to 1.3 pe</w:t>
      </w:r>
      <w:r w:rsidR="004D320C" w:rsidRPr="004D320C">
        <w:rPr>
          <w:rFonts w:asciiTheme="minorHAnsi" w:hAnsiTheme="minorHAnsi" w:cstheme="minorHAnsi"/>
          <w:sz w:val="22"/>
        </w:rPr>
        <w:t>rcent</w:t>
      </w:r>
      <w:r w:rsidR="004D320C" w:rsidRPr="00CA3B5C">
        <w:rPr>
          <w:rFonts w:asciiTheme="minorHAnsi" w:hAnsiTheme="minorHAnsi" w:cstheme="minorHAnsi"/>
          <w:sz w:val="22"/>
        </w:rPr>
        <w:t xml:space="preserve"> from 2020 to 2023.</w:t>
      </w:r>
    </w:p>
    <w:p w14:paraId="4F846ABD" w14:textId="614098A8" w:rsidR="00485676" w:rsidRPr="006C054E" w:rsidRDefault="00260A4E" w:rsidP="006C054E">
      <w:pPr>
        <w:tabs>
          <w:tab w:val="left" w:pos="720"/>
        </w:tabs>
        <w:spacing w:after="160"/>
        <w:jc w:val="both"/>
        <w:rPr>
          <w:rFonts w:asciiTheme="minorHAnsi" w:hAnsiTheme="minorHAnsi"/>
          <w:noProof/>
          <w:sz w:val="22"/>
        </w:rPr>
      </w:pPr>
      <w:r w:rsidRPr="00F405BF">
        <w:rPr>
          <w:rFonts w:asciiTheme="minorHAnsi" w:hAnsiTheme="minorHAnsi" w:cstheme="minorHAnsi"/>
          <w:sz w:val="22"/>
        </w:rPr>
        <w:t xml:space="preserve">The specific expenditure categories included in the Program are goods and services, the wage bill, and capital expenditures. The activities under the Program </w:t>
      </w:r>
      <w:r w:rsidRPr="00F405BF">
        <w:rPr>
          <w:rFonts w:asciiTheme="minorHAnsi" w:hAnsiTheme="minorHAnsi" w:cstheme="minorHAnsi"/>
          <w:iCs/>
          <w:sz w:val="22"/>
        </w:rPr>
        <w:t>will be funded from the budgets of the NHIH, MoH, and MoPF</w:t>
      </w:r>
      <w:r w:rsidR="003A604B">
        <w:rPr>
          <w:rFonts w:asciiTheme="minorHAnsi" w:hAnsiTheme="minorHAnsi" w:cstheme="minorHAnsi"/>
          <w:iCs/>
          <w:sz w:val="22"/>
        </w:rPr>
        <w:t xml:space="preserve"> (through ONAC)</w:t>
      </w:r>
      <w:r w:rsidRPr="00F405BF">
        <w:rPr>
          <w:rFonts w:asciiTheme="minorHAnsi" w:hAnsiTheme="minorHAnsi" w:cstheme="minorHAnsi"/>
          <w:iCs/>
          <w:sz w:val="22"/>
        </w:rPr>
        <w:t xml:space="preserve">. </w:t>
      </w:r>
      <w:r>
        <w:rPr>
          <w:rFonts w:asciiTheme="minorHAnsi" w:hAnsiTheme="minorHAnsi" w:cstheme="minorHAnsi"/>
          <w:iCs/>
          <w:sz w:val="22"/>
        </w:rPr>
        <w:t>For</w:t>
      </w:r>
      <w:r w:rsidRPr="00F405BF">
        <w:rPr>
          <w:rFonts w:asciiTheme="minorHAnsi" w:hAnsiTheme="minorHAnsi" w:cstheme="minorHAnsi"/>
          <w:iCs/>
          <w:sz w:val="22"/>
        </w:rPr>
        <w:t xml:space="preserve"> the NHIH, the Program will pertain to expenditures for family medicine services and NHIH administration. </w:t>
      </w:r>
      <w:r>
        <w:rPr>
          <w:rFonts w:asciiTheme="minorHAnsi" w:hAnsiTheme="minorHAnsi" w:cstheme="minorHAnsi"/>
          <w:iCs/>
          <w:sz w:val="22"/>
        </w:rPr>
        <w:t>For</w:t>
      </w:r>
      <w:r w:rsidRPr="00F405BF">
        <w:rPr>
          <w:rFonts w:asciiTheme="minorHAnsi" w:hAnsiTheme="minorHAnsi" w:cstheme="minorHAnsi"/>
          <w:iCs/>
          <w:sz w:val="22"/>
        </w:rPr>
        <w:t xml:space="preserve"> MoH, the Program will relate to expenditure items dealing with community</w:t>
      </w:r>
      <w:r>
        <w:rPr>
          <w:rFonts w:asciiTheme="minorHAnsi" w:hAnsiTheme="minorHAnsi" w:cstheme="minorHAnsi"/>
          <w:iCs/>
          <w:sz w:val="22"/>
        </w:rPr>
        <w:t xml:space="preserve"> health </w:t>
      </w:r>
      <w:r w:rsidRPr="00F405BF">
        <w:rPr>
          <w:rFonts w:asciiTheme="minorHAnsi" w:hAnsiTheme="minorHAnsi" w:cstheme="minorHAnsi"/>
          <w:iCs/>
          <w:sz w:val="22"/>
        </w:rPr>
        <w:t>care, PHC, and administration of re</w:t>
      </w:r>
      <w:r>
        <w:rPr>
          <w:rFonts w:asciiTheme="minorHAnsi" w:hAnsiTheme="minorHAnsi" w:cstheme="minorHAnsi"/>
          <w:iCs/>
          <w:sz w:val="22"/>
        </w:rPr>
        <w:t>lated</w:t>
      </w:r>
      <w:r w:rsidRPr="00F405BF">
        <w:rPr>
          <w:rFonts w:asciiTheme="minorHAnsi" w:hAnsiTheme="minorHAnsi" w:cstheme="minorHAnsi"/>
          <w:iCs/>
          <w:sz w:val="22"/>
        </w:rPr>
        <w:t xml:space="preserve"> activities. In addition, the Program will include the portion of the MoPF budget </w:t>
      </w:r>
      <w:r>
        <w:rPr>
          <w:rFonts w:asciiTheme="minorHAnsi" w:hAnsiTheme="minorHAnsi" w:cstheme="minorHAnsi"/>
          <w:iCs/>
          <w:sz w:val="22"/>
        </w:rPr>
        <w:t xml:space="preserve">that is </w:t>
      </w:r>
      <w:r w:rsidRPr="00F405BF">
        <w:rPr>
          <w:rFonts w:asciiTheme="minorHAnsi" w:hAnsiTheme="minorHAnsi" w:cstheme="minorHAnsi"/>
          <w:iCs/>
          <w:sz w:val="22"/>
        </w:rPr>
        <w:t>related to ONAC.</w:t>
      </w:r>
      <w:r w:rsidR="00DA5229">
        <w:rPr>
          <w:rFonts w:asciiTheme="minorHAnsi" w:hAnsiTheme="minorHAnsi" w:cstheme="minorHAnsi"/>
          <w:iCs/>
          <w:sz w:val="22"/>
        </w:rPr>
        <w:t xml:space="preserve"> </w:t>
      </w:r>
      <w:r w:rsidR="00485676" w:rsidRPr="00BC1D0C">
        <w:rPr>
          <w:rFonts w:asciiTheme="minorHAnsi" w:hAnsiTheme="minorHAnsi"/>
          <w:sz w:val="22"/>
        </w:rPr>
        <w:t>All these expenditure programs mark the boundary of the Program (Table 1).</w:t>
      </w:r>
    </w:p>
    <w:p w14:paraId="215EA71A" w14:textId="5D12D35C" w:rsidR="005F4C2C" w:rsidRPr="00767A4F" w:rsidRDefault="005F4C2C" w:rsidP="005F4C2C">
      <w:pPr>
        <w:contextualSpacing/>
        <w:jc w:val="center"/>
        <w:rPr>
          <w:rFonts w:asciiTheme="minorHAnsi" w:hAnsiTheme="minorHAnsi" w:cstheme="minorHAnsi"/>
          <w:b/>
          <w:bCs/>
          <w:iCs/>
          <w:sz w:val="22"/>
        </w:rPr>
      </w:pPr>
      <w:r w:rsidRPr="00767A4F">
        <w:rPr>
          <w:rFonts w:asciiTheme="minorHAnsi" w:hAnsiTheme="minorHAnsi" w:cstheme="minorHAnsi"/>
          <w:b/>
          <w:bCs/>
          <w:sz w:val="22"/>
        </w:rPr>
        <w:t xml:space="preserve">Table </w:t>
      </w:r>
      <w:r w:rsidR="00CE730C" w:rsidRPr="00767A4F">
        <w:rPr>
          <w:rFonts w:asciiTheme="minorHAnsi" w:hAnsiTheme="minorHAnsi" w:cstheme="minorHAnsi"/>
          <w:b/>
          <w:bCs/>
          <w:sz w:val="22"/>
        </w:rPr>
        <w:t>1</w:t>
      </w:r>
      <w:r w:rsidRPr="00767A4F">
        <w:rPr>
          <w:rFonts w:asciiTheme="minorHAnsi" w:hAnsiTheme="minorHAnsi" w:cstheme="minorHAnsi"/>
          <w:b/>
          <w:bCs/>
          <w:sz w:val="22"/>
        </w:rPr>
        <w:t xml:space="preserve">: </w:t>
      </w:r>
      <w:r w:rsidRPr="00767A4F">
        <w:rPr>
          <w:rFonts w:asciiTheme="minorHAnsi" w:hAnsiTheme="minorHAnsi" w:cstheme="minorHAnsi"/>
          <w:b/>
          <w:bCs/>
          <w:iCs/>
          <w:sz w:val="22"/>
        </w:rPr>
        <w:t xml:space="preserve">Estimated five-year budget of the Program (million </w:t>
      </w:r>
      <w:r w:rsidR="00A4082C" w:rsidRPr="00767A4F">
        <w:rPr>
          <w:rFonts w:asciiTheme="minorHAnsi" w:hAnsiTheme="minorHAnsi" w:cstheme="minorHAnsi"/>
          <w:b/>
          <w:bCs/>
          <w:iCs/>
          <w:sz w:val="22"/>
        </w:rPr>
        <w:t>USD</w:t>
      </w:r>
      <w:r w:rsidRPr="00767A4F">
        <w:rPr>
          <w:rFonts w:asciiTheme="minorHAnsi" w:hAnsiTheme="minorHAnsi" w:cstheme="minorHAnsi"/>
          <w:b/>
          <w:bCs/>
          <w:iCs/>
          <w:sz w:val="22"/>
        </w:rPr>
        <w:t>)</w:t>
      </w:r>
    </w:p>
    <w:tbl>
      <w:tblPr>
        <w:tblStyle w:val="TableGrid"/>
        <w:tblW w:w="9191" w:type="dxa"/>
        <w:jc w:val="center"/>
        <w:tblLook w:val="04A0" w:firstRow="1" w:lastRow="0" w:firstColumn="1" w:lastColumn="0" w:noHBand="0" w:noVBand="1"/>
      </w:tblPr>
      <w:tblGrid>
        <w:gridCol w:w="4008"/>
        <w:gridCol w:w="1449"/>
        <w:gridCol w:w="1295"/>
        <w:gridCol w:w="990"/>
        <w:gridCol w:w="1449"/>
      </w:tblGrid>
      <w:tr w:rsidR="005F4C2C" w:rsidRPr="00767A4F" w14:paraId="3A17A624" w14:textId="77777777" w:rsidTr="00ED4204">
        <w:trPr>
          <w:trHeight w:val="288"/>
          <w:jc w:val="center"/>
        </w:trPr>
        <w:tc>
          <w:tcPr>
            <w:tcW w:w="4008" w:type="dxa"/>
            <w:noWrap/>
            <w:hideMark/>
          </w:tcPr>
          <w:p w14:paraId="473D4DD0" w14:textId="77777777" w:rsidR="005F4C2C" w:rsidRPr="00767A4F" w:rsidRDefault="005F4C2C" w:rsidP="00A74A8F">
            <w:pPr>
              <w:spacing w:after="160"/>
              <w:contextualSpacing/>
              <w:jc w:val="center"/>
              <w:rPr>
                <w:rFonts w:asciiTheme="minorHAnsi" w:hAnsiTheme="minorHAnsi" w:cstheme="minorHAnsi"/>
                <w:b/>
                <w:bCs/>
                <w:iCs/>
                <w:sz w:val="22"/>
                <w:lang w:val="ro-RO"/>
              </w:rPr>
            </w:pPr>
            <w:r w:rsidRPr="00767A4F">
              <w:rPr>
                <w:rFonts w:asciiTheme="minorHAnsi" w:hAnsiTheme="minorHAnsi" w:cstheme="minorHAnsi"/>
                <w:b/>
                <w:bCs/>
                <w:iCs/>
                <w:sz w:val="22"/>
              </w:rPr>
              <w:t>Year</w:t>
            </w:r>
          </w:p>
        </w:tc>
        <w:tc>
          <w:tcPr>
            <w:tcW w:w="1449" w:type="dxa"/>
            <w:noWrap/>
            <w:hideMark/>
          </w:tcPr>
          <w:p w14:paraId="15DEF557" w14:textId="77777777" w:rsidR="005F4C2C" w:rsidRPr="00767A4F" w:rsidRDefault="005F4C2C" w:rsidP="00A74A8F">
            <w:pPr>
              <w:spacing w:after="160"/>
              <w:contextualSpacing/>
              <w:jc w:val="center"/>
              <w:rPr>
                <w:rFonts w:asciiTheme="minorHAnsi" w:hAnsiTheme="minorHAnsi" w:cstheme="minorHAnsi"/>
                <w:b/>
                <w:bCs/>
                <w:iCs/>
                <w:sz w:val="22"/>
              </w:rPr>
            </w:pPr>
            <w:r w:rsidRPr="00767A4F">
              <w:rPr>
                <w:rFonts w:asciiTheme="minorHAnsi" w:hAnsiTheme="minorHAnsi" w:cstheme="minorHAnsi"/>
                <w:b/>
                <w:bCs/>
                <w:iCs/>
                <w:sz w:val="22"/>
              </w:rPr>
              <w:t>NHIF</w:t>
            </w:r>
          </w:p>
        </w:tc>
        <w:tc>
          <w:tcPr>
            <w:tcW w:w="1295" w:type="dxa"/>
            <w:noWrap/>
            <w:hideMark/>
          </w:tcPr>
          <w:p w14:paraId="2576B6BD" w14:textId="77777777" w:rsidR="005F4C2C" w:rsidRPr="00767A4F" w:rsidRDefault="005F4C2C" w:rsidP="00A74A8F">
            <w:pPr>
              <w:spacing w:after="160"/>
              <w:contextualSpacing/>
              <w:jc w:val="center"/>
              <w:rPr>
                <w:rFonts w:asciiTheme="minorHAnsi" w:hAnsiTheme="minorHAnsi" w:cstheme="minorHAnsi"/>
                <w:b/>
                <w:bCs/>
                <w:iCs/>
                <w:sz w:val="22"/>
              </w:rPr>
            </w:pPr>
            <w:r w:rsidRPr="00767A4F">
              <w:rPr>
                <w:rFonts w:asciiTheme="minorHAnsi" w:hAnsiTheme="minorHAnsi" w:cstheme="minorHAnsi"/>
                <w:b/>
                <w:bCs/>
                <w:iCs/>
                <w:sz w:val="22"/>
              </w:rPr>
              <w:t>MoH</w:t>
            </w:r>
          </w:p>
        </w:tc>
        <w:tc>
          <w:tcPr>
            <w:tcW w:w="990" w:type="dxa"/>
            <w:noWrap/>
            <w:hideMark/>
          </w:tcPr>
          <w:p w14:paraId="564D49F9" w14:textId="3C7CEFFC" w:rsidR="005F4C2C" w:rsidRPr="00767A4F" w:rsidRDefault="005F4C2C" w:rsidP="00A74A8F">
            <w:pPr>
              <w:spacing w:after="160"/>
              <w:contextualSpacing/>
              <w:jc w:val="center"/>
              <w:rPr>
                <w:rFonts w:asciiTheme="minorHAnsi" w:hAnsiTheme="minorHAnsi" w:cstheme="minorHAnsi"/>
                <w:b/>
                <w:bCs/>
                <w:iCs/>
                <w:sz w:val="22"/>
              </w:rPr>
            </w:pPr>
            <w:r w:rsidRPr="00767A4F">
              <w:rPr>
                <w:rFonts w:asciiTheme="minorHAnsi" w:hAnsiTheme="minorHAnsi" w:cstheme="minorHAnsi"/>
                <w:b/>
                <w:bCs/>
                <w:iCs/>
                <w:sz w:val="22"/>
              </w:rPr>
              <w:t>Mo</w:t>
            </w:r>
            <w:r w:rsidR="002C4C0E" w:rsidRPr="00767A4F">
              <w:rPr>
                <w:rFonts w:asciiTheme="minorHAnsi" w:hAnsiTheme="minorHAnsi" w:cstheme="minorHAnsi"/>
                <w:b/>
                <w:bCs/>
                <w:iCs/>
                <w:sz w:val="22"/>
              </w:rPr>
              <w:t>P</w:t>
            </w:r>
            <w:r w:rsidRPr="00767A4F">
              <w:rPr>
                <w:rFonts w:asciiTheme="minorHAnsi" w:hAnsiTheme="minorHAnsi" w:cstheme="minorHAnsi"/>
                <w:b/>
                <w:bCs/>
                <w:iCs/>
                <w:sz w:val="22"/>
              </w:rPr>
              <w:t>F</w:t>
            </w:r>
          </w:p>
        </w:tc>
        <w:tc>
          <w:tcPr>
            <w:tcW w:w="1449" w:type="dxa"/>
            <w:noWrap/>
            <w:hideMark/>
          </w:tcPr>
          <w:p w14:paraId="6E1BC313" w14:textId="77777777" w:rsidR="005F4C2C" w:rsidRPr="00767A4F" w:rsidRDefault="005F4C2C" w:rsidP="00A74A8F">
            <w:pPr>
              <w:spacing w:after="160"/>
              <w:contextualSpacing/>
              <w:jc w:val="center"/>
              <w:rPr>
                <w:rFonts w:asciiTheme="minorHAnsi" w:hAnsiTheme="minorHAnsi" w:cstheme="minorHAnsi"/>
                <w:b/>
                <w:bCs/>
                <w:iCs/>
                <w:sz w:val="22"/>
              </w:rPr>
            </w:pPr>
            <w:r w:rsidRPr="00767A4F">
              <w:rPr>
                <w:rFonts w:asciiTheme="minorHAnsi" w:hAnsiTheme="minorHAnsi" w:cstheme="minorHAnsi"/>
                <w:b/>
                <w:bCs/>
                <w:iCs/>
                <w:sz w:val="22"/>
              </w:rPr>
              <w:t>Total</w:t>
            </w:r>
          </w:p>
        </w:tc>
      </w:tr>
      <w:tr w:rsidR="005F4C2C" w:rsidRPr="00767A4F" w14:paraId="3844DC27" w14:textId="77777777" w:rsidTr="00ED4204">
        <w:trPr>
          <w:trHeight w:val="288"/>
          <w:jc w:val="center"/>
        </w:trPr>
        <w:tc>
          <w:tcPr>
            <w:tcW w:w="4008" w:type="dxa"/>
            <w:noWrap/>
            <w:vAlign w:val="center"/>
            <w:hideMark/>
          </w:tcPr>
          <w:p w14:paraId="384D7ED5" w14:textId="77777777" w:rsidR="005F4C2C" w:rsidRPr="00767A4F" w:rsidRDefault="005F4C2C" w:rsidP="00A74A8F">
            <w:pPr>
              <w:spacing w:after="160"/>
              <w:contextualSpacing/>
              <w:jc w:val="center"/>
              <w:rPr>
                <w:rFonts w:asciiTheme="minorHAnsi" w:hAnsiTheme="minorHAnsi" w:cstheme="minorHAnsi"/>
                <w:iCs/>
                <w:sz w:val="22"/>
              </w:rPr>
            </w:pPr>
            <w:r w:rsidRPr="00767A4F">
              <w:rPr>
                <w:rFonts w:asciiTheme="minorHAnsi" w:hAnsiTheme="minorHAnsi" w:cstheme="minorHAnsi"/>
                <w:iCs/>
                <w:sz w:val="22"/>
              </w:rPr>
              <w:t>2020</w:t>
            </w:r>
          </w:p>
        </w:tc>
        <w:tc>
          <w:tcPr>
            <w:tcW w:w="1449" w:type="dxa"/>
            <w:noWrap/>
            <w:vAlign w:val="bottom"/>
            <w:hideMark/>
          </w:tcPr>
          <w:p w14:paraId="10077D5C" w14:textId="36436310" w:rsidR="005F4C2C" w:rsidRPr="00767A4F" w:rsidRDefault="00A4082C" w:rsidP="00A74A8F">
            <w:pPr>
              <w:spacing w:after="160"/>
              <w:contextualSpacing/>
              <w:jc w:val="center"/>
              <w:rPr>
                <w:rFonts w:asciiTheme="minorHAnsi" w:hAnsiTheme="minorHAnsi" w:cstheme="minorHAnsi"/>
                <w:iCs/>
                <w:sz w:val="22"/>
              </w:rPr>
            </w:pPr>
            <w:r w:rsidRPr="00767A4F">
              <w:rPr>
                <w:rFonts w:asciiTheme="minorHAnsi" w:hAnsiTheme="minorHAnsi" w:cstheme="minorHAnsi"/>
                <w:sz w:val="22"/>
              </w:rPr>
              <w:t>724</w:t>
            </w:r>
          </w:p>
        </w:tc>
        <w:tc>
          <w:tcPr>
            <w:tcW w:w="1295" w:type="dxa"/>
            <w:noWrap/>
            <w:vAlign w:val="bottom"/>
            <w:hideMark/>
          </w:tcPr>
          <w:p w14:paraId="0A60ECF2" w14:textId="523C3334" w:rsidR="005F4C2C" w:rsidRPr="00767A4F" w:rsidRDefault="00A4082C" w:rsidP="00A74A8F">
            <w:pPr>
              <w:spacing w:after="160"/>
              <w:contextualSpacing/>
              <w:jc w:val="center"/>
              <w:rPr>
                <w:rFonts w:asciiTheme="minorHAnsi" w:hAnsiTheme="minorHAnsi" w:cstheme="minorHAnsi"/>
                <w:iCs/>
                <w:sz w:val="22"/>
              </w:rPr>
            </w:pPr>
            <w:r w:rsidRPr="00767A4F">
              <w:rPr>
                <w:rFonts w:asciiTheme="minorHAnsi" w:hAnsiTheme="minorHAnsi" w:cstheme="minorHAnsi"/>
                <w:sz w:val="22"/>
              </w:rPr>
              <w:t>136</w:t>
            </w:r>
          </w:p>
        </w:tc>
        <w:tc>
          <w:tcPr>
            <w:tcW w:w="990" w:type="dxa"/>
            <w:noWrap/>
            <w:vAlign w:val="bottom"/>
            <w:hideMark/>
          </w:tcPr>
          <w:p w14:paraId="436EAE12" w14:textId="6A853C49" w:rsidR="005F4C2C" w:rsidRPr="00767A4F" w:rsidRDefault="00A4082C" w:rsidP="00A74A8F">
            <w:pPr>
              <w:spacing w:after="160"/>
              <w:contextualSpacing/>
              <w:jc w:val="center"/>
              <w:rPr>
                <w:rFonts w:asciiTheme="minorHAnsi" w:hAnsiTheme="minorHAnsi" w:cstheme="minorHAnsi"/>
                <w:iCs/>
                <w:sz w:val="22"/>
              </w:rPr>
            </w:pPr>
            <w:r w:rsidRPr="00767A4F">
              <w:rPr>
                <w:rFonts w:asciiTheme="minorHAnsi" w:hAnsiTheme="minorHAnsi" w:cstheme="minorHAnsi"/>
                <w:sz w:val="22"/>
              </w:rPr>
              <w:t>2</w:t>
            </w:r>
          </w:p>
        </w:tc>
        <w:tc>
          <w:tcPr>
            <w:tcW w:w="1449" w:type="dxa"/>
            <w:noWrap/>
            <w:vAlign w:val="bottom"/>
            <w:hideMark/>
          </w:tcPr>
          <w:p w14:paraId="0818BE30" w14:textId="43FB5B89" w:rsidR="005F4C2C" w:rsidRPr="00767A4F" w:rsidRDefault="00A4082C" w:rsidP="00A74A8F">
            <w:pPr>
              <w:spacing w:after="160"/>
              <w:contextualSpacing/>
              <w:jc w:val="center"/>
              <w:rPr>
                <w:rFonts w:asciiTheme="minorHAnsi" w:hAnsiTheme="minorHAnsi" w:cstheme="minorHAnsi"/>
                <w:iCs/>
                <w:sz w:val="22"/>
              </w:rPr>
            </w:pPr>
            <w:r w:rsidRPr="00767A4F">
              <w:rPr>
                <w:rFonts w:asciiTheme="minorHAnsi" w:hAnsiTheme="minorHAnsi" w:cstheme="minorHAnsi"/>
                <w:sz w:val="22"/>
              </w:rPr>
              <w:t>862</w:t>
            </w:r>
          </w:p>
        </w:tc>
      </w:tr>
      <w:tr w:rsidR="005F4C2C" w:rsidRPr="00767A4F" w14:paraId="76063ABE" w14:textId="77777777" w:rsidTr="00ED4204">
        <w:trPr>
          <w:trHeight w:val="288"/>
          <w:jc w:val="center"/>
        </w:trPr>
        <w:tc>
          <w:tcPr>
            <w:tcW w:w="4008" w:type="dxa"/>
            <w:noWrap/>
            <w:vAlign w:val="center"/>
            <w:hideMark/>
          </w:tcPr>
          <w:p w14:paraId="44BE9E28" w14:textId="77777777" w:rsidR="005F4C2C" w:rsidRPr="00767A4F" w:rsidRDefault="005F4C2C" w:rsidP="00A74A8F">
            <w:pPr>
              <w:spacing w:after="160"/>
              <w:contextualSpacing/>
              <w:jc w:val="center"/>
              <w:rPr>
                <w:rFonts w:asciiTheme="minorHAnsi" w:hAnsiTheme="minorHAnsi" w:cstheme="minorHAnsi"/>
                <w:iCs/>
                <w:sz w:val="22"/>
              </w:rPr>
            </w:pPr>
            <w:r w:rsidRPr="00767A4F">
              <w:rPr>
                <w:rFonts w:asciiTheme="minorHAnsi" w:hAnsiTheme="minorHAnsi" w:cstheme="minorHAnsi"/>
                <w:iCs/>
                <w:sz w:val="22"/>
              </w:rPr>
              <w:t>2021</w:t>
            </w:r>
          </w:p>
        </w:tc>
        <w:tc>
          <w:tcPr>
            <w:tcW w:w="1449" w:type="dxa"/>
            <w:noWrap/>
            <w:vAlign w:val="bottom"/>
            <w:hideMark/>
          </w:tcPr>
          <w:p w14:paraId="5FC64423" w14:textId="1CF36B11" w:rsidR="005F4C2C" w:rsidRPr="00767A4F" w:rsidRDefault="00A4082C" w:rsidP="00A74A8F">
            <w:pPr>
              <w:spacing w:after="160"/>
              <w:contextualSpacing/>
              <w:jc w:val="center"/>
              <w:rPr>
                <w:rFonts w:asciiTheme="minorHAnsi" w:hAnsiTheme="minorHAnsi" w:cstheme="minorHAnsi"/>
                <w:iCs/>
                <w:sz w:val="22"/>
              </w:rPr>
            </w:pPr>
            <w:r w:rsidRPr="00767A4F">
              <w:rPr>
                <w:rFonts w:asciiTheme="minorHAnsi" w:hAnsiTheme="minorHAnsi" w:cstheme="minorHAnsi"/>
                <w:sz w:val="22"/>
              </w:rPr>
              <w:t>899</w:t>
            </w:r>
          </w:p>
        </w:tc>
        <w:tc>
          <w:tcPr>
            <w:tcW w:w="1295" w:type="dxa"/>
            <w:noWrap/>
            <w:vAlign w:val="bottom"/>
            <w:hideMark/>
          </w:tcPr>
          <w:p w14:paraId="5430EA39" w14:textId="415F2BEA" w:rsidR="005F4C2C" w:rsidRPr="00767A4F" w:rsidRDefault="00A4082C" w:rsidP="00A74A8F">
            <w:pPr>
              <w:spacing w:after="160"/>
              <w:contextualSpacing/>
              <w:jc w:val="center"/>
              <w:rPr>
                <w:rFonts w:asciiTheme="minorHAnsi" w:hAnsiTheme="minorHAnsi" w:cstheme="minorHAnsi"/>
                <w:iCs/>
                <w:sz w:val="22"/>
              </w:rPr>
            </w:pPr>
            <w:r w:rsidRPr="00767A4F">
              <w:rPr>
                <w:rFonts w:asciiTheme="minorHAnsi" w:hAnsiTheme="minorHAnsi" w:cstheme="minorHAnsi"/>
                <w:sz w:val="22"/>
              </w:rPr>
              <w:t>14</w:t>
            </w:r>
            <w:r w:rsidRPr="00767A4F">
              <w:rPr>
                <w:rFonts w:asciiTheme="minorHAnsi" w:hAnsiTheme="minorHAnsi" w:cstheme="minorHAnsi"/>
                <w:sz w:val="22"/>
              </w:rPr>
              <w:t>2</w:t>
            </w:r>
          </w:p>
        </w:tc>
        <w:tc>
          <w:tcPr>
            <w:tcW w:w="990" w:type="dxa"/>
            <w:noWrap/>
            <w:vAlign w:val="bottom"/>
            <w:hideMark/>
          </w:tcPr>
          <w:p w14:paraId="7396820B" w14:textId="7B248772" w:rsidR="005F4C2C" w:rsidRPr="00767A4F" w:rsidRDefault="00A4082C" w:rsidP="00A74A8F">
            <w:pPr>
              <w:spacing w:after="160"/>
              <w:contextualSpacing/>
              <w:jc w:val="center"/>
              <w:rPr>
                <w:rFonts w:asciiTheme="minorHAnsi" w:hAnsiTheme="minorHAnsi" w:cstheme="minorHAnsi"/>
                <w:iCs/>
                <w:sz w:val="22"/>
              </w:rPr>
            </w:pPr>
            <w:r w:rsidRPr="00767A4F">
              <w:rPr>
                <w:rFonts w:asciiTheme="minorHAnsi" w:hAnsiTheme="minorHAnsi" w:cstheme="minorHAnsi"/>
                <w:sz w:val="22"/>
              </w:rPr>
              <w:t>2</w:t>
            </w:r>
          </w:p>
        </w:tc>
        <w:tc>
          <w:tcPr>
            <w:tcW w:w="1449" w:type="dxa"/>
            <w:noWrap/>
            <w:vAlign w:val="bottom"/>
            <w:hideMark/>
          </w:tcPr>
          <w:p w14:paraId="7007CB11" w14:textId="436D1FA4" w:rsidR="005F4C2C" w:rsidRPr="00767A4F" w:rsidRDefault="00A4082C" w:rsidP="00A74A8F">
            <w:pPr>
              <w:spacing w:after="160"/>
              <w:contextualSpacing/>
              <w:jc w:val="center"/>
              <w:rPr>
                <w:rFonts w:asciiTheme="minorHAnsi" w:hAnsiTheme="minorHAnsi" w:cstheme="minorHAnsi"/>
                <w:iCs/>
                <w:sz w:val="22"/>
              </w:rPr>
            </w:pPr>
            <w:r w:rsidRPr="00767A4F">
              <w:rPr>
                <w:rFonts w:asciiTheme="minorHAnsi" w:hAnsiTheme="minorHAnsi" w:cstheme="minorHAnsi"/>
                <w:sz w:val="22"/>
              </w:rPr>
              <w:t>1,043</w:t>
            </w:r>
          </w:p>
        </w:tc>
      </w:tr>
      <w:tr w:rsidR="005F4C2C" w:rsidRPr="00767A4F" w14:paraId="581CACB4" w14:textId="77777777" w:rsidTr="00ED4204">
        <w:trPr>
          <w:trHeight w:val="288"/>
          <w:jc w:val="center"/>
        </w:trPr>
        <w:tc>
          <w:tcPr>
            <w:tcW w:w="4008" w:type="dxa"/>
            <w:noWrap/>
            <w:vAlign w:val="center"/>
            <w:hideMark/>
          </w:tcPr>
          <w:p w14:paraId="680876B1" w14:textId="77777777" w:rsidR="005F4C2C" w:rsidRPr="00767A4F" w:rsidRDefault="005F4C2C" w:rsidP="00A74A8F">
            <w:pPr>
              <w:spacing w:after="160"/>
              <w:contextualSpacing/>
              <w:jc w:val="center"/>
              <w:rPr>
                <w:rFonts w:asciiTheme="minorHAnsi" w:hAnsiTheme="minorHAnsi" w:cstheme="minorHAnsi"/>
                <w:iCs/>
                <w:sz w:val="22"/>
              </w:rPr>
            </w:pPr>
            <w:r w:rsidRPr="00767A4F">
              <w:rPr>
                <w:rFonts w:asciiTheme="minorHAnsi" w:hAnsiTheme="minorHAnsi" w:cstheme="minorHAnsi"/>
                <w:iCs/>
                <w:sz w:val="22"/>
              </w:rPr>
              <w:t>2022</w:t>
            </w:r>
          </w:p>
        </w:tc>
        <w:tc>
          <w:tcPr>
            <w:tcW w:w="1449" w:type="dxa"/>
            <w:noWrap/>
            <w:vAlign w:val="bottom"/>
            <w:hideMark/>
          </w:tcPr>
          <w:p w14:paraId="27BE6541" w14:textId="4C63C0E7" w:rsidR="005F4C2C" w:rsidRPr="00767A4F" w:rsidRDefault="00A4082C" w:rsidP="00A74A8F">
            <w:pPr>
              <w:spacing w:after="160"/>
              <w:contextualSpacing/>
              <w:jc w:val="center"/>
              <w:rPr>
                <w:rFonts w:asciiTheme="minorHAnsi" w:hAnsiTheme="minorHAnsi" w:cstheme="minorHAnsi"/>
                <w:iCs/>
                <w:sz w:val="22"/>
              </w:rPr>
            </w:pPr>
            <w:r w:rsidRPr="00767A4F">
              <w:rPr>
                <w:rFonts w:asciiTheme="minorHAnsi" w:hAnsiTheme="minorHAnsi" w:cstheme="minorHAnsi"/>
                <w:sz w:val="22"/>
              </w:rPr>
              <w:t>1,046</w:t>
            </w:r>
          </w:p>
        </w:tc>
        <w:tc>
          <w:tcPr>
            <w:tcW w:w="1295" w:type="dxa"/>
            <w:noWrap/>
            <w:vAlign w:val="bottom"/>
            <w:hideMark/>
          </w:tcPr>
          <w:p w14:paraId="4E3F393E" w14:textId="29EC2E18" w:rsidR="005F4C2C" w:rsidRPr="00767A4F" w:rsidRDefault="00A4082C" w:rsidP="00A74A8F">
            <w:pPr>
              <w:spacing w:after="160"/>
              <w:contextualSpacing/>
              <w:jc w:val="center"/>
              <w:rPr>
                <w:rFonts w:asciiTheme="minorHAnsi" w:hAnsiTheme="minorHAnsi" w:cstheme="minorHAnsi"/>
                <w:iCs/>
                <w:sz w:val="22"/>
              </w:rPr>
            </w:pPr>
            <w:r w:rsidRPr="00767A4F">
              <w:rPr>
                <w:rFonts w:asciiTheme="minorHAnsi" w:hAnsiTheme="minorHAnsi" w:cstheme="minorHAnsi"/>
                <w:sz w:val="22"/>
              </w:rPr>
              <w:t>157</w:t>
            </w:r>
          </w:p>
        </w:tc>
        <w:tc>
          <w:tcPr>
            <w:tcW w:w="990" w:type="dxa"/>
            <w:noWrap/>
            <w:vAlign w:val="bottom"/>
            <w:hideMark/>
          </w:tcPr>
          <w:p w14:paraId="6A83D610" w14:textId="64B10FD4" w:rsidR="005F4C2C" w:rsidRPr="00767A4F" w:rsidRDefault="005F4C2C" w:rsidP="00A74A8F">
            <w:pPr>
              <w:spacing w:after="160"/>
              <w:contextualSpacing/>
              <w:jc w:val="center"/>
              <w:rPr>
                <w:rFonts w:asciiTheme="minorHAnsi" w:hAnsiTheme="minorHAnsi" w:cstheme="minorHAnsi"/>
                <w:iCs/>
                <w:sz w:val="22"/>
              </w:rPr>
            </w:pPr>
            <w:r w:rsidRPr="00767A4F">
              <w:rPr>
                <w:rFonts w:asciiTheme="minorHAnsi" w:hAnsiTheme="minorHAnsi" w:cstheme="minorHAnsi"/>
                <w:sz w:val="22"/>
              </w:rPr>
              <w:t>2</w:t>
            </w:r>
          </w:p>
        </w:tc>
        <w:tc>
          <w:tcPr>
            <w:tcW w:w="1449" w:type="dxa"/>
            <w:noWrap/>
            <w:vAlign w:val="bottom"/>
            <w:hideMark/>
          </w:tcPr>
          <w:p w14:paraId="5EB81C25" w14:textId="77B9324C" w:rsidR="005F4C2C" w:rsidRPr="00767A4F" w:rsidRDefault="00A4082C" w:rsidP="00A74A8F">
            <w:pPr>
              <w:spacing w:after="160"/>
              <w:contextualSpacing/>
              <w:jc w:val="center"/>
              <w:rPr>
                <w:rFonts w:asciiTheme="minorHAnsi" w:hAnsiTheme="minorHAnsi" w:cstheme="minorHAnsi"/>
                <w:iCs/>
                <w:sz w:val="22"/>
              </w:rPr>
            </w:pPr>
            <w:r w:rsidRPr="00767A4F">
              <w:rPr>
                <w:rFonts w:asciiTheme="minorHAnsi" w:hAnsiTheme="minorHAnsi" w:cstheme="minorHAnsi"/>
                <w:sz w:val="22"/>
              </w:rPr>
              <w:t>1,204</w:t>
            </w:r>
          </w:p>
        </w:tc>
      </w:tr>
      <w:tr w:rsidR="005F4C2C" w:rsidRPr="00767A4F" w14:paraId="4EBA70CF" w14:textId="77777777" w:rsidTr="00ED4204">
        <w:trPr>
          <w:trHeight w:val="288"/>
          <w:jc w:val="center"/>
        </w:trPr>
        <w:tc>
          <w:tcPr>
            <w:tcW w:w="4008" w:type="dxa"/>
            <w:noWrap/>
            <w:vAlign w:val="center"/>
            <w:hideMark/>
          </w:tcPr>
          <w:p w14:paraId="5F1A597E" w14:textId="77777777" w:rsidR="005F4C2C" w:rsidRPr="00767A4F" w:rsidRDefault="005F4C2C" w:rsidP="00A74A8F">
            <w:pPr>
              <w:spacing w:after="160"/>
              <w:contextualSpacing/>
              <w:jc w:val="center"/>
              <w:rPr>
                <w:rFonts w:asciiTheme="minorHAnsi" w:hAnsiTheme="minorHAnsi" w:cstheme="minorHAnsi"/>
                <w:iCs/>
                <w:sz w:val="22"/>
              </w:rPr>
            </w:pPr>
            <w:r w:rsidRPr="00767A4F">
              <w:rPr>
                <w:rFonts w:asciiTheme="minorHAnsi" w:hAnsiTheme="minorHAnsi" w:cstheme="minorHAnsi"/>
                <w:iCs/>
                <w:sz w:val="22"/>
              </w:rPr>
              <w:t>2023</w:t>
            </w:r>
          </w:p>
        </w:tc>
        <w:tc>
          <w:tcPr>
            <w:tcW w:w="1449" w:type="dxa"/>
            <w:noWrap/>
            <w:vAlign w:val="bottom"/>
            <w:hideMark/>
          </w:tcPr>
          <w:p w14:paraId="10E82A64" w14:textId="16CB783C" w:rsidR="005F4C2C" w:rsidRPr="00767A4F" w:rsidRDefault="00A4082C" w:rsidP="00A74A8F">
            <w:pPr>
              <w:spacing w:after="160"/>
              <w:contextualSpacing/>
              <w:jc w:val="center"/>
              <w:rPr>
                <w:rFonts w:asciiTheme="minorHAnsi" w:hAnsiTheme="minorHAnsi" w:cstheme="minorHAnsi"/>
                <w:iCs/>
                <w:sz w:val="22"/>
              </w:rPr>
            </w:pPr>
            <w:r w:rsidRPr="00767A4F">
              <w:rPr>
                <w:rFonts w:asciiTheme="minorHAnsi" w:hAnsiTheme="minorHAnsi" w:cstheme="minorHAnsi"/>
                <w:sz w:val="22"/>
              </w:rPr>
              <w:t>1,244</w:t>
            </w:r>
          </w:p>
        </w:tc>
        <w:tc>
          <w:tcPr>
            <w:tcW w:w="1295" w:type="dxa"/>
            <w:noWrap/>
            <w:vAlign w:val="bottom"/>
            <w:hideMark/>
          </w:tcPr>
          <w:p w14:paraId="35AEFC38" w14:textId="16D05B8F" w:rsidR="005F4C2C" w:rsidRPr="00767A4F" w:rsidRDefault="005F4C2C" w:rsidP="00A74A8F">
            <w:pPr>
              <w:spacing w:after="160"/>
              <w:contextualSpacing/>
              <w:jc w:val="center"/>
              <w:rPr>
                <w:rFonts w:asciiTheme="minorHAnsi" w:hAnsiTheme="minorHAnsi" w:cstheme="minorHAnsi"/>
                <w:iCs/>
                <w:sz w:val="22"/>
              </w:rPr>
            </w:pPr>
            <w:r w:rsidRPr="00767A4F">
              <w:rPr>
                <w:rFonts w:asciiTheme="minorHAnsi" w:hAnsiTheme="minorHAnsi" w:cstheme="minorHAnsi"/>
                <w:sz w:val="22"/>
              </w:rPr>
              <w:t>1</w:t>
            </w:r>
            <w:r w:rsidR="00A4082C" w:rsidRPr="00767A4F">
              <w:rPr>
                <w:rFonts w:asciiTheme="minorHAnsi" w:hAnsiTheme="minorHAnsi" w:cstheme="minorHAnsi"/>
                <w:sz w:val="22"/>
              </w:rPr>
              <w:t>74</w:t>
            </w:r>
          </w:p>
        </w:tc>
        <w:tc>
          <w:tcPr>
            <w:tcW w:w="990" w:type="dxa"/>
            <w:noWrap/>
            <w:vAlign w:val="bottom"/>
            <w:hideMark/>
          </w:tcPr>
          <w:p w14:paraId="150ECB89" w14:textId="5255348C" w:rsidR="005F4C2C" w:rsidRPr="00767A4F" w:rsidRDefault="00A4082C" w:rsidP="00A74A8F">
            <w:pPr>
              <w:spacing w:after="160"/>
              <w:contextualSpacing/>
              <w:jc w:val="center"/>
              <w:rPr>
                <w:rFonts w:asciiTheme="minorHAnsi" w:hAnsiTheme="minorHAnsi" w:cstheme="minorHAnsi"/>
                <w:iCs/>
                <w:sz w:val="22"/>
              </w:rPr>
            </w:pPr>
            <w:r w:rsidRPr="00767A4F">
              <w:rPr>
                <w:rFonts w:asciiTheme="minorHAnsi" w:hAnsiTheme="minorHAnsi" w:cstheme="minorHAnsi"/>
                <w:sz w:val="22"/>
              </w:rPr>
              <w:t>2</w:t>
            </w:r>
          </w:p>
        </w:tc>
        <w:tc>
          <w:tcPr>
            <w:tcW w:w="1449" w:type="dxa"/>
            <w:noWrap/>
            <w:vAlign w:val="bottom"/>
            <w:hideMark/>
          </w:tcPr>
          <w:p w14:paraId="73A2FC6A" w14:textId="29CDB029" w:rsidR="005F4C2C" w:rsidRPr="00767A4F" w:rsidRDefault="00A4082C" w:rsidP="00A74A8F">
            <w:pPr>
              <w:spacing w:after="160"/>
              <w:contextualSpacing/>
              <w:jc w:val="center"/>
              <w:rPr>
                <w:rFonts w:asciiTheme="minorHAnsi" w:hAnsiTheme="minorHAnsi" w:cstheme="minorHAnsi"/>
                <w:iCs/>
                <w:sz w:val="22"/>
              </w:rPr>
            </w:pPr>
            <w:r w:rsidRPr="00767A4F">
              <w:rPr>
                <w:rFonts w:asciiTheme="minorHAnsi" w:hAnsiTheme="minorHAnsi" w:cstheme="minorHAnsi"/>
                <w:sz w:val="22"/>
              </w:rPr>
              <w:t>1,420</w:t>
            </w:r>
          </w:p>
        </w:tc>
      </w:tr>
      <w:tr w:rsidR="005F4C2C" w:rsidRPr="00767A4F" w14:paraId="22EE3B70" w14:textId="77777777" w:rsidTr="00ED4204">
        <w:trPr>
          <w:trHeight w:val="288"/>
          <w:jc w:val="center"/>
        </w:trPr>
        <w:tc>
          <w:tcPr>
            <w:tcW w:w="4008" w:type="dxa"/>
            <w:noWrap/>
            <w:vAlign w:val="center"/>
          </w:tcPr>
          <w:p w14:paraId="61868A3E" w14:textId="77777777" w:rsidR="005F4C2C" w:rsidRPr="00767A4F" w:rsidRDefault="005F4C2C" w:rsidP="00A74A8F">
            <w:pPr>
              <w:spacing w:after="160"/>
              <w:contextualSpacing/>
              <w:jc w:val="center"/>
              <w:rPr>
                <w:rFonts w:asciiTheme="minorHAnsi" w:hAnsiTheme="minorHAnsi" w:cstheme="minorHAnsi"/>
                <w:b/>
                <w:bCs/>
                <w:iCs/>
                <w:sz w:val="22"/>
              </w:rPr>
            </w:pPr>
            <w:r w:rsidRPr="00767A4F">
              <w:rPr>
                <w:rFonts w:asciiTheme="minorHAnsi" w:hAnsiTheme="minorHAnsi" w:cstheme="minorHAnsi"/>
                <w:b/>
                <w:bCs/>
                <w:iCs/>
                <w:sz w:val="22"/>
              </w:rPr>
              <w:t>Program budget 2020-2023</w:t>
            </w:r>
          </w:p>
        </w:tc>
        <w:tc>
          <w:tcPr>
            <w:tcW w:w="1449" w:type="dxa"/>
            <w:noWrap/>
            <w:vAlign w:val="bottom"/>
          </w:tcPr>
          <w:p w14:paraId="01724C96" w14:textId="52EBCB71" w:rsidR="005F4C2C" w:rsidRPr="00767A4F" w:rsidRDefault="00A4082C" w:rsidP="00A74A8F">
            <w:pPr>
              <w:spacing w:after="160"/>
              <w:contextualSpacing/>
              <w:jc w:val="center"/>
              <w:rPr>
                <w:rFonts w:asciiTheme="minorHAnsi" w:hAnsiTheme="minorHAnsi" w:cstheme="minorHAnsi"/>
                <w:b/>
                <w:sz w:val="22"/>
              </w:rPr>
            </w:pPr>
            <w:r w:rsidRPr="00767A4F">
              <w:rPr>
                <w:rFonts w:asciiTheme="minorHAnsi" w:hAnsiTheme="minorHAnsi" w:cstheme="minorHAnsi"/>
                <w:b/>
                <w:sz w:val="22"/>
              </w:rPr>
              <w:t>3,914</w:t>
            </w:r>
          </w:p>
        </w:tc>
        <w:tc>
          <w:tcPr>
            <w:tcW w:w="1295" w:type="dxa"/>
            <w:noWrap/>
            <w:vAlign w:val="bottom"/>
          </w:tcPr>
          <w:p w14:paraId="18F0C4BA" w14:textId="3AE890E2" w:rsidR="005F4C2C" w:rsidRPr="00767A4F" w:rsidRDefault="00A4082C" w:rsidP="00A74A8F">
            <w:pPr>
              <w:spacing w:after="160"/>
              <w:contextualSpacing/>
              <w:jc w:val="center"/>
              <w:rPr>
                <w:rFonts w:asciiTheme="minorHAnsi" w:hAnsiTheme="minorHAnsi" w:cstheme="minorHAnsi"/>
                <w:b/>
                <w:sz w:val="22"/>
              </w:rPr>
            </w:pPr>
            <w:r w:rsidRPr="00767A4F">
              <w:rPr>
                <w:rFonts w:asciiTheme="minorHAnsi" w:hAnsiTheme="minorHAnsi" w:cstheme="minorHAnsi"/>
                <w:b/>
                <w:sz w:val="22"/>
              </w:rPr>
              <w:t>609</w:t>
            </w:r>
          </w:p>
        </w:tc>
        <w:tc>
          <w:tcPr>
            <w:tcW w:w="990" w:type="dxa"/>
            <w:noWrap/>
            <w:vAlign w:val="bottom"/>
          </w:tcPr>
          <w:p w14:paraId="67B7C9D1" w14:textId="070AF7FC" w:rsidR="005F4C2C" w:rsidRPr="00767A4F" w:rsidRDefault="00A4082C" w:rsidP="00A74A8F">
            <w:pPr>
              <w:spacing w:after="160"/>
              <w:contextualSpacing/>
              <w:jc w:val="center"/>
              <w:rPr>
                <w:rFonts w:asciiTheme="minorHAnsi" w:hAnsiTheme="minorHAnsi" w:cstheme="minorHAnsi"/>
                <w:b/>
                <w:sz w:val="22"/>
              </w:rPr>
            </w:pPr>
            <w:r w:rsidRPr="00767A4F">
              <w:rPr>
                <w:rFonts w:asciiTheme="minorHAnsi" w:hAnsiTheme="minorHAnsi" w:cstheme="minorHAnsi"/>
                <w:b/>
                <w:sz w:val="22"/>
              </w:rPr>
              <w:t>8</w:t>
            </w:r>
          </w:p>
        </w:tc>
        <w:tc>
          <w:tcPr>
            <w:tcW w:w="1449" w:type="dxa"/>
            <w:noWrap/>
            <w:vAlign w:val="bottom"/>
          </w:tcPr>
          <w:p w14:paraId="10C64FC0" w14:textId="4AD835C5" w:rsidR="005F4C2C" w:rsidRPr="00767A4F" w:rsidRDefault="00A4082C" w:rsidP="00A74A8F">
            <w:pPr>
              <w:spacing w:after="160"/>
              <w:contextualSpacing/>
              <w:jc w:val="center"/>
              <w:rPr>
                <w:rFonts w:asciiTheme="minorHAnsi" w:hAnsiTheme="minorHAnsi" w:cstheme="minorHAnsi"/>
                <w:b/>
                <w:sz w:val="22"/>
              </w:rPr>
            </w:pPr>
            <w:r w:rsidRPr="00767A4F">
              <w:rPr>
                <w:rFonts w:asciiTheme="minorHAnsi" w:hAnsiTheme="minorHAnsi" w:cstheme="minorHAnsi"/>
                <w:b/>
                <w:sz w:val="22"/>
              </w:rPr>
              <w:t>4,530</w:t>
            </w:r>
          </w:p>
        </w:tc>
      </w:tr>
    </w:tbl>
    <w:p w14:paraId="238DD38E" w14:textId="77777777" w:rsidR="005F4C2C" w:rsidRPr="00767A4F" w:rsidRDefault="005F4C2C" w:rsidP="005F4C2C">
      <w:pPr>
        <w:pStyle w:val="Normal0"/>
        <w:spacing w:line="240" w:lineRule="auto"/>
        <w:ind w:firstLine="360"/>
        <w:contextualSpacing/>
        <w:rPr>
          <w:sz w:val="18"/>
        </w:rPr>
      </w:pPr>
      <w:r w:rsidRPr="00767A4F">
        <w:rPr>
          <w:sz w:val="20"/>
        </w:rPr>
        <w:t xml:space="preserve">Source: WB </w:t>
      </w:r>
    </w:p>
    <w:p w14:paraId="6C7BA178" w14:textId="164BBDE2" w:rsidR="00624C4F" w:rsidRPr="00767A4F" w:rsidRDefault="00624C4F" w:rsidP="00624C4F">
      <w:pPr>
        <w:jc w:val="both"/>
        <w:rPr>
          <w:rFonts w:asciiTheme="minorHAnsi" w:hAnsiTheme="minorHAnsi" w:cstheme="minorHAnsi"/>
          <w:b/>
          <w:sz w:val="22"/>
        </w:rPr>
      </w:pPr>
      <w:r w:rsidRPr="00767A4F">
        <w:rPr>
          <w:rFonts w:asciiTheme="minorHAnsi" w:hAnsiTheme="minorHAnsi" w:cstheme="minorHAnsi"/>
          <w:b/>
          <w:sz w:val="22"/>
        </w:rPr>
        <w:t xml:space="preserve">Table </w:t>
      </w:r>
      <w:r w:rsidR="00CE730C" w:rsidRPr="00767A4F">
        <w:rPr>
          <w:rFonts w:asciiTheme="minorHAnsi" w:hAnsiTheme="minorHAnsi" w:cstheme="minorHAnsi"/>
          <w:b/>
          <w:sz w:val="22"/>
        </w:rPr>
        <w:t>2</w:t>
      </w:r>
      <w:r w:rsidRPr="00767A4F">
        <w:rPr>
          <w:rFonts w:asciiTheme="minorHAnsi" w:hAnsiTheme="minorHAnsi" w:cstheme="minorHAnsi"/>
          <w:b/>
          <w:sz w:val="22"/>
        </w:rPr>
        <w:t>. Profile of Program expenditures 2020-202</w:t>
      </w:r>
      <w:r w:rsidR="008F6481" w:rsidRPr="00767A4F">
        <w:rPr>
          <w:rFonts w:asciiTheme="minorHAnsi" w:hAnsiTheme="minorHAnsi" w:cstheme="minorHAnsi"/>
          <w:b/>
          <w:sz w:val="22"/>
        </w:rPr>
        <w:t>3</w:t>
      </w:r>
      <w:r w:rsidRPr="00767A4F">
        <w:rPr>
          <w:rFonts w:asciiTheme="minorHAnsi" w:hAnsiTheme="minorHAnsi" w:cstheme="minorHAnsi"/>
          <w:b/>
          <w:sz w:val="22"/>
        </w:rPr>
        <w:t xml:space="preserve"> (%)</w:t>
      </w:r>
    </w:p>
    <w:tbl>
      <w:tblPr>
        <w:tblStyle w:val="TableGrid"/>
        <w:tblW w:w="9265" w:type="dxa"/>
        <w:tblLook w:val="04A0" w:firstRow="1" w:lastRow="0" w:firstColumn="1" w:lastColumn="0" w:noHBand="0" w:noVBand="1"/>
      </w:tblPr>
      <w:tblGrid>
        <w:gridCol w:w="2540"/>
        <w:gridCol w:w="1682"/>
        <w:gridCol w:w="1608"/>
        <w:gridCol w:w="1593"/>
        <w:gridCol w:w="1842"/>
      </w:tblGrid>
      <w:tr w:rsidR="00624C4F" w:rsidRPr="00767A4F" w14:paraId="287F11E0" w14:textId="77777777" w:rsidTr="00ED4204">
        <w:trPr>
          <w:trHeight w:val="288"/>
        </w:trPr>
        <w:tc>
          <w:tcPr>
            <w:tcW w:w="2540" w:type="dxa"/>
            <w:vMerge w:val="restart"/>
            <w:noWrap/>
            <w:vAlign w:val="center"/>
            <w:hideMark/>
          </w:tcPr>
          <w:p w14:paraId="5DEE5F78" w14:textId="24770BED" w:rsidR="00624C4F" w:rsidRPr="00767A4F" w:rsidRDefault="00624C4F" w:rsidP="002A723E">
            <w:pPr>
              <w:pStyle w:val="tablestyle"/>
              <w:rPr>
                <w:b/>
                <w:sz w:val="20"/>
                <w:szCs w:val="20"/>
                <w:lang w:val="ro-RO"/>
              </w:rPr>
            </w:pPr>
            <w:r w:rsidRPr="00767A4F">
              <w:rPr>
                <w:rFonts w:cstheme="minorHAnsi"/>
                <w:sz w:val="20"/>
                <w:szCs w:val="20"/>
              </w:rPr>
              <w:t xml:space="preserve"> </w:t>
            </w:r>
            <w:r w:rsidRPr="00767A4F">
              <w:rPr>
                <w:b/>
                <w:sz w:val="20"/>
                <w:szCs w:val="20"/>
              </w:rPr>
              <w:t>Type of expense</w:t>
            </w:r>
          </w:p>
        </w:tc>
        <w:tc>
          <w:tcPr>
            <w:tcW w:w="6725" w:type="dxa"/>
            <w:gridSpan w:val="4"/>
            <w:noWrap/>
            <w:hideMark/>
          </w:tcPr>
          <w:p w14:paraId="1CD16792" w14:textId="72C0528D" w:rsidR="00624C4F" w:rsidRPr="00767A4F" w:rsidRDefault="00624C4F" w:rsidP="002A723E">
            <w:pPr>
              <w:pStyle w:val="tablestyle"/>
              <w:rPr>
                <w:b/>
                <w:sz w:val="20"/>
                <w:szCs w:val="20"/>
              </w:rPr>
            </w:pPr>
            <w:r w:rsidRPr="00767A4F">
              <w:rPr>
                <w:b/>
                <w:sz w:val="20"/>
                <w:szCs w:val="20"/>
              </w:rPr>
              <w:t xml:space="preserve">2020 </w:t>
            </w:r>
            <w:r w:rsidR="00A52B6D" w:rsidRPr="00767A4F">
              <w:rPr>
                <w:b/>
                <w:sz w:val="20"/>
                <w:szCs w:val="20"/>
              </w:rPr>
              <w:t>–</w:t>
            </w:r>
            <w:r w:rsidRPr="00767A4F">
              <w:rPr>
                <w:b/>
                <w:sz w:val="20"/>
                <w:szCs w:val="20"/>
              </w:rPr>
              <w:t xml:space="preserve"> 202</w:t>
            </w:r>
            <w:r w:rsidR="0094737F" w:rsidRPr="00767A4F">
              <w:rPr>
                <w:b/>
                <w:sz w:val="20"/>
                <w:szCs w:val="20"/>
              </w:rPr>
              <w:t>3</w:t>
            </w:r>
          </w:p>
        </w:tc>
      </w:tr>
      <w:tr w:rsidR="00624C4F" w:rsidRPr="00767A4F" w14:paraId="0A4521FB" w14:textId="77777777" w:rsidTr="00ED4204">
        <w:trPr>
          <w:trHeight w:val="288"/>
        </w:trPr>
        <w:tc>
          <w:tcPr>
            <w:tcW w:w="2540" w:type="dxa"/>
            <w:vMerge/>
            <w:noWrap/>
            <w:hideMark/>
          </w:tcPr>
          <w:p w14:paraId="2DDD7CF1" w14:textId="77777777" w:rsidR="00624C4F" w:rsidRPr="00767A4F" w:rsidRDefault="00624C4F" w:rsidP="002A723E">
            <w:pPr>
              <w:pStyle w:val="tablestyle"/>
              <w:rPr>
                <w:sz w:val="20"/>
                <w:szCs w:val="20"/>
              </w:rPr>
            </w:pPr>
          </w:p>
        </w:tc>
        <w:tc>
          <w:tcPr>
            <w:tcW w:w="1682" w:type="dxa"/>
            <w:noWrap/>
            <w:hideMark/>
          </w:tcPr>
          <w:p w14:paraId="250EF6BB" w14:textId="77777777" w:rsidR="00624C4F" w:rsidRPr="00767A4F" w:rsidRDefault="00624C4F" w:rsidP="002A723E">
            <w:pPr>
              <w:pStyle w:val="tablestyle"/>
              <w:rPr>
                <w:b/>
                <w:sz w:val="20"/>
                <w:szCs w:val="20"/>
              </w:rPr>
            </w:pPr>
            <w:r w:rsidRPr="00767A4F">
              <w:rPr>
                <w:b/>
                <w:sz w:val="20"/>
                <w:szCs w:val="20"/>
              </w:rPr>
              <w:t>NHIF</w:t>
            </w:r>
          </w:p>
        </w:tc>
        <w:tc>
          <w:tcPr>
            <w:tcW w:w="1608" w:type="dxa"/>
            <w:noWrap/>
            <w:hideMark/>
          </w:tcPr>
          <w:p w14:paraId="4A1C1ADB" w14:textId="77777777" w:rsidR="00624C4F" w:rsidRPr="00767A4F" w:rsidRDefault="00624C4F" w:rsidP="002A723E">
            <w:pPr>
              <w:pStyle w:val="tablestyle"/>
              <w:rPr>
                <w:b/>
                <w:sz w:val="20"/>
                <w:szCs w:val="20"/>
              </w:rPr>
            </w:pPr>
            <w:r w:rsidRPr="00767A4F">
              <w:rPr>
                <w:b/>
                <w:sz w:val="20"/>
                <w:szCs w:val="20"/>
              </w:rPr>
              <w:t>MoH</w:t>
            </w:r>
          </w:p>
        </w:tc>
        <w:tc>
          <w:tcPr>
            <w:tcW w:w="1593" w:type="dxa"/>
            <w:noWrap/>
            <w:hideMark/>
          </w:tcPr>
          <w:p w14:paraId="333F22DE" w14:textId="41503137" w:rsidR="00624C4F" w:rsidRPr="00767A4F" w:rsidRDefault="00624C4F" w:rsidP="002A723E">
            <w:pPr>
              <w:pStyle w:val="tablestyle"/>
              <w:rPr>
                <w:b/>
                <w:sz w:val="20"/>
                <w:szCs w:val="20"/>
              </w:rPr>
            </w:pPr>
            <w:r w:rsidRPr="00767A4F">
              <w:rPr>
                <w:b/>
                <w:sz w:val="20"/>
                <w:szCs w:val="20"/>
              </w:rPr>
              <w:t>Mo</w:t>
            </w:r>
            <w:r w:rsidR="002C4C0E" w:rsidRPr="00767A4F">
              <w:rPr>
                <w:b/>
                <w:sz w:val="20"/>
                <w:szCs w:val="20"/>
              </w:rPr>
              <w:t>P</w:t>
            </w:r>
            <w:r w:rsidRPr="00767A4F">
              <w:rPr>
                <w:b/>
                <w:sz w:val="20"/>
                <w:szCs w:val="20"/>
              </w:rPr>
              <w:t>F</w:t>
            </w:r>
          </w:p>
        </w:tc>
        <w:tc>
          <w:tcPr>
            <w:tcW w:w="1842" w:type="dxa"/>
            <w:noWrap/>
            <w:hideMark/>
          </w:tcPr>
          <w:p w14:paraId="18297A4A" w14:textId="5F780F01" w:rsidR="00624C4F" w:rsidRPr="00767A4F" w:rsidRDefault="00624C4F" w:rsidP="002A723E">
            <w:pPr>
              <w:pStyle w:val="tablestyle"/>
              <w:rPr>
                <w:b/>
                <w:sz w:val="20"/>
                <w:szCs w:val="20"/>
              </w:rPr>
            </w:pPr>
            <w:r w:rsidRPr="00767A4F">
              <w:rPr>
                <w:b/>
                <w:sz w:val="20"/>
                <w:szCs w:val="20"/>
              </w:rPr>
              <w:t>Total</w:t>
            </w:r>
          </w:p>
        </w:tc>
      </w:tr>
      <w:tr w:rsidR="00624C4F" w:rsidRPr="00767A4F" w14:paraId="6E7DD8D0" w14:textId="77777777" w:rsidTr="00ED4204">
        <w:trPr>
          <w:trHeight w:val="288"/>
        </w:trPr>
        <w:tc>
          <w:tcPr>
            <w:tcW w:w="2540" w:type="dxa"/>
            <w:noWrap/>
            <w:hideMark/>
          </w:tcPr>
          <w:p w14:paraId="19355D66" w14:textId="6C8339F6" w:rsidR="00624C4F" w:rsidRPr="00767A4F" w:rsidRDefault="00DF5D28" w:rsidP="002A723E">
            <w:pPr>
              <w:pStyle w:val="tablestyle"/>
              <w:rPr>
                <w:sz w:val="20"/>
                <w:szCs w:val="20"/>
              </w:rPr>
            </w:pPr>
            <w:r w:rsidRPr="00767A4F">
              <w:rPr>
                <w:sz w:val="20"/>
                <w:szCs w:val="20"/>
              </w:rPr>
              <w:t>W</w:t>
            </w:r>
            <w:r w:rsidR="00624C4F" w:rsidRPr="00767A4F">
              <w:rPr>
                <w:sz w:val="20"/>
                <w:szCs w:val="20"/>
              </w:rPr>
              <w:t>ages</w:t>
            </w:r>
          </w:p>
        </w:tc>
        <w:tc>
          <w:tcPr>
            <w:tcW w:w="1682" w:type="dxa"/>
            <w:noWrap/>
            <w:hideMark/>
          </w:tcPr>
          <w:p w14:paraId="2F4CC2E9" w14:textId="77777777" w:rsidR="00624C4F" w:rsidRPr="00767A4F" w:rsidRDefault="00624C4F" w:rsidP="002A723E">
            <w:pPr>
              <w:pStyle w:val="tablestyle"/>
              <w:rPr>
                <w:sz w:val="20"/>
                <w:szCs w:val="20"/>
              </w:rPr>
            </w:pPr>
            <w:r w:rsidRPr="00767A4F">
              <w:rPr>
                <w:sz w:val="20"/>
                <w:szCs w:val="20"/>
              </w:rPr>
              <w:t>1%</w:t>
            </w:r>
          </w:p>
        </w:tc>
        <w:tc>
          <w:tcPr>
            <w:tcW w:w="1608" w:type="dxa"/>
            <w:noWrap/>
            <w:hideMark/>
          </w:tcPr>
          <w:p w14:paraId="2EDE289B" w14:textId="4A722C3D" w:rsidR="00624C4F" w:rsidRPr="00767A4F" w:rsidRDefault="0094737F" w:rsidP="002A723E">
            <w:pPr>
              <w:pStyle w:val="tablestyle"/>
              <w:rPr>
                <w:sz w:val="20"/>
                <w:szCs w:val="20"/>
              </w:rPr>
            </w:pPr>
            <w:r w:rsidRPr="00767A4F">
              <w:rPr>
                <w:sz w:val="20"/>
                <w:szCs w:val="20"/>
              </w:rPr>
              <w:t>12.5</w:t>
            </w:r>
            <w:r w:rsidR="00624C4F" w:rsidRPr="00767A4F">
              <w:rPr>
                <w:sz w:val="20"/>
                <w:szCs w:val="20"/>
              </w:rPr>
              <w:t>%</w:t>
            </w:r>
          </w:p>
        </w:tc>
        <w:tc>
          <w:tcPr>
            <w:tcW w:w="1593" w:type="dxa"/>
            <w:noWrap/>
            <w:hideMark/>
          </w:tcPr>
          <w:p w14:paraId="1BC8927C" w14:textId="1918011F" w:rsidR="00624C4F" w:rsidRPr="00767A4F" w:rsidRDefault="0092751E" w:rsidP="002A723E">
            <w:pPr>
              <w:pStyle w:val="tablestyle"/>
              <w:rPr>
                <w:sz w:val="20"/>
                <w:szCs w:val="20"/>
              </w:rPr>
            </w:pPr>
            <w:r w:rsidRPr="00767A4F">
              <w:rPr>
                <w:sz w:val="20"/>
                <w:szCs w:val="20"/>
              </w:rPr>
              <w:t>0.1</w:t>
            </w:r>
            <w:r w:rsidR="00624C4F" w:rsidRPr="00767A4F">
              <w:rPr>
                <w:sz w:val="20"/>
                <w:szCs w:val="20"/>
              </w:rPr>
              <w:t>%</w:t>
            </w:r>
          </w:p>
        </w:tc>
        <w:tc>
          <w:tcPr>
            <w:tcW w:w="1842" w:type="dxa"/>
            <w:noWrap/>
            <w:hideMark/>
          </w:tcPr>
          <w:p w14:paraId="78A86028" w14:textId="48EFB763" w:rsidR="00624C4F" w:rsidRPr="00767A4F" w:rsidRDefault="007D39B2" w:rsidP="002A723E">
            <w:pPr>
              <w:pStyle w:val="tablestyle"/>
              <w:rPr>
                <w:sz w:val="20"/>
                <w:szCs w:val="20"/>
              </w:rPr>
            </w:pPr>
            <w:r w:rsidRPr="00767A4F">
              <w:rPr>
                <w:sz w:val="20"/>
                <w:szCs w:val="20"/>
              </w:rPr>
              <w:t>1</w:t>
            </w:r>
            <w:r w:rsidRPr="00767A4F">
              <w:rPr>
                <w:sz w:val="20"/>
                <w:szCs w:val="20"/>
              </w:rPr>
              <w:t>3</w:t>
            </w:r>
            <w:r w:rsidRPr="00767A4F">
              <w:rPr>
                <w:sz w:val="20"/>
                <w:szCs w:val="20"/>
              </w:rPr>
              <w:t>.</w:t>
            </w:r>
            <w:r w:rsidRPr="00767A4F">
              <w:rPr>
                <w:sz w:val="20"/>
                <w:szCs w:val="20"/>
              </w:rPr>
              <w:t>5</w:t>
            </w:r>
            <w:r w:rsidR="00624C4F" w:rsidRPr="00767A4F">
              <w:rPr>
                <w:sz w:val="20"/>
                <w:szCs w:val="20"/>
              </w:rPr>
              <w:t>%</w:t>
            </w:r>
          </w:p>
        </w:tc>
      </w:tr>
      <w:tr w:rsidR="00624C4F" w:rsidRPr="00767A4F" w14:paraId="514863F9" w14:textId="77777777" w:rsidTr="00ED4204">
        <w:trPr>
          <w:trHeight w:val="288"/>
        </w:trPr>
        <w:tc>
          <w:tcPr>
            <w:tcW w:w="2540" w:type="dxa"/>
            <w:noWrap/>
            <w:hideMark/>
          </w:tcPr>
          <w:p w14:paraId="6CF38E2F" w14:textId="2F5B227D" w:rsidR="00624C4F" w:rsidRPr="00767A4F" w:rsidRDefault="0094737F" w:rsidP="002A723E">
            <w:pPr>
              <w:pStyle w:val="tablestyle"/>
              <w:rPr>
                <w:sz w:val="20"/>
                <w:szCs w:val="20"/>
              </w:rPr>
            </w:pPr>
            <w:r w:rsidRPr="00767A4F">
              <w:rPr>
                <w:sz w:val="20"/>
                <w:szCs w:val="20"/>
              </w:rPr>
              <w:t>G</w:t>
            </w:r>
            <w:r w:rsidR="00624C4F" w:rsidRPr="00767A4F">
              <w:rPr>
                <w:sz w:val="20"/>
                <w:szCs w:val="20"/>
              </w:rPr>
              <w:t>oods &amp; services</w:t>
            </w:r>
          </w:p>
        </w:tc>
        <w:tc>
          <w:tcPr>
            <w:tcW w:w="1682" w:type="dxa"/>
            <w:noWrap/>
            <w:hideMark/>
          </w:tcPr>
          <w:p w14:paraId="56A28D32" w14:textId="28FDC0FF" w:rsidR="00624C4F" w:rsidRPr="00767A4F" w:rsidRDefault="0094737F" w:rsidP="002A723E">
            <w:pPr>
              <w:pStyle w:val="tablestyle"/>
              <w:rPr>
                <w:sz w:val="20"/>
                <w:szCs w:val="20"/>
              </w:rPr>
            </w:pPr>
            <w:r w:rsidRPr="00767A4F">
              <w:rPr>
                <w:sz w:val="20"/>
                <w:szCs w:val="20"/>
              </w:rPr>
              <w:t>85</w:t>
            </w:r>
            <w:r w:rsidR="007C0847" w:rsidRPr="00767A4F">
              <w:rPr>
                <w:sz w:val="20"/>
                <w:szCs w:val="20"/>
              </w:rPr>
              <w:t>.</w:t>
            </w:r>
            <w:r w:rsidRPr="00767A4F">
              <w:rPr>
                <w:sz w:val="20"/>
                <w:szCs w:val="20"/>
              </w:rPr>
              <w:t>2</w:t>
            </w:r>
            <w:r w:rsidR="00624C4F" w:rsidRPr="00767A4F">
              <w:rPr>
                <w:sz w:val="20"/>
                <w:szCs w:val="20"/>
              </w:rPr>
              <w:t>%</w:t>
            </w:r>
          </w:p>
        </w:tc>
        <w:tc>
          <w:tcPr>
            <w:tcW w:w="1608" w:type="dxa"/>
            <w:noWrap/>
            <w:hideMark/>
          </w:tcPr>
          <w:p w14:paraId="350F9533" w14:textId="53D18EFA" w:rsidR="00624C4F" w:rsidRPr="00767A4F" w:rsidRDefault="0051532D" w:rsidP="002A723E">
            <w:pPr>
              <w:pStyle w:val="tablestyle"/>
              <w:rPr>
                <w:sz w:val="20"/>
                <w:szCs w:val="20"/>
              </w:rPr>
            </w:pPr>
            <w:r w:rsidRPr="00767A4F">
              <w:rPr>
                <w:sz w:val="20"/>
                <w:szCs w:val="20"/>
              </w:rPr>
              <w:t>0.</w:t>
            </w:r>
            <w:r w:rsidR="0094737F" w:rsidRPr="00767A4F">
              <w:rPr>
                <w:sz w:val="20"/>
                <w:szCs w:val="20"/>
              </w:rPr>
              <w:t>1</w:t>
            </w:r>
            <w:r w:rsidR="00624C4F" w:rsidRPr="00767A4F">
              <w:rPr>
                <w:sz w:val="20"/>
                <w:szCs w:val="20"/>
              </w:rPr>
              <w:t>%</w:t>
            </w:r>
          </w:p>
        </w:tc>
        <w:tc>
          <w:tcPr>
            <w:tcW w:w="1593" w:type="dxa"/>
            <w:noWrap/>
            <w:hideMark/>
          </w:tcPr>
          <w:p w14:paraId="31DB9DCB" w14:textId="296701EF" w:rsidR="00624C4F" w:rsidRPr="00767A4F" w:rsidRDefault="0092751E" w:rsidP="002A723E">
            <w:pPr>
              <w:pStyle w:val="tablestyle"/>
              <w:rPr>
                <w:sz w:val="20"/>
                <w:szCs w:val="20"/>
              </w:rPr>
            </w:pPr>
            <w:r w:rsidRPr="00767A4F">
              <w:rPr>
                <w:sz w:val="20"/>
                <w:szCs w:val="20"/>
              </w:rPr>
              <w:t>0</w:t>
            </w:r>
            <w:r w:rsidR="00624C4F" w:rsidRPr="00767A4F">
              <w:rPr>
                <w:sz w:val="20"/>
                <w:szCs w:val="20"/>
              </w:rPr>
              <w:t>%</w:t>
            </w:r>
          </w:p>
        </w:tc>
        <w:tc>
          <w:tcPr>
            <w:tcW w:w="1842" w:type="dxa"/>
            <w:noWrap/>
            <w:hideMark/>
          </w:tcPr>
          <w:p w14:paraId="51414D89" w14:textId="6FC203FD" w:rsidR="00624C4F" w:rsidRPr="00767A4F" w:rsidRDefault="007D39B2" w:rsidP="002A723E">
            <w:pPr>
              <w:pStyle w:val="tablestyle"/>
              <w:rPr>
                <w:sz w:val="20"/>
                <w:szCs w:val="20"/>
              </w:rPr>
            </w:pPr>
            <w:r w:rsidRPr="00767A4F">
              <w:rPr>
                <w:sz w:val="20"/>
                <w:szCs w:val="20"/>
              </w:rPr>
              <w:t>8</w:t>
            </w:r>
            <w:r w:rsidR="00624C4F" w:rsidRPr="00767A4F">
              <w:rPr>
                <w:sz w:val="20"/>
                <w:szCs w:val="20"/>
              </w:rPr>
              <w:t>5</w:t>
            </w:r>
            <w:r w:rsidRPr="00767A4F">
              <w:rPr>
                <w:sz w:val="20"/>
                <w:szCs w:val="20"/>
              </w:rPr>
              <w:t>.3</w:t>
            </w:r>
            <w:r w:rsidR="00624C4F" w:rsidRPr="00767A4F">
              <w:rPr>
                <w:sz w:val="20"/>
                <w:szCs w:val="20"/>
              </w:rPr>
              <w:t>%</w:t>
            </w:r>
          </w:p>
        </w:tc>
      </w:tr>
      <w:tr w:rsidR="00624C4F" w:rsidRPr="00767A4F" w14:paraId="61B074C9" w14:textId="77777777" w:rsidTr="00ED4204">
        <w:trPr>
          <w:trHeight w:val="288"/>
        </w:trPr>
        <w:tc>
          <w:tcPr>
            <w:tcW w:w="2540" w:type="dxa"/>
            <w:noWrap/>
            <w:hideMark/>
          </w:tcPr>
          <w:p w14:paraId="6130342D" w14:textId="4330CEC8" w:rsidR="00624C4F" w:rsidRPr="00767A4F" w:rsidRDefault="00DF5D28" w:rsidP="002A723E">
            <w:pPr>
              <w:pStyle w:val="tablestyle"/>
              <w:rPr>
                <w:sz w:val="20"/>
                <w:szCs w:val="20"/>
              </w:rPr>
            </w:pPr>
            <w:proofErr w:type="gramStart"/>
            <w:r w:rsidRPr="00767A4F">
              <w:rPr>
                <w:sz w:val="20"/>
                <w:szCs w:val="20"/>
              </w:rPr>
              <w:t>C</w:t>
            </w:r>
            <w:r w:rsidR="00624C4F" w:rsidRPr="00767A4F">
              <w:rPr>
                <w:sz w:val="20"/>
                <w:szCs w:val="20"/>
              </w:rPr>
              <w:t>apital</w:t>
            </w:r>
            <w:r w:rsidR="0017575F" w:rsidRPr="00767A4F">
              <w:rPr>
                <w:sz w:val="20"/>
                <w:szCs w:val="20"/>
              </w:rPr>
              <w:t>(</w:t>
            </w:r>
            <w:proofErr w:type="gramEnd"/>
            <w:r w:rsidR="0017575F" w:rsidRPr="00767A4F">
              <w:rPr>
                <w:sz w:val="20"/>
                <w:szCs w:val="20"/>
              </w:rPr>
              <w:t xml:space="preserve">plus </w:t>
            </w:r>
            <w:r w:rsidR="002C4C0E" w:rsidRPr="00767A4F">
              <w:rPr>
                <w:sz w:val="20"/>
                <w:szCs w:val="20"/>
              </w:rPr>
              <w:t>Transfers in the case of the Mo</w:t>
            </w:r>
            <w:r w:rsidR="0094737F" w:rsidRPr="00767A4F">
              <w:rPr>
                <w:sz w:val="20"/>
                <w:szCs w:val="20"/>
              </w:rPr>
              <w:t>H</w:t>
            </w:r>
            <w:r w:rsidR="0017575F" w:rsidRPr="00767A4F">
              <w:rPr>
                <w:sz w:val="20"/>
                <w:szCs w:val="20"/>
              </w:rPr>
              <w:t>)</w:t>
            </w:r>
          </w:p>
        </w:tc>
        <w:tc>
          <w:tcPr>
            <w:tcW w:w="1682" w:type="dxa"/>
            <w:noWrap/>
            <w:hideMark/>
          </w:tcPr>
          <w:p w14:paraId="114E91B2" w14:textId="31B0EAE9" w:rsidR="00624C4F" w:rsidRPr="00767A4F" w:rsidRDefault="00624C4F" w:rsidP="002A723E">
            <w:pPr>
              <w:pStyle w:val="tablestyle"/>
              <w:rPr>
                <w:sz w:val="20"/>
                <w:szCs w:val="20"/>
              </w:rPr>
            </w:pPr>
            <w:r w:rsidRPr="00767A4F">
              <w:rPr>
                <w:sz w:val="20"/>
                <w:szCs w:val="20"/>
              </w:rPr>
              <w:t>0</w:t>
            </w:r>
            <w:r w:rsidR="007C0847" w:rsidRPr="00767A4F">
              <w:rPr>
                <w:sz w:val="20"/>
                <w:szCs w:val="20"/>
              </w:rPr>
              <w:t>.3</w:t>
            </w:r>
            <w:r w:rsidRPr="00767A4F">
              <w:rPr>
                <w:sz w:val="20"/>
                <w:szCs w:val="20"/>
              </w:rPr>
              <w:t>%</w:t>
            </w:r>
          </w:p>
        </w:tc>
        <w:tc>
          <w:tcPr>
            <w:tcW w:w="1608" w:type="dxa"/>
            <w:noWrap/>
            <w:hideMark/>
          </w:tcPr>
          <w:p w14:paraId="0E3809FF" w14:textId="528F32C3" w:rsidR="00624C4F" w:rsidRPr="00767A4F" w:rsidRDefault="0051532D" w:rsidP="002A723E">
            <w:pPr>
              <w:pStyle w:val="tablestyle"/>
              <w:rPr>
                <w:sz w:val="20"/>
                <w:szCs w:val="20"/>
              </w:rPr>
            </w:pPr>
            <w:r w:rsidRPr="00767A4F">
              <w:rPr>
                <w:sz w:val="20"/>
                <w:szCs w:val="20"/>
              </w:rPr>
              <w:t>0.</w:t>
            </w:r>
            <w:r w:rsidR="0017575F" w:rsidRPr="00767A4F">
              <w:rPr>
                <w:sz w:val="20"/>
                <w:szCs w:val="20"/>
              </w:rPr>
              <w:t>8</w:t>
            </w:r>
            <w:r w:rsidR="00624C4F" w:rsidRPr="00767A4F">
              <w:rPr>
                <w:sz w:val="20"/>
                <w:szCs w:val="20"/>
              </w:rPr>
              <w:t>%</w:t>
            </w:r>
          </w:p>
        </w:tc>
        <w:tc>
          <w:tcPr>
            <w:tcW w:w="1593" w:type="dxa"/>
            <w:noWrap/>
            <w:hideMark/>
          </w:tcPr>
          <w:p w14:paraId="16E4352F" w14:textId="0F0F40EC" w:rsidR="00624C4F" w:rsidRPr="00767A4F" w:rsidRDefault="0092751E" w:rsidP="002A723E">
            <w:pPr>
              <w:pStyle w:val="tablestyle"/>
              <w:rPr>
                <w:sz w:val="20"/>
                <w:szCs w:val="20"/>
              </w:rPr>
            </w:pPr>
            <w:r w:rsidRPr="00767A4F">
              <w:rPr>
                <w:sz w:val="20"/>
                <w:szCs w:val="20"/>
              </w:rPr>
              <w:t>0</w:t>
            </w:r>
            <w:r w:rsidR="00624C4F" w:rsidRPr="00767A4F">
              <w:rPr>
                <w:sz w:val="20"/>
                <w:szCs w:val="20"/>
              </w:rPr>
              <w:t>%</w:t>
            </w:r>
          </w:p>
        </w:tc>
        <w:tc>
          <w:tcPr>
            <w:tcW w:w="1842" w:type="dxa"/>
            <w:noWrap/>
            <w:hideMark/>
          </w:tcPr>
          <w:p w14:paraId="4BD912BB" w14:textId="3B137EBC" w:rsidR="00624C4F" w:rsidRPr="00767A4F" w:rsidRDefault="007D39B2" w:rsidP="002A723E">
            <w:pPr>
              <w:pStyle w:val="tablestyle"/>
              <w:rPr>
                <w:sz w:val="20"/>
                <w:szCs w:val="20"/>
              </w:rPr>
            </w:pPr>
            <w:r w:rsidRPr="00767A4F">
              <w:rPr>
                <w:sz w:val="20"/>
                <w:szCs w:val="20"/>
              </w:rPr>
              <w:t>1.</w:t>
            </w:r>
            <w:r w:rsidR="00624C4F" w:rsidRPr="00767A4F">
              <w:rPr>
                <w:sz w:val="20"/>
                <w:szCs w:val="20"/>
              </w:rPr>
              <w:t>2%</w:t>
            </w:r>
          </w:p>
        </w:tc>
      </w:tr>
      <w:tr w:rsidR="00624C4F" w:rsidRPr="00767A4F" w14:paraId="74CC5306" w14:textId="77777777" w:rsidTr="00ED4204">
        <w:trPr>
          <w:trHeight w:val="288"/>
        </w:trPr>
        <w:tc>
          <w:tcPr>
            <w:tcW w:w="2540" w:type="dxa"/>
            <w:noWrap/>
            <w:hideMark/>
          </w:tcPr>
          <w:p w14:paraId="497D2F97" w14:textId="10612B38" w:rsidR="00624C4F" w:rsidRPr="00767A4F" w:rsidRDefault="00624C4F" w:rsidP="002A723E">
            <w:pPr>
              <w:pStyle w:val="tablestyle"/>
              <w:rPr>
                <w:b/>
                <w:sz w:val="20"/>
                <w:szCs w:val="20"/>
              </w:rPr>
            </w:pPr>
            <w:r w:rsidRPr="00767A4F">
              <w:rPr>
                <w:b/>
                <w:sz w:val="20"/>
                <w:szCs w:val="20"/>
              </w:rPr>
              <w:t>Total</w:t>
            </w:r>
          </w:p>
        </w:tc>
        <w:tc>
          <w:tcPr>
            <w:tcW w:w="1682" w:type="dxa"/>
            <w:noWrap/>
            <w:hideMark/>
          </w:tcPr>
          <w:p w14:paraId="62979543" w14:textId="15528900" w:rsidR="00624C4F" w:rsidRPr="00767A4F" w:rsidRDefault="0094737F" w:rsidP="002A723E">
            <w:pPr>
              <w:pStyle w:val="tablestyle"/>
              <w:rPr>
                <w:b/>
                <w:sz w:val="20"/>
                <w:szCs w:val="20"/>
              </w:rPr>
            </w:pPr>
            <w:r w:rsidRPr="00767A4F">
              <w:rPr>
                <w:b/>
                <w:sz w:val="20"/>
                <w:szCs w:val="20"/>
              </w:rPr>
              <w:t>86</w:t>
            </w:r>
            <w:r w:rsidR="008E7AF0" w:rsidRPr="00767A4F">
              <w:rPr>
                <w:b/>
                <w:sz w:val="20"/>
                <w:szCs w:val="20"/>
              </w:rPr>
              <w:t>.</w:t>
            </w:r>
            <w:r w:rsidRPr="00767A4F">
              <w:rPr>
                <w:b/>
                <w:sz w:val="20"/>
                <w:szCs w:val="20"/>
              </w:rPr>
              <w:t>4</w:t>
            </w:r>
            <w:r w:rsidR="00624C4F" w:rsidRPr="00767A4F">
              <w:rPr>
                <w:b/>
                <w:sz w:val="20"/>
                <w:szCs w:val="20"/>
              </w:rPr>
              <w:t>%</w:t>
            </w:r>
          </w:p>
        </w:tc>
        <w:tc>
          <w:tcPr>
            <w:tcW w:w="1608" w:type="dxa"/>
            <w:noWrap/>
            <w:hideMark/>
          </w:tcPr>
          <w:p w14:paraId="6C460A46" w14:textId="36A521F5" w:rsidR="00624C4F" w:rsidRPr="00767A4F" w:rsidRDefault="0094737F" w:rsidP="002A723E">
            <w:pPr>
              <w:pStyle w:val="tablestyle"/>
              <w:rPr>
                <w:b/>
                <w:sz w:val="20"/>
                <w:szCs w:val="20"/>
              </w:rPr>
            </w:pPr>
            <w:r w:rsidRPr="00767A4F">
              <w:rPr>
                <w:b/>
                <w:sz w:val="20"/>
                <w:szCs w:val="20"/>
              </w:rPr>
              <w:t>1</w:t>
            </w:r>
            <w:r w:rsidR="0051532D" w:rsidRPr="00767A4F">
              <w:rPr>
                <w:b/>
                <w:sz w:val="20"/>
                <w:szCs w:val="20"/>
              </w:rPr>
              <w:t>3.</w:t>
            </w:r>
            <w:r w:rsidRPr="00767A4F">
              <w:rPr>
                <w:b/>
                <w:sz w:val="20"/>
                <w:szCs w:val="20"/>
              </w:rPr>
              <w:t>4</w:t>
            </w:r>
            <w:r w:rsidR="00624C4F" w:rsidRPr="00767A4F">
              <w:rPr>
                <w:b/>
                <w:sz w:val="20"/>
                <w:szCs w:val="20"/>
              </w:rPr>
              <w:t>%</w:t>
            </w:r>
          </w:p>
        </w:tc>
        <w:tc>
          <w:tcPr>
            <w:tcW w:w="1593" w:type="dxa"/>
            <w:noWrap/>
            <w:hideMark/>
          </w:tcPr>
          <w:p w14:paraId="5604FE96" w14:textId="45A9BF20" w:rsidR="00624C4F" w:rsidRPr="00767A4F" w:rsidRDefault="00152054" w:rsidP="002A723E">
            <w:pPr>
              <w:pStyle w:val="tablestyle"/>
              <w:rPr>
                <w:b/>
                <w:sz w:val="20"/>
                <w:szCs w:val="20"/>
              </w:rPr>
            </w:pPr>
            <w:r w:rsidRPr="00767A4F">
              <w:rPr>
                <w:b/>
                <w:sz w:val="20"/>
                <w:szCs w:val="20"/>
              </w:rPr>
              <w:t>0.</w:t>
            </w:r>
            <w:r w:rsidR="007D39B2" w:rsidRPr="00767A4F">
              <w:rPr>
                <w:b/>
                <w:sz w:val="20"/>
                <w:szCs w:val="20"/>
              </w:rPr>
              <w:t>1</w:t>
            </w:r>
            <w:r w:rsidR="00624C4F" w:rsidRPr="00767A4F">
              <w:rPr>
                <w:b/>
                <w:sz w:val="20"/>
                <w:szCs w:val="20"/>
              </w:rPr>
              <w:t>%</w:t>
            </w:r>
          </w:p>
        </w:tc>
        <w:tc>
          <w:tcPr>
            <w:tcW w:w="1842" w:type="dxa"/>
            <w:noWrap/>
            <w:hideMark/>
          </w:tcPr>
          <w:p w14:paraId="18A7B4B5" w14:textId="77777777" w:rsidR="00624C4F" w:rsidRPr="00767A4F" w:rsidRDefault="00624C4F" w:rsidP="002A723E">
            <w:pPr>
              <w:pStyle w:val="tablestyle"/>
              <w:rPr>
                <w:b/>
                <w:sz w:val="20"/>
                <w:szCs w:val="20"/>
              </w:rPr>
            </w:pPr>
            <w:r w:rsidRPr="00767A4F">
              <w:rPr>
                <w:b/>
                <w:sz w:val="20"/>
                <w:szCs w:val="20"/>
              </w:rPr>
              <w:t>100%</w:t>
            </w:r>
          </w:p>
        </w:tc>
      </w:tr>
    </w:tbl>
    <w:p w14:paraId="5D9A1420" w14:textId="79473F58" w:rsidR="00624C4F" w:rsidRPr="00767A4F" w:rsidRDefault="0094737F" w:rsidP="00624C4F">
      <w:pPr>
        <w:spacing w:after="160" w:line="259" w:lineRule="auto"/>
        <w:contextualSpacing/>
        <w:jc w:val="both"/>
        <w:rPr>
          <w:rFonts w:asciiTheme="minorHAnsi" w:hAnsiTheme="minorHAnsi" w:cstheme="minorHAnsi"/>
          <w:sz w:val="20"/>
          <w:szCs w:val="20"/>
        </w:rPr>
      </w:pPr>
      <w:proofErr w:type="spellStart"/>
      <w:proofErr w:type="gramStart"/>
      <w:r w:rsidRPr="00767A4F">
        <w:rPr>
          <w:rFonts w:asciiTheme="minorHAnsi" w:hAnsiTheme="minorHAnsi" w:cstheme="minorHAnsi"/>
          <w:sz w:val="20"/>
          <w:szCs w:val="20"/>
        </w:rPr>
        <w:t>Source:WB</w:t>
      </w:r>
      <w:proofErr w:type="spellEnd"/>
      <w:proofErr w:type="gramEnd"/>
    </w:p>
    <w:p w14:paraId="31C16570" w14:textId="6E5EFF4F" w:rsidR="00406560" w:rsidRPr="00767A4F" w:rsidRDefault="00406560" w:rsidP="006C054E">
      <w:pPr>
        <w:pStyle w:val="PKFNormalNumbered"/>
        <w:tabs>
          <w:tab w:val="clear" w:pos="851"/>
        </w:tabs>
        <w:spacing w:after="0" w:line="240" w:lineRule="auto"/>
        <w:ind w:left="0" w:firstLine="0"/>
        <w:rPr>
          <w:rFonts w:asciiTheme="minorHAnsi" w:eastAsiaTheme="minorEastAsia" w:hAnsiTheme="minorHAnsi" w:cstheme="minorBidi"/>
          <w:sz w:val="22"/>
          <w:szCs w:val="22"/>
          <w:lang w:val="en-US" w:eastAsia="en-US"/>
        </w:rPr>
      </w:pPr>
      <w:r w:rsidRPr="00767A4F">
        <w:rPr>
          <w:rFonts w:asciiTheme="minorHAnsi" w:hAnsiTheme="minorHAnsi" w:cstheme="minorBidi"/>
          <w:b/>
          <w:bCs/>
          <w:sz w:val="22"/>
          <w:szCs w:val="22"/>
        </w:rPr>
        <w:t>The most important contribution to the Program budget is made by the N</w:t>
      </w:r>
      <w:r w:rsidR="5733CC0F" w:rsidRPr="00767A4F">
        <w:rPr>
          <w:rFonts w:asciiTheme="minorHAnsi" w:hAnsiTheme="minorHAnsi" w:cstheme="minorBidi"/>
          <w:b/>
          <w:bCs/>
          <w:sz w:val="22"/>
          <w:szCs w:val="22"/>
        </w:rPr>
        <w:t>HIF</w:t>
      </w:r>
      <w:r w:rsidRPr="00767A4F">
        <w:rPr>
          <w:rFonts w:asciiTheme="minorHAnsi" w:hAnsiTheme="minorHAnsi" w:cstheme="minorBidi"/>
          <w:b/>
          <w:bCs/>
          <w:sz w:val="22"/>
          <w:szCs w:val="22"/>
        </w:rPr>
        <w:t>.</w:t>
      </w:r>
      <w:r w:rsidRPr="00767A4F">
        <w:rPr>
          <w:rFonts w:asciiTheme="minorHAnsi" w:hAnsiTheme="minorHAnsi" w:cstheme="minorBidi"/>
          <w:sz w:val="22"/>
          <w:szCs w:val="22"/>
        </w:rPr>
        <w:t xml:space="preserve"> By 202</w:t>
      </w:r>
      <w:r w:rsidR="0094737F" w:rsidRPr="00767A4F">
        <w:rPr>
          <w:rFonts w:asciiTheme="minorHAnsi" w:hAnsiTheme="minorHAnsi" w:cstheme="minorBidi"/>
          <w:sz w:val="22"/>
          <w:szCs w:val="22"/>
        </w:rPr>
        <w:t>3</w:t>
      </w:r>
      <w:r w:rsidRPr="00767A4F">
        <w:rPr>
          <w:rFonts w:asciiTheme="minorHAnsi" w:hAnsiTheme="minorHAnsi" w:cstheme="minorBidi"/>
          <w:sz w:val="22"/>
          <w:szCs w:val="22"/>
        </w:rPr>
        <w:t xml:space="preserve">, it will have amounted to </w:t>
      </w:r>
      <w:r w:rsidR="00CE730C" w:rsidRPr="00767A4F">
        <w:rPr>
          <w:rFonts w:asciiTheme="minorHAnsi" w:hAnsiTheme="minorHAnsi" w:cstheme="minorBidi"/>
          <w:sz w:val="22"/>
          <w:szCs w:val="22"/>
        </w:rPr>
        <w:t>8</w:t>
      </w:r>
      <w:r w:rsidR="00CE730C" w:rsidRPr="00767A4F">
        <w:rPr>
          <w:rFonts w:asciiTheme="minorHAnsi" w:hAnsiTheme="minorHAnsi" w:cstheme="minorBidi"/>
          <w:sz w:val="22"/>
          <w:szCs w:val="22"/>
        </w:rPr>
        <w:t>6</w:t>
      </w:r>
      <w:r w:rsidRPr="00767A4F">
        <w:rPr>
          <w:rFonts w:asciiTheme="minorHAnsi" w:hAnsiTheme="minorHAnsi" w:cstheme="minorBidi"/>
          <w:sz w:val="22"/>
          <w:szCs w:val="22"/>
        </w:rPr>
        <w:t xml:space="preserve">% of total expenditure, most of which is related to the purchase of family medicine services, which averaged 6.5% of the budget in the past few years. </w:t>
      </w:r>
    </w:p>
    <w:p w14:paraId="283915B4" w14:textId="77777777" w:rsidR="00406560" w:rsidRPr="00767A4F" w:rsidRDefault="00406560" w:rsidP="00406560">
      <w:pPr>
        <w:spacing w:after="160" w:line="259" w:lineRule="auto"/>
        <w:contextualSpacing/>
        <w:jc w:val="both"/>
        <w:rPr>
          <w:rFonts w:asciiTheme="minorHAnsi" w:hAnsiTheme="minorHAnsi" w:cstheme="minorHAnsi"/>
          <w:sz w:val="22"/>
        </w:rPr>
      </w:pPr>
    </w:p>
    <w:p w14:paraId="0DD039ED" w14:textId="6ED239E4" w:rsidR="00406560" w:rsidRPr="00767A4F" w:rsidRDefault="00406560" w:rsidP="006C054E">
      <w:pPr>
        <w:spacing w:after="160" w:line="259" w:lineRule="auto"/>
        <w:contextualSpacing/>
        <w:jc w:val="both"/>
        <w:rPr>
          <w:rFonts w:asciiTheme="minorHAnsi" w:hAnsiTheme="minorHAnsi"/>
          <w:sz w:val="22"/>
        </w:rPr>
      </w:pPr>
      <w:r w:rsidRPr="00767A4F">
        <w:rPr>
          <w:rFonts w:asciiTheme="minorHAnsi" w:hAnsiTheme="minorHAnsi"/>
          <w:b/>
          <w:bCs/>
          <w:sz w:val="22"/>
        </w:rPr>
        <w:t xml:space="preserve">The overall expenditure pattern of NHIF is </w:t>
      </w:r>
      <w:r w:rsidR="00A52B6D" w:rsidRPr="00767A4F">
        <w:rPr>
          <w:rFonts w:asciiTheme="minorHAnsi" w:hAnsiTheme="minorHAnsi"/>
          <w:b/>
          <w:bCs/>
          <w:sz w:val="22"/>
        </w:rPr>
        <w:t>tilted</w:t>
      </w:r>
      <w:r w:rsidRPr="00767A4F">
        <w:rPr>
          <w:rFonts w:asciiTheme="minorHAnsi" w:hAnsiTheme="minorHAnsi"/>
          <w:b/>
          <w:bCs/>
          <w:sz w:val="22"/>
        </w:rPr>
        <w:t xml:space="preserve"> towards goods </w:t>
      </w:r>
      <w:r w:rsidR="00FA03B3" w:rsidRPr="00767A4F">
        <w:rPr>
          <w:rFonts w:asciiTheme="minorHAnsi" w:hAnsiTheme="minorHAnsi"/>
          <w:b/>
          <w:bCs/>
          <w:sz w:val="22"/>
        </w:rPr>
        <w:t>and</w:t>
      </w:r>
      <w:r w:rsidRPr="00767A4F">
        <w:rPr>
          <w:rFonts w:asciiTheme="minorHAnsi" w:hAnsiTheme="minorHAnsi"/>
          <w:b/>
          <w:bCs/>
          <w:sz w:val="22"/>
        </w:rPr>
        <w:t xml:space="preserve"> services given the substantial share of </w:t>
      </w:r>
      <w:r w:rsidR="00D30C0F" w:rsidRPr="00767A4F">
        <w:rPr>
          <w:rFonts w:asciiTheme="minorHAnsi" w:hAnsiTheme="minorHAnsi"/>
          <w:b/>
          <w:bCs/>
          <w:sz w:val="22"/>
        </w:rPr>
        <w:t>family medicine services</w:t>
      </w:r>
      <w:r w:rsidRPr="00767A4F">
        <w:rPr>
          <w:rFonts w:asciiTheme="minorHAnsi" w:hAnsiTheme="minorHAnsi"/>
          <w:b/>
          <w:bCs/>
          <w:sz w:val="22"/>
        </w:rPr>
        <w:t xml:space="preserve">, while that of MoH is </w:t>
      </w:r>
      <w:r w:rsidR="00A4082C" w:rsidRPr="00767A4F">
        <w:rPr>
          <w:rFonts w:asciiTheme="minorHAnsi" w:hAnsiTheme="minorHAnsi"/>
          <w:b/>
          <w:bCs/>
          <w:sz w:val="22"/>
        </w:rPr>
        <w:t xml:space="preserve">comprised largely </w:t>
      </w:r>
      <w:r w:rsidR="00A4082C" w:rsidRPr="00767A4F">
        <w:rPr>
          <w:rFonts w:asciiTheme="minorHAnsi" w:hAnsiTheme="minorHAnsi"/>
          <w:b/>
          <w:bCs/>
          <w:sz w:val="22"/>
        </w:rPr>
        <w:t xml:space="preserve">of administrative </w:t>
      </w:r>
      <w:proofErr w:type="gramStart"/>
      <w:r w:rsidR="00A4082C" w:rsidRPr="00767A4F">
        <w:rPr>
          <w:rFonts w:asciiTheme="minorHAnsi" w:hAnsiTheme="minorHAnsi"/>
          <w:b/>
          <w:bCs/>
          <w:sz w:val="22"/>
        </w:rPr>
        <w:t>costs</w:t>
      </w:r>
      <w:r w:rsidR="00A4082C" w:rsidRPr="00767A4F">
        <w:rPr>
          <w:rFonts w:asciiTheme="minorHAnsi" w:hAnsiTheme="minorHAnsi"/>
          <w:b/>
          <w:bCs/>
          <w:sz w:val="22"/>
        </w:rPr>
        <w:t>.</w:t>
      </w:r>
      <w:r w:rsidRPr="00767A4F">
        <w:rPr>
          <w:rFonts w:asciiTheme="minorHAnsi" w:hAnsiTheme="minorHAnsi"/>
          <w:b/>
          <w:bCs/>
          <w:sz w:val="22"/>
        </w:rPr>
        <w:t>.</w:t>
      </w:r>
      <w:proofErr w:type="gramEnd"/>
      <w:r w:rsidRPr="00767A4F">
        <w:rPr>
          <w:rFonts w:asciiTheme="minorHAnsi" w:hAnsiTheme="minorHAnsi"/>
          <w:sz w:val="22"/>
        </w:rPr>
        <w:t xml:space="preserve"> The expenditure in the Program is </w:t>
      </w:r>
      <w:r w:rsidR="00A4082C" w:rsidRPr="00767A4F">
        <w:rPr>
          <w:rFonts w:asciiTheme="minorHAnsi" w:hAnsiTheme="minorHAnsi"/>
          <w:sz w:val="22"/>
        </w:rPr>
        <w:t xml:space="preserve">significantly </w:t>
      </w:r>
      <w:r w:rsidRPr="00767A4F">
        <w:rPr>
          <w:rFonts w:asciiTheme="minorHAnsi" w:hAnsiTheme="minorHAnsi"/>
          <w:sz w:val="22"/>
        </w:rPr>
        <w:t xml:space="preserve">dominated by goods </w:t>
      </w:r>
      <w:r w:rsidR="00FA03B3" w:rsidRPr="00767A4F">
        <w:rPr>
          <w:rFonts w:asciiTheme="minorHAnsi" w:hAnsiTheme="minorHAnsi"/>
          <w:sz w:val="22"/>
        </w:rPr>
        <w:t>and</w:t>
      </w:r>
      <w:r w:rsidRPr="00767A4F">
        <w:rPr>
          <w:rFonts w:asciiTheme="minorHAnsi" w:hAnsiTheme="minorHAnsi"/>
          <w:sz w:val="22"/>
        </w:rPr>
        <w:t xml:space="preserve"> services, especially with family medicine services, which add up to </w:t>
      </w:r>
      <w:r w:rsidR="00CE730C" w:rsidRPr="00767A4F">
        <w:rPr>
          <w:rFonts w:asciiTheme="minorHAnsi" w:hAnsiTheme="minorHAnsi"/>
          <w:sz w:val="22"/>
        </w:rPr>
        <w:t>8</w:t>
      </w:r>
      <w:r w:rsidR="00553C25" w:rsidRPr="00767A4F">
        <w:rPr>
          <w:rFonts w:asciiTheme="minorHAnsi" w:hAnsiTheme="minorHAnsi"/>
          <w:sz w:val="22"/>
        </w:rPr>
        <w:t>5</w:t>
      </w:r>
      <w:r w:rsidRPr="00767A4F">
        <w:rPr>
          <w:rFonts w:asciiTheme="minorHAnsi" w:hAnsiTheme="minorHAnsi"/>
          <w:sz w:val="22"/>
        </w:rPr>
        <w:t>% of the entire program over 2020 - 202</w:t>
      </w:r>
      <w:r w:rsidR="003A604B" w:rsidRPr="00767A4F">
        <w:rPr>
          <w:rFonts w:asciiTheme="minorHAnsi" w:hAnsiTheme="minorHAnsi"/>
          <w:sz w:val="22"/>
        </w:rPr>
        <w:t>3</w:t>
      </w:r>
      <w:r w:rsidRPr="00767A4F">
        <w:rPr>
          <w:rFonts w:asciiTheme="minorHAnsi" w:hAnsiTheme="minorHAnsi"/>
          <w:sz w:val="22"/>
        </w:rPr>
        <w:t xml:space="preserve">. Broken-down by </w:t>
      </w:r>
      <w:r w:rsidRPr="00767A4F">
        <w:rPr>
          <w:rFonts w:asciiTheme="minorHAnsi" w:hAnsiTheme="minorHAnsi"/>
          <w:sz w:val="22"/>
        </w:rPr>
        <w:lastRenderedPageBreak/>
        <w:t xml:space="preserve">contributing budgets, the NHIF expenditure is overwhelmingly made of goods </w:t>
      </w:r>
      <w:r w:rsidR="00FA03B3" w:rsidRPr="00767A4F">
        <w:rPr>
          <w:rFonts w:asciiTheme="minorHAnsi" w:hAnsiTheme="minorHAnsi"/>
          <w:sz w:val="22"/>
        </w:rPr>
        <w:t>and</w:t>
      </w:r>
      <w:r w:rsidRPr="00767A4F">
        <w:rPr>
          <w:rFonts w:asciiTheme="minorHAnsi" w:hAnsiTheme="minorHAnsi"/>
          <w:sz w:val="22"/>
        </w:rPr>
        <w:t xml:space="preserve"> services, </w:t>
      </w:r>
      <w:r w:rsidR="005C7A32" w:rsidRPr="00767A4F">
        <w:rPr>
          <w:rFonts w:asciiTheme="minorHAnsi" w:hAnsiTheme="minorHAnsi"/>
          <w:sz w:val="22"/>
        </w:rPr>
        <w:t xml:space="preserve">while </w:t>
      </w:r>
      <w:r w:rsidRPr="00767A4F">
        <w:rPr>
          <w:rFonts w:asciiTheme="minorHAnsi" w:hAnsiTheme="minorHAnsi"/>
          <w:sz w:val="22"/>
        </w:rPr>
        <w:t>the MoH contribution</w:t>
      </w:r>
      <w:r w:rsidR="005C7A32" w:rsidRPr="00767A4F">
        <w:rPr>
          <w:rFonts w:asciiTheme="minorHAnsi" w:hAnsiTheme="minorHAnsi"/>
          <w:sz w:val="22"/>
        </w:rPr>
        <w:t xml:space="preserve"> refers</w:t>
      </w:r>
      <w:r w:rsidR="005C7A32" w:rsidRPr="00767A4F">
        <w:rPr>
          <w:rFonts w:asciiTheme="minorHAnsi" w:hAnsiTheme="minorHAnsi"/>
          <w:sz w:val="22"/>
        </w:rPr>
        <w:t xml:space="preserve"> mos</w:t>
      </w:r>
      <w:r w:rsidR="00E33991" w:rsidRPr="00767A4F">
        <w:rPr>
          <w:rFonts w:asciiTheme="minorHAnsi" w:hAnsiTheme="minorHAnsi"/>
          <w:sz w:val="22"/>
        </w:rPr>
        <w:t>tly</w:t>
      </w:r>
      <w:r w:rsidR="005C7A32" w:rsidRPr="00767A4F">
        <w:rPr>
          <w:rFonts w:asciiTheme="minorHAnsi" w:hAnsiTheme="minorHAnsi"/>
          <w:sz w:val="22"/>
        </w:rPr>
        <w:t xml:space="preserve"> to</w:t>
      </w:r>
      <w:r w:rsidRPr="00767A4F">
        <w:rPr>
          <w:rFonts w:asciiTheme="minorHAnsi" w:hAnsiTheme="minorHAnsi"/>
          <w:sz w:val="22"/>
        </w:rPr>
        <w:t xml:space="preserve"> wage</w:t>
      </w:r>
      <w:r w:rsidR="00A52B6D" w:rsidRPr="00767A4F">
        <w:rPr>
          <w:rFonts w:asciiTheme="minorHAnsi" w:hAnsiTheme="minorHAnsi"/>
          <w:sz w:val="22"/>
        </w:rPr>
        <w:t>s</w:t>
      </w:r>
      <w:r w:rsidRPr="00767A4F">
        <w:rPr>
          <w:rFonts w:asciiTheme="minorHAnsi" w:hAnsiTheme="minorHAnsi"/>
          <w:sz w:val="22"/>
        </w:rPr>
        <w:t xml:space="preserve"> (for community nurses, and MoH staff</w:t>
      </w:r>
      <w:r w:rsidR="005C7A32" w:rsidRPr="00767A4F">
        <w:rPr>
          <w:rFonts w:asciiTheme="minorHAnsi" w:hAnsiTheme="minorHAnsi"/>
          <w:sz w:val="22"/>
        </w:rPr>
        <w:t xml:space="preserve"> in relevant technical departments</w:t>
      </w:r>
      <w:r w:rsidR="00CE730C" w:rsidRPr="00767A4F">
        <w:rPr>
          <w:rFonts w:asciiTheme="minorHAnsi" w:hAnsiTheme="minorHAnsi"/>
          <w:sz w:val="22"/>
        </w:rPr>
        <w:t xml:space="preserve"> such as national health programs and medicines policy-making</w:t>
      </w:r>
      <w:r w:rsidRPr="00767A4F">
        <w:rPr>
          <w:rFonts w:asciiTheme="minorHAnsi" w:hAnsiTheme="minorHAnsi"/>
          <w:sz w:val="22"/>
        </w:rPr>
        <w:t>)</w:t>
      </w:r>
      <w:r w:rsidR="00E33991" w:rsidRPr="00767A4F">
        <w:rPr>
          <w:rFonts w:asciiTheme="minorHAnsi" w:hAnsiTheme="minorHAnsi"/>
          <w:sz w:val="22"/>
        </w:rPr>
        <w:t>.</w:t>
      </w:r>
      <w:r w:rsidR="00CE730C" w:rsidRPr="00767A4F">
        <w:rPr>
          <w:rFonts w:asciiTheme="minorHAnsi" w:hAnsiTheme="minorHAnsi"/>
          <w:sz w:val="22"/>
        </w:rPr>
        <w:t xml:space="preserve"> MoH will finance also</w:t>
      </w:r>
      <w:r w:rsidR="00CE730C" w:rsidRPr="00767A4F">
        <w:rPr>
          <w:rFonts w:asciiTheme="minorHAnsi" w:hAnsiTheme="minorHAnsi"/>
          <w:sz w:val="22"/>
        </w:rPr>
        <w:t xml:space="preserve"> investments in data management infrastructure.</w:t>
      </w:r>
      <w:r w:rsidR="00CE730C" w:rsidRPr="00767A4F">
        <w:rPr>
          <w:rFonts w:asciiTheme="minorHAnsi" w:hAnsiTheme="minorHAnsi"/>
          <w:sz w:val="22"/>
        </w:rPr>
        <w:t xml:space="preserve"> </w:t>
      </w:r>
      <w:r w:rsidR="00E33991" w:rsidRPr="00767A4F">
        <w:rPr>
          <w:rFonts w:asciiTheme="minorHAnsi" w:hAnsiTheme="minorHAnsi"/>
          <w:sz w:val="22"/>
        </w:rPr>
        <w:t>MoH will also receive transfers</w:t>
      </w:r>
      <w:r w:rsidR="00E33991" w:rsidRPr="00767A4F">
        <w:rPr>
          <w:rFonts w:asciiTheme="minorHAnsi" w:hAnsiTheme="minorHAnsi"/>
          <w:sz w:val="22"/>
        </w:rPr>
        <w:t xml:space="preserve"> from MoPF</w:t>
      </w:r>
      <w:r w:rsidR="00E33991" w:rsidRPr="00767A4F">
        <w:rPr>
          <w:rFonts w:asciiTheme="minorHAnsi" w:hAnsiTheme="minorHAnsi"/>
          <w:sz w:val="22"/>
        </w:rPr>
        <w:t xml:space="preserve"> to administrate the de minimis state aid scheme to </w:t>
      </w:r>
      <w:r w:rsidR="00E33991" w:rsidRPr="00767A4F">
        <w:rPr>
          <w:rFonts w:asciiTheme="minorHAnsi" w:hAnsiTheme="minorHAnsi"/>
          <w:sz w:val="22"/>
        </w:rPr>
        <w:t>reh</w:t>
      </w:r>
      <w:r w:rsidR="00E33991" w:rsidRPr="00767A4F">
        <w:rPr>
          <w:rFonts w:asciiTheme="minorHAnsi" w:hAnsiTheme="minorHAnsi"/>
          <w:sz w:val="22"/>
        </w:rPr>
        <w:t xml:space="preserve">abilitate and equip family medicine </w:t>
      </w:r>
      <w:r w:rsidR="00767A4F" w:rsidRPr="00767A4F">
        <w:rPr>
          <w:rFonts w:asciiTheme="minorHAnsi" w:hAnsiTheme="minorHAnsi"/>
          <w:sz w:val="22"/>
        </w:rPr>
        <w:t>practices.</w:t>
      </w:r>
      <w:r w:rsidRPr="00767A4F">
        <w:rPr>
          <w:rFonts w:asciiTheme="minorHAnsi" w:hAnsiTheme="minorHAnsi"/>
          <w:sz w:val="22"/>
        </w:rPr>
        <w:t xml:space="preserve"> </w:t>
      </w:r>
      <w:r w:rsidR="2D3FD3EB" w:rsidRPr="00767A4F">
        <w:rPr>
          <w:rFonts w:asciiTheme="minorHAnsi" w:hAnsiTheme="minorHAnsi"/>
          <w:sz w:val="22"/>
        </w:rPr>
        <w:t>T</w:t>
      </w:r>
      <w:r w:rsidRPr="00767A4F">
        <w:rPr>
          <w:rFonts w:asciiTheme="minorHAnsi" w:hAnsiTheme="minorHAnsi"/>
          <w:sz w:val="22"/>
        </w:rPr>
        <w:t xml:space="preserve">he </w:t>
      </w:r>
      <w:r w:rsidR="00A52B6D" w:rsidRPr="00767A4F">
        <w:rPr>
          <w:rFonts w:asciiTheme="minorHAnsi" w:hAnsiTheme="minorHAnsi"/>
          <w:sz w:val="22"/>
        </w:rPr>
        <w:t xml:space="preserve">state aid </w:t>
      </w:r>
      <w:r w:rsidRPr="00767A4F">
        <w:rPr>
          <w:rFonts w:asciiTheme="minorHAnsi" w:hAnsiTheme="minorHAnsi"/>
          <w:sz w:val="22"/>
        </w:rPr>
        <w:t xml:space="preserve">scheme </w:t>
      </w:r>
      <w:r w:rsidR="0AB87173" w:rsidRPr="00767A4F">
        <w:rPr>
          <w:rFonts w:asciiTheme="minorHAnsi" w:hAnsiTheme="minorHAnsi"/>
          <w:sz w:val="22"/>
        </w:rPr>
        <w:t>envisages f</w:t>
      </w:r>
      <w:r w:rsidR="76BA4B8C" w:rsidRPr="00767A4F">
        <w:rPr>
          <w:rFonts w:asciiTheme="minorHAnsi" w:hAnsiTheme="minorHAnsi"/>
          <w:sz w:val="22"/>
        </w:rPr>
        <w:t xml:space="preserve">inancing </w:t>
      </w:r>
      <w:r w:rsidRPr="00767A4F">
        <w:rPr>
          <w:rFonts w:asciiTheme="minorHAnsi" w:hAnsiTheme="minorHAnsi"/>
          <w:sz w:val="22"/>
        </w:rPr>
        <w:t xml:space="preserve">for family medicine practice </w:t>
      </w:r>
      <w:r w:rsidR="00FA03B3" w:rsidRPr="00767A4F">
        <w:rPr>
          <w:rFonts w:asciiTheme="minorHAnsi" w:hAnsiTheme="minorHAnsi"/>
          <w:sz w:val="22"/>
        </w:rPr>
        <w:t xml:space="preserve">small refurbishing of the facility </w:t>
      </w:r>
      <w:r w:rsidR="76BA4B8C" w:rsidRPr="00767A4F">
        <w:rPr>
          <w:rFonts w:asciiTheme="minorHAnsi" w:hAnsiTheme="minorHAnsi"/>
          <w:sz w:val="22"/>
        </w:rPr>
        <w:t xml:space="preserve">(generally </w:t>
      </w:r>
      <w:r w:rsidR="00FA03B3" w:rsidRPr="00767A4F">
        <w:rPr>
          <w:rFonts w:asciiTheme="minorHAnsi" w:hAnsiTheme="minorHAnsi"/>
          <w:sz w:val="22"/>
        </w:rPr>
        <w:t>provided by the local public administration authority</w:t>
      </w:r>
      <w:r w:rsidR="76BA4B8C" w:rsidRPr="00767A4F">
        <w:rPr>
          <w:rFonts w:asciiTheme="minorHAnsi" w:hAnsiTheme="minorHAnsi"/>
          <w:sz w:val="22"/>
        </w:rPr>
        <w:t>)</w:t>
      </w:r>
      <w:r w:rsidR="00FA03B3" w:rsidRPr="00767A4F">
        <w:rPr>
          <w:rFonts w:asciiTheme="minorHAnsi" w:hAnsiTheme="minorHAnsi"/>
          <w:sz w:val="22"/>
        </w:rPr>
        <w:t>,</w:t>
      </w:r>
      <w:r w:rsidRPr="00767A4F">
        <w:rPr>
          <w:rFonts w:asciiTheme="minorHAnsi" w:hAnsiTheme="minorHAnsi"/>
          <w:sz w:val="22"/>
        </w:rPr>
        <w:t xml:space="preserve"> </w:t>
      </w:r>
      <w:r w:rsidR="001A54D1" w:rsidRPr="00767A4F">
        <w:rPr>
          <w:rFonts w:asciiTheme="minorHAnsi" w:hAnsiTheme="minorHAnsi"/>
          <w:sz w:val="22"/>
        </w:rPr>
        <w:t>training, and</w:t>
      </w:r>
      <w:r w:rsidRPr="00767A4F">
        <w:rPr>
          <w:rFonts w:asciiTheme="minorHAnsi" w:hAnsiTheme="minorHAnsi"/>
          <w:sz w:val="22"/>
        </w:rPr>
        <w:t xml:space="preserve"> equipment.</w:t>
      </w:r>
      <w:r w:rsidR="00E33991" w:rsidRPr="00767A4F">
        <w:rPr>
          <w:rFonts w:asciiTheme="minorHAnsi" w:hAnsiTheme="minorHAnsi"/>
          <w:sz w:val="22"/>
        </w:rPr>
        <w:t xml:space="preserve"> MoPF </w:t>
      </w:r>
      <w:r w:rsidR="00E33991" w:rsidRPr="00767A4F">
        <w:rPr>
          <w:rFonts w:asciiTheme="minorHAnsi" w:hAnsiTheme="minorHAnsi" w:cstheme="minorHAnsi"/>
          <w:sz w:val="22"/>
        </w:rPr>
        <w:t>will finance expenditures related to the functioning of ONAC</w:t>
      </w:r>
      <w:r w:rsidR="00E33991" w:rsidRPr="00767A4F">
        <w:rPr>
          <w:rFonts w:asciiTheme="minorHAnsi" w:hAnsiTheme="minorHAnsi" w:cstheme="minorHAnsi"/>
          <w:sz w:val="22"/>
        </w:rPr>
        <w:t xml:space="preserve">, which represent a </w:t>
      </w:r>
      <w:r w:rsidR="0017575F" w:rsidRPr="00767A4F">
        <w:rPr>
          <w:rFonts w:asciiTheme="minorHAnsi" w:hAnsiTheme="minorHAnsi" w:cstheme="minorHAnsi"/>
          <w:sz w:val="22"/>
        </w:rPr>
        <w:t>very small</w:t>
      </w:r>
      <w:r w:rsidR="00E33991" w:rsidRPr="00767A4F">
        <w:rPr>
          <w:rFonts w:asciiTheme="minorHAnsi" w:hAnsiTheme="minorHAnsi" w:cstheme="minorHAnsi"/>
          <w:sz w:val="22"/>
        </w:rPr>
        <w:t xml:space="preserve"> portion of the Program expenditures.</w:t>
      </w:r>
    </w:p>
    <w:p w14:paraId="01E35C6E" w14:textId="3BF38C20" w:rsidR="00ED4204" w:rsidRDefault="00A52B6D" w:rsidP="00767A4F">
      <w:pPr>
        <w:pStyle w:val="ListParagraph"/>
        <w:ind w:left="0"/>
        <w:rPr>
          <w:rFonts w:ascii="Calibri" w:hAnsi="Calibri" w:cs="Calibri"/>
          <w:b/>
          <w:smallCaps/>
          <w:szCs w:val="24"/>
        </w:rPr>
      </w:pPr>
      <w:r w:rsidRPr="003A604B">
        <w:rPr>
          <w:rFonts w:cstheme="minorHAnsi"/>
        </w:rPr>
        <w:t>The expenditure analysis, the discussion of financial sustainability of the Program and the analysis of the efficiency of spending is discussed in detail in the Technical Assessment.</w:t>
      </w:r>
      <w:bookmarkStart w:id="12" w:name="_Toc4090008"/>
      <w:bookmarkEnd w:id="12"/>
    </w:p>
    <w:p w14:paraId="3601141B" w14:textId="3A163B07" w:rsidR="00F2527D" w:rsidRPr="00FD5BBB" w:rsidRDefault="00CB0848" w:rsidP="00B55DC5">
      <w:pPr>
        <w:pStyle w:val="PforRStyle1"/>
        <w:rPr>
          <w:rFonts w:ascii="Calibri" w:hAnsi="Calibri" w:cs="Calibri"/>
          <w:u w:val="none"/>
        </w:rPr>
      </w:pPr>
      <w:bookmarkStart w:id="13" w:name="_Toc12467030"/>
      <w:r w:rsidRPr="00FD5BBB">
        <w:rPr>
          <w:rFonts w:ascii="Calibri" w:hAnsi="Calibri" w:cs="Calibri"/>
          <w:u w:val="none"/>
        </w:rPr>
        <w:t xml:space="preserve">Performance of </w:t>
      </w:r>
      <w:r w:rsidR="00D16AF6" w:rsidRPr="00FD5BBB">
        <w:rPr>
          <w:rFonts w:ascii="Calibri" w:hAnsi="Calibri" w:cs="Calibri"/>
          <w:u w:val="none"/>
        </w:rPr>
        <w:t>Program Fiduciary Systems and Arrangements</w:t>
      </w:r>
      <w:bookmarkEnd w:id="13"/>
    </w:p>
    <w:p w14:paraId="2A8D9E2B" w14:textId="77777777" w:rsidR="00FD5BBB" w:rsidRPr="00FD5BBB" w:rsidRDefault="00FD5BBB" w:rsidP="00FD5BBB">
      <w:pPr>
        <w:pStyle w:val="ListParagraph"/>
        <w:numPr>
          <w:ilvl w:val="0"/>
          <w:numId w:val="2"/>
        </w:numPr>
        <w:rPr>
          <w:rFonts w:ascii="Calibri" w:hAnsi="Calibri" w:cs="Calibri"/>
          <w:b/>
          <w:smallCaps/>
          <w:vanish/>
        </w:rPr>
      </w:pPr>
      <w:bookmarkStart w:id="14" w:name="_Toc374627540"/>
    </w:p>
    <w:p w14:paraId="36011426" w14:textId="2EF93C5E" w:rsidR="000B16AB" w:rsidRPr="00FD5BBB" w:rsidRDefault="000B16AB" w:rsidP="00FD5BBB">
      <w:pPr>
        <w:pStyle w:val="PforRStyle2"/>
        <w:rPr>
          <w:rFonts w:asciiTheme="minorHAnsi" w:hAnsiTheme="minorHAnsi" w:cstheme="minorHAnsi"/>
        </w:rPr>
      </w:pPr>
      <w:bookmarkStart w:id="15" w:name="_Toc12467031"/>
      <w:r w:rsidRPr="00FD5BBB">
        <w:rPr>
          <w:rFonts w:asciiTheme="minorHAnsi" w:hAnsiTheme="minorHAnsi" w:cstheme="minorHAnsi"/>
        </w:rPr>
        <w:t>Program Planning and Budgeting</w:t>
      </w:r>
      <w:bookmarkEnd w:id="14"/>
      <w:bookmarkEnd w:id="15"/>
    </w:p>
    <w:p w14:paraId="76235A50" w14:textId="77777777" w:rsidR="00575EF8" w:rsidRPr="00795DE8" w:rsidRDefault="00575EF8" w:rsidP="00575EF8">
      <w:pPr>
        <w:spacing w:after="160" w:line="259" w:lineRule="auto"/>
        <w:jc w:val="both"/>
        <w:rPr>
          <w:rFonts w:ascii="Calibri" w:eastAsia="Calibri" w:hAnsi="Calibri" w:cs="Times New Roman"/>
          <w:sz w:val="22"/>
        </w:rPr>
      </w:pPr>
      <w:r w:rsidRPr="00795DE8">
        <w:rPr>
          <w:rFonts w:ascii="Calibri" w:eastAsia="Calibri" w:hAnsi="Calibri" w:cs="Times New Roman"/>
          <w:b/>
          <w:sz w:val="22"/>
        </w:rPr>
        <w:t>Overall, there is adequate planning and budgeting capacity at respective implementing entities and a clear annual budgeting cycle</w:t>
      </w:r>
      <w:r w:rsidRPr="00795DE8">
        <w:rPr>
          <w:rFonts w:ascii="Calibri" w:eastAsia="Calibri" w:hAnsi="Calibri" w:cs="Times New Roman"/>
          <w:sz w:val="22"/>
        </w:rPr>
        <w:t>. Romania scores well on the Open Budget Index Survey (its 2017 Open Budget Index score is 75 out of 100). The Government’s budget planning cycle commences in May of each year with all public institutions submitting their funding proposals to the MoPF. Proposals are generally based upon historical spending patterns, rather than endorsing a forward-looking strategic approach. Following discussions with line ministries, MoPF ultimately decides respective institutions` budgets, which are then formalized in an annual law passed by Parliament. There is strict control exercised by entities over spending, with good short-term predictability over funding and close to 100% budget execution rates.</w:t>
      </w:r>
      <w:r>
        <w:rPr>
          <w:rFonts w:ascii="Calibri" w:eastAsia="Calibri" w:hAnsi="Calibri" w:cs="Times New Roman"/>
          <w:sz w:val="22"/>
        </w:rPr>
        <w:t xml:space="preserve"> There are clear bottom-up processes and reliable systems for reporting of expenditures on a monthly, quarterly and yearly basis. </w:t>
      </w:r>
    </w:p>
    <w:p w14:paraId="454C938B" w14:textId="29905775" w:rsidR="00575EF8" w:rsidRPr="00795DE8" w:rsidRDefault="00575EF8" w:rsidP="00575EF8">
      <w:pPr>
        <w:spacing w:after="160" w:line="259" w:lineRule="auto"/>
        <w:jc w:val="both"/>
        <w:rPr>
          <w:rFonts w:ascii="Calibri" w:eastAsia="Calibri" w:hAnsi="Calibri" w:cs="Times New Roman"/>
          <w:sz w:val="22"/>
        </w:rPr>
      </w:pPr>
      <w:r w:rsidRPr="00795DE8">
        <w:rPr>
          <w:rFonts w:ascii="Calibri" w:eastAsia="Calibri" w:hAnsi="Calibri" w:cs="Times New Roman"/>
          <w:b/>
          <w:sz w:val="22"/>
        </w:rPr>
        <w:t>Government’s budget classification system is comprehensive including administrative, economic and functional classifications and with the ability to produce consistent data according to international standards</w:t>
      </w:r>
      <w:r w:rsidRPr="00795DE8">
        <w:rPr>
          <w:rFonts w:ascii="Calibri" w:eastAsia="Calibri" w:hAnsi="Calibri" w:cs="Times New Roman"/>
          <w:sz w:val="22"/>
        </w:rPr>
        <w:t xml:space="preserve">. The budgets of NHIH and MoH are structured on programs tailored to the functional budget classification. </w:t>
      </w:r>
      <w:r w:rsidR="007710E1">
        <w:rPr>
          <w:rFonts w:ascii="Calibri" w:eastAsia="Calibri" w:hAnsi="Calibri" w:cs="Times New Roman"/>
          <w:sz w:val="22"/>
        </w:rPr>
        <w:t>A</w:t>
      </w:r>
      <w:r w:rsidR="007710E1">
        <w:rPr>
          <w:rFonts w:ascii="Calibri" w:eastAsia="Calibri" w:hAnsi="Calibri" w:cs="Times New Roman"/>
          <w:sz w:val="22"/>
        </w:rPr>
        <w:t>nnex 7 provides the budgetary classification and relevant codes to identify the Program expenditures</w:t>
      </w:r>
      <w:r w:rsidR="009003C0">
        <w:rPr>
          <w:rFonts w:ascii="Calibri" w:eastAsia="Calibri" w:hAnsi="Calibri" w:cs="Times New Roman"/>
          <w:sz w:val="22"/>
        </w:rPr>
        <w:t xml:space="preserve"> in the implementing entities` budgets. </w:t>
      </w:r>
      <w:r w:rsidRPr="00795DE8">
        <w:rPr>
          <w:rFonts w:ascii="Calibri" w:eastAsia="Calibri" w:hAnsi="Calibri" w:cs="Times New Roman"/>
          <w:sz w:val="22"/>
        </w:rPr>
        <w:t>Program-based budgeting is under development, including in healthcare, and not yet sufficiently reliable to be used in relation to the expenditure projected in the operation. Deployment of an Institutional Strategic Plan (ISP) by MoH was proposed by the Bank in 2018 under a technical assistance project. Over a four-year life-cycle, the ISP strategic objectives and budgetary programs were projected to add up to 187 billion RON, with annual allocations rising from 40,6 billion RON in 2018 to 52,5 billion RON by 2021.</w:t>
      </w:r>
    </w:p>
    <w:p w14:paraId="7A2ABD30" w14:textId="77777777" w:rsidR="00273C9B" w:rsidRDefault="00575EF8" w:rsidP="00575EF8">
      <w:pPr>
        <w:spacing w:after="160" w:line="259" w:lineRule="auto"/>
        <w:jc w:val="both"/>
        <w:rPr>
          <w:rFonts w:ascii="Calibri" w:eastAsia="Calibri" w:hAnsi="Calibri" w:cs="Times New Roman"/>
          <w:sz w:val="22"/>
        </w:rPr>
      </w:pPr>
      <w:r w:rsidRPr="00795DE8">
        <w:rPr>
          <w:rFonts w:ascii="Calibri" w:eastAsia="Calibri" w:hAnsi="Calibri" w:cs="Times New Roman"/>
          <w:b/>
          <w:sz w:val="22"/>
        </w:rPr>
        <w:t>Consistent and timely availability of resources for Program activities is a risk</w:t>
      </w:r>
      <w:r w:rsidRPr="00795DE8">
        <w:rPr>
          <w:rFonts w:ascii="Calibri" w:eastAsia="Calibri" w:hAnsi="Calibri" w:cs="Times New Roman"/>
          <w:sz w:val="22"/>
        </w:rPr>
        <w:t xml:space="preserve">. Potential delayed and/or limited budgetary allocations for some of the more substantial Program expenses (i.e. </w:t>
      </w:r>
      <w:r w:rsidR="002E565C">
        <w:rPr>
          <w:rFonts w:ascii="Calibri" w:eastAsia="Calibri" w:hAnsi="Calibri" w:cs="Times New Roman"/>
          <w:sz w:val="22"/>
        </w:rPr>
        <w:t xml:space="preserve">de minimis </w:t>
      </w:r>
      <w:r>
        <w:rPr>
          <w:rFonts w:ascii="Calibri" w:eastAsia="Calibri" w:hAnsi="Calibri" w:cs="Times New Roman"/>
          <w:sz w:val="22"/>
        </w:rPr>
        <w:t xml:space="preserve">state aid scheme, </w:t>
      </w:r>
      <w:r w:rsidRPr="00795DE8">
        <w:rPr>
          <w:rFonts w:ascii="Calibri" w:eastAsia="Calibri" w:hAnsi="Calibri" w:cs="Times New Roman"/>
          <w:sz w:val="22"/>
        </w:rPr>
        <w:t>increased coverage</w:t>
      </w:r>
      <w:r w:rsidR="002E565C">
        <w:rPr>
          <w:rFonts w:ascii="Calibri" w:eastAsia="Calibri" w:hAnsi="Calibri" w:cs="Times New Roman"/>
          <w:sz w:val="22"/>
        </w:rPr>
        <w:t xml:space="preserve"> and scope</w:t>
      </w:r>
      <w:r w:rsidRPr="00795DE8">
        <w:rPr>
          <w:rFonts w:ascii="Calibri" w:eastAsia="Calibri" w:hAnsi="Calibri" w:cs="Times New Roman"/>
          <w:sz w:val="22"/>
        </w:rPr>
        <w:t xml:space="preserve"> of primary </w:t>
      </w:r>
      <w:r w:rsidR="002E565C">
        <w:rPr>
          <w:rFonts w:ascii="Calibri" w:eastAsia="Calibri" w:hAnsi="Calibri" w:cs="Times New Roman"/>
          <w:sz w:val="22"/>
        </w:rPr>
        <w:t xml:space="preserve">health </w:t>
      </w:r>
      <w:r w:rsidRPr="00795DE8">
        <w:rPr>
          <w:rFonts w:ascii="Calibri" w:eastAsia="Calibri" w:hAnsi="Calibri" w:cs="Times New Roman"/>
          <w:sz w:val="22"/>
        </w:rPr>
        <w:t>care, development of e-health system) may impair achievement of the intended results. To mitigate this risk,</w:t>
      </w:r>
      <w:r w:rsidR="002E565C">
        <w:rPr>
          <w:rFonts w:ascii="Calibri" w:eastAsia="Calibri" w:hAnsi="Calibri" w:cs="Times New Roman"/>
          <w:sz w:val="22"/>
        </w:rPr>
        <w:t xml:space="preserve"> the timeliness and adequacy of the Program budget will be monitored through PAP and the regular Bank`s implementation support and supervision missions. </w:t>
      </w:r>
      <w:r w:rsidRPr="00795DE8">
        <w:rPr>
          <w:rFonts w:ascii="Calibri" w:eastAsia="Calibri" w:hAnsi="Calibri" w:cs="Times New Roman"/>
          <w:sz w:val="22"/>
        </w:rPr>
        <w:t xml:space="preserve"> </w:t>
      </w:r>
    </w:p>
    <w:p w14:paraId="692CA18A" w14:textId="77777777" w:rsidR="00273C9B" w:rsidRDefault="00273C9B">
      <w:pPr>
        <w:spacing w:after="200" w:line="276" w:lineRule="auto"/>
        <w:rPr>
          <w:rFonts w:ascii="Calibri" w:eastAsia="Calibri" w:hAnsi="Calibri" w:cs="Times New Roman"/>
          <w:sz w:val="22"/>
        </w:rPr>
      </w:pPr>
      <w:r>
        <w:rPr>
          <w:rFonts w:ascii="Calibri" w:eastAsia="Calibri" w:hAnsi="Calibri" w:cs="Times New Roman"/>
          <w:sz w:val="22"/>
        </w:rPr>
        <w:br w:type="page"/>
      </w:r>
    </w:p>
    <w:p w14:paraId="25C5054D" w14:textId="6EBB8FD9" w:rsidR="00575EF8" w:rsidRPr="00795DE8" w:rsidRDefault="00575EF8" w:rsidP="00575EF8">
      <w:pPr>
        <w:spacing w:after="160" w:line="259" w:lineRule="auto"/>
        <w:jc w:val="both"/>
        <w:rPr>
          <w:rFonts w:ascii="Calibri" w:eastAsia="Calibri" w:hAnsi="Calibri" w:cs="Times New Roman"/>
          <w:sz w:val="22"/>
        </w:rPr>
      </w:pPr>
    </w:p>
    <w:p w14:paraId="6D1ED729" w14:textId="49FEC08D" w:rsidR="003C341A" w:rsidRPr="00C62310" w:rsidRDefault="000B16AB" w:rsidP="00951121">
      <w:pPr>
        <w:pStyle w:val="PforRStyle2"/>
        <w:rPr>
          <w:rFonts w:ascii="Calibri" w:hAnsi="Calibri" w:cs="Calibri"/>
          <w:sz w:val="22"/>
          <w:szCs w:val="22"/>
          <w:lang w:val="en-GB"/>
        </w:rPr>
      </w:pPr>
      <w:bookmarkStart w:id="16" w:name="_Toc12467032"/>
      <w:r w:rsidRPr="00C62310">
        <w:rPr>
          <w:rFonts w:ascii="Calibri" w:hAnsi="Calibri" w:cs="Calibri"/>
          <w:sz w:val="22"/>
          <w:szCs w:val="22"/>
          <w:lang w:val="en-GB"/>
        </w:rPr>
        <w:t xml:space="preserve">Procurement </w:t>
      </w:r>
      <w:r w:rsidR="006742FF" w:rsidRPr="00C62310">
        <w:rPr>
          <w:rFonts w:ascii="Calibri" w:hAnsi="Calibri" w:cs="Calibri"/>
          <w:sz w:val="22"/>
          <w:szCs w:val="22"/>
          <w:lang w:val="en-GB"/>
        </w:rPr>
        <w:t>Arrangements</w:t>
      </w:r>
      <w:bookmarkEnd w:id="16"/>
    </w:p>
    <w:p w14:paraId="069B10A1" w14:textId="77777777" w:rsidR="00575EF8" w:rsidRPr="00795DE8" w:rsidRDefault="00575EF8" w:rsidP="00575EF8">
      <w:pPr>
        <w:spacing w:after="160" w:line="259" w:lineRule="auto"/>
        <w:jc w:val="both"/>
        <w:rPr>
          <w:rFonts w:ascii="Calibri" w:eastAsia="Calibri" w:hAnsi="Calibri" w:cs="Times New Roman"/>
          <w:sz w:val="22"/>
        </w:rPr>
      </w:pPr>
      <w:r w:rsidRPr="00795DE8">
        <w:rPr>
          <w:rFonts w:ascii="Calibri" w:eastAsia="Calibri" w:hAnsi="Calibri" w:cs="Times New Roman"/>
          <w:sz w:val="22"/>
        </w:rPr>
        <w:t xml:space="preserve">Procurement under the Program will be carried out by: (i) MoH through its Procurement, Patrimony and IT Direction Unit (hereinafter “Procurement Unit of the MoH”) which is also responsible for centralized procurement in the health sector; (ii) NHIH through its Public Procurement Unit within the Logistics, Patrimony and Public Procurement Directorate; and (iii) ONAC which is subordinated to the MoPF. All institutions use the country e-procurement system to conduct </w:t>
      </w:r>
      <w:r w:rsidRPr="0032291B">
        <w:rPr>
          <w:rFonts w:ascii="Calibri" w:eastAsia="Calibri" w:hAnsi="Calibri" w:cs="Times New Roman"/>
          <w:sz w:val="22"/>
        </w:rPr>
        <w:t>public procurement. The procurement functions of respective Program implementing agencies are currently established</w:t>
      </w:r>
      <w:r w:rsidRPr="00795DE8">
        <w:rPr>
          <w:rFonts w:ascii="Calibri" w:eastAsia="Calibri" w:hAnsi="Calibri" w:cs="Times New Roman"/>
          <w:sz w:val="22"/>
        </w:rPr>
        <w:t xml:space="preserve"> as follows:</w:t>
      </w:r>
    </w:p>
    <w:p w14:paraId="05D9A158" w14:textId="77777777" w:rsidR="00575EF8" w:rsidRPr="00795DE8" w:rsidRDefault="00575EF8" w:rsidP="006C054E">
      <w:pPr>
        <w:numPr>
          <w:ilvl w:val="0"/>
          <w:numId w:val="41"/>
        </w:numPr>
        <w:spacing w:after="160" w:line="259" w:lineRule="auto"/>
        <w:ind w:left="360" w:hanging="360"/>
        <w:contextualSpacing/>
        <w:jc w:val="both"/>
        <w:rPr>
          <w:rFonts w:ascii="Calibri" w:eastAsia="Calibri" w:hAnsi="Calibri" w:cs="Times New Roman"/>
          <w:sz w:val="22"/>
        </w:rPr>
      </w:pPr>
      <w:r w:rsidRPr="00795DE8">
        <w:rPr>
          <w:rFonts w:ascii="Calibri" w:eastAsia="Calibri" w:hAnsi="Calibri" w:cs="Times New Roman"/>
          <w:sz w:val="22"/>
        </w:rPr>
        <w:t>The Procurement Unit of the MoH is responsible for procurement of products/services required for the MoH’s functioning and for centralized procurement for health units nationally.</w:t>
      </w:r>
    </w:p>
    <w:p w14:paraId="090F70EF" w14:textId="73B5208B" w:rsidR="00575EF8" w:rsidRPr="00795DE8" w:rsidRDefault="00575EF8" w:rsidP="006C054E">
      <w:pPr>
        <w:numPr>
          <w:ilvl w:val="0"/>
          <w:numId w:val="41"/>
        </w:numPr>
        <w:spacing w:after="160" w:line="259" w:lineRule="auto"/>
        <w:ind w:left="360" w:hanging="360"/>
        <w:contextualSpacing/>
        <w:jc w:val="both"/>
        <w:rPr>
          <w:rFonts w:ascii="Calibri" w:eastAsia="Calibri" w:hAnsi="Calibri" w:cs="Times New Roman"/>
          <w:sz w:val="22"/>
        </w:rPr>
      </w:pPr>
      <w:r w:rsidRPr="00795DE8">
        <w:rPr>
          <w:rFonts w:ascii="Calibri" w:eastAsia="Calibri" w:hAnsi="Calibri" w:cs="Times New Roman"/>
          <w:sz w:val="22"/>
        </w:rPr>
        <w:t xml:space="preserve">The Procurement Unit of the NHIH is responsible for procurement of products/services required for the NHIH functioning and for the </w:t>
      </w:r>
      <w:r>
        <w:rPr>
          <w:rFonts w:ascii="Calibri" w:eastAsia="Calibri" w:hAnsi="Calibri" w:cs="Times New Roman"/>
          <w:sz w:val="22"/>
        </w:rPr>
        <w:t xml:space="preserve">county </w:t>
      </w:r>
      <w:r w:rsidRPr="00795DE8">
        <w:rPr>
          <w:rFonts w:ascii="Calibri" w:eastAsia="Calibri" w:hAnsi="Calibri" w:cs="Times New Roman"/>
          <w:sz w:val="22"/>
        </w:rPr>
        <w:t>Health Insurance Houses at the local level.</w:t>
      </w:r>
    </w:p>
    <w:p w14:paraId="306C2AA3" w14:textId="2FDFC4DB" w:rsidR="00575EF8" w:rsidRDefault="00575EF8" w:rsidP="00575EF8">
      <w:pPr>
        <w:numPr>
          <w:ilvl w:val="0"/>
          <w:numId w:val="41"/>
        </w:numPr>
        <w:spacing w:after="160" w:line="259" w:lineRule="auto"/>
        <w:ind w:left="360" w:hanging="360"/>
        <w:contextualSpacing/>
        <w:jc w:val="both"/>
        <w:rPr>
          <w:rFonts w:ascii="Calibri" w:eastAsia="Calibri" w:hAnsi="Calibri" w:cs="Times New Roman"/>
          <w:sz w:val="22"/>
        </w:rPr>
      </w:pPr>
      <w:r w:rsidRPr="00795DE8">
        <w:rPr>
          <w:rFonts w:ascii="Calibri" w:eastAsia="Calibri" w:hAnsi="Calibri" w:cs="Times New Roman"/>
          <w:sz w:val="22"/>
        </w:rPr>
        <w:t>ONAC is responsible for centralized procurement of commonly used items for all government institutions excluding specialized procurement for the health sector, an activity to be introduced under the Program.</w:t>
      </w:r>
    </w:p>
    <w:p w14:paraId="368FE252" w14:textId="77777777" w:rsidR="00575EF8" w:rsidRPr="00795DE8" w:rsidRDefault="00575EF8" w:rsidP="006C054E">
      <w:pPr>
        <w:spacing w:after="160" w:line="259" w:lineRule="auto"/>
        <w:contextualSpacing/>
        <w:jc w:val="both"/>
        <w:rPr>
          <w:rFonts w:ascii="Calibri" w:eastAsia="Calibri" w:hAnsi="Calibri" w:cs="Times New Roman"/>
          <w:sz w:val="22"/>
        </w:rPr>
      </w:pPr>
    </w:p>
    <w:p w14:paraId="04396236" w14:textId="77DE1B3F" w:rsidR="00CC2C04" w:rsidRDefault="00575EF8" w:rsidP="00767A4F">
      <w:pPr>
        <w:jc w:val="both"/>
        <w:rPr>
          <w:sz w:val="22"/>
        </w:rPr>
      </w:pPr>
      <w:r w:rsidRPr="00795DE8">
        <w:rPr>
          <w:rFonts w:ascii="Calibri" w:eastAsia="Calibri" w:hAnsi="Calibri" w:cs="Times New Roman"/>
          <w:sz w:val="22"/>
        </w:rPr>
        <w:t xml:space="preserve">While the Procurement Units within the MoH and the NHIH are well-established and fully functional, ONAC was established in May 2018 with the mandate to conduct centralized procurement on behalf of all central government institutions of selected categories of goods/services except for health sector products for which a centralized procurement unit is already in place at the MoH. Staffing commenced with the appointment of the President of ONAC by the Prime Minister (Decision No 270/2018). Although ONAC has not yet initiated any procurement, as of March 2019, it had a staff complement of 22, comprising 10 managerial/administrative staff and 12 procurement staff, with more personnel still to be hired. </w:t>
      </w:r>
      <w:r w:rsidR="00AA5950">
        <w:rPr>
          <w:rFonts w:ascii="Calibri" w:eastAsia="Calibri" w:hAnsi="Calibri" w:cs="Times New Roman"/>
          <w:sz w:val="22"/>
        </w:rPr>
        <w:t xml:space="preserve">However, as of June 2019, </w:t>
      </w:r>
      <w:r w:rsidR="00CC2C04">
        <w:rPr>
          <w:rFonts w:ascii="Calibri" w:eastAsia="Calibri" w:hAnsi="Calibri" w:cs="Times New Roman"/>
          <w:sz w:val="22"/>
        </w:rPr>
        <w:t xml:space="preserve">the number of </w:t>
      </w:r>
      <w:proofErr w:type="gramStart"/>
      <w:r w:rsidR="00CC2C04">
        <w:rPr>
          <w:rFonts w:ascii="Calibri" w:eastAsia="Calibri" w:hAnsi="Calibri" w:cs="Times New Roman"/>
          <w:sz w:val="22"/>
        </w:rPr>
        <w:t>staff</w:t>
      </w:r>
      <w:proofErr w:type="gramEnd"/>
      <w:r w:rsidR="00CC2C04">
        <w:rPr>
          <w:rFonts w:ascii="Calibri" w:eastAsia="Calibri" w:hAnsi="Calibri" w:cs="Times New Roman"/>
          <w:sz w:val="22"/>
        </w:rPr>
        <w:t xml:space="preserve"> is 38 out of 43.</w:t>
      </w:r>
    </w:p>
    <w:p w14:paraId="419F8219" w14:textId="774DEC0C" w:rsidR="00575EF8" w:rsidRDefault="00575EF8" w:rsidP="00876585">
      <w:pPr>
        <w:spacing w:after="200" w:line="276" w:lineRule="auto"/>
        <w:jc w:val="both"/>
        <w:rPr>
          <w:rFonts w:ascii="Calibri" w:hAnsi="Calibri" w:cs="Calibri"/>
          <w:sz w:val="22"/>
        </w:rPr>
      </w:pPr>
    </w:p>
    <w:p w14:paraId="3601142A" w14:textId="388E2EA0" w:rsidR="000B16AB" w:rsidRPr="00ED4204" w:rsidRDefault="000B16AB" w:rsidP="00575EF8">
      <w:pPr>
        <w:pStyle w:val="PforRStyle2"/>
        <w:rPr>
          <w:rFonts w:ascii="Calibri" w:hAnsi="Calibri" w:cs="Calibri"/>
          <w:sz w:val="22"/>
          <w:szCs w:val="22"/>
        </w:rPr>
      </w:pPr>
      <w:bookmarkStart w:id="17" w:name="_Toc12467033"/>
      <w:r w:rsidRPr="00ED4204">
        <w:rPr>
          <w:rFonts w:ascii="Calibri" w:hAnsi="Calibri" w:cs="Calibri"/>
          <w:sz w:val="22"/>
          <w:szCs w:val="22"/>
        </w:rPr>
        <w:t>Procurement</w:t>
      </w:r>
      <w:r w:rsidR="00842EB2" w:rsidRPr="00ED4204">
        <w:rPr>
          <w:rFonts w:ascii="Calibri" w:hAnsi="Calibri" w:cs="Calibri"/>
          <w:sz w:val="22"/>
          <w:szCs w:val="22"/>
        </w:rPr>
        <w:t xml:space="preserve"> Planning</w:t>
      </w:r>
      <w:bookmarkEnd w:id="17"/>
    </w:p>
    <w:p w14:paraId="27BDE9CB" w14:textId="77777777" w:rsidR="00B7526E" w:rsidRPr="00B7526E" w:rsidRDefault="00B7526E" w:rsidP="00B7526E">
      <w:pPr>
        <w:spacing w:after="160" w:line="259" w:lineRule="auto"/>
        <w:jc w:val="both"/>
        <w:rPr>
          <w:rFonts w:ascii="Calibri" w:eastAsia="Calibri" w:hAnsi="Calibri" w:cs="Times New Roman"/>
          <w:sz w:val="22"/>
        </w:rPr>
      </w:pPr>
      <w:r w:rsidRPr="00B7526E">
        <w:rPr>
          <w:rFonts w:ascii="Calibri" w:eastAsia="Calibri" w:hAnsi="Calibri" w:cs="Times New Roman"/>
          <w:sz w:val="22"/>
        </w:rPr>
        <w:t xml:space="preserve">Adequate procurement planning and execution are actively enforced by ANAP through the legal provisions, transposing the requirements at EU level, and the Web-based Guide available at www.achizitiipublice.gov.ro. All contracting authorities are required to elaborate an annual procurement strategy (above defined thresholds) and annual procurement plan, as well as a contracting strategy for each procedure to be launched. The same procedures are adopted by all contracting authorities, including the Program implementing agencies. </w:t>
      </w:r>
    </w:p>
    <w:p w14:paraId="3BBEE3C4" w14:textId="77777777" w:rsidR="00B7526E" w:rsidRPr="00B7526E" w:rsidRDefault="00B7526E" w:rsidP="00B7526E">
      <w:pPr>
        <w:widowControl w:val="0"/>
        <w:tabs>
          <w:tab w:val="left" w:pos="2520"/>
          <w:tab w:val="left" w:pos="3810"/>
        </w:tabs>
        <w:autoSpaceDE w:val="0"/>
        <w:autoSpaceDN w:val="0"/>
        <w:adjustRightInd w:val="0"/>
        <w:jc w:val="both"/>
        <w:rPr>
          <w:rFonts w:ascii="Calibri" w:eastAsia="Times New Roman" w:hAnsi="Calibri" w:cs="Calibri"/>
          <w:color w:val="000000"/>
          <w:sz w:val="22"/>
          <w:szCs w:val="24"/>
        </w:rPr>
      </w:pPr>
      <w:r w:rsidRPr="00B7526E">
        <w:rPr>
          <w:rFonts w:ascii="Calibri" w:eastAsia="Times New Roman" w:hAnsi="Calibri" w:cs="Calibri"/>
          <w:color w:val="000000"/>
          <w:sz w:val="22"/>
          <w:szCs w:val="24"/>
        </w:rPr>
        <w:t>Procurement Plans (PPs) of implementing agencies are normally published on their websites (</w:t>
      </w:r>
      <w:hyperlink r:id="rId18" w:history="1">
        <w:r w:rsidRPr="00B7526E">
          <w:rPr>
            <w:rFonts w:ascii="Calibri" w:eastAsia="Times New Roman" w:hAnsi="Calibri" w:cs="Calibri"/>
            <w:i/>
            <w:color w:val="000000"/>
            <w:sz w:val="22"/>
          </w:rPr>
          <w:t>www.ms.ro</w:t>
        </w:r>
      </w:hyperlink>
      <w:r w:rsidRPr="00B7526E">
        <w:rPr>
          <w:rFonts w:ascii="Calibri" w:eastAsia="Times New Roman" w:hAnsi="Calibri" w:cs="Calibri"/>
          <w:color w:val="000000"/>
          <w:sz w:val="22"/>
          <w:szCs w:val="24"/>
        </w:rPr>
        <w:t xml:space="preserve"> and </w:t>
      </w:r>
      <w:hyperlink r:id="rId19" w:history="1">
        <w:r w:rsidRPr="00B7526E">
          <w:rPr>
            <w:rFonts w:ascii="Calibri" w:eastAsia="Times New Roman" w:hAnsi="Calibri" w:cs="Calibri"/>
            <w:i/>
            <w:color w:val="000000"/>
            <w:sz w:val="22"/>
          </w:rPr>
          <w:t>www.cnas.ro</w:t>
        </w:r>
      </w:hyperlink>
      <w:r w:rsidRPr="00B7526E">
        <w:rPr>
          <w:rFonts w:ascii="Calibri" w:eastAsia="Times New Roman" w:hAnsi="Calibri" w:cs="Calibri"/>
          <w:color w:val="000000"/>
          <w:sz w:val="22"/>
          <w:szCs w:val="24"/>
        </w:rPr>
        <w:t xml:space="preserve">). The website for ONAC is under development. Generally, the PPs provide the following information: description of the activity, CPV code, cost estimates, selection method, and planned timeline. Public procurement legislation requires that an extract of the annual PP is published every 6 months highlighting procurement activities above the EU thresholds. However, no such extracts are available on the website of the MoH and NHIH given that the planned procurement activities are below these thresholds. PPs are updated once the annual budget is approved in line with the approved amounts for investments. Subsequent updates of the PP are done whenever necessary throughout the year. </w:t>
      </w:r>
    </w:p>
    <w:p w14:paraId="2534B9EF" w14:textId="77777777" w:rsidR="00B7526E" w:rsidRPr="00B7526E" w:rsidRDefault="00B7526E" w:rsidP="00B7526E">
      <w:pPr>
        <w:widowControl w:val="0"/>
        <w:tabs>
          <w:tab w:val="left" w:pos="2520"/>
          <w:tab w:val="left" w:pos="3810"/>
        </w:tabs>
        <w:autoSpaceDE w:val="0"/>
        <w:autoSpaceDN w:val="0"/>
        <w:adjustRightInd w:val="0"/>
        <w:jc w:val="both"/>
        <w:rPr>
          <w:rFonts w:ascii="Calibri" w:eastAsia="Times New Roman" w:hAnsi="Calibri" w:cs="Calibri"/>
          <w:color w:val="000000"/>
          <w:sz w:val="22"/>
          <w:szCs w:val="24"/>
        </w:rPr>
      </w:pPr>
    </w:p>
    <w:p w14:paraId="72CDD698" w14:textId="77777777" w:rsidR="00B7526E" w:rsidRPr="00B7526E" w:rsidRDefault="00B7526E" w:rsidP="00B7526E">
      <w:pPr>
        <w:widowControl w:val="0"/>
        <w:tabs>
          <w:tab w:val="left" w:pos="2520"/>
          <w:tab w:val="left" w:pos="3810"/>
        </w:tabs>
        <w:autoSpaceDE w:val="0"/>
        <w:autoSpaceDN w:val="0"/>
        <w:adjustRightInd w:val="0"/>
        <w:jc w:val="both"/>
        <w:rPr>
          <w:rFonts w:ascii="Calibri" w:eastAsia="Times New Roman" w:hAnsi="Calibri" w:cs="Calibri"/>
          <w:color w:val="000000"/>
          <w:sz w:val="22"/>
          <w:szCs w:val="24"/>
        </w:rPr>
      </w:pPr>
      <w:r w:rsidRPr="00B7526E">
        <w:rPr>
          <w:rFonts w:ascii="Calibri" w:eastAsia="Times New Roman" w:hAnsi="Calibri" w:cs="Calibri"/>
          <w:color w:val="000000"/>
          <w:sz w:val="22"/>
          <w:szCs w:val="24"/>
        </w:rPr>
        <w:t xml:space="preserve">Summary analysis of the Procurement Plan of the MoH (2018) observes: (i) the default selection method is </w:t>
      </w:r>
      <w:r w:rsidRPr="00B7526E">
        <w:rPr>
          <w:rFonts w:ascii="Calibri" w:eastAsia="Times New Roman" w:hAnsi="Calibri" w:cs="Calibri"/>
          <w:color w:val="000000"/>
          <w:sz w:val="22"/>
          <w:szCs w:val="24"/>
        </w:rPr>
        <w:lastRenderedPageBreak/>
        <w:t xml:space="preserve">open tender resulting in either a public procurement contract or a framework agreement for activities within the threshold defined in the PPL; (ii) procurement of vaccines and medical devices have the largest share of expenditures in the PP; (iii) small value procurement is generally limited to procurement for the institutional functioning and simplified procedures are applied for these; (iv) for larger value contracts for supply of medical products, the estimated duration of the tender ranges between six months to one year starting with tender launching and ending with contract award; (v) PP include an annex with the list of all planned very small value contracts awarded under direct contracting procedures. </w:t>
      </w:r>
    </w:p>
    <w:p w14:paraId="5DAE7E14" w14:textId="77777777" w:rsidR="00B7526E" w:rsidRPr="00B7526E" w:rsidRDefault="00B7526E" w:rsidP="00B7526E">
      <w:pPr>
        <w:spacing w:line="259" w:lineRule="auto"/>
        <w:jc w:val="both"/>
        <w:rPr>
          <w:rFonts w:ascii="Calibri" w:eastAsia="Calibri" w:hAnsi="Calibri" w:cs="Times New Roman"/>
          <w:sz w:val="22"/>
        </w:rPr>
      </w:pPr>
    </w:p>
    <w:p w14:paraId="0A279EA9" w14:textId="77777777" w:rsidR="00B7526E" w:rsidRPr="00B7526E" w:rsidRDefault="00B7526E" w:rsidP="00B7526E">
      <w:pPr>
        <w:spacing w:line="259" w:lineRule="auto"/>
        <w:jc w:val="both"/>
        <w:rPr>
          <w:rFonts w:ascii="Calibri" w:eastAsia="Calibri" w:hAnsi="Calibri" w:cs="Times New Roman"/>
          <w:sz w:val="22"/>
        </w:rPr>
      </w:pPr>
      <w:bookmarkStart w:id="18" w:name="_Hlk6486710"/>
      <w:r w:rsidRPr="00B7526E">
        <w:rPr>
          <w:rFonts w:ascii="Calibri" w:eastAsia="Times New Roman" w:hAnsi="Calibri" w:cs="Calibri"/>
          <w:color w:val="000000"/>
          <w:sz w:val="22"/>
          <w:szCs w:val="24"/>
        </w:rPr>
        <w:t>Summary analysis of the Procurement Plan of the NHIH (2018) observes: (i) the default selection method is open tender resulting in framework agreements for activities within the threshold defined in the PPL; (ii) application of simplified procedures for small value of contracts; (iii) most of the activities are limited to procurement for institutional functioning; and (iv) generally the estimated duration of tenders is adequate given that simplified procedures apply and these do not normally envisage lengthy processes.</w:t>
      </w:r>
    </w:p>
    <w:bookmarkEnd w:id="18"/>
    <w:p w14:paraId="2CFE6142" w14:textId="77777777" w:rsidR="00B7526E" w:rsidRPr="00B7526E" w:rsidRDefault="00B7526E" w:rsidP="00B7526E">
      <w:pPr>
        <w:spacing w:line="259" w:lineRule="auto"/>
        <w:jc w:val="both"/>
        <w:rPr>
          <w:rFonts w:ascii="Calibri" w:eastAsia="Calibri" w:hAnsi="Calibri" w:cs="Times New Roman"/>
          <w:sz w:val="22"/>
        </w:rPr>
      </w:pPr>
    </w:p>
    <w:p w14:paraId="35E5ECBB" w14:textId="77777777" w:rsidR="00B7526E" w:rsidRPr="00B7526E" w:rsidRDefault="00B7526E" w:rsidP="00B7526E">
      <w:pPr>
        <w:spacing w:after="160" w:line="259" w:lineRule="auto"/>
        <w:jc w:val="both"/>
        <w:rPr>
          <w:rFonts w:ascii="Calibri" w:eastAsia="Calibri" w:hAnsi="Calibri" w:cs="Times New Roman"/>
          <w:sz w:val="22"/>
        </w:rPr>
      </w:pPr>
      <w:r w:rsidRPr="00B7526E">
        <w:rPr>
          <w:rFonts w:ascii="Calibri" w:eastAsia="Calibri" w:hAnsi="Calibri" w:cs="Times New Roman"/>
          <w:sz w:val="22"/>
        </w:rPr>
        <w:t>Issues identified during the assessment are summarized as follows, with proposed remedial actions outlined in the PAP (Annex 6):</w:t>
      </w:r>
    </w:p>
    <w:p w14:paraId="50B78DE9" w14:textId="77777777" w:rsidR="00B7526E" w:rsidRPr="00B7526E" w:rsidRDefault="00B7526E" w:rsidP="00B7526E">
      <w:pPr>
        <w:widowControl w:val="0"/>
        <w:numPr>
          <w:ilvl w:val="0"/>
          <w:numId w:val="38"/>
        </w:numPr>
        <w:autoSpaceDE w:val="0"/>
        <w:autoSpaceDN w:val="0"/>
        <w:adjustRightInd w:val="0"/>
        <w:spacing w:after="160" w:line="259" w:lineRule="auto"/>
        <w:contextualSpacing/>
        <w:jc w:val="both"/>
        <w:rPr>
          <w:rFonts w:ascii="Calibri" w:eastAsia="Calibri" w:hAnsi="Calibri" w:cs="Times New Roman"/>
          <w:sz w:val="22"/>
        </w:rPr>
      </w:pPr>
      <w:r w:rsidRPr="00B7526E">
        <w:rPr>
          <w:rFonts w:ascii="Calibri" w:eastAsia="Calibri" w:hAnsi="Calibri" w:cs="Times New Roman"/>
          <w:sz w:val="22"/>
        </w:rPr>
        <w:t xml:space="preserve">MoH has not established an electronic platform to facilitate the collation and consolidation of data on subordinated institutions’ needs. Information is currently maintained on Excel spreadsheet files and shared by email; </w:t>
      </w:r>
    </w:p>
    <w:p w14:paraId="2CCC0487" w14:textId="77777777" w:rsidR="00B7526E" w:rsidRPr="00B7526E" w:rsidRDefault="00B7526E" w:rsidP="00B7526E">
      <w:pPr>
        <w:widowControl w:val="0"/>
        <w:numPr>
          <w:ilvl w:val="0"/>
          <w:numId w:val="38"/>
        </w:numPr>
        <w:autoSpaceDE w:val="0"/>
        <w:autoSpaceDN w:val="0"/>
        <w:adjustRightInd w:val="0"/>
        <w:spacing w:after="160" w:line="259" w:lineRule="auto"/>
        <w:contextualSpacing/>
        <w:jc w:val="both"/>
        <w:rPr>
          <w:rFonts w:ascii="Calibri" w:eastAsia="Calibri" w:hAnsi="Calibri" w:cs="Times New Roman"/>
          <w:sz w:val="22"/>
        </w:rPr>
      </w:pPr>
      <w:r w:rsidRPr="00B7526E">
        <w:rPr>
          <w:rFonts w:ascii="Calibri" w:eastAsia="Calibri" w:hAnsi="Calibri" w:cs="Times New Roman"/>
          <w:sz w:val="22"/>
        </w:rPr>
        <w:t xml:space="preserve">At MoH, the packaging of contracts is generally done by “one-product one-lot” </w:t>
      </w:r>
      <w:proofErr w:type="gramStart"/>
      <w:r w:rsidRPr="00B7526E">
        <w:rPr>
          <w:rFonts w:ascii="Calibri" w:eastAsia="Calibri" w:hAnsi="Calibri" w:cs="Times New Roman"/>
          <w:sz w:val="22"/>
        </w:rPr>
        <w:t>in order to</w:t>
      </w:r>
      <w:proofErr w:type="gramEnd"/>
      <w:r w:rsidRPr="00B7526E">
        <w:rPr>
          <w:rFonts w:ascii="Calibri" w:eastAsia="Calibri" w:hAnsi="Calibri" w:cs="Times New Roman"/>
          <w:sz w:val="22"/>
        </w:rPr>
        <w:t xml:space="preserve"> (i) avoid block delays of entire tender packages when complaints are received, or the unit is otherwise unable to complete the evaluation and make the award for a particular lot, and (ii) avoid complaints from potential bidders relating to particular grouping of products perceived as restricting competition;</w:t>
      </w:r>
      <w:r w:rsidRPr="00B7526E">
        <w:rPr>
          <w:rFonts w:ascii="Calibri" w:eastAsia="Calibri" w:hAnsi="Calibri" w:cs="Times New Roman"/>
          <w:sz w:val="22"/>
        </w:rPr>
        <w:tab/>
      </w:r>
    </w:p>
    <w:p w14:paraId="29D68390" w14:textId="77777777" w:rsidR="00B7526E" w:rsidRPr="00B7526E" w:rsidRDefault="00B7526E" w:rsidP="00B7526E">
      <w:pPr>
        <w:widowControl w:val="0"/>
        <w:numPr>
          <w:ilvl w:val="0"/>
          <w:numId w:val="38"/>
        </w:numPr>
        <w:autoSpaceDE w:val="0"/>
        <w:autoSpaceDN w:val="0"/>
        <w:adjustRightInd w:val="0"/>
        <w:spacing w:after="160" w:line="259" w:lineRule="auto"/>
        <w:contextualSpacing/>
        <w:jc w:val="both"/>
        <w:rPr>
          <w:rFonts w:ascii="Calibri" w:eastAsia="Calibri" w:hAnsi="Calibri" w:cs="Times New Roman"/>
          <w:sz w:val="22"/>
        </w:rPr>
      </w:pPr>
      <w:r w:rsidRPr="00B7526E">
        <w:rPr>
          <w:rFonts w:ascii="Calibri" w:eastAsia="Calibri" w:hAnsi="Calibri" w:cs="Times New Roman"/>
          <w:sz w:val="22"/>
        </w:rPr>
        <w:t>While NHIH conducts the centralized procurement of goods and services for the NHIH and its subordinated units, information is not currently available nor published on its website;</w:t>
      </w:r>
    </w:p>
    <w:p w14:paraId="258200F5" w14:textId="77777777" w:rsidR="00B7526E" w:rsidRPr="00B7526E" w:rsidRDefault="00B7526E" w:rsidP="00B7526E">
      <w:pPr>
        <w:widowControl w:val="0"/>
        <w:numPr>
          <w:ilvl w:val="0"/>
          <w:numId w:val="38"/>
        </w:numPr>
        <w:autoSpaceDE w:val="0"/>
        <w:autoSpaceDN w:val="0"/>
        <w:adjustRightInd w:val="0"/>
        <w:spacing w:after="160" w:line="259" w:lineRule="auto"/>
        <w:contextualSpacing/>
        <w:jc w:val="both"/>
        <w:rPr>
          <w:rFonts w:ascii="Calibri" w:eastAsia="Calibri" w:hAnsi="Calibri" w:cs="Times New Roman"/>
          <w:sz w:val="22"/>
        </w:rPr>
      </w:pPr>
      <w:r w:rsidRPr="00B7526E">
        <w:rPr>
          <w:rFonts w:ascii="Calibri" w:eastAsia="Calibri" w:hAnsi="Calibri" w:cs="Times New Roman"/>
          <w:sz w:val="22"/>
        </w:rPr>
        <w:t>ONAC is not yet sufficiently established and currently has limited capacities to conduct procurement and has not yet established clear working arrangements with public health institutions as envisaged under the Program; and</w:t>
      </w:r>
    </w:p>
    <w:p w14:paraId="076B8216" w14:textId="77777777" w:rsidR="00B7526E" w:rsidRPr="00B7526E" w:rsidRDefault="00B7526E" w:rsidP="00B7526E">
      <w:pPr>
        <w:widowControl w:val="0"/>
        <w:numPr>
          <w:ilvl w:val="0"/>
          <w:numId w:val="38"/>
        </w:numPr>
        <w:autoSpaceDE w:val="0"/>
        <w:autoSpaceDN w:val="0"/>
        <w:adjustRightInd w:val="0"/>
        <w:spacing w:after="160" w:line="259" w:lineRule="auto"/>
        <w:contextualSpacing/>
        <w:jc w:val="both"/>
        <w:rPr>
          <w:rFonts w:ascii="Calibri" w:eastAsia="Calibri" w:hAnsi="Calibri" w:cs="Times New Roman"/>
          <w:sz w:val="22"/>
        </w:rPr>
      </w:pPr>
      <w:r w:rsidRPr="00B7526E">
        <w:rPr>
          <w:rFonts w:ascii="Calibri" w:eastAsia="Calibri" w:hAnsi="Calibri" w:cs="Times New Roman"/>
          <w:sz w:val="22"/>
        </w:rPr>
        <w:t>At ONAC, an electronic platform to be used for the collation and consolidation of procurement requests, monitoring implementation of framework agreements and communication with contracting authorities is still under development;</w:t>
      </w:r>
    </w:p>
    <w:p w14:paraId="27DF3932" w14:textId="119EFC1E" w:rsidR="00575EF8" w:rsidRPr="00575EF8" w:rsidRDefault="00575EF8" w:rsidP="006C054E">
      <w:pPr>
        <w:pStyle w:val="PforRStyle2"/>
        <w:rPr>
          <w:rFonts w:ascii="Calibri" w:hAnsi="Calibri" w:cs="Calibri"/>
          <w:sz w:val="22"/>
          <w:szCs w:val="22"/>
        </w:rPr>
      </w:pPr>
      <w:bookmarkStart w:id="19" w:name="_Toc12467034"/>
      <w:r w:rsidRPr="00575EF8">
        <w:rPr>
          <w:rFonts w:ascii="Calibri" w:hAnsi="Calibri" w:cs="Calibri"/>
          <w:sz w:val="22"/>
          <w:szCs w:val="22"/>
        </w:rPr>
        <w:t>Procurable Items</w:t>
      </w:r>
      <w:bookmarkEnd w:id="19"/>
    </w:p>
    <w:p w14:paraId="39A20224" w14:textId="77777777" w:rsidR="00575EF8" w:rsidRPr="00B67149" w:rsidRDefault="00575EF8" w:rsidP="00575EF8">
      <w:pPr>
        <w:jc w:val="both"/>
        <w:rPr>
          <w:rFonts w:ascii="Calibri" w:hAnsi="Calibri" w:cs="Calibri"/>
          <w:sz w:val="22"/>
        </w:rPr>
      </w:pPr>
      <w:r w:rsidRPr="00B67149">
        <w:rPr>
          <w:rFonts w:ascii="Calibri" w:hAnsi="Calibri" w:cs="Calibri"/>
          <w:b/>
          <w:sz w:val="22"/>
        </w:rPr>
        <w:t>Procurement Profile of the Program:</w:t>
      </w:r>
      <w:r w:rsidRPr="00B67149">
        <w:rPr>
          <w:rFonts w:ascii="Calibri" w:hAnsi="Calibri" w:cs="Calibri"/>
          <w:sz w:val="22"/>
        </w:rPr>
        <w:t xml:space="preserve"> </w:t>
      </w:r>
      <w:bookmarkStart w:id="20" w:name="_Hlk6482863"/>
      <w:r w:rsidRPr="00B67149">
        <w:rPr>
          <w:rFonts w:ascii="Calibri" w:hAnsi="Calibri" w:cs="Calibri"/>
          <w:sz w:val="22"/>
        </w:rPr>
        <w:t xml:space="preserve">The Program is defined to cover community care, primary care and policy reforms related to cost control. Therefore, most of the Program expenditures are related to services provided by family medicine physicians contracted by NHIH and recurrent expenditures including wages, goods and services and capital investments incurred by MoH, NHIH and ONAC in program-related areas. In addition to the regular operating costs, </w:t>
      </w:r>
      <w:r w:rsidRPr="006320F8">
        <w:rPr>
          <w:rFonts w:ascii="Calibri" w:hAnsi="Calibri" w:cs="Calibri"/>
          <w:sz w:val="22"/>
        </w:rPr>
        <w:t>implementing agencies</w:t>
      </w:r>
      <w:r w:rsidRPr="00B67149">
        <w:rPr>
          <w:rFonts w:ascii="Calibri" w:hAnsi="Calibri" w:cs="Calibri"/>
          <w:sz w:val="22"/>
        </w:rPr>
        <w:t xml:space="preserve"> will require technical assistance and certain upfront investments needed to implement the agreed milestones and achieve the DLIs. Some activities will be implemented with the existing resources within the </w:t>
      </w:r>
      <w:r w:rsidRPr="006320F8">
        <w:rPr>
          <w:rFonts w:ascii="Calibri" w:hAnsi="Calibri" w:cs="Calibri"/>
          <w:sz w:val="22"/>
        </w:rPr>
        <w:t xml:space="preserve">agencies, including </w:t>
      </w:r>
      <w:r w:rsidRPr="00B67149">
        <w:rPr>
          <w:rFonts w:ascii="Calibri" w:hAnsi="Calibri" w:cs="Calibri"/>
          <w:sz w:val="22"/>
        </w:rPr>
        <w:t>external support.</w:t>
      </w:r>
      <w:bookmarkEnd w:id="20"/>
      <w:r w:rsidRPr="00B67149">
        <w:rPr>
          <w:rFonts w:ascii="Calibri" w:hAnsi="Calibri" w:cs="Calibri"/>
          <w:sz w:val="22"/>
        </w:rPr>
        <w:t xml:space="preserve"> </w:t>
      </w:r>
    </w:p>
    <w:p w14:paraId="1738E3CA" w14:textId="77777777" w:rsidR="00575EF8" w:rsidRPr="006320F8" w:rsidRDefault="00575EF8" w:rsidP="00575EF8">
      <w:pPr>
        <w:jc w:val="both"/>
        <w:rPr>
          <w:rFonts w:ascii="Calibri" w:hAnsi="Calibri" w:cs="Calibri"/>
          <w:sz w:val="22"/>
        </w:rPr>
      </w:pPr>
    </w:p>
    <w:p w14:paraId="0D724115" w14:textId="5765406E" w:rsidR="00D875F7" w:rsidRPr="00190ACF" w:rsidRDefault="00575EF8" w:rsidP="00575EF8">
      <w:pPr>
        <w:autoSpaceDE w:val="0"/>
        <w:autoSpaceDN w:val="0"/>
        <w:adjustRightInd w:val="0"/>
        <w:jc w:val="both"/>
        <w:rPr>
          <w:rFonts w:ascii="Calibri" w:eastAsia="Calibri" w:hAnsi="Calibri" w:cs="Calibri"/>
          <w:sz w:val="22"/>
        </w:rPr>
      </w:pPr>
      <w:bookmarkStart w:id="21" w:name="_Hlk6482924"/>
      <w:r w:rsidRPr="00B67149">
        <w:rPr>
          <w:rFonts w:ascii="Calibri" w:hAnsi="Calibri" w:cs="Calibri"/>
          <w:sz w:val="22"/>
        </w:rPr>
        <w:t>The size of contracts is envisaged to be small to medium</w:t>
      </w:r>
      <w:bookmarkEnd w:id="21"/>
      <w:r w:rsidRPr="00B67149">
        <w:rPr>
          <w:rFonts w:ascii="Calibri" w:hAnsi="Calibri" w:cs="Calibri"/>
          <w:sz w:val="22"/>
        </w:rPr>
        <w:t xml:space="preserve"> and as such, the Program will not finance contracts which would require the mandatory review by the Bank’s OPRC. The current procurement portfolio of IAs routinely comprises small-value goods and services. An exception to these is the large-value contracts for </w:t>
      </w:r>
      <w:r w:rsidRPr="00B67149">
        <w:rPr>
          <w:rFonts w:ascii="Calibri" w:hAnsi="Calibri" w:cs="Calibri"/>
          <w:sz w:val="22"/>
        </w:rPr>
        <w:lastRenderedPageBreak/>
        <w:t xml:space="preserve">vaccines, medicines and/or medical devices procured centrally by the MoH. However, these contracts are financed from the beneficiary institutions budgets (for example: public hospitals) through the subsequent agreements signed between the institution and the supplier. The MoH is only managing the procurement process up to the contract award and up to the signing of the framework agreement. At the same time, over the period of 2018 – 2019, the largest procurement managed by the MoH was estimated at RON 136 </w:t>
      </w:r>
      <w:r w:rsidRPr="006320F8">
        <w:rPr>
          <w:rFonts w:ascii="Calibri" w:hAnsi="Calibri" w:cs="Calibri"/>
          <w:sz w:val="22"/>
        </w:rPr>
        <w:t>million</w:t>
      </w:r>
      <w:r w:rsidRPr="00B67149">
        <w:rPr>
          <w:rFonts w:ascii="Calibri" w:hAnsi="Calibri" w:cs="Calibri"/>
          <w:sz w:val="22"/>
        </w:rPr>
        <w:t xml:space="preserve"> (USD 32 </w:t>
      </w:r>
      <w:r w:rsidRPr="006320F8">
        <w:rPr>
          <w:rFonts w:ascii="Calibri" w:hAnsi="Calibri" w:cs="Calibri"/>
          <w:sz w:val="22"/>
        </w:rPr>
        <w:t>million</w:t>
      </w:r>
      <w:r w:rsidRPr="00B67149">
        <w:rPr>
          <w:rFonts w:ascii="Calibri" w:hAnsi="Calibri" w:cs="Calibri"/>
          <w:sz w:val="22"/>
        </w:rPr>
        <w:t xml:space="preserve"> equivalent) which is considerably below the OPRC threshold for Substantial risk.</w:t>
      </w:r>
      <w:r w:rsidR="00613B01">
        <w:rPr>
          <w:rFonts w:ascii="Calibri" w:hAnsi="Calibri" w:cs="Calibri"/>
          <w:sz w:val="22"/>
        </w:rPr>
        <w:t xml:space="preserve"> In early 2018, however, the MoH launched a </w:t>
      </w:r>
      <w:r w:rsidR="00613B01">
        <w:rPr>
          <w:rFonts w:ascii="Calibri" w:hAnsi="Calibri" w:cs="Calibri"/>
          <w:sz w:val="22"/>
        </w:rPr>
        <w:t xml:space="preserve">centralized </w:t>
      </w:r>
      <w:r w:rsidR="00613B01">
        <w:rPr>
          <w:rFonts w:ascii="Calibri" w:hAnsi="Calibri" w:cs="Calibri"/>
          <w:sz w:val="22"/>
        </w:rPr>
        <w:t>procurement of HIV medicine</w:t>
      </w:r>
      <w:r w:rsidR="00613B01">
        <w:rPr>
          <w:rFonts w:ascii="Calibri" w:hAnsi="Calibri" w:cs="Calibri"/>
          <w:sz w:val="22"/>
        </w:rPr>
        <w:t xml:space="preserve">s under the National Health Program </w:t>
      </w:r>
      <w:r w:rsidR="009B487D">
        <w:rPr>
          <w:rFonts w:ascii="Calibri" w:hAnsi="Calibri" w:cs="Calibri"/>
          <w:sz w:val="22"/>
        </w:rPr>
        <w:t xml:space="preserve">estimated at RON 1,433,524,928 (USD </w:t>
      </w:r>
      <w:r w:rsidR="003C517E">
        <w:rPr>
          <w:rFonts w:ascii="Calibri" w:hAnsi="Calibri" w:cs="Calibri"/>
          <w:sz w:val="22"/>
        </w:rPr>
        <w:t>342 million equivalent)</w:t>
      </w:r>
      <w:r w:rsidR="00CD6C1C">
        <w:rPr>
          <w:rFonts w:ascii="Calibri" w:hAnsi="Calibri" w:cs="Calibri"/>
          <w:sz w:val="22"/>
        </w:rPr>
        <w:t>,</w:t>
      </w:r>
      <w:r w:rsidR="003C517E">
        <w:rPr>
          <w:rFonts w:ascii="Calibri" w:hAnsi="Calibri" w:cs="Calibri"/>
          <w:sz w:val="22"/>
        </w:rPr>
        <w:t xml:space="preserve"> but such expenditures are outside the PforR </w:t>
      </w:r>
      <w:r w:rsidR="0079181C">
        <w:rPr>
          <w:rFonts w:ascii="Calibri" w:hAnsi="Calibri" w:cs="Calibri"/>
          <w:sz w:val="22"/>
        </w:rPr>
        <w:t xml:space="preserve">boundaries. </w:t>
      </w:r>
      <w:r w:rsidR="0079181C">
        <w:rPr>
          <w:rFonts w:ascii="Calibri" w:hAnsi="Calibri" w:cs="Calibri"/>
          <w:sz w:val="22"/>
        </w:rPr>
        <w:t>T</w:t>
      </w:r>
      <w:r w:rsidRPr="00B67149">
        <w:rPr>
          <w:rFonts w:ascii="Calibri" w:hAnsi="Calibri" w:cs="Calibri"/>
          <w:sz w:val="22"/>
        </w:rPr>
        <w:t xml:space="preserve">he largest procurement managed by the NHIH for the same period was estimated at RON 7.5 </w:t>
      </w:r>
      <w:r w:rsidRPr="006320F8">
        <w:rPr>
          <w:rFonts w:ascii="Calibri" w:hAnsi="Calibri" w:cs="Calibri"/>
          <w:sz w:val="22"/>
        </w:rPr>
        <w:t>million</w:t>
      </w:r>
      <w:r w:rsidRPr="00B67149">
        <w:rPr>
          <w:rFonts w:ascii="Calibri" w:hAnsi="Calibri" w:cs="Calibri"/>
          <w:sz w:val="22"/>
        </w:rPr>
        <w:t xml:space="preserve"> (USD 2 </w:t>
      </w:r>
      <w:r w:rsidRPr="006320F8">
        <w:rPr>
          <w:rFonts w:ascii="Calibri" w:hAnsi="Calibri" w:cs="Calibri"/>
          <w:sz w:val="22"/>
        </w:rPr>
        <w:t>million</w:t>
      </w:r>
      <w:r w:rsidRPr="00B67149">
        <w:rPr>
          <w:rFonts w:ascii="Calibri" w:hAnsi="Calibri" w:cs="Calibri"/>
          <w:sz w:val="22"/>
        </w:rPr>
        <w:t xml:space="preserve"> equivalent). No tenders have been launched by ONAC as of end of March 2019. However, both in the case of the MoH and ONAC, once it becomes functional and undertakes centralized procurement of health products, there could potentially be procurement activities the value of which may fall within the OPRC threshold. However, such contracts are beyond the boundaries of the proposed PforR operation.</w:t>
      </w:r>
    </w:p>
    <w:p w14:paraId="24CDD568" w14:textId="0780B5CD" w:rsidR="00A81FC2" w:rsidRDefault="00A81FC2" w:rsidP="00AF72C6">
      <w:pPr>
        <w:autoSpaceDE w:val="0"/>
        <w:autoSpaceDN w:val="0"/>
        <w:adjustRightInd w:val="0"/>
        <w:jc w:val="both"/>
        <w:rPr>
          <w:rFonts w:ascii="Calibri" w:hAnsi="Calibri" w:cs="Calibri"/>
          <w:sz w:val="22"/>
        </w:rPr>
      </w:pPr>
    </w:p>
    <w:p w14:paraId="6FCB23BB" w14:textId="6E5049B8" w:rsidR="00A81FC2" w:rsidRPr="006F282A" w:rsidRDefault="00A81FC2" w:rsidP="00767A4F">
      <w:pPr>
        <w:spacing w:line="276" w:lineRule="auto"/>
        <w:rPr>
          <w:rFonts w:ascii="Calibri" w:hAnsi="Calibri" w:cs="Calibri"/>
          <w:b/>
          <w:sz w:val="22"/>
        </w:rPr>
      </w:pPr>
      <w:r w:rsidRPr="006F282A">
        <w:rPr>
          <w:rFonts w:ascii="Calibri" w:hAnsi="Calibri" w:cs="Calibri"/>
          <w:b/>
          <w:sz w:val="22"/>
        </w:rPr>
        <w:t xml:space="preserve">Table </w:t>
      </w:r>
      <w:r w:rsidR="00DD7018">
        <w:rPr>
          <w:rFonts w:ascii="Calibri" w:hAnsi="Calibri" w:cs="Calibri"/>
          <w:b/>
          <w:sz w:val="22"/>
        </w:rPr>
        <w:t>3</w:t>
      </w:r>
      <w:r w:rsidRPr="006F282A">
        <w:rPr>
          <w:rFonts w:ascii="Calibri" w:hAnsi="Calibri" w:cs="Calibri"/>
          <w:b/>
          <w:sz w:val="22"/>
        </w:rPr>
        <w:t xml:space="preserve">. </w:t>
      </w:r>
      <w:r w:rsidR="00EC0178" w:rsidRPr="006F282A">
        <w:rPr>
          <w:rFonts w:ascii="Calibri" w:hAnsi="Calibri" w:cs="Calibri"/>
          <w:b/>
          <w:sz w:val="22"/>
        </w:rPr>
        <w:t>MoH Procurement for the period 2018 – 2019</w:t>
      </w:r>
      <w:r w:rsidR="001602FF">
        <w:rPr>
          <w:rFonts w:ascii="Calibri" w:hAnsi="Calibri" w:cs="Calibri"/>
          <w:b/>
          <w:sz w:val="22"/>
        </w:rPr>
        <w:t xml:space="preserve"> (March</w:t>
      </w:r>
      <w:r w:rsidR="001602FF">
        <w:rPr>
          <w:rFonts w:ascii="Calibri" w:hAnsi="Calibri" w:cs="Calibri"/>
          <w:b/>
          <w:sz w:val="22"/>
        </w:rPr>
        <w:t>)</w:t>
      </w:r>
    </w:p>
    <w:tbl>
      <w:tblPr>
        <w:tblW w:w="9355" w:type="dxa"/>
        <w:tblLook w:val="04A0" w:firstRow="1" w:lastRow="0" w:firstColumn="1" w:lastColumn="0" w:noHBand="0" w:noVBand="1"/>
      </w:tblPr>
      <w:tblGrid>
        <w:gridCol w:w="3680"/>
        <w:gridCol w:w="1540"/>
        <w:gridCol w:w="2335"/>
        <w:gridCol w:w="1800"/>
      </w:tblGrid>
      <w:tr w:rsidR="006F282A" w:rsidRPr="006F282A" w14:paraId="38D5C6F0" w14:textId="77777777" w:rsidTr="00ED4204">
        <w:trPr>
          <w:trHeight w:val="520"/>
        </w:trPr>
        <w:tc>
          <w:tcPr>
            <w:tcW w:w="3680" w:type="dxa"/>
            <w:tcBorders>
              <w:top w:val="single" w:sz="4" w:space="0" w:color="auto"/>
              <w:left w:val="single" w:sz="4" w:space="0" w:color="auto"/>
              <w:bottom w:val="single" w:sz="4" w:space="0" w:color="auto"/>
              <w:right w:val="single" w:sz="4" w:space="0" w:color="auto"/>
            </w:tcBorders>
            <w:shd w:val="clear" w:color="000000" w:fill="DDEBF7"/>
            <w:vAlign w:val="center"/>
            <w:hideMark/>
          </w:tcPr>
          <w:p w14:paraId="2C4DAD44" w14:textId="77777777" w:rsidR="006F282A" w:rsidRPr="006F282A" w:rsidRDefault="006F282A" w:rsidP="006F282A">
            <w:pPr>
              <w:jc w:val="center"/>
              <w:rPr>
                <w:rFonts w:ascii="Calibri" w:eastAsia="Times New Roman" w:hAnsi="Calibri" w:cs="Calibri"/>
                <w:b/>
                <w:bCs/>
                <w:color w:val="000000"/>
                <w:sz w:val="22"/>
              </w:rPr>
            </w:pPr>
            <w:r w:rsidRPr="006F282A">
              <w:rPr>
                <w:rFonts w:ascii="Calibri" w:eastAsia="Times New Roman" w:hAnsi="Calibri" w:cs="Calibri"/>
                <w:b/>
                <w:bCs/>
                <w:color w:val="000000"/>
                <w:sz w:val="22"/>
              </w:rPr>
              <w:t>Activity Description</w:t>
            </w:r>
          </w:p>
        </w:tc>
        <w:tc>
          <w:tcPr>
            <w:tcW w:w="1540" w:type="dxa"/>
            <w:tcBorders>
              <w:top w:val="single" w:sz="4" w:space="0" w:color="auto"/>
              <w:left w:val="nil"/>
              <w:bottom w:val="single" w:sz="4" w:space="0" w:color="auto"/>
              <w:right w:val="single" w:sz="4" w:space="0" w:color="auto"/>
            </w:tcBorders>
            <w:shd w:val="clear" w:color="000000" w:fill="DDEBF7"/>
            <w:vAlign w:val="center"/>
            <w:hideMark/>
          </w:tcPr>
          <w:p w14:paraId="3AFCE424" w14:textId="77777777" w:rsidR="006F282A" w:rsidRPr="006F282A" w:rsidRDefault="006F282A" w:rsidP="006F282A">
            <w:pPr>
              <w:jc w:val="center"/>
              <w:rPr>
                <w:rFonts w:ascii="Calibri" w:eastAsia="Times New Roman" w:hAnsi="Calibri" w:cs="Calibri"/>
                <w:b/>
                <w:bCs/>
                <w:color w:val="000000"/>
                <w:sz w:val="22"/>
              </w:rPr>
            </w:pPr>
            <w:r w:rsidRPr="006F282A">
              <w:rPr>
                <w:rFonts w:ascii="Calibri" w:eastAsia="Times New Roman" w:hAnsi="Calibri" w:cs="Calibri"/>
                <w:b/>
                <w:bCs/>
                <w:color w:val="000000"/>
                <w:sz w:val="22"/>
              </w:rPr>
              <w:t>Selection Method</w:t>
            </w:r>
          </w:p>
        </w:tc>
        <w:tc>
          <w:tcPr>
            <w:tcW w:w="2335" w:type="dxa"/>
            <w:tcBorders>
              <w:top w:val="single" w:sz="4" w:space="0" w:color="auto"/>
              <w:left w:val="nil"/>
              <w:bottom w:val="single" w:sz="4" w:space="0" w:color="auto"/>
              <w:right w:val="single" w:sz="4" w:space="0" w:color="auto"/>
            </w:tcBorders>
            <w:shd w:val="clear" w:color="000000" w:fill="DDEBF7"/>
            <w:vAlign w:val="center"/>
            <w:hideMark/>
          </w:tcPr>
          <w:p w14:paraId="12C91C23" w14:textId="77777777" w:rsidR="006F282A" w:rsidRPr="006F282A" w:rsidRDefault="006F282A" w:rsidP="006F282A">
            <w:pPr>
              <w:jc w:val="center"/>
              <w:rPr>
                <w:rFonts w:ascii="Calibri" w:eastAsia="Times New Roman" w:hAnsi="Calibri" w:cs="Calibri"/>
                <w:b/>
                <w:bCs/>
                <w:color w:val="000000"/>
                <w:sz w:val="22"/>
              </w:rPr>
            </w:pPr>
            <w:r w:rsidRPr="006F282A">
              <w:rPr>
                <w:rFonts w:ascii="Calibri" w:eastAsia="Times New Roman" w:hAnsi="Calibri" w:cs="Calibri"/>
                <w:b/>
                <w:bCs/>
                <w:color w:val="000000"/>
                <w:sz w:val="22"/>
              </w:rPr>
              <w:t>Type of Contract</w:t>
            </w:r>
          </w:p>
        </w:tc>
        <w:tc>
          <w:tcPr>
            <w:tcW w:w="1800" w:type="dxa"/>
            <w:tcBorders>
              <w:top w:val="single" w:sz="4" w:space="0" w:color="auto"/>
              <w:left w:val="nil"/>
              <w:bottom w:val="single" w:sz="4" w:space="0" w:color="auto"/>
              <w:right w:val="single" w:sz="4" w:space="0" w:color="auto"/>
            </w:tcBorders>
            <w:shd w:val="clear" w:color="000000" w:fill="DDEBF7"/>
            <w:vAlign w:val="center"/>
            <w:hideMark/>
          </w:tcPr>
          <w:p w14:paraId="48492323" w14:textId="77777777" w:rsidR="006F282A" w:rsidRPr="006F282A" w:rsidRDefault="006F282A" w:rsidP="006F282A">
            <w:pPr>
              <w:jc w:val="center"/>
              <w:rPr>
                <w:rFonts w:ascii="Calibri" w:eastAsia="Times New Roman" w:hAnsi="Calibri" w:cs="Calibri"/>
                <w:b/>
                <w:bCs/>
                <w:color w:val="000000"/>
                <w:sz w:val="22"/>
              </w:rPr>
            </w:pPr>
            <w:r w:rsidRPr="006F282A">
              <w:rPr>
                <w:rFonts w:ascii="Calibri" w:eastAsia="Times New Roman" w:hAnsi="Calibri" w:cs="Calibri"/>
                <w:b/>
                <w:bCs/>
                <w:color w:val="000000"/>
                <w:sz w:val="22"/>
              </w:rPr>
              <w:t>Estimated Cost (RON)</w:t>
            </w:r>
          </w:p>
        </w:tc>
      </w:tr>
      <w:tr w:rsidR="006F282A" w:rsidRPr="006F282A" w14:paraId="76DA2901" w14:textId="77777777" w:rsidTr="00ED4204">
        <w:trPr>
          <w:trHeight w:val="580"/>
        </w:trPr>
        <w:tc>
          <w:tcPr>
            <w:tcW w:w="3680" w:type="dxa"/>
            <w:tcBorders>
              <w:top w:val="nil"/>
              <w:left w:val="single" w:sz="4" w:space="0" w:color="auto"/>
              <w:bottom w:val="single" w:sz="4" w:space="0" w:color="auto"/>
              <w:right w:val="single" w:sz="4" w:space="0" w:color="auto"/>
            </w:tcBorders>
            <w:shd w:val="clear" w:color="auto" w:fill="auto"/>
            <w:vAlign w:val="bottom"/>
            <w:hideMark/>
          </w:tcPr>
          <w:p w14:paraId="7C3DBB20" w14:textId="77777777" w:rsidR="006F282A" w:rsidRPr="00ED4204" w:rsidRDefault="006F282A" w:rsidP="006F282A">
            <w:pPr>
              <w:rPr>
                <w:rFonts w:ascii="Calibri" w:eastAsia="Times New Roman" w:hAnsi="Calibri" w:cs="Calibri"/>
                <w:color w:val="000000"/>
                <w:sz w:val="20"/>
                <w:szCs w:val="20"/>
              </w:rPr>
            </w:pPr>
            <w:r w:rsidRPr="00ED4204">
              <w:rPr>
                <w:rFonts w:ascii="Calibri" w:eastAsia="Times New Roman" w:hAnsi="Calibri" w:cs="Calibri"/>
                <w:color w:val="000000"/>
                <w:sz w:val="20"/>
                <w:szCs w:val="20"/>
              </w:rPr>
              <w:t xml:space="preserve">Equipment and Devices </w:t>
            </w:r>
          </w:p>
        </w:tc>
        <w:tc>
          <w:tcPr>
            <w:tcW w:w="1540" w:type="dxa"/>
            <w:tcBorders>
              <w:top w:val="nil"/>
              <w:left w:val="nil"/>
              <w:bottom w:val="single" w:sz="4" w:space="0" w:color="auto"/>
              <w:right w:val="single" w:sz="4" w:space="0" w:color="auto"/>
            </w:tcBorders>
            <w:shd w:val="clear" w:color="auto" w:fill="auto"/>
            <w:vAlign w:val="bottom"/>
            <w:hideMark/>
          </w:tcPr>
          <w:p w14:paraId="6740C7F0" w14:textId="77777777" w:rsidR="006F282A" w:rsidRPr="00ED4204" w:rsidRDefault="006F282A" w:rsidP="006F282A">
            <w:pPr>
              <w:rPr>
                <w:rFonts w:ascii="Calibri" w:eastAsia="Times New Roman" w:hAnsi="Calibri" w:cs="Calibri"/>
                <w:color w:val="000000"/>
                <w:sz w:val="20"/>
                <w:szCs w:val="20"/>
              </w:rPr>
            </w:pPr>
            <w:r w:rsidRPr="00ED4204">
              <w:rPr>
                <w:rFonts w:ascii="Calibri" w:eastAsia="Times New Roman" w:hAnsi="Calibri" w:cs="Calibri"/>
                <w:color w:val="000000"/>
                <w:sz w:val="20"/>
                <w:szCs w:val="20"/>
              </w:rPr>
              <w:t>Open Tender</w:t>
            </w:r>
          </w:p>
        </w:tc>
        <w:tc>
          <w:tcPr>
            <w:tcW w:w="2335" w:type="dxa"/>
            <w:tcBorders>
              <w:top w:val="nil"/>
              <w:left w:val="nil"/>
              <w:bottom w:val="single" w:sz="4" w:space="0" w:color="auto"/>
              <w:right w:val="single" w:sz="4" w:space="0" w:color="auto"/>
            </w:tcBorders>
            <w:shd w:val="clear" w:color="auto" w:fill="auto"/>
            <w:vAlign w:val="bottom"/>
            <w:hideMark/>
          </w:tcPr>
          <w:p w14:paraId="3B433235" w14:textId="77777777" w:rsidR="006F282A" w:rsidRPr="00ED4204" w:rsidRDefault="006F282A" w:rsidP="006F282A">
            <w:pPr>
              <w:rPr>
                <w:rFonts w:ascii="Calibri" w:eastAsia="Times New Roman" w:hAnsi="Calibri" w:cs="Calibri"/>
                <w:color w:val="000000"/>
                <w:sz w:val="20"/>
                <w:szCs w:val="20"/>
              </w:rPr>
            </w:pPr>
            <w:r w:rsidRPr="00ED4204">
              <w:rPr>
                <w:rFonts w:ascii="Calibri" w:eastAsia="Times New Roman" w:hAnsi="Calibri" w:cs="Calibri"/>
                <w:color w:val="000000"/>
                <w:sz w:val="20"/>
                <w:szCs w:val="20"/>
              </w:rPr>
              <w:t>Public Procurement Contract</w:t>
            </w:r>
          </w:p>
        </w:tc>
        <w:tc>
          <w:tcPr>
            <w:tcW w:w="1800" w:type="dxa"/>
            <w:tcBorders>
              <w:top w:val="nil"/>
              <w:left w:val="nil"/>
              <w:bottom w:val="single" w:sz="4" w:space="0" w:color="auto"/>
              <w:right w:val="single" w:sz="4" w:space="0" w:color="auto"/>
            </w:tcBorders>
            <w:shd w:val="clear" w:color="auto" w:fill="auto"/>
            <w:vAlign w:val="bottom"/>
            <w:hideMark/>
          </w:tcPr>
          <w:p w14:paraId="1BE9E3F0" w14:textId="2E72620A" w:rsidR="006F282A" w:rsidRPr="00ED4204" w:rsidRDefault="006F282A" w:rsidP="00ED4204">
            <w:pPr>
              <w:jc w:val="right"/>
              <w:rPr>
                <w:rFonts w:ascii="Calibri" w:eastAsia="Times New Roman" w:hAnsi="Calibri" w:cs="Calibri"/>
                <w:color w:val="000000"/>
                <w:sz w:val="20"/>
                <w:szCs w:val="20"/>
              </w:rPr>
            </w:pPr>
            <w:r w:rsidRPr="00ED4204">
              <w:rPr>
                <w:rFonts w:ascii="Calibri" w:eastAsia="Times New Roman" w:hAnsi="Calibri" w:cs="Calibri"/>
                <w:color w:val="000000"/>
                <w:sz w:val="20"/>
                <w:szCs w:val="20"/>
              </w:rPr>
              <w:t>3.365.000,00</w:t>
            </w:r>
          </w:p>
        </w:tc>
      </w:tr>
      <w:tr w:rsidR="006F282A" w:rsidRPr="006F282A" w14:paraId="58B79438" w14:textId="77777777" w:rsidTr="00ED4204">
        <w:trPr>
          <w:trHeight w:val="580"/>
        </w:trPr>
        <w:tc>
          <w:tcPr>
            <w:tcW w:w="3680" w:type="dxa"/>
            <w:tcBorders>
              <w:top w:val="nil"/>
              <w:left w:val="single" w:sz="4" w:space="0" w:color="auto"/>
              <w:bottom w:val="single" w:sz="4" w:space="0" w:color="auto"/>
              <w:right w:val="single" w:sz="4" w:space="0" w:color="auto"/>
            </w:tcBorders>
            <w:shd w:val="clear" w:color="auto" w:fill="auto"/>
            <w:vAlign w:val="bottom"/>
            <w:hideMark/>
          </w:tcPr>
          <w:p w14:paraId="2A63FBC2" w14:textId="77777777" w:rsidR="006F282A" w:rsidRPr="00ED4204" w:rsidRDefault="006F282A" w:rsidP="006F282A">
            <w:pPr>
              <w:rPr>
                <w:rFonts w:ascii="Calibri" w:eastAsia="Times New Roman" w:hAnsi="Calibri" w:cs="Calibri"/>
                <w:color w:val="000000"/>
                <w:sz w:val="20"/>
                <w:szCs w:val="20"/>
              </w:rPr>
            </w:pPr>
            <w:r w:rsidRPr="00ED4204">
              <w:rPr>
                <w:rFonts w:ascii="Calibri" w:eastAsia="Times New Roman" w:hAnsi="Calibri" w:cs="Calibri"/>
                <w:color w:val="000000"/>
                <w:sz w:val="20"/>
                <w:szCs w:val="20"/>
              </w:rPr>
              <w:t>Centralized Procurement of Medicines under National Health Program</w:t>
            </w:r>
          </w:p>
        </w:tc>
        <w:tc>
          <w:tcPr>
            <w:tcW w:w="1540" w:type="dxa"/>
            <w:tcBorders>
              <w:top w:val="nil"/>
              <w:left w:val="nil"/>
              <w:bottom w:val="single" w:sz="4" w:space="0" w:color="auto"/>
              <w:right w:val="single" w:sz="4" w:space="0" w:color="auto"/>
            </w:tcBorders>
            <w:shd w:val="clear" w:color="auto" w:fill="auto"/>
            <w:vAlign w:val="bottom"/>
            <w:hideMark/>
          </w:tcPr>
          <w:p w14:paraId="58BE06A2" w14:textId="77777777" w:rsidR="006F282A" w:rsidRPr="00ED4204" w:rsidRDefault="006F282A" w:rsidP="006F282A">
            <w:pPr>
              <w:rPr>
                <w:rFonts w:ascii="Calibri" w:eastAsia="Times New Roman" w:hAnsi="Calibri" w:cs="Calibri"/>
                <w:color w:val="000000"/>
                <w:sz w:val="20"/>
                <w:szCs w:val="20"/>
              </w:rPr>
            </w:pPr>
            <w:r w:rsidRPr="00ED4204">
              <w:rPr>
                <w:rFonts w:ascii="Calibri" w:eastAsia="Times New Roman" w:hAnsi="Calibri" w:cs="Calibri"/>
                <w:color w:val="000000"/>
                <w:sz w:val="20"/>
                <w:szCs w:val="20"/>
              </w:rPr>
              <w:t>Open Tender</w:t>
            </w:r>
          </w:p>
        </w:tc>
        <w:tc>
          <w:tcPr>
            <w:tcW w:w="2335" w:type="dxa"/>
            <w:tcBorders>
              <w:top w:val="nil"/>
              <w:left w:val="nil"/>
              <w:bottom w:val="single" w:sz="4" w:space="0" w:color="auto"/>
              <w:right w:val="single" w:sz="4" w:space="0" w:color="auto"/>
            </w:tcBorders>
            <w:shd w:val="clear" w:color="auto" w:fill="auto"/>
            <w:vAlign w:val="bottom"/>
            <w:hideMark/>
          </w:tcPr>
          <w:p w14:paraId="0D1167CC" w14:textId="77777777" w:rsidR="006F282A" w:rsidRPr="00ED4204" w:rsidRDefault="006F282A" w:rsidP="006F282A">
            <w:pPr>
              <w:rPr>
                <w:rFonts w:ascii="Calibri" w:eastAsia="Times New Roman" w:hAnsi="Calibri" w:cs="Calibri"/>
                <w:color w:val="000000"/>
                <w:sz w:val="20"/>
                <w:szCs w:val="20"/>
              </w:rPr>
            </w:pPr>
            <w:r w:rsidRPr="00ED4204">
              <w:rPr>
                <w:rFonts w:ascii="Calibri" w:eastAsia="Times New Roman" w:hAnsi="Calibri" w:cs="Calibri"/>
                <w:color w:val="000000"/>
                <w:sz w:val="20"/>
                <w:szCs w:val="20"/>
              </w:rPr>
              <w:t>Framework Agreement</w:t>
            </w:r>
          </w:p>
        </w:tc>
        <w:tc>
          <w:tcPr>
            <w:tcW w:w="1800" w:type="dxa"/>
            <w:tcBorders>
              <w:top w:val="nil"/>
              <w:left w:val="nil"/>
              <w:bottom w:val="single" w:sz="4" w:space="0" w:color="auto"/>
              <w:right w:val="single" w:sz="4" w:space="0" w:color="auto"/>
            </w:tcBorders>
            <w:shd w:val="clear" w:color="auto" w:fill="auto"/>
            <w:vAlign w:val="bottom"/>
            <w:hideMark/>
          </w:tcPr>
          <w:p w14:paraId="6FC7A2A5" w14:textId="18A5DB47" w:rsidR="006F282A" w:rsidRPr="00ED4204" w:rsidRDefault="006F282A" w:rsidP="00ED4204">
            <w:pPr>
              <w:jc w:val="right"/>
              <w:rPr>
                <w:rFonts w:ascii="Calibri" w:eastAsia="Times New Roman" w:hAnsi="Calibri" w:cs="Calibri"/>
                <w:color w:val="000000"/>
                <w:sz w:val="20"/>
                <w:szCs w:val="20"/>
              </w:rPr>
            </w:pPr>
            <w:r w:rsidRPr="00ED4204">
              <w:rPr>
                <w:rFonts w:ascii="Calibri" w:eastAsia="Times New Roman" w:hAnsi="Calibri" w:cs="Calibri"/>
                <w:color w:val="000000"/>
                <w:sz w:val="20"/>
                <w:szCs w:val="20"/>
              </w:rPr>
              <w:t>136.131.785,81</w:t>
            </w:r>
          </w:p>
        </w:tc>
      </w:tr>
      <w:tr w:rsidR="006F282A" w:rsidRPr="006F282A" w14:paraId="2EA78A2B" w14:textId="77777777" w:rsidTr="00ED4204">
        <w:trPr>
          <w:trHeight w:val="580"/>
        </w:trPr>
        <w:tc>
          <w:tcPr>
            <w:tcW w:w="3680" w:type="dxa"/>
            <w:tcBorders>
              <w:top w:val="nil"/>
              <w:left w:val="single" w:sz="4" w:space="0" w:color="auto"/>
              <w:bottom w:val="single" w:sz="4" w:space="0" w:color="auto"/>
              <w:right w:val="single" w:sz="4" w:space="0" w:color="auto"/>
            </w:tcBorders>
            <w:shd w:val="clear" w:color="auto" w:fill="auto"/>
            <w:vAlign w:val="bottom"/>
            <w:hideMark/>
          </w:tcPr>
          <w:p w14:paraId="15BE00FD" w14:textId="77777777" w:rsidR="006F282A" w:rsidRPr="00ED4204" w:rsidRDefault="006F282A" w:rsidP="006F282A">
            <w:pPr>
              <w:rPr>
                <w:rFonts w:ascii="Calibri" w:eastAsia="Times New Roman" w:hAnsi="Calibri" w:cs="Calibri"/>
                <w:color w:val="000000"/>
                <w:sz w:val="20"/>
                <w:szCs w:val="20"/>
              </w:rPr>
            </w:pPr>
            <w:r w:rsidRPr="00ED4204">
              <w:rPr>
                <w:rFonts w:ascii="Calibri" w:eastAsia="Times New Roman" w:hAnsi="Calibri" w:cs="Calibri"/>
                <w:color w:val="000000"/>
                <w:sz w:val="20"/>
                <w:szCs w:val="20"/>
              </w:rPr>
              <w:t>Public Awareness Campaign</w:t>
            </w:r>
          </w:p>
        </w:tc>
        <w:tc>
          <w:tcPr>
            <w:tcW w:w="1540" w:type="dxa"/>
            <w:tcBorders>
              <w:top w:val="nil"/>
              <w:left w:val="nil"/>
              <w:bottom w:val="single" w:sz="4" w:space="0" w:color="auto"/>
              <w:right w:val="single" w:sz="4" w:space="0" w:color="auto"/>
            </w:tcBorders>
            <w:shd w:val="clear" w:color="auto" w:fill="auto"/>
            <w:vAlign w:val="bottom"/>
            <w:hideMark/>
          </w:tcPr>
          <w:p w14:paraId="353898D1" w14:textId="77777777" w:rsidR="006F282A" w:rsidRPr="00ED4204" w:rsidRDefault="006F282A" w:rsidP="006F282A">
            <w:pPr>
              <w:rPr>
                <w:rFonts w:ascii="Calibri" w:eastAsia="Times New Roman" w:hAnsi="Calibri" w:cs="Calibri"/>
                <w:color w:val="000000"/>
                <w:sz w:val="20"/>
                <w:szCs w:val="20"/>
              </w:rPr>
            </w:pPr>
            <w:r w:rsidRPr="00ED4204">
              <w:rPr>
                <w:rFonts w:ascii="Calibri" w:eastAsia="Times New Roman" w:hAnsi="Calibri" w:cs="Calibri"/>
                <w:color w:val="000000"/>
                <w:sz w:val="20"/>
                <w:szCs w:val="20"/>
              </w:rPr>
              <w:t>Simplified Procedures</w:t>
            </w:r>
          </w:p>
        </w:tc>
        <w:tc>
          <w:tcPr>
            <w:tcW w:w="2335" w:type="dxa"/>
            <w:tcBorders>
              <w:top w:val="nil"/>
              <w:left w:val="nil"/>
              <w:bottom w:val="single" w:sz="4" w:space="0" w:color="auto"/>
              <w:right w:val="single" w:sz="4" w:space="0" w:color="auto"/>
            </w:tcBorders>
            <w:shd w:val="clear" w:color="auto" w:fill="auto"/>
            <w:vAlign w:val="bottom"/>
            <w:hideMark/>
          </w:tcPr>
          <w:p w14:paraId="574B5886" w14:textId="77777777" w:rsidR="006F282A" w:rsidRPr="00ED4204" w:rsidRDefault="006F282A" w:rsidP="006F282A">
            <w:pPr>
              <w:rPr>
                <w:rFonts w:ascii="Calibri" w:eastAsia="Times New Roman" w:hAnsi="Calibri" w:cs="Calibri"/>
                <w:color w:val="000000"/>
                <w:sz w:val="20"/>
                <w:szCs w:val="20"/>
              </w:rPr>
            </w:pPr>
            <w:r w:rsidRPr="00ED4204">
              <w:rPr>
                <w:rFonts w:ascii="Calibri" w:eastAsia="Times New Roman" w:hAnsi="Calibri" w:cs="Calibri"/>
                <w:color w:val="000000"/>
                <w:sz w:val="20"/>
                <w:szCs w:val="20"/>
              </w:rPr>
              <w:t>Framework Agreement</w:t>
            </w:r>
          </w:p>
        </w:tc>
        <w:tc>
          <w:tcPr>
            <w:tcW w:w="1800" w:type="dxa"/>
            <w:tcBorders>
              <w:top w:val="nil"/>
              <w:left w:val="nil"/>
              <w:bottom w:val="single" w:sz="4" w:space="0" w:color="auto"/>
              <w:right w:val="single" w:sz="4" w:space="0" w:color="auto"/>
            </w:tcBorders>
            <w:shd w:val="clear" w:color="auto" w:fill="auto"/>
            <w:vAlign w:val="bottom"/>
            <w:hideMark/>
          </w:tcPr>
          <w:p w14:paraId="008FFB47" w14:textId="1E6BD3D3" w:rsidR="006F282A" w:rsidRPr="00ED4204" w:rsidRDefault="006F282A" w:rsidP="00ED4204">
            <w:pPr>
              <w:jc w:val="right"/>
              <w:rPr>
                <w:rFonts w:ascii="Calibri" w:eastAsia="Times New Roman" w:hAnsi="Calibri" w:cs="Calibri"/>
                <w:color w:val="000000"/>
                <w:sz w:val="20"/>
                <w:szCs w:val="20"/>
              </w:rPr>
            </w:pPr>
            <w:r w:rsidRPr="00ED4204">
              <w:rPr>
                <w:rFonts w:ascii="Calibri" w:eastAsia="Times New Roman" w:hAnsi="Calibri" w:cs="Calibri"/>
                <w:color w:val="000000"/>
                <w:sz w:val="20"/>
                <w:szCs w:val="20"/>
              </w:rPr>
              <w:t>2.614.525,00</w:t>
            </w:r>
          </w:p>
        </w:tc>
      </w:tr>
      <w:tr w:rsidR="006F282A" w:rsidRPr="006F282A" w14:paraId="71653BFA" w14:textId="77777777" w:rsidTr="00ED4204">
        <w:trPr>
          <w:trHeight w:val="290"/>
        </w:trPr>
        <w:tc>
          <w:tcPr>
            <w:tcW w:w="3680" w:type="dxa"/>
            <w:tcBorders>
              <w:top w:val="nil"/>
              <w:left w:val="single" w:sz="4" w:space="0" w:color="auto"/>
              <w:bottom w:val="single" w:sz="4" w:space="0" w:color="auto"/>
              <w:right w:val="single" w:sz="4" w:space="0" w:color="auto"/>
            </w:tcBorders>
            <w:shd w:val="clear" w:color="auto" w:fill="auto"/>
            <w:vAlign w:val="bottom"/>
            <w:hideMark/>
          </w:tcPr>
          <w:p w14:paraId="6C6C5003" w14:textId="77777777" w:rsidR="006F282A" w:rsidRPr="00ED4204" w:rsidRDefault="006F282A" w:rsidP="006F282A">
            <w:pPr>
              <w:rPr>
                <w:rFonts w:ascii="Calibri" w:eastAsia="Times New Roman" w:hAnsi="Calibri" w:cs="Calibri"/>
                <w:color w:val="000000"/>
                <w:sz w:val="20"/>
                <w:szCs w:val="20"/>
              </w:rPr>
            </w:pPr>
            <w:r w:rsidRPr="00ED4204">
              <w:rPr>
                <w:rFonts w:ascii="Calibri" w:eastAsia="Times New Roman" w:hAnsi="Calibri" w:cs="Calibri"/>
                <w:color w:val="000000"/>
                <w:sz w:val="20"/>
                <w:szCs w:val="20"/>
              </w:rPr>
              <w:t>Centralized Procurement of Vaccines</w:t>
            </w:r>
          </w:p>
        </w:tc>
        <w:tc>
          <w:tcPr>
            <w:tcW w:w="1540" w:type="dxa"/>
            <w:tcBorders>
              <w:top w:val="nil"/>
              <w:left w:val="nil"/>
              <w:bottom w:val="single" w:sz="4" w:space="0" w:color="auto"/>
              <w:right w:val="single" w:sz="4" w:space="0" w:color="auto"/>
            </w:tcBorders>
            <w:shd w:val="clear" w:color="auto" w:fill="auto"/>
            <w:vAlign w:val="bottom"/>
            <w:hideMark/>
          </w:tcPr>
          <w:p w14:paraId="124677DE" w14:textId="77777777" w:rsidR="006F282A" w:rsidRPr="00ED4204" w:rsidRDefault="006F282A" w:rsidP="006F282A">
            <w:pPr>
              <w:rPr>
                <w:rFonts w:ascii="Calibri" w:eastAsia="Times New Roman" w:hAnsi="Calibri" w:cs="Calibri"/>
                <w:color w:val="000000"/>
                <w:sz w:val="20"/>
                <w:szCs w:val="20"/>
              </w:rPr>
            </w:pPr>
            <w:r w:rsidRPr="00ED4204">
              <w:rPr>
                <w:rFonts w:ascii="Calibri" w:eastAsia="Times New Roman" w:hAnsi="Calibri" w:cs="Calibri"/>
                <w:color w:val="000000"/>
                <w:sz w:val="20"/>
                <w:szCs w:val="20"/>
              </w:rPr>
              <w:t>Open Tender</w:t>
            </w:r>
          </w:p>
        </w:tc>
        <w:tc>
          <w:tcPr>
            <w:tcW w:w="2335" w:type="dxa"/>
            <w:tcBorders>
              <w:top w:val="nil"/>
              <w:left w:val="nil"/>
              <w:bottom w:val="single" w:sz="4" w:space="0" w:color="auto"/>
              <w:right w:val="single" w:sz="4" w:space="0" w:color="auto"/>
            </w:tcBorders>
            <w:shd w:val="clear" w:color="auto" w:fill="auto"/>
            <w:vAlign w:val="bottom"/>
            <w:hideMark/>
          </w:tcPr>
          <w:p w14:paraId="347149C1" w14:textId="77777777" w:rsidR="006F282A" w:rsidRPr="00ED4204" w:rsidRDefault="006F282A" w:rsidP="006F282A">
            <w:pPr>
              <w:rPr>
                <w:rFonts w:ascii="Calibri" w:eastAsia="Times New Roman" w:hAnsi="Calibri" w:cs="Calibri"/>
                <w:color w:val="000000"/>
                <w:sz w:val="20"/>
                <w:szCs w:val="20"/>
              </w:rPr>
            </w:pPr>
            <w:r w:rsidRPr="00ED4204">
              <w:rPr>
                <w:rFonts w:ascii="Calibri" w:eastAsia="Times New Roman" w:hAnsi="Calibri" w:cs="Calibri"/>
                <w:color w:val="000000"/>
                <w:sz w:val="20"/>
                <w:szCs w:val="20"/>
              </w:rPr>
              <w:t>Framework Agreement</w:t>
            </w:r>
          </w:p>
        </w:tc>
        <w:tc>
          <w:tcPr>
            <w:tcW w:w="1800" w:type="dxa"/>
            <w:tcBorders>
              <w:top w:val="nil"/>
              <w:left w:val="nil"/>
              <w:bottom w:val="single" w:sz="4" w:space="0" w:color="auto"/>
              <w:right w:val="single" w:sz="4" w:space="0" w:color="auto"/>
            </w:tcBorders>
            <w:shd w:val="clear" w:color="auto" w:fill="auto"/>
            <w:vAlign w:val="bottom"/>
            <w:hideMark/>
          </w:tcPr>
          <w:p w14:paraId="79273D3D" w14:textId="78B039B1" w:rsidR="006F282A" w:rsidRPr="00ED4204" w:rsidRDefault="006F282A" w:rsidP="00ED4204">
            <w:pPr>
              <w:jc w:val="right"/>
              <w:rPr>
                <w:rFonts w:ascii="Calibri" w:eastAsia="Times New Roman" w:hAnsi="Calibri" w:cs="Calibri"/>
                <w:color w:val="000000"/>
                <w:sz w:val="20"/>
                <w:szCs w:val="20"/>
              </w:rPr>
            </w:pPr>
            <w:r w:rsidRPr="00ED4204">
              <w:rPr>
                <w:rFonts w:ascii="Calibri" w:eastAsia="Times New Roman" w:hAnsi="Calibri" w:cs="Calibri"/>
                <w:color w:val="000000"/>
                <w:sz w:val="20"/>
                <w:szCs w:val="20"/>
              </w:rPr>
              <w:t>105.780.000,00</w:t>
            </w:r>
          </w:p>
        </w:tc>
      </w:tr>
      <w:tr w:rsidR="006F282A" w:rsidRPr="006F282A" w14:paraId="5C6B6561" w14:textId="77777777" w:rsidTr="00ED4204">
        <w:trPr>
          <w:trHeight w:val="580"/>
        </w:trPr>
        <w:tc>
          <w:tcPr>
            <w:tcW w:w="3680" w:type="dxa"/>
            <w:tcBorders>
              <w:top w:val="nil"/>
              <w:left w:val="single" w:sz="4" w:space="0" w:color="auto"/>
              <w:bottom w:val="single" w:sz="4" w:space="0" w:color="auto"/>
              <w:right w:val="single" w:sz="4" w:space="0" w:color="auto"/>
            </w:tcBorders>
            <w:shd w:val="clear" w:color="auto" w:fill="auto"/>
            <w:vAlign w:val="bottom"/>
            <w:hideMark/>
          </w:tcPr>
          <w:p w14:paraId="53BAD889" w14:textId="77777777" w:rsidR="006F282A" w:rsidRPr="00ED4204" w:rsidRDefault="006F282A" w:rsidP="006F282A">
            <w:pPr>
              <w:rPr>
                <w:rFonts w:ascii="Calibri" w:eastAsia="Times New Roman" w:hAnsi="Calibri" w:cs="Calibri"/>
                <w:color w:val="000000"/>
                <w:sz w:val="20"/>
                <w:szCs w:val="20"/>
              </w:rPr>
            </w:pPr>
            <w:r w:rsidRPr="00ED4204">
              <w:rPr>
                <w:rFonts w:ascii="Calibri" w:eastAsia="Times New Roman" w:hAnsi="Calibri" w:cs="Calibri"/>
                <w:color w:val="000000"/>
                <w:sz w:val="20"/>
                <w:szCs w:val="20"/>
              </w:rPr>
              <w:t>Centralized Procurement of Medical Incubators</w:t>
            </w:r>
          </w:p>
        </w:tc>
        <w:tc>
          <w:tcPr>
            <w:tcW w:w="1540" w:type="dxa"/>
            <w:tcBorders>
              <w:top w:val="nil"/>
              <w:left w:val="nil"/>
              <w:bottom w:val="single" w:sz="4" w:space="0" w:color="auto"/>
              <w:right w:val="single" w:sz="4" w:space="0" w:color="auto"/>
            </w:tcBorders>
            <w:shd w:val="clear" w:color="auto" w:fill="auto"/>
            <w:vAlign w:val="bottom"/>
            <w:hideMark/>
          </w:tcPr>
          <w:p w14:paraId="4211DD35" w14:textId="77777777" w:rsidR="006F282A" w:rsidRPr="00ED4204" w:rsidRDefault="006F282A" w:rsidP="006F282A">
            <w:pPr>
              <w:rPr>
                <w:rFonts w:ascii="Calibri" w:eastAsia="Times New Roman" w:hAnsi="Calibri" w:cs="Calibri"/>
                <w:color w:val="000000"/>
                <w:sz w:val="20"/>
                <w:szCs w:val="20"/>
              </w:rPr>
            </w:pPr>
            <w:r w:rsidRPr="00ED4204">
              <w:rPr>
                <w:rFonts w:ascii="Calibri" w:eastAsia="Times New Roman" w:hAnsi="Calibri" w:cs="Calibri"/>
                <w:color w:val="000000"/>
                <w:sz w:val="20"/>
                <w:szCs w:val="20"/>
              </w:rPr>
              <w:t>Open Tender</w:t>
            </w:r>
          </w:p>
        </w:tc>
        <w:tc>
          <w:tcPr>
            <w:tcW w:w="2335" w:type="dxa"/>
            <w:tcBorders>
              <w:top w:val="nil"/>
              <w:left w:val="nil"/>
              <w:bottom w:val="single" w:sz="4" w:space="0" w:color="auto"/>
              <w:right w:val="single" w:sz="4" w:space="0" w:color="auto"/>
            </w:tcBorders>
            <w:shd w:val="clear" w:color="auto" w:fill="auto"/>
            <w:vAlign w:val="bottom"/>
            <w:hideMark/>
          </w:tcPr>
          <w:p w14:paraId="42600123" w14:textId="77777777" w:rsidR="006F282A" w:rsidRPr="00ED4204" w:rsidRDefault="006F282A" w:rsidP="006F282A">
            <w:pPr>
              <w:rPr>
                <w:rFonts w:ascii="Calibri" w:eastAsia="Times New Roman" w:hAnsi="Calibri" w:cs="Calibri"/>
                <w:color w:val="000000"/>
                <w:sz w:val="20"/>
                <w:szCs w:val="20"/>
              </w:rPr>
            </w:pPr>
            <w:r w:rsidRPr="00ED4204">
              <w:rPr>
                <w:rFonts w:ascii="Calibri" w:eastAsia="Times New Roman" w:hAnsi="Calibri" w:cs="Calibri"/>
                <w:color w:val="000000"/>
                <w:sz w:val="20"/>
                <w:szCs w:val="20"/>
              </w:rPr>
              <w:t>Framework Agreement</w:t>
            </w:r>
          </w:p>
        </w:tc>
        <w:tc>
          <w:tcPr>
            <w:tcW w:w="1800" w:type="dxa"/>
            <w:tcBorders>
              <w:top w:val="nil"/>
              <w:left w:val="nil"/>
              <w:bottom w:val="single" w:sz="4" w:space="0" w:color="auto"/>
              <w:right w:val="single" w:sz="4" w:space="0" w:color="auto"/>
            </w:tcBorders>
            <w:shd w:val="clear" w:color="auto" w:fill="auto"/>
            <w:vAlign w:val="bottom"/>
            <w:hideMark/>
          </w:tcPr>
          <w:p w14:paraId="78186F1B" w14:textId="38F15FB3" w:rsidR="006F282A" w:rsidRPr="00ED4204" w:rsidRDefault="006F282A" w:rsidP="00ED4204">
            <w:pPr>
              <w:jc w:val="right"/>
              <w:rPr>
                <w:rFonts w:ascii="Calibri" w:eastAsia="Times New Roman" w:hAnsi="Calibri" w:cs="Calibri"/>
                <w:color w:val="000000"/>
                <w:sz w:val="20"/>
                <w:szCs w:val="20"/>
              </w:rPr>
            </w:pPr>
            <w:r w:rsidRPr="00ED4204">
              <w:rPr>
                <w:rFonts w:ascii="Calibri" w:eastAsia="Times New Roman" w:hAnsi="Calibri" w:cs="Calibri"/>
                <w:color w:val="000000"/>
                <w:sz w:val="20"/>
                <w:szCs w:val="20"/>
              </w:rPr>
              <w:t>128.754.036,67</w:t>
            </w:r>
          </w:p>
        </w:tc>
      </w:tr>
      <w:tr w:rsidR="006F282A" w:rsidRPr="006F282A" w14:paraId="278755D5" w14:textId="77777777" w:rsidTr="00ED4204">
        <w:trPr>
          <w:trHeight w:val="580"/>
        </w:trPr>
        <w:tc>
          <w:tcPr>
            <w:tcW w:w="3680" w:type="dxa"/>
            <w:tcBorders>
              <w:top w:val="nil"/>
              <w:left w:val="single" w:sz="4" w:space="0" w:color="auto"/>
              <w:bottom w:val="single" w:sz="4" w:space="0" w:color="auto"/>
              <w:right w:val="single" w:sz="4" w:space="0" w:color="auto"/>
            </w:tcBorders>
            <w:shd w:val="clear" w:color="auto" w:fill="auto"/>
            <w:vAlign w:val="bottom"/>
            <w:hideMark/>
          </w:tcPr>
          <w:p w14:paraId="1F1D1CC5" w14:textId="77777777" w:rsidR="006F282A" w:rsidRPr="00ED4204" w:rsidRDefault="006F282A" w:rsidP="006F282A">
            <w:pPr>
              <w:rPr>
                <w:rFonts w:ascii="Calibri" w:eastAsia="Times New Roman" w:hAnsi="Calibri" w:cs="Calibri"/>
                <w:color w:val="000000"/>
                <w:sz w:val="20"/>
                <w:szCs w:val="20"/>
              </w:rPr>
            </w:pPr>
            <w:r w:rsidRPr="00ED4204">
              <w:rPr>
                <w:rFonts w:ascii="Calibri" w:eastAsia="Times New Roman" w:hAnsi="Calibri" w:cs="Calibri"/>
                <w:color w:val="000000"/>
                <w:sz w:val="20"/>
                <w:szCs w:val="20"/>
              </w:rPr>
              <w:t>Centralized Procurement of Medicines under National Health Program</w:t>
            </w:r>
          </w:p>
        </w:tc>
        <w:tc>
          <w:tcPr>
            <w:tcW w:w="1540" w:type="dxa"/>
            <w:tcBorders>
              <w:top w:val="nil"/>
              <w:left w:val="nil"/>
              <w:bottom w:val="single" w:sz="4" w:space="0" w:color="auto"/>
              <w:right w:val="single" w:sz="4" w:space="0" w:color="auto"/>
            </w:tcBorders>
            <w:shd w:val="clear" w:color="auto" w:fill="auto"/>
            <w:vAlign w:val="bottom"/>
            <w:hideMark/>
          </w:tcPr>
          <w:p w14:paraId="3AE585F0" w14:textId="77777777" w:rsidR="006F282A" w:rsidRPr="00ED4204" w:rsidRDefault="006F282A" w:rsidP="006F282A">
            <w:pPr>
              <w:rPr>
                <w:rFonts w:ascii="Calibri" w:eastAsia="Times New Roman" w:hAnsi="Calibri" w:cs="Calibri"/>
                <w:color w:val="000000"/>
                <w:sz w:val="20"/>
                <w:szCs w:val="20"/>
              </w:rPr>
            </w:pPr>
            <w:r w:rsidRPr="00ED4204">
              <w:rPr>
                <w:rFonts w:ascii="Calibri" w:eastAsia="Times New Roman" w:hAnsi="Calibri" w:cs="Calibri"/>
                <w:color w:val="000000"/>
                <w:sz w:val="20"/>
                <w:szCs w:val="20"/>
              </w:rPr>
              <w:t>Open Tender</w:t>
            </w:r>
          </w:p>
        </w:tc>
        <w:tc>
          <w:tcPr>
            <w:tcW w:w="2335" w:type="dxa"/>
            <w:tcBorders>
              <w:top w:val="nil"/>
              <w:left w:val="nil"/>
              <w:bottom w:val="single" w:sz="4" w:space="0" w:color="auto"/>
              <w:right w:val="single" w:sz="4" w:space="0" w:color="auto"/>
            </w:tcBorders>
            <w:shd w:val="clear" w:color="auto" w:fill="auto"/>
            <w:vAlign w:val="bottom"/>
            <w:hideMark/>
          </w:tcPr>
          <w:p w14:paraId="12500FE6" w14:textId="77777777" w:rsidR="006F282A" w:rsidRPr="00ED4204" w:rsidRDefault="006F282A" w:rsidP="006F282A">
            <w:pPr>
              <w:rPr>
                <w:rFonts w:ascii="Calibri" w:eastAsia="Times New Roman" w:hAnsi="Calibri" w:cs="Calibri"/>
                <w:color w:val="000000"/>
                <w:sz w:val="20"/>
                <w:szCs w:val="20"/>
              </w:rPr>
            </w:pPr>
            <w:r w:rsidRPr="00ED4204">
              <w:rPr>
                <w:rFonts w:ascii="Calibri" w:eastAsia="Times New Roman" w:hAnsi="Calibri" w:cs="Calibri"/>
                <w:color w:val="000000"/>
                <w:sz w:val="20"/>
                <w:szCs w:val="20"/>
              </w:rPr>
              <w:t>Framework Agreement</w:t>
            </w:r>
          </w:p>
        </w:tc>
        <w:tc>
          <w:tcPr>
            <w:tcW w:w="1800" w:type="dxa"/>
            <w:tcBorders>
              <w:top w:val="nil"/>
              <w:left w:val="nil"/>
              <w:bottom w:val="single" w:sz="4" w:space="0" w:color="auto"/>
              <w:right w:val="single" w:sz="4" w:space="0" w:color="auto"/>
            </w:tcBorders>
            <w:shd w:val="clear" w:color="auto" w:fill="auto"/>
            <w:vAlign w:val="bottom"/>
            <w:hideMark/>
          </w:tcPr>
          <w:p w14:paraId="247E9784" w14:textId="232E2732" w:rsidR="006F282A" w:rsidRPr="00ED4204" w:rsidRDefault="006F282A" w:rsidP="00ED4204">
            <w:pPr>
              <w:jc w:val="right"/>
              <w:rPr>
                <w:rFonts w:ascii="Calibri" w:eastAsia="Times New Roman" w:hAnsi="Calibri" w:cs="Calibri"/>
                <w:color w:val="000000"/>
                <w:sz w:val="20"/>
                <w:szCs w:val="20"/>
              </w:rPr>
            </w:pPr>
            <w:r w:rsidRPr="00ED4204">
              <w:rPr>
                <w:rFonts w:ascii="Calibri" w:eastAsia="Times New Roman" w:hAnsi="Calibri" w:cs="Calibri"/>
                <w:color w:val="000000"/>
                <w:sz w:val="20"/>
                <w:szCs w:val="20"/>
              </w:rPr>
              <w:t>74.801.019,81</w:t>
            </w:r>
          </w:p>
        </w:tc>
      </w:tr>
      <w:tr w:rsidR="006F282A" w:rsidRPr="006F282A" w14:paraId="42B1A997" w14:textId="77777777" w:rsidTr="00ED4204">
        <w:trPr>
          <w:trHeight w:val="290"/>
        </w:trPr>
        <w:tc>
          <w:tcPr>
            <w:tcW w:w="3680" w:type="dxa"/>
            <w:tcBorders>
              <w:top w:val="nil"/>
              <w:left w:val="single" w:sz="4" w:space="0" w:color="auto"/>
              <w:bottom w:val="single" w:sz="4" w:space="0" w:color="auto"/>
              <w:right w:val="single" w:sz="4" w:space="0" w:color="auto"/>
            </w:tcBorders>
            <w:shd w:val="clear" w:color="auto" w:fill="auto"/>
            <w:vAlign w:val="bottom"/>
            <w:hideMark/>
          </w:tcPr>
          <w:p w14:paraId="0DF48CAC" w14:textId="77777777" w:rsidR="006F282A" w:rsidRPr="00ED4204" w:rsidRDefault="006F282A" w:rsidP="006F282A">
            <w:pPr>
              <w:rPr>
                <w:rFonts w:ascii="Calibri" w:eastAsia="Times New Roman" w:hAnsi="Calibri" w:cs="Calibri"/>
                <w:color w:val="000000"/>
                <w:sz w:val="20"/>
                <w:szCs w:val="20"/>
              </w:rPr>
            </w:pPr>
            <w:r w:rsidRPr="00ED4204">
              <w:rPr>
                <w:rFonts w:ascii="Calibri" w:eastAsia="Times New Roman" w:hAnsi="Calibri" w:cs="Calibri"/>
                <w:color w:val="000000"/>
                <w:sz w:val="20"/>
                <w:szCs w:val="20"/>
              </w:rPr>
              <w:t>Centralized Procurement of Vaccines</w:t>
            </w:r>
          </w:p>
        </w:tc>
        <w:tc>
          <w:tcPr>
            <w:tcW w:w="1540" w:type="dxa"/>
            <w:tcBorders>
              <w:top w:val="nil"/>
              <w:left w:val="nil"/>
              <w:bottom w:val="single" w:sz="4" w:space="0" w:color="auto"/>
              <w:right w:val="single" w:sz="4" w:space="0" w:color="auto"/>
            </w:tcBorders>
            <w:shd w:val="clear" w:color="auto" w:fill="auto"/>
            <w:vAlign w:val="bottom"/>
            <w:hideMark/>
          </w:tcPr>
          <w:p w14:paraId="79C5501D" w14:textId="77777777" w:rsidR="006F282A" w:rsidRPr="00ED4204" w:rsidRDefault="006F282A" w:rsidP="006F282A">
            <w:pPr>
              <w:rPr>
                <w:rFonts w:ascii="Calibri" w:eastAsia="Times New Roman" w:hAnsi="Calibri" w:cs="Calibri"/>
                <w:color w:val="000000"/>
                <w:sz w:val="20"/>
                <w:szCs w:val="20"/>
              </w:rPr>
            </w:pPr>
            <w:r w:rsidRPr="00ED4204">
              <w:rPr>
                <w:rFonts w:ascii="Calibri" w:eastAsia="Times New Roman" w:hAnsi="Calibri" w:cs="Calibri"/>
                <w:color w:val="000000"/>
                <w:sz w:val="20"/>
                <w:szCs w:val="20"/>
              </w:rPr>
              <w:t>Open Tender</w:t>
            </w:r>
          </w:p>
        </w:tc>
        <w:tc>
          <w:tcPr>
            <w:tcW w:w="2335" w:type="dxa"/>
            <w:tcBorders>
              <w:top w:val="nil"/>
              <w:left w:val="nil"/>
              <w:bottom w:val="single" w:sz="4" w:space="0" w:color="auto"/>
              <w:right w:val="single" w:sz="4" w:space="0" w:color="auto"/>
            </w:tcBorders>
            <w:shd w:val="clear" w:color="auto" w:fill="auto"/>
            <w:vAlign w:val="bottom"/>
            <w:hideMark/>
          </w:tcPr>
          <w:p w14:paraId="219F5A21" w14:textId="77777777" w:rsidR="006F282A" w:rsidRPr="00ED4204" w:rsidRDefault="006F282A" w:rsidP="006F282A">
            <w:pPr>
              <w:rPr>
                <w:rFonts w:ascii="Calibri" w:eastAsia="Times New Roman" w:hAnsi="Calibri" w:cs="Calibri"/>
                <w:color w:val="000000"/>
                <w:sz w:val="20"/>
                <w:szCs w:val="20"/>
              </w:rPr>
            </w:pPr>
            <w:r w:rsidRPr="00ED4204">
              <w:rPr>
                <w:rFonts w:ascii="Calibri" w:eastAsia="Times New Roman" w:hAnsi="Calibri" w:cs="Calibri"/>
                <w:color w:val="000000"/>
                <w:sz w:val="20"/>
                <w:szCs w:val="20"/>
              </w:rPr>
              <w:t>Framework Agreement</w:t>
            </w:r>
          </w:p>
        </w:tc>
        <w:tc>
          <w:tcPr>
            <w:tcW w:w="1800" w:type="dxa"/>
            <w:tcBorders>
              <w:top w:val="nil"/>
              <w:left w:val="nil"/>
              <w:bottom w:val="single" w:sz="4" w:space="0" w:color="auto"/>
              <w:right w:val="single" w:sz="4" w:space="0" w:color="auto"/>
            </w:tcBorders>
            <w:shd w:val="clear" w:color="auto" w:fill="auto"/>
            <w:vAlign w:val="bottom"/>
            <w:hideMark/>
          </w:tcPr>
          <w:p w14:paraId="7951658C" w14:textId="40663C19" w:rsidR="006F282A" w:rsidRPr="00ED4204" w:rsidRDefault="006F282A" w:rsidP="00ED4204">
            <w:pPr>
              <w:jc w:val="right"/>
              <w:rPr>
                <w:rFonts w:ascii="Calibri" w:eastAsia="Times New Roman" w:hAnsi="Calibri" w:cs="Calibri"/>
                <w:color w:val="000000"/>
                <w:sz w:val="20"/>
                <w:szCs w:val="20"/>
              </w:rPr>
            </w:pPr>
            <w:r w:rsidRPr="00ED4204">
              <w:rPr>
                <w:rFonts w:ascii="Calibri" w:eastAsia="Times New Roman" w:hAnsi="Calibri" w:cs="Calibri"/>
                <w:color w:val="000000"/>
                <w:sz w:val="20"/>
                <w:szCs w:val="20"/>
              </w:rPr>
              <w:t>62.350.000,00</w:t>
            </w:r>
          </w:p>
        </w:tc>
      </w:tr>
      <w:tr w:rsidR="006F282A" w:rsidRPr="006F282A" w14:paraId="51270EA4" w14:textId="77777777" w:rsidTr="00ED4204">
        <w:trPr>
          <w:trHeight w:val="580"/>
        </w:trPr>
        <w:tc>
          <w:tcPr>
            <w:tcW w:w="3680" w:type="dxa"/>
            <w:tcBorders>
              <w:top w:val="nil"/>
              <w:left w:val="single" w:sz="4" w:space="0" w:color="auto"/>
              <w:bottom w:val="single" w:sz="4" w:space="0" w:color="auto"/>
              <w:right w:val="single" w:sz="4" w:space="0" w:color="auto"/>
            </w:tcBorders>
            <w:shd w:val="clear" w:color="auto" w:fill="auto"/>
            <w:vAlign w:val="bottom"/>
            <w:hideMark/>
          </w:tcPr>
          <w:p w14:paraId="34C3D7E7" w14:textId="77777777" w:rsidR="006F282A" w:rsidRPr="00ED4204" w:rsidRDefault="006F282A" w:rsidP="006F282A">
            <w:pPr>
              <w:rPr>
                <w:rFonts w:ascii="Calibri" w:eastAsia="Times New Roman" w:hAnsi="Calibri" w:cs="Calibri"/>
                <w:color w:val="000000"/>
                <w:sz w:val="20"/>
                <w:szCs w:val="20"/>
              </w:rPr>
            </w:pPr>
            <w:r w:rsidRPr="00ED4204">
              <w:rPr>
                <w:rFonts w:ascii="Calibri" w:eastAsia="Times New Roman" w:hAnsi="Calibri" w:cs="Calibri"/>
                <w:color w:val="000000"/>
                <w:sz w:val="20"/>
                <w:szCs w:val="20"/>
              </w:rPr>
              <w:t xml:space="preserve">Centralized Procurement of Equipment, Medical Devices </w:t>
            </w:r>
          </w:p>
        </w:tc>
        <w:tc>
          <w:tcPr>
            <w:tcW w:w="1540" w:type="dxa"/>
            <w:tcBorders>
              <w:top w:val="nil"/>
              <w:left w:val="nil"/>
              <w:bottom w:val="single" w:sz="4" w:space="0" w:color="auto"/>
              <w:right w:val="single" w:sz="4" w:space="0" w:color="auto"/>
            </w:tcBorders>
            <w:shd w:val="clear" w:color="auto" w:fill="auto"/>
            <w:vAlign w:val="bottom"/>
            <w:hideMark/>
          </w:tcPr>
          <w:p w14:paraId="583E8EC9" w14:textId="77777777" w:rsidR="006F282A" w:rsidRPr="00ED4204" w:rsidRDefault="006F282A" w:rsidP="006F282A">
            <w:pPr>
              <w:rPr>
                <w:rFonts w:ascii="Calibri" w:eastAsia="Times New Roman" w:hAnsi="Calibri" w:cs="Calibri"/>
                <w:color w:val="000000"/>
                <w:sz w:val="20"/>
                <w:szCs w:val="20"/>
              </w:rPr>
            </w:pPr>
            <w:r w:rsidRPr="00ED4204">
              <w:rPr>
                <w:rFonts w:ascii="Calibri" w:eastAsia="Times New Roman" w:hAnsi="Calibri" w:cs="Calibri"/>
                <w:color w:val="000000"/>
                <w:sz w:val="20"/>
                <w:szCs w:val="20"/>
              </w:rPr>
              <w:t>Open Tender</w:t>
            </w:r>
          </w:p>
        </w:tc>
        <w:tc>
          <w:tcPr>
            <w:tcW w:w="2335" w:type="dxa"/>
            <w:tcBorders>
              <w:top w:val="nil"/>
              <w:left w:val="nil"/>
              <w:bottom w:val="single" w:sz="4" w:space="0" w:color="auto"/>
              <w:right w:val="single" w:sz="4" w:space="0" w:color="auto"/>
            </w:tcBorders>
            <w:shd w:val="clear" w:color="auto" w:fill="auto"/>
            <w:vAlign w:val="bottom"/>
            <w:hideMark/>
          </w:tcPr>
          <w:p w14:paraId="72F89500" w14:textId="77777777" w:rsidR="006F282A" w:rsidRPr="00ED4204" w:rsidRDefault="006F282A" w:rsidP="006F282A">
            <w:pPr>
              <w:rPr>
                <w:rFonts w:ascii="Calibri" w:eastAsia="Times New Roman" w:hAnsi="Calibri" w:cs="Calibri"/>
                <w:color w:val="000000"/>
                <w:sz w:val="20"/>
                <w:szCs w:val="20"/>
              </w:rPr>
            </w:pPr>
            <w:r w:rsidRPr="00ED4204">
              <w:rPr>
                <w:rFonts w:ascii="Calibri" w:eastAsia="Times New Roman" w:hAnsi="Calibri" w:cs="Calibri"/>
                <w:color w:val="000000"/>
                <w:sz w:val="20"/>
                <w:szCs w:val="20"/>
              </w:rPr>
              <w:t>Public Procurement Contract</w:t>
            </w:r>
          </w:p>
        </w:tc>
        <w:tc>
          <w:tcPr>
            <w:tcW w:w="1800" w:type="dxa"/>
            <w:tcBorders>
              <w:top w:val="nil"/>
              <w:left w:val="nil"/>
              <w:bottom w:val="single" w:sz="4" w:space="0" w:color="auto"/>
              <w:right w:val="single" w:sz="4" w:space="0" w:color="auto"/>
            </w:tcBorders>
            <w:shd w:val="clear" w:color="auto" w:fill="auto"/>
            <w:vAlign w:val="bottom"/>
            <w:hideMark/>
          </w:tcPr>
          <w:p w14:paraId="457914FD" w14:textId="3469EE24" w:rsidR="006F282A" w:rsidRPr="00ED4204" w:rsidRDefault="006F282A" w:rsidP="00ED4204">
            <w:pPr>
              <w:jc w:val="right"/>
              <w:rPr>
                <w:rFonts w:ascii="Calibri" w:eastAsia="Times New Roman" w:hAnsi="Calibri" w:cs="Calibri"/>
                <w:color w:val="000000"/>
                <w:sz w:val="20"/>
                <w:szCs w:val="20"/>
              </w:rPr>
            </w:pPr>
            <w:r w:rsidRPr="00ED4204">
              <w:rPr>
                <w:rFonts w:ascii="Calibri" w:eastAsia="Times New Roman" w:hAnsi="Calibri" w:cs="Calibri"/>
                <w:color w:val="000000"/>
                <w:sz w:val="20"/>
                <w:szCs w:val="20"/>
              </w:rPr>
              <w:t>9.073.208,45</w:t>
            </w:r>
          </w:p>
        </w:tc>
      </w:tr>
      <w:tr w:rsidR="006F282A" w:rsidRPr="006F282A" w14:paraId="316F2D39" w14:textId="77777777" w:rsidTr="00ED4204">
        <w:trPr>
          <w:trHeight w:val="290"/>
        </w:trPr>
        <w:tc>
          <w:tcPr>
            <w:tcW w:w="3680" w:type="dxa"/>
            <w:tcBorders>
              <w:top w:val="nil"/>
              <w:left w:val="single" w:sz="4" w:space="0" w:color="auto"/>
              <w:bottom w:val="single" w:sz="4" w:space="0" w:color="auto"/>
              <w:right w:val="single" w:sz="4" w:space="0" w:color="auto"/>
            </w:tcBorders>
            <w:shd w:val="clear" w:color="auto" w:fill="auto"/>
            <w:vAlign w:val="bottom"/>
            <w:hideMark/>
          </w:tcPr>
          <w:p w14:paraId="62699686" w14:textId="77777777" w:rsidR="006F282A" w:rsidRPr="00ED4204" w:rsidRDefault="006F282A" w:rsidP="006F282A">
            <w:pPr>
              <w:rPr>
                <w:rFonts w:ascii="Calibri" w:eastAsia="Times New Roman" w:hAnsi="Calibri" w:cs="Calibri"/>
                <w:color w:val="000000"/>
                <w:sz w:val="20"/>
                <w:szCs w:val="20"/>
              </w:rPr>
            </w:pPr>
            <w:r w:rsidRPr="00ED4204">
              <w:rPr>
                <w:rFonts w:ascii="Calibri" w:eastAsia="Times New Roman" w:hAnsi="Calibri" w:cs="Calibri"/>
                <w:color w:val="000000"/>
                <w:sz w:val="20"/>
                <w:szCs w:val="20"/>
              </w:rPr>
              <w:t>Centralized Procurement of HIV Tests</w:t>
            </w:r>
          </w:p>
        </w:tc>
        <w:tc>
          <w:tcPr>
            <w:tcW w:w="1540" w:type="dxa"/>
            <w:tcBorders>
              <w:top w:val="nil"/>
              <w:left w:val="nil"/>
              <w:bottom w:val="single" w:sz="4" w:space="0" w:color="auto"/>
              <w:right w:val="single" w:sz="4" w:space="0" w:color="auto"/>
            </w:tcBorders>
            <w:shd w:val="clear" w:color="auto" w:fill="auto"/>
            <w:vAlign w:val="bottom"/>
            <w:hideMark/>
          </w:tcPr>
          <w:p w14:paraId="07C07092" w14:textId="77777777" w:rsidR="006F282A" w:rsidRPr="00ED4204" w:rsidRDefault="006F282A" w:rsidP="006F282A">
            <w:pPr>
              <w:rPr>
                <w:rFonts w:ascii="Calibri" w:eastAsia="Times New Roman" w:hAnsi="Calibri" w:cs="Calibri"/>
                <w:color w:val="000000"/>
                <w:sz w:val="20"/>
                <w:szCs w:val="20"/>
              </w:rPr>
            </w:pPr>
            <w:r w:rsidRPr="00ED4204">
              <w:rPr>
                <w:rFonts w:ascii="Calibri" w:eastAsia="Times New Roman" w:hAnsi="Calibri" w:cs="Calibri"/>
                <w:color w:val="000000"/>
                <w:sz w:val="20"/>
                <w:szCs w:val="20"/>
              </w:rPr>
              <w:t>Open Tender</w:t>
            </w:r>
          </w:p>
        </w:tc>
        <w:tc>
          <w:tcPr>
            <w:tcW w:w="2335" w:type="dxa"/>
            <w:tcBorders>
              <w:top w:val="nil"/>
              <w:left w:val="nil"/>
              <w:bottom w:val="single" w:sz="4" w:space="0" w:color="auto"/>
              <w:right w:val="single" w:sz="4" w:space="0" w:color="auto"/>
            </w:tcBorders>
            <w:shd w:val="clear" w:color="auto" w:fill="auto"/>
            <w:vAlign w:val="bottom"/>
            <w:hideMark/>
          </w:tcPr>
          <w:p w14:paraId="7CAB3500" w14:textId="77777777" w:rsidR="006F282A" w:rsidRPr="00ED4204" w:rsidRDefault="006F282A" w:rsidP="006F282A">
            <w:pPr>
              <w:rPr>
                <w:rFonts w:ascii="Calibri" w:eastAsia="Times New Roman" w:hAnsi="Calibri" w:cs="Calibri"/>
                <w:color w:val="000000"/>
                <w:sz w:val="20"/>
                <w:szCs w:val="20"/>
              </w:rPr>
            </w:pPr>
            <w:r w:rsidRPr="00ED4204">
              <w:rPr>
                <w:rFonts w:ascii="Calibri" w:eastAsia="Times New Roman" w:hAnsi="Calibri" w:cs="Calibri"/>
                <w:color w:val="000000"/>
                <w:sz w:val="20"/>
                <w:szCs w:val="20"/>
              </w:rPr>
              <w:t>Framework Agreement</w:t>
            </w:r>
          </w:p>
        </w:tc>
        <w:tc>
          <w:tcPr>
            <w:tcW w:w="1800" w:type="dxa"/>
            <w:tcBorders>
              <w:top w:val="nil"/>
              <w:left w:val="nil"/>
              <w:bottom w:val="single" w:sz="4" w:space="0" w:color="auto"/>
              <w:right w:val="single" w:sz="4" w:space="0" w:color="auto"/>
            </w:tcBorders>
            <w:shd w:val="clear" w:color="auto" w:fill="auto"/>
            <w:vAlign w:val="bottom"/>
            <w:hideMark/>
          </w:tcPr>
          <w:p w14:paraId="4F1D4865" w14:textId="13599362" w:rsidR="006F282A" w:rsidRPr="00ED4204" w:rsidRDefault="006F282A" w:rsidP="00ED4204">
            <w:pPr>
              <w:jc w:val="right"/>
              <w:rPr>
                <w:rFonts w:ascii="Calibri" w:eastAsia="Times New Roman" w:hAnsi="Calibri" w:cs="Calibri"/>
                <w:color w:val="000000"/>
                <w:sz w:val="20"/>
                <w:szCs w:val="20"/>
              </w:rPr>
            </w:pPr>
            <w:r w:rsidRPr="00ED4204">
              <w:rPr>
                <w:rFonts w:ascii="Calibri" w:eastAsia="Times New Roman" w:hAnsi="Calibri" w:cs="Calibri"/>
                <w:color w:val="000000"/>
                <w:sz w:val="20"/>
                <w:szCs w:val="20"/>
              </w:rPr>
              <w:t>1.801.139,04</w:t>
            </w:r>
          </w:p>
        </w:tc>
      </w:tr>
      <w:tr w:rsidR="006F282A" w:rsidRPr="006F282A" w14:paraId="6ADAF80E" w14:textId="77777777" w:rsidTr="00767A4F">
        <w:trPr>
          <w:trHeight w:val="580"/>
        </w:trPr>
        <w:tc>
          <w:tcPr>
            <w:tcW w:w="3680" w:type="dxa"/>
            <w:tcBorders>
              <w:top w:val="nil"/>
              <w:left w:val="single" w:sz="4" w:space="0" w:color="auto"/>
              <w:bottom w:val="nil"/>
              <w:right w:val="single" w:sz="4" w:space="0" w:color="auto"/>
            </w:tcBorders>
            <w:shd w:val="clear" w:color="auto" w:fill="auto"/>
            <w:vAlign w:val="bottom"/>
            <w:hideMark/>
          </w:tcPr>
          <w:p w14:paraId="1126B814" w14:textId="77777777" w:rsidR="006F282A" w:rsidRPr="00ED4204" w:rsidRDefault="006F282A" w:rsidP="006F282A">
            <w:pPr>
              <w:rPr>
                <w:rFonts w:ascii="Calibri" w:eastAsia="Times New Roman" w:hAnsi="Calibri" w:cs="Calibri"/>
                <w:color w:val="000000"/>
                <w:sz w:val="20"/>
                <w:szCs w:val="20"/>
              </w:rPr>
            </w:pPr>
            <w:r w:rsidRPr="00ED4204">
              <w:rPr>
                <w:rFonts w:ascii="Calibri" w:eastAsia="Times New Roman" w:hAnsi="Calibri" w:cs="Calibri"/>
                <w:color w:val="000000"/>
                <w:sz w:val="20"/>
                <w:szCs w:val="20"/>
              </w:rPr>
              <w:t>Procurement of Transportation Services</w:t>
            </w:r>
          </w:p>
        </w:tc>
        <w:tc>
          <w:tcPr>
            <w:tcW w:w="1540" w:type="dxa"/>
            <w:tcBorders>
              <w:top w:val="nil"/>
              <w:left w:val="nil"/>
              <w:bottom w:val="nil"/>
              <w:right w:val="single" w:sz="4" w:space="0" w:color="auto"/>
            </w:tcBorders>
            <w:shd w:val="clear" w:color="auto" w:fill="auto"/>
            <w:vAlign w:val="bottom"/>
            <w:hideMark/>
          </w:tcPr>
          <w:p w14:paraId="15709EFA" w14:textId="77777777" w:rsidR="006F282A" w:rsidRPr="00ED4204" w:rsidRDefault="006F282A" w:rsidP="006F282A">
            <w:pPr>
              <w:rPr>
                <w:rFonts w:ascii="Calibri" w:eastAsia="Times New Roman" w:hAnsi="Calibri" w:cs="Calibri"/>
                <w:color w:val="000000"/>
                <w:sz w:val="20"/>
                <w:szCs w:val="20"/>
              </w:rPr>
            </w:pPr>
            <w:r w:rsidRPr="00ED4204">
              <w:rPr>
                <w:rFonts w:ascii="Calibri" w:eastAsia="Times New Roman" w:hAnsi="Calibri" w:cs="Calibri"/>
                <w:color w:val="000000"/>
                <w:sz w:val="20"/>
                <w:szCs w:val="20"/>
              </w:rPr>
              <w:t>Simplified Procedures</w:t>
            </w:r>
          </w:p>
        </w:tc>
        <w:tc>
          <w:tcPr>
            <w:tcW w:w="2335" w:type="dxa"/>
            <w:tcBorders>
              <w:top w:val="nil"/>
              <w:left w:val="nil"/>
              <w:bottom w:val="nil"/>
              <w:right w:val="single" w:sz="4" w:space="0" w:color="auto"/>
            </w:tcBorders>
            <w:shd w:val="clear" w:color="auto" w:fill="auto"/>
            <w:vAlign w:val="bottom"/>
            <w:hideMark/>
          </w:tcPr>
          <w:p w14:paraId="1C8F89C8" w14:textId="77777777" w:rsidR="006F282A" w:rsidRPr="00ED4204" w:rsidRDefault="006F282A" w:rsidP="006F282A">
            <w:pPr>
              <w:rPr>
                <w:rFonts w:ascii="Calibri" w:eastAsia="Times New Roman" w:hAnsi="Calibri" w:cs="Calibri"/>
                <w:color w:val="000000"/>
                <w:sz w:val="20"/>
                <w:szCs w:val="20"/>
              </w:rPr>
            </w:pPr>
            <w:r w:rsidRPr="00ED4204">
              <w:rPr>
                <w:rFonts w:ascii="Calibri" w:eastAsia="Times New Roman" w:hAnsi="Calibri" w:cs="Calibri"/>
                <w:color w:val="000000"/>
                <w:sz w:val="20"/>
                <w:szCs w:val="20"/>
              </w:rPr>
              <w:t>Framework Agreement</w:t>
            </w:r>
          </w:p>
        </w:tc>
        <w:tc>
          <w:tcPr>
            <w:tcW w:w="1800" w:type="dxa"/>
            <w:tcBorders>
              <w:top w:val="nil"/>
              <w:left w:val="nil"/>
              <w:bottom w:val="nil"/>
              <w:right w:val="single" w:sz="4" w:space="0" w:color="auto"/>
            </w:tcBorders>
            <w:shd w:val="clear" w:color="auto" w:fill="auto"/>
            <w:vAlign w:val="bottom"/>
            <w:hideMark/>
          </w:tcPr>
          <w:p w14:paraId="49A57088" w14:textId="06030242" w:rsidR="006F282A" w:rsidRPr="00ED4204" w:rsidRDefault="006F282A" w:rsidP="00ED4204">
            <w:pPr>
              <w:jc w:val="right"/>
              <w:rPr>
                <w:rFonts w:ascii="Calibri" w:eastAsia="Times New Roman" w:hAnsi="Calibri" w:cs="Calibri"/>
                <w:color w:val="000000"/>
                <w:sz w:val="20"/>
                <w:szCs w:val="20"/>
              </w:rPr>
            </w:pPr>
            <w:r w:rsidRPr="00ED4204">
              <w:rPr>
                <w:rFonts w:ascii="Calibri" w:eastAsia="Times New Roman" w:hAnsi="Calibri" w:cs="Calibri"/>
                <w:color w:val="000000"/>
                <w:sz w:val="20"/>
                <w:szCs w:val="20"/>
              </w:rPr>
              <w:t>606.300,00</w:t>
            </w:r>
          </w:p>
        </w:tc>
      </w:tr>
      <w:tr w:rsidR="007D7446" w:rsidRPr="006F282A" w14:paraId="1BBC3652" w14:textId="77777777" w:rsidTr="00ED4204">
        <w:trPr>
          <w:trHeight w:val="580"/>
        </w:trPr>
        <w:tc>
          <w:tcPr>
            <w:tcW w:w="3680" w:type="dxa"/>
            <w:tcBorders>
              <w:top w:val="nil"/>
              <w:left w:val="single" w:sz="4" w:space="0" w:color="auto"/>
              <w:bottom w:val="single" w:sz="4" w:space="0" w:color="auto"/>
              <w:right w:val="single" w:sz="4" w:space="0" w:color="auto"/>
            </w:tcBorders>
            <w:shd w:val="clear" w:color="auto" w:fill="auto"/>
            <w:vAlign w:val="bottom"/>
          </w:tcPr>
          <w:p w14:paraId="4AEE9500" w14:textId="3E83662E" w:rsidR="007D7446" w:rsidRPr="00ED4204" w:rsidRDefault="00953122" w:rsidP="006F282A">
            <w:pPr>
              <w:rPr>
                <w:rFonts w:ascii="Calibri" w:eastAsia="Times New Roman" w:hAnsi="Calibri" w:cs="Calibri"/>
                <w:color w:val="000000"/>
                <w:sz w:val="20"/>
                <w:szCs w:val="20"/>
              </w:rPr>
            </w:pPr>
            <w:r>
              <w:rPr>
                <w:rFonts w:ascii="Calibri" w:eastAsia="Times New Roman" w:hAnsi="Calibri" w:cs="Calibri"/>
                <w:color w:val="000000"/>
                <w:sz w:val="20"/>
                <w:szCs w:val="20"/>
              </w:rPr>
              <w:t>Centralized Procurement of HIV medicines under the National Health Program</w:t>
            </w:r>
          </w:p>
        </w:tc>
        <w:tc>
          <w:tcPr>
            <w:tcW w:w="1540" w:type="dxa"/>
            <w:tcBorders>
              <w:top w:val="nil"/>
              <w:left w:val="nil"/>
              <w:bottom w:val="single" w:sz="4" w:space="0" w:color="auto"/>
              <w:right w:val="single" w:sz="4" w:space="0" w:color="auto"/>
            </w:tcBorders>
            <w:shd w:val="clear" w:color="auto" w:fill="auto"/>
            <w:vAlign w:val="bottom"/>
          </w:tcPr>
          <w:p w14:paraId="3DD6FF69" w14:textId="6420DEDA" w:rsidR="007D7446" w:rsidRPr="00ED4204" w:rsidRDefault="00953122" w:rsidP="006F282A">
            <w:pPr>
              <w:rPr>
                <w:rFonts w:ascii="Calibri" w:eastAsia="Times New Roman" w:hAnsi="Calibri" w:cs="Calibri"/>
                <w:color w:val="000000"/>
                <w:sz w:val="20"/>
                <w:szCs w:val="20"/>
              </w:rPr>
            </w:pPr>
            <w:r>
              <w:rPr>
                <w:rFonts w:ascii="Calibri" w:eastAsia="Times New Roman" w:hAnsi="Calibri" w:cs="Calibri"/>
                <w:color w:val="000000"/>
                <w:sz w:val="20"/>
                <w:szCs w:val="20"/>
              </w:rPr>
              <w:t>Open Tender</w:t>
            </w:r>
          </w:p>
        </w:tc>
        <w:tc>
          <w:tcPr>
            <w:tcW w:w="2335" w:type="dxa"/>
            <w:tcBorders>
              <w:top w:val="nil"/>
              <w:left w:val="nil"/>
              <w:bottom w:val="single" w:sz="4" w:space="0" w:color="auto"/>
              <w:right w:val="single" w:sz="4" w:space="0" w:color="auto"/>
            </w:tcBorders>
            <w:shd w:val="clear" w:color="auto" w:fill="auto"/>
            <w:vAlign w:val="bottom"/>
          </w:tcPr>
          <w:p w14:paraId="7C1133E3" w14:textId="51B97F26" w:rsidR="007D7446" w:rsidRPr="00ED4204" w:rsidRDefault="00953122" w:rsidP="006F282A">
            <w:pPr>
              <w:rPr>
                <w:rFonts w:ascii="Calibri" w:eastAsia="Times New Roman" w:hAnsi="Calibri" w:cs="Calibri"/>
                <w:color w:val="000000"/>
                <w:sz w:val="20"/>
                <w:szCs w:val="20"/>
              </w:rPr>
            </w:pPr>
            <w:r>
              <w:rPr>
                <w:rFonts w:ascii="Calibri" w:eastAsia="Times New Roman" w:hAnsi="Calibri" w:cs="Calibri"/>
                <w:color w:val="000000"/>
                <w:sz w:val="20"/>
                <w:szCs w:val="20"/>
              </w:rPr>
              <w:t>Framework Agreement</w:t>
            </w:r>
          </w:p>
        </w:tc>
        <w:tc>
          <w:tcPr>
            <w:tcW w:w="1800" w:type="dxa"/>
            <w:tcBorders>
              <w:top w:val="nil"/>
              <w:left w:val="nil"/>
              <w:bottom w:val="single" w:sz="4" w:space="0" w:color="auto"/>
              <w:right w:val="single" w:sz="4" w:space="0" w:color="auto"/>
            </w:tcBorders>
            <w:shd w:val="clear" w:color="auto" w:fill="auto"/>
            <w:vAlign w:val="bottom"/>
          </w:tcPr>
          <w:p w14:paraId="3B007603" w14:textId="1660FA2F" w:rsidR="007D7446" w:rsidRPr="00ED4204" w:rsidRDefault="00466183" w:rsidP="00ED4204">
            <w:pPr>
              <w:jc w:val="right"/>
              <w:rPr>
                <w:rFonts w:ascii="Calibri" w:eastAsia="Times New Roman" w:hAnsi="Calibri" w:cs="Calibri"/>
                <w:color w:val="000000"/>
                <w:sz w:val="20"/>
                <w:szCs w:val="20"/>
              </w:rPr>
            </w:pPr>
            <w:r>
              <w:rPr>
                <w:rFonts w:ascii="Calibri" w:eastAsia="Times New Roman" w:hAnsi="Calibri" w:cs="Calibri"/>
                <w:color w:val="000000"/>
                <w:sz w:val="20"/>
                <w:szCs w:val="20"/>
              </w:rPr>
              <w:t>1,433,524</w:t>
            </w:r>
            <w:r>
              <w:rPr>
                <w:rFonts w:ascii="Calibri" w:eastAsia="Times New Roman" w:hAnsi="Calibri" w:cs="Calibri"/>
                <w:color w:val="000000"/>
                <w:sz w:val="20"/>
                <w:szCs w:val="20"/>
              </w:rPr>
              <w:t>,928</w:t>
            </w:r>
          </w:p>
        </w:tc>
      </w:tr>
    </w:tbl>
    <w:p w14:paraId="476D6C30" w14:textId="33BAAACF" w:rsidR="00EC0178" w:rsidRPr="00EC0178" w:rsidRDefault="006F282A" w:rsidP="00AF72C6">
      <w:pPr>
        <w:autoSpaceDE w:val="0"/>
        <w:autoSpaceDN w:val="0"/>
        <w:adjustRightInd w:val="0"/>
        <w:jc w:val="both"/>
        <w:rPr>
          <w:rFonts w:ascii="Calibri" w:hAnsi="Calibri" w:cs="Calibri"/>
          <w:sz w:val="18"/>
          <w:szCs w:val="18"/>
        </w:rPr>
      </w:pPr>
      <w:r>
        <w:rPr>
          <w:rFonts w:ascii="Calibri" w:hAnsi="Calibri" w:cs="Calibri"/>
          <w:sz w:val="18"/>
          <w:szCs w:val="18"/>
        </w:rPr>
        <w:t>S</w:t>
      </w:r>
      <w:r w:rsidR="00EC0178" w:rsidRPr="00EC0178">
        <w:rPr>
          <w:rFonts w:ascii="Calibri" w:hAnsi="Calibri" w:cs="Calibri"/>
          <w:sz w:val="18"/>
          <w:szCs w:val="18"/>
        </w:rPr>
        <w:t>ource: SEAP</w:t>
      </w:r>
    </w:p>
    <w:p w14:paraId="57B0207B" w14:textId="11BDAFC3" w:rsidR="00273C9B" w:rsidRDefault="00273C9B">
      <w:pPr>
        <w:spacing w:after="200" w:line="276" w:lineRule="auto"/>
      </w:pPr>
      <w:r>
        <w:br w:type="page"/>
      </w:r>
    </w:p>
    <w:p w14:paraId="4C4D964D" w14:textId="192910A1" w:rsidR="009B1C14" w:rsidRPr="006F282A" w:rsidRDefault="009B1C14" w:rsidP="009B1C14">
      <w:pPr>
        <w:autoSpaceDE w:val="0"/>
        <w:autoSpaceDN w:val="0"/>
        <w:adjustRightInd w:val="0"/>
        <w:jc w:val="both"/>
        <w:rPr>
          <w:rFonts w:ascii="Calibri" w:hAnsi="Calibri" w:cs="Calibri"/>
          <w:b/>
          <w:sz w:val="22"/>
        </w:rPr>
      </w:pPr>
      <w:r w:rsidRPr="006F282A">
        <w:rPr>
          <w:rFonts w:ascii="Calibri" w:hAnsi="Calibri" w:cs="Calibri"/>
          <w:b/>
          <w:sz w:val="22"/>
        </w:rPr>
        <w:lastRenderedPageBreak/>
        <w:t xml:space="preserve">Table </w:t>
      </w:r>
      <w:r w:rsidR="00DD7018">
        <w:rPr>
          <w:rFonts w:ascii="Calibri" w:hAnsi="Calibri" w:cs="Calibri"/>
          <w:b/>
          <w:sz w:val="22"/>
        </w:rPr>
        <w:t>4</w:t>
      </w:r>
      <w:r w:rsidRPr="006F282A">
        <w:rPr>
          <w:rFonts w:ascii="Calibri" w:hAnsi="Calibri" w:cs="Calibri"/>
          <w:b/>
          <w:sz w:val="22"/>
        </w:rPr>
        <w:t xml:space="preserve">. </w:t>
      </w:r>
      <w:r w:rsidR="004D37CA">
        <w:rPr>
          <w:rFonts w:ascii="Calibri" w:hAnsi="Calibri" w:cs="Calibri"/>
          <w:b/>
          <w:sz w:val="22"/>
        </w:rPr>
        <w:t>NHIH</w:t>
      </w:r>
      <w:r w:rsidRPr="006F282A">
        <w:rPr>
          <w:rFonts w:ascii="Calibri" w:hAnsi="Calibri" w:cs="Calibri"/>
          <w:b/>
          <w:sz w:val="22"/>
        </w:rPr>
        <w:t xml:space="preserve"> Procurement for the period 2018 – 2019</w:t>
      </w:r>
      <w:r w:rsidR="00771E5C">
        <w:rPr>
          <w:rFonts w:ascii="Calibri" w:hAnsi="Calibri" w:cs="Calibri"/>
          <w:b/>
          <w:sz w:val="22"/>
        </w:rPr>
        <w:t xml:space="preserve"> (March)</w:t>
      </w:r>
    </w:p>
    <w:tbl>
      <w:tblPr>
        <w:tblW w:w="9355" w:type="dxa"/>
        <w:tblLook w:val="04A0" w:firstRow="1" w:lastRow="0" w:firstColumn="1" w:lastColumn="0" w:noHBand="0" w:noVBand="1"/>
      </w:tblPr>
      <w:tblGrid>
        <w:gridCol w:w="3685"/>
        <w:gridCol w:w="1530"/>
        <w:gridCol w:w="2340"/>
        <w:gridCol w:w="1800"/>
      </w:tblGrid>
      <w:tr w:rsidR="004D37CA" w:rsidRPr="004D37CA" w14:paraId="1A34F52C" w14:textId="77777777" w:rsidTr="00ED4204">
        <w:trPr>
          <w:trHeight w:val="580"/>
        </w:trPr>
        <w:tc>
          <w:tcPr>
            <w:tcW w:w="3685" w:type="dxa"/>
            <w:tcBorders>
              <w:top w:val="single" w:sz="4" w:space="0" w:color="auto"/>
              <w:left w:val="single" w:sz="4" w:space="0" w:color="auto"/>
              <w:bottom w:val="single" w:sz="4" w:space="0" w:color="auto"/>
              <w:right w:val="single" w:sz="4" w:space="0" w:color="auto"/>
            </w:tcBorders>
            <w:shd w:val="clear" w:color="000000" w:fill="DDEBF7"/>
            <w:vAlign w:val="center"/>
            <w:hideMark/>
          </w:tcPr>
          <w:p w14:paraId="6307D0C8" w14:textId="77777777" w:rsidR="004D37CA" w:rsidRPr="004D37CA" w:rsidRDefault="004D37CA" w:rsidP="004D37CA">
            <w:pPr>
              <w:jc w:val="center"/>
              <w:rPr>
                <w:rFonts w:ascii="Calibri" w:eastAsia="Times New Roman" w:hAnsi="Calibri" w:cs="Calibri"/>
                <w:b/>
                <w:bCs/>
                <w:color w:val="000000"/>
                <w:sz w:val="22"/>
              </w:rPr>
            </w:pPr>
            <w:r w:rsidRPr="004D37CA">
              <w:rPr>
                <w:rFonts w:ascii="Calibri" w:eastAsia="Times New Roman" w:hAnsi="Calibri" w:cs="Calibri"/>
                <w:b/>
                <w:bCs/>
                <w:color w:val="000000"/>
                <w:sz w:val="22"/>
              </w:rPr>
              <w:t>Activity Description</w:t>
            </w:r>
          </w:p>
        </w:tc>
        <w:tc>
          <w:tcPr>
            <w:tcW w:w="1530" w:type="dxa"/>
            <w:tcBorders>
              <w:top w:val="single" w:sz="4" w:space="0" w:color="auto"/>
              <w:left w:val="nil"/>
              <w:bottom w:val="single" w:sz="4" w:space="0" w:color="auto"/>
              <w:right w:val="single" w:sz="4" w:space="0" w:color="auto"/>
            </w:tcBorders>
            <w:shd w:val="clear" w:color="000000" w:fill="DDEBF7"/>
            <w:vAlign w:val="center"/>
            <w:hideMark/>
          </w:tcPr>
          <w:p w14:paraId="3DE16A4A" w14:textId="77777777" w:rsidR="004D37CA" w:rsidRPr="004D37CA" w:rsidRDefault="004D37CA" w:rsidP="004D37CA">
            <w:pPr>
              <w:jc w:val="center"/>
              <w:rPr>
                <w:rFonts w:ascii="Calibri" w:eastAsia="Times New Roman" w:hAnsi="Calibri" w:cs="Calibri"/>
                <w:b/>
                <w:bCs/>
                <w:color w:val="000000"/>
                <w:sz w:val="22"/>
              </w:rPr>
            </w:pPr>
            <w:r w:rsidRPr="004D37CA">
              <w:rPr>
                <w:rFonts w:ascii="Calibri" w:eastAsia="Times New Roman" w:hAnsi="Calibri" w:cs="Calibri"/>
                <w:b/>
                <w:bCs/>
                <w:color w:val="000000"/>
                <w:sz w:val="22"/>
              </w:rPr>
              <w:t>Selection Method</w:t>
            </w:r>
          </w:p>
        </w:tc>
        <w:tc>
          <w:tcPr>
            <w:tcW w:w="2340" w:type="dxa"/>
            <w:tcBorders>
              <w:top w:val="single" w:sz="4" w:space="0" w:color="auto"/>
              <w:left w:val="nil"/>
              <w:bottom w:val="single" w:sz="4" w:space="0" w:color="auto"/>
              <w:right w:val="single" w:sz="4" w:space="0" w:color="auto"/>
            </w:tcBorders>
            <w:shd w:val="clear" w:color="000000" w:fill="DDEBF7"/>
            <w:vAlign w:val="center"/>
            <w:hideMark/>
          </w:tcPr>
          <w:p w14:paraId="0BB7665D" w14:textId="77777777" w:rsidR="004D37CA" w:rsidRPr="004D37CA" w:rsidRDefault="004D37CA" w:rsidP="004D37CA">
            <w:pPr>
              <w:jc w:val="center"/>
              <w:rPr>
                <w:rFonts w:ascii="Calibri" w:eastAsia="Times New Roman" w:hAnsi="Calibri" w:cs="Calibri"/>
                <w:b/>
                <w:bCs/>
                <w:color w:val="000000"/>
                <w:sz w:val="22"/>
              </w:rPr>
            </w:pPr>
            <w:r w:rsidRPr="004D37CA">
              <w:rPr>
                <w:rFonts w:ascii="Calibri" w:eastAsia="Times New Roman" w:hAnsi="Calibri" w:cs="Calibri"/>
                <w:b/>
                <w:bCs/>
                <w:color w:val="000000"/>
                <w:sz w:val="22"/>
              </w:rPr>
              <w:t>Contract Type</w:t>
            </w:r>
          </w:p>
        </w:tc>
        <w:tc>
          <w:tcPr>
            <w:tcW w:w="1800" w:type="dxa"/>
            <w:tcBorders>
              <w:top w:val="single" w:sz="4" w:space="0" w:color="auto"/>
              <w:left w:val="nil"/>
              <w:bottom w:val="single" w:sz="4" w:space="0" w:color="auto"/>
              <w:right w:val="single" w:sz="4" w:space="0" w:color="auto"/>
            </w:tcBorders>
            <w:shd w:val="clear" w:color="000000" w:fill="DDEBF7"/>
            <w:vAlign w:val="center"/>
            <w:hideMark/>
          </w:tcPr>
          <w:p w14:paraId="15DEAA38" w14:textId="77777777" w:rsidR="004D37CA" w:rsidRPr="004D37CA" w:rsidRDefault="004D37CA" w:rsidP="004D37CA">
            <w:pPr>
              <w:jc w:val="center"/>
              <w:rPr>
                <w:rFonts w:ascii="Calibri" w:eastAsia="Times New Roman" w:hAnsi="Calibri" w:cs="Calibri"/>
                <w:b/>
                <w:bCs/>
                <w:color w:val="000000"/>
                <w:sz w:val="22"/>
              </w:rPr>
            </w:pPr>
            <w:r w:rsidRPr="004D37CA">
              <w:rPr>
                <w:rFonts w:ascii="Calibri" w:eastAsia="Times New Roman" w:hAnsi="Calibri" w:cs="Calibri"/>
                <w:b/>
                <w:bCs/>
                <w:color w:val="000000"/>
                <w:sz w:val="22"/>
              </w:rPr>
              <w:t xml:space="preserve"> Estimated Cost (RON) </w:t>
            </w:r>
          </w:p>
        </w:tc>
      </w:tr>
      <w:tr w:rsidR="004D37CA" w:rsidRPr="004D37CA" w14:paraId="65560D0D" w14:textId="77777777" w:rsidTr="00ED4204">
        <w:trPr>
          <w:trHeight w:val="580"/>
        </w:trPr>
        <w:tc>
          <w:tcPr>
            <w:tcW w:w="3685" w:type="dxa"/>
            <w:tcBorders>
              <w:top w:val="nil"/>
              <w:left w:val="single" w:sz="4" w:space="0" w:color="auto"/>
              <w:bottom w:val="single" w:sz="4" w:space="0" w:color="auto"/>
              <w:right w:val="single" w:sz="4" w:space="0" w:color="auto"/>
            </w:tcBorders>
            <w:shd w:val="clear" w:color="000000" w:fill="FFFFFF"/>
            <w:vAlign w:val="bottom"/>
            <w:hideMark/>
          </w:tcPr>
          <w:p w14:paraId="7CAE4FC1" w14:textId="77777777" w:rsidR="004D37CA" w:rsidRPr="00ED4204" w:rsidRDefault="004D37CA" w:rsidP="004D37CA">
            <w:pPr>
              <w:rPr>
                <w:rFonts w:ascii="Calibri" w:eastAsia="Times New Roman" w:hAnsi="Calibri" w:cs="Calibri"/>
                <w:color w:val="000000"/>
                <w:sz w:val="20"/>
                <w:szCs w:val="20"/>
              </w:rPr>
            </w:pPr>
            <w:r w:rsidRPr="00ED4204">
              <w:rPr>
                <w:rFonts w:ascii="Calibri" w:eastAsia="Times New Roman" w:hAnsi="Calibri" w:cs="Calibri"/>
                <w:color w:val="000000"/>
                <w:sz w:val="20"/>
                <w:szCs w:val="20"/>
              </w:rPr>
              <w:t>TA services with preventive actions for Oracle database</w:t>
            </w:r>
          </w:p>
        </w:tc>
        <w:tc>
          <w:tcPr>
            <w:tcW w:w="1530" w:type="dxa"/>
            <w:tcBorders>
              <w:top w:val="nil"/>
              <w:left w:val="nil"/>
              <w:bottom w:val="single" w:sz="4" w:space="0" w:color="auto"/>
              <w:right w:val="single" w:sz="4" w:space="0" w:color="auto"/>
            </w:tcBorders>
            <w:shd w:val="clear" w:color="000000" w:fill="FFFFFF"/>
            <w:vAlign w:val="bottom"/>
            <w:hideMark/>
          </w:tcPr>
          <w:p w14:paraId="463696D9" w14:textId="77777777" w:rsidR="004D37CA" w:rsidRPr="00ED4204" w:rsidRDefault="004D37CA" w:rsidP="004D37CA">
            <w:pPr>
              <w:rPr>
                <w:rFonts w:ascii="Calibri" w:eastAsia="Times New Roman" w:hAnsi="Calibri" w:cs="Calibri"/>
                <w:color w:val="000000"/>
                <w:sz w:val="20"/>
                <w:szCs w:val="20"/>
              </w:rPr>
            </w:pPr>
            <w:r w:rsidRPr="00ED4204">
              <w:rPr>
                <w:rFonts w:ascii="Calibri" w:eastAsia="Times New Roman" w:hAnsi="Calibri" w:cs="Calibri"/>
                <w:color w:val="000000"/>
                <w:sz w:val="20"/>
                <w:szCs w:val="20"/>
              </w:rPr>
              <w:t>Simplified Procedures</w:t>
            </w:r>
          </w:p>
        </w:tc>
        <w:tc>
          <w:tcPr>
            <w:tcW w:w="2340" w:type="dxa"/>
            <w:tcBorders>
              <w:top w:val="nil"/>
              <w:left w:val="nil"/>
              <w:bottom w:val="single" w:sz="4" w:space="0" w:color="auto"/>
              <w:right w:val="single" w:sz="4" w:space="0" w:color="auto"/>
            </w:tcBorders>
            <w:shd w:val="clear" w:color="000000" w:fill="FFFFFF"/>
            <w:vAlign w:val="bottom"/>
            <w:hideMark/>
          </w:tcPr>
          <w:p w14:paraId="3745E6DD" w14:textId="77777777" w:rsidR="004D37CA" w:rsidRPr="00ED4204" w:rsidRDefault="004D37CA" w:rsidP="004D37CA">
            <w:pPr>
              <w:rPr>
                <w:rFonts w:ascii="Calibri" w:eastAsia="Times New Roman" w:hAnsi="Calibri" w:cs="Calibri"/>
                <w:color w:val="000000"/>
                <w:sz w:val="20"/>
                <w:szCs w:val="20"/>
              </w:rPr>
            </w:pPr>
            <w:r w:rsidRPr="00ED4204">
              <w:rPr>
                <w:rFonts w:ascii="Calibri" w:eastAsia="Times New Roman" w:hAnsi="Calibri" w:cs="Calibri"/>
                <w:color w:val="000000"/>
                <w:sz w:val="20"/>
                <w:szCs w:val="20"/>
              </w:rPr>
              <w:t>Public Procurement Contract</w:t>
            </w:r>
          </w:p>
        </w:tc>
        <w:tc>
          <w:tcPr>
            <w:tcW w:w="1800" w:type="dxa"/>
            <w:tcBorders>
              <w:top w:val="nil"/>
              <w:left w:val="nil"/>
              <w:bottom w:val="single" w:sz="4" w:space="0" w:color="auto"/>
              <w:right w:val="single" w:sz="4" w:space="0" w:color="auto"/>
            </w:tcBorders>
            <w:shd w:val="clear" w:color="000000" w:fill="FFFFFF"/>
            <w:vAlign w:val="bottom"/>
            <w:hideMark/>
          </w:tcPr>
          <w:p w14:paraId="0FB67292" w14:textId="77777777" w:rsidR="004D37CA" w:rsidRPr="00ED4204" w:rsidRDefault="004D37CA" w:rsidP="00ED4204">
            <w:pPr>
              <w:jc w:val="right"/>
              <w:rPr>
                <w:rFonts w:ascii="Calibri" w:eastAsia="Times New Roman" w:hAnsi="Calibri" w:cs="Calibri"/>
                <w:color w:val="000000"/>
                <w:sz w:val="20"/>
                <w:szCs w:val="20"/>
              </w:rPr>
            </w:pPr>
            <w:r w:rsidRPr="00ED4204">
              <w:rPr>
                <w:rFonts w:ascii="Calibri" w:eastAsia="Times New Roman" w:hAnsi="Calibri" w:cs="Calibri"/>
                <w:color w:val="000000"/>
                <w:sz w:val="20"/>
                <w:szCs w:val="20"/>
              </w:rPr>
              <w:t xml:space="preserve">             161.046,00 </w:t>
            </w:r>
          </w:p>
        </w:tc>
      </w:tr>
      <w:tr w:rsidR="004D37CA" w:rsidRPr="004D37CA" w14:paraId="341DF8E0" w14:textId="77777777" w:rsidTr="00ED4204">
        <w:trPr>
          <w:trHeight w:val="290"/>
        </w:trPr>
        <w:tc>
          <w:tcPr>
            <w:tcW w:w="3685" w:type="dxa"/>
            <w:tcBorders>
              <w:top w:val="nil"/>
              <w:left w:val="single" w:sz="4" w:space="0" w:color="auto"/>
              <w:bottom w:val="single" w:sz="4" w:space="0" w:color="auto"/>
              <w:right w:val="single" w:sz="4" w:space="0" w:color="auto"/>
            </w:tcBorders>
            <w:shd w:val="clear" w:color="000000" w:fill="FFFFFF"/>
            <w:vAlign w:val="bottom"/>
            <w:hideMark/>
          </w:tcPr>
          <w:p w14:paraId="313F8689" w14:textId="77777777" w:rsidR="004D37CA" w:rsidRPr="00ED4204" w:rsidRDefault="004D37CA" w:rsidP="004D37CA">
            <w:pPr>
              <w:rPr>
                <w:rFonts w:ascii="Calibri" w:eastAsia="Times New Roman" w:hAnsi="Calibri" w:cs="Calibri"/>
                <w:color w:val="000000"/>
                <w:sz w:val="20"/>
                <w:szCs w:val="20"/>
              </w:rPr>
            </w:pPr>
            <w:r w:rsidRPr="00ED4204">
              <w:rPr>
                <w:rFonts w:ascii="Calibri" w:eastAsia="Times New Roman" w:hAnsi="Calibri" w:cs="Calibri"/>
                <w:color w:val="000000"/>
                <w:sz w:val="20"/>
                <w:szCs w:val="20"/>
              </w:rPr>
              <w:t>Cleaning Services (18 months)</w:t>
            </w:r>
          </w:p>
        </w:tc>
        <w:tc>
          <w:tcPr>
            <w:tcW w:w="1530" w:type="dxa"/>
            <w:tcBorders>
              <w:top w:val="nil"/>
              <w:left w:val="nil"/>
              <w:bottom w:val="single" w:sz="4" w:space="0" w:color="auto"/>
              <w:right w:val="single" w:sz="4" w:space="0" w:color="auto"/>
            </w:tcBorders>
            <w:shd w:val="clear" w:color="000000" w:fill="FFFFFF"/>
            <w:vAlign w:val="bottom"/>
            <w:hideMark/>
          </w:tcPr>
          <w:p w14:paraId="6D19154D" w14:textId="77777777" w:rsidR="004D37CA" w:rsidRPr="00ED4204" w:rsidRDefault="004D37CA" w:rsidP="004D37CA">
            <w:pPr>
              <w:rPr>
                <w:rFonts w:ascii="Calibri" w:eastAsia="Times New Roman" w:hAnsi="Calibri" w:cs="Calibri"/>
                <w:color w:val="000000"/>
                <w:sz w:val="20"/>
                <w:szCs w:val="20"/>
              </w:rPr>
            </w:pPr>
            <w:r w:rsidRPr="00ED4204">
              <w:rPr>
                <w:rFonts w:ascii="Calibri" w:eastAsia="Times New Roman" w:hAnsi="Calibri" w:cs="Calibri"/>
                <w:color w:val="000000"/>
                <w:sz w:val="20"/>
                <w:szCs w:val="20"/>
              </w:rPr>
              <w:t>Simplified Procedures</w:t>
            </w:r>
          </w:p>
        </w:tc>
        <w:tc>
          <w:tcPr>
            <w:tcW w:w="2340" w:type="dxa"/>
            <w:tcBorders>
              <w:top w:val="nil"/>
              <w:left w:val="nil"/>
              <w:bottom w:val="single" w:sz="4" w:space="0" w:color="auto"/>
              <w:right w:val="single" w:sz="4" w:space="0" w:color="auto"/>
            </w:tcBorders>
            <w:shd w:val="clear" w:color="000000" w:fill="FFFFFF"/>
            <w:vAlign w:val="bottom"/>
            <w:hideMark/>
          </w:tcPr>
          <w:p w14:paraId="76531B83" w14:textId="0C780365" w:rsidR="004D37CA" w:rsidRPr="00ED4204" w:rsidRDefault="004D37CA" w:rsidP="004D37CA">
            <w:pPr>
              <w:rPr>
                <w:rFonts w:ascii="Calibri" w:eastAsia="Times New Roman" w:hAnsi="Calibri" w:cs="Calibri"/>
                <w:color w:val="000000"/>
                <w:sz w:val="20"/>
                <w:szCs w:val="20"/>
              </w:rPr>
            </w:pPr>
            <w:r w:rsidRPr="00ED4204">
              <w:rPr>
                <w:rFonts w:ascii="Calibri" w:eastAsia="Times New Roman" w:hAnsi="Calibri" w:cs="Calibri"/>
                <w:color w:val="000000"/>
                <w:sz w:val="20"/>
                <w:szCs w:val="20"/>
              </w:rPr>
              <w:t>Framework Agreem</w:t>
            </w:r>
            <w:r w:rsidR="00E26917" w:rsidRPr="00ED4204">
              <w:rPr>
                <w:rFonts w:ascii="Calibri" w:eastAsia="Times New Roman" w:hAnsi="Calibri" w:cs="Calibri"/>
                <w:color w:val="000000"/>
                <w:sz w:val="20"/>
                <w:szCs w:val="20"/>
              </w:rPr>
              <w:t>e</w:t>
            </w:r>
            <w:r w:rsidRPr="00ED4204">
              <w:rPr>
                <w:rFonts w:ascii="Calibri" w:eastAsia="Times New Roman" w:hAnsi="Calibri" w:cs="Calibri"/>
                <w:color w:val="000000"/>
                <w:sz w:val="20"/>
                <w:szCs w:val="20"/>
              </w:rPr>
              <w:t>nt</w:t>
            </w:r>
          </w:p>
        </w:tc>
        <w:tc>
          <w:tcPr>
            <w:tcW w:w="1800" w:type="dxa"/>
            <w:tcBorders>
              <w:top w:val="nil"/>
              <w:left w:val="nil"/>
              <w:bottom w:val="single" w:sz="4" w:space="0" w:color="auto"/>
              <w:right w:val="single" w:sz="4" w:space="0" w:color="auto"/>
            </w:tcBorders>
            <w:shd w:val="clear" w:color="000000" w:fill="FFFFFF"/>
            <w:vAlign w:val="bottom"/>
            <w:hideMark/>
          </w:tcPr>
          <w:p w14:paraId="6D536A32" w14:textId="77777777" w:rsidR="004D37CA" w:rsidRPr="00ED4204" w:rsidRDefault="004D37CA" w:rsidP="00ED4204">
            <w:pPr>
              <w:jc w:val="right"/>
              <w:rPr>
                <w:rFonts w:ascii="Calibri" w:eastAsia="Times New Roman" w:hAnsi="Calibri" w:cs="Calibri"/>
                <w:color w:val="000000"/>
                <w:sz w:val="20"/>
                <w:szCs w:val="20"/>
              </w:rPr>
            </w:pPr>
            <w:r w:rsidRPr="00ED4204">
              <w:rPr>
                <w:rFonts w:ascii="Calibri" w:eastAsia="Times New Roman" w:hAnsi="Calibri" w:cs="Calibri"/>
                <w:color w:val="000000"/>
                <w:sz w:val="20"/>
                <w:szCs w:val="20"/>
              </w:rPr>
              <w:t xml:space="preserve">             312.000,00 </w:t>
            </w:r>
          </w:p>
        </w:tc>
      </w:tr>
      <w:tr w:rsidR="004D37CA" w:rsidRPr="004D37CA" w14:paraId="5E89BC67" w14:textId="77777777" w:rsidTr="00ED4204">
        <w:trPr>
          <w:trHeight w:val="580"/>
        </w:trPr>
        <w:tc>
          <w:tcPr>
            <w:tcW w:w="3685" w:type="dxa"/>
            <w:tcBorders>
              <w:top w:val="nil"/>
              <w:left w:val="single" w:sz="4" w:space="0" w:color="auto"/>
              <w:bottom w:val="single" w:sz="4" w:space="0" w:color="auto"/>
              <w:right w:val="single" w:sz="4" w:space="0" w:color="auto"/>
            </w:tcBorders>
            <w:shd w:val="clear" w:color="000000" w:fill="FFFFFF"/>
            <w:vAlign w:val="bottom"/>
            <w:hideMark/>
          </w:tcPr>
          <w:p w14:paraId="7CE174D3" w14:textId="77777777" w:rsidR="004D37CA" w:rsidRPr="00ED4204" w:rsidRDefault="004D37CA" w:rsidP="004D37CA">
            <w:pPr>
              <w:rPr>
                <w:rFonts w:ascii="Calibri" w:eastAsia="Times New Roman" w:hAnsi="Calibri" w:cs="Calibri"/>
                <w:color w:val="000000"/>
                <w:sz w:val="20"/>
                <w:szCs w:val="20"/>
              </w:rPr>
            </w:pPr>
            <w:r w:rsidRPr="00ED4204">
              <w:rPr>
                <w:rFonts w:ascii="Calibri" w:eastAsia="Times New Roman" w:hAnsi="Calibri" w:cs="Calibri"/>
                <w:color w:val="000000"/>
                <w:sz w:val="20"/>
                <w:szCs w:val="20"/>
              </w:rPr>
              <w:t>Services for removing technical deficiencies for IT System DES</w:t>
            </w:r>
          </w:p>
        </w:tc>
        <w:tc>
          <w:tcPr>
            <w:tcW w:w="1530" w:type="dxa"/>
            <w:tcBorders>
              <w:top w:val="nil"/>
              <w:left w:val="nil"/>
              <w:bottom w:val="single" w:sz="4" w:space="0" w:color="auto"/>
              <w:right w:val="single" w:sz="4" w:space="0" w:color="auto"/>
            </w:tcBorders>
            <w:shd w:val="clear" w:color="000000" w:fill="FFFFFF"/>
            <w:vAlign w:val="bottom"/>
            <w:hideMark/>
          </w:tcPr>
          <w:p w14:paraId="704BBF7B" w14:textId="77777777" w:rsidR="004D37CA" w:rsidRPr="00ED4204" w:rsidRDefault="004D37CA" w:rsidP="004D37CA">
            <w:pPr>
              <w:rPr>
                <w:rFonts w:ascii="Calibri" w:eastAsia="Times New Roman" w:hAnsi="Calibri" w:cs="Calibri"/>
                <w:color w:val="000000"/>
                <w:sz w:val="20"/>
                <w:szCs w:val="20"/>
              </w:rPr>
            </w:pPr>
            <w:r w:rsidRPr="00ED4204">
              <w:rPr>
                <w:rFonts w:ascii="Calibri" w:eastAsia="Times New Roman" w:hAnsi="Calibri" w:cs="Calibri"/>
                <w:color w:val="000000"/>
                <w:sz w:val="20"/>
                <w:szCs w:val="20"/>
              </w:rPr>
              <w:t>Simplified Procedures</w:t>
            </w:r>
          </w:p>
        </w:tc>
        <w:tc>
          <w:tcPr>
            <w:tcW w:w="2340" w:type="dxa"/>
            <w:tcBorders>
              <w:top w:val="nil"/>
              <w:left w:val="nil"/>
              <w:bottom w:val="single" w:sz="4" w:space="0" w:color="auto"/>
              <w:right w:val="single" w:sz="4" w:space="0" w:color="auto"/>
            </w:tcBorders>
            <w:shd w:val="clear" w:color="000000" w:fill="FFFFFF"/>
            <w:vAlign w:val="bottom"/>
            <w:hideMark/>
          </w:tcPr>
          <w:p w14:paraId="24FDC334" w14:textId="77777777" w:rsidR="004D37CA" w:rsidRPr="00ED4204" w:rsidRDefault="004D37CA" w:rsidP="004D37CA">
            <w:pPr>
              <w:rPr>
                <w:rFonts w:ascii="Calibri" w:eastAsia="Times New Roman" w:hAnsi="Calibri" w:cs="Calibri"/>
                <w:color w:val="000000"/>
                <w:sz w:val="20"/>
                <w:szCs w:val="20"/>
              </w:rPr>
            </w:pPr>
            <w:r w:rsidRPr="00ED4204">
              <w:rPr>
                <w:rFonts w:ascii="Calibri" w:eastAsia="Times New Roman" w:hAnsi="Calibri" w:cs="Calibri"/>
                <w:color w:val="000000"/>
                <w:sz w:val="20"/>
                <w:szCs w:val="20"/>
              </w:rPr>
              <w:t>Public Procurement Contract</w:t>
            </w:r>
          </w:p>
        </w:tc>
        <w:tc>
          <w:tcPr>
            <w:tcW w:w="1800" w:type="dxa"/>
            <w:tcBorders>
              <w:top w:val="nil"/>
              <w:left w:val="nil"/>
              <w:bottom w:val="single" w:sz="4" w:space="0" w:color="auto"/>
              <w:right w:val="single" w:sz="4" w:space="0" w:color="auto"/>
            </w:tcBorders>
            <w:shd w:val="clear" w:color="000000" w:fill="FFFFFF"/>
            <w:vAlign w:val="bottom"/>
            <w:hideMark/>
          </w:tcPr>
          <w:p w14:paraId="36365C8F" w14:textId="77777777" w:rsidR="004D37CA" w:rsidRPr="00ED4204" w:rsidRDefault="004D37CA" w:rsidP="00ED4204">
            <w:pPr>
              <w:jc w:val="right"/>
              <w:rPr>
                <w:rFonts w:ascii="Calibri" w:eastAsia="Times New Roman" w:hAnsi="Calibri" w:cs="Calibri"/>
                <w:color w:val="000000"/>
                <w:sz w:val="20"/>
                <w:szCs w:val="20"/>
              </w:rPr>
            </w:pPr>
            <w:r w:rsidRPr="00ED4204">
              <w:rPr>
                <w:rFonts w:ascii="Calibri" w:eastAsia="Times New Roman" w:hAnsi="Calibri" w:cs="Calibri"/>
                <w:color w:val="000000"/>
                <w:sz w:val="20"/>
                <w:szCs w:val="20"/>
              </w:rPr>
              <w:t xml:space="preserve">             123.490,00 </w:t>
            </w:r>
          </w:p>
        </w:tc>
      </w:tr>
      <w:tr w:rsidR="004D37CA" w:rsidRPr="004D37CA" w14:paraId="061BCD42" w14:textId="77777777" w:rsidTr="00ED4204">
        <w:trPr>
          <w:trHeight w:val="290"/>
        </w:trPr>
        <w:tc>
          <w:tcPr>
            <w:tcW w:w="3685" w:type="dxa"/>
            <w:tcBorders>
              <w:top w:val="nil"/>
              <w:left w:val="single" w:sz="4" w:space="0" w:color="auto"/>
              <w:bottom w:val="single" w:sz="4" w:space="0" w:color="auto"/>
              <w:right w:val="single" w:sz="4" w:space="0" w:color="auto"/>
            </w:tcBorders>
            <w:shd w:val="clear" w:color="000000" w:fill="FFFFFF"/>
            <w:vAlign w:val="bottom"/>
            <w:hideMark/>
          </w:tcPr>
          <w:p w14:paraId="650DAF2E" w14:textId="77777777" w:rsidR="004D37CA" w:rsidRPr="00ED4204" w:rsidRDefault="004D37CA" w:rsidP="004D37CA">
            <w:pPr>
              <w:rPr>
                <w:rFonts w:ascii="Calibri" w:eastAsia="Times New Roman" w:hAnsi="Calibri" w:cs="Calibri"/>
                <w:color w:val="000000"/>
                <w:sz w:val="20"/>
                <w:szCs w:val="20"/>
              </w:rPr>
            </w:pPr>
            <w:r w:rsidRPr="00ED4204">
              <w:rPr>
                <w:rFonts w:ascii="Calibri" w:eastAsia="Times New Roman" w:hAnsi="Calibri" w:cs="Calibri"/>
                <w:color w:val="000000"/>
                <w:sz w:val="20"/>
                <w:szCs w:val="20"/>
              </w:rPr>
              <w:t>IT Maintenance Services</w:t>
            </w:r>
          </w:p>
        </w:tc>
        <w:tc>
          <w:tcPr>
            <w:tcW w:w="1530" w:type="dxa"/>
            <w:tcBorders>
              <w:top w:val="nil"/>
              <w:left w:val="nil"/>
              <w:bottom w:val="single" w:sz="4" w:space="0" w:color="auto"/>
              <w:right w:val="single" w:sz="4" w:space="0" w:color="auto"/>
            </w:tcBorders>
            <w:shd w:val="clear" w:color="000000" w:fill="FFFFFF"/>
            <w:vAlign w:val="bottom"/>
            <w:hideMark/>
          </w:tcPr>
          <w:p w14:paraId="590669E7" w14:textId="77777777" w:rsidR="004D37CA" w:rsidRPr="00ED4204" w:rsidRDefault="004D37CA" w:rsidP="004D37CA">
            <w:pPr>
              <w:rPr>
                <w:rFonts w:ascii="Calibri" w:eastAsia="Times New Roman" w:hAnsi="Calibri" w:cs="Calibri"/>
                <w:color w:val="000000"/>
                <w:sz w:val="20"/>
                <w:szCs w:val="20"/>
              </w:rPr>
            </w:pPr>
            <w:r w:rsidRPr="00ED4204">
              <w:rPr>
                <w:rFonts w:ascii="Calibri" w:eastAsia="Times New Roman" w:hAnsi="Calibri" w:cs="Calibri"/>
                <w:color w:val="000000"/>
                <w:sz w:val="20"/>
                <w:szCs w:val="20"/>
              </w:rPr>
              <w:t>Simplified Procedures</w:t>
            </w:r>
          </w:p>
        </w:tc>
        <w:tc>
          <w:tcPr>
            <w:tcW w:w="2340" w:type="dxa"/>
            <w:tcBorders>
              <w:top w:val="nil"/>
              <w:left w:val="nil"/>
              <w:bottom w:val="single" w:sz="4" w:space="0" w:color="auto"/>
              <w:right w:val="single" w:sz="4" w:space="0" w:color="auto"/>
            </w:tcBorders>
            <w:shd w:val="clear" w:color="000000" w:fill="FFFFFF"/>
            <w:vAlign w:val="bottom"/>
            <w:hideMark/>
          </w:tcPr>
          <w:p w14:paraId="661995DD" w14:textId="77777777" w:rsidR="004D37CA" w:rsidRPr="00ED4204" w:rsidRDefault="004D37CA" w:rsidP="004D37CA">
            <w:pPr>
              <w:rPr>
                <w:rFonts w:ascii="Calibri" w:eastAsia="Times New Roman" w:hAnsi="Calibri" w:cs="Calibri"/>
                <w:color w:val="000000"/>
                <w:sz w:val="20"/>
                <w:szCs w:val="20"/>
              </w:rPr>
            </w:pPr>
            <w:r w:rsidRPr="00ED4204">
              <w:rPr>
                <w:rFonts w:ascii="Calibri" w:eastAsia="Times New Roman" w:hAnsi="Calibri" w:cs="Calibri"/>
                <w:color w:val="000000"/>
                <w:sz w:val="20"/>
                <w:szCs w:val="20"/>
              </w:rPr>
              <w:t>Public Procurement Contract</w:t>
            </w:r>
          </w:p>
        </w:tc>
        <w:tc>
          <w:tcPr>
            <w:tcW w:w="1800" w:type="dxa"/>
            <w:tcBorders>
              <w:top w:val="nil"/>
              <w:left w:val="nil"/>
              <w:bottom w:val="single" w:sz="4" w:space="0" w:color="auto"/>
              <w:right w:val="single" w:sz="4" w:space="0" w:color="auto"/>
            </w:tcBorders>
            <w:shd w:val="clear" w:color="000000" w:fill="FFFFFF"/>
            <w:vAlign w:val="bottom"/>
            <w:hideMark/>
          </w:tcPr>
          <w:p w14:paraId="7E971C0B" w14:textId="77777777" w:rsidR="004D37CA" w:rsidRPr="00ED4204" w:rsidRDefault="004D37CA" w:rsidP="00ED4204">
            <w:pPr>
              <w:jc w:val="right"/>
              <w:rPr>
                <w:rFonts w:ascii="Calibri" w:eastAsia="Times New Roman" w:hAnsi="Calibri" w:cs="Calibri"/>
                <w:color w:val="000000"/>
                <w:sz w:val="20"/>
                <w:szCs w:val="20"/>
              </w:rPr>
            </w:pPr>
            <w:r w:rsidRPr="00ED4204">
              <w:rPr>
                <w:rFonts w:ascii="Calibri" w:eastAsia="Times New Roman" w:hAnsi="Calibri" w:cs="Calibri"/>
                <w:color w:val="000000"/>
                <w:sz w:val="20"/>
                <w:szCs w:val="20"/>
              </w:rPr>
              <w:t xml:space="preserve">             114.636,00 </w:t>
            </w:r>
          </w:p>
        </w:tc>
      </w:tr>
      <w:tr w:rsidR="00E26917" w:rsidRPr="004D37CA" w14:paraId="216899C4" w14:textId="77777777" w:rsidTr="00ED4204">
        <w:trPr>
          <w:trHeight w:val="290"/>
        </w:trPr>
        <w:tc>
          <w:tcPr>
            <w:tcW w:w="3685" w:type="dxa"/>
            <w:tcBorders>
              <w:top w:val="nil"/>
              <w:left w:val="single" w:sz="4" w:space="0" w:color="auto"/>
              <w:bottom w:val="single" w:sz="4" w:space="0" w:color="auto"/>
              <w:right w:val="single" w:sz="4" w:space="0" w:color="auto"/>
            </w:tcBorders>
            <w:shd w:val="clear" w:color="auto" w:fill="auto"/>
            <w:vAlign w:val="bottom"/>
            <w:hideMark/>
          </w:tcPr>
          <w:p w14:paraId="739E08CF" w14:textId="77777777" w:rsidR="00E26917" w:rsidRPr="00ED4204" w:rsidRDefault="00E26917" w:rsidP="00E26917">
            <w:pPr>
              <w:rPr>
                <w:rFonts w:ascii="Calibri" w:eastAsia="Times New Roman" w:hAnsi="Calibri" w:cs="Calibri"/>
                <w:color w:val="000000"/>
                <w:sz w:val="20"/>
                <w:szCs w:val="20"/>
              </w:rPr>
            </w:pPr>
            <w:r w:rsidRPr="00ED4204">
              <w:rPr>
                <w:rFonts w:ascii="Calibri" w:eastAsia="Times New Roman" w:hAnsi="Calibri" w:cs="Calibri"/>
                <w:color w:val="000000"/>
                <w:sz w:val="20"/>
                <w:szCs w:val="20"/>
              </w:rPr>
              <w:t>Postal Services (26 months)</w:t>
            </w:r>
          </w:p>
        </w:tc>
        <w:tc>
          <w:tcPr>
            <w:tcW w:w="1530" w:type="dxa"/>
            <w:tcBorders>
              <w:top w:val="nil"/>
              <w:left w:val="nil"/>
              <w:bottom w:val="single" w:sz="4" w:space="0" w:color="auto"/>
              <w:right w:val="single" w:sz="4" w:space="0" w:color="auto"/>
            </w:tcBorders>
            <w:shd w:val="clear" w:color="auto" w:fill="auto"/>
            <w:vAlign w:val="bottom"/>
            <w:hideMark/>
          </w:tcPr>
          <w:p w14:paraId="10C4D102" w14:textId="77777777" w:rsidR="00E26917" w:rsidRPr="00ED4204" w:rsidRDefault="00E26917" w:rsidP="00E26917">
            <w:pPr>
              <w:rPr>
                <w:rFonts w:ascii="Calibri" w:eastAsia="Times New Roman" w:hAnsi="Calibri" w:cs="Calibri"/>
                <w:color w:val="000000"/>
                <w:sz w:val="20"/>
                <w:szCs w:val="20"/>
              </w:rPr>
            </w:pPr>
            <w:r w:rsidRPr="00ED4204">
              <w:rPr>
                <w:rFonts w:ascii="Calibri" w:eastAsia="Times New Roman" w:hAnsi="Calibri" w:cs="Calibri"/>
                <w:color w:val="000000"/>
                <w:sz w:val="20"/>
                <w:szCs w:val="20"/>
              </w:rPr>
              <w:t>Open Tender</w:t>
            </w:r>
          </w:p>
        </w:tc>
        <w:tc>
          <w:tcPr>
            <w:tcW w:w="2340" w:type="dxa"/>
            <w:tcBorders>
              <w:top w:val="nil"/>
              <w:left w:val="nil"/>
              <w:bottom w:val="single" w:sz="4" w:space="0" w:color="auto"/>
              <w:right w:val="single" w:sz="4" w:space="0" w:color="auto"/>
            </w:tcBorders>
            <w:shd w:val="clear" w:color="auto" w:fill="auto"/>
            <w:vAlign w:val="bottom"/>
            <w:hideMark/>
          </w:tcPr>
          <w:p w14:paraId="6992EB1A" w14:textId="2D669183" w:rsidR="00E26917" w:rsidRPr="00ED4204" w:rsidRDefault="00E26917" w:rsidP="00E26917">
            <w:pPr>
              <w:rPr>
                <w:rFonts w:ascii="Calibri" w:eastAsia="Times New Roman" w:hAnsi="Calibri" w:cs="Calibri"/>
                <w:color w:val="000000"/>
                <w:sz w:val="20"/>
                <w:szCs w:val="20"/>
              </w:rPr>
            </w:pPr>
            <w:r w:rsidRPr="00ED4204">
              <w:rPr>
                <w:rFonts w:ascii="Calibri" w:eastAsia="Times New Roman" w:hAnsi="Calibri" w:cs="Calibri"/>
                <w:color w:val="000000"/>
                <w:sz w:val="20"/>
                <w:szCs w:val="20"/>
              </w:rPr>
              <w:t>Framework Agreement</w:t>
            </w:r>
          </w:p>
        </w:tc>
        <w:tc>
          <w:tcPr>
            <w:tcW w:w="1800" w:type="dxa"/>
            <w:tcBorders>
              <w:top w:val="nil"/>
              <w:left w:val="nil"/>
              <w:bottom w:val="single" w:sz="4" w:space="0" w:color="auto"/>
              <w:right w:val="single" w:sz="4" w:space="0" w:color="auto"/>
            </w:tcBorders>
            <w:shd w:val="clear" w:color="auto" w:fill="auto"/>
            <w:vAlign w:val="bottom"/>
            <w:hideMark/>
          </w:tcPr>
          <w:p w14:paraId="4452392F" w14:textId="77777777" w:rsidR="00E26917" w:rsidRPr="00ED4204" w:rsidRDefault="00E26917" w:rsidP="00ED4204">
            <w:pPr>
              <w:jc w:val="right"/>
              <w:rPr>
                <w:rFonts w:ascii="Calibri" w:eastAsia="Times New Roman" w:hAnsi="Calibri" w:cs="Calibri"/>
                <w:color w:val="000000"/>
                <w:sz w:val="20"/>
                <w:szCs w:val="20"/>
              </w:rPr>
            </w:pPr>
            <w:r w:rsidRPr="00ED4204">
              <w:rPr>
                <w:rFonts w:ascii="Calibri" w:eastAsia="Times New Roman" w:hAnsi="Calibri" w:cs="Calibri"/>
                <w:color w:val="000000"/>
                <w:sz w:val="20"/>
                <w:szCs w:val="20"/>
              </w:rPr>
              <w:t xml:space="preserve">          7.544.466,70 </w:t>
            </w:r>
          </w:p>
        </w:tc>
      </w:tr>
      <w:tr w:rsidR="00E26917" w:rsidRPr="004D37CA" w14:paraId="1279C4D4" w14:textId="77777777" w:rsidTr="00ED4204">
        <w:trPr>
          <w:trHeight w:val="290"/>
        </w:trPr>
        <w:tc>
          <w:tcPr>
            <w:tcW w:w="3685" w:type="dxa"/>
            <w:tcBorders>
              <w:top w:val="nil"/>
              <w:left w:val="single" w:sz="4" w:space="0" w:color="auto"/>
              <w:bottom w:val="single" w:sz="4" w:space="0" w:color="auto"/>
              <w:right w:val="single" w:sz="4" w:space="0" w:color="auto"/>
            </w:tcBorders>
            <w:shd w:val="clear" w:color="auto" w:fill="auto"/>
            <w:vAlign w:val="bottom"/>
            <w:hideMark/>
          </w:tcPr>
          <w:p w14:paraId="44DFB7F0" w14:textId="77777777" w:rsidR="00E26917" w:rsidRPr="00ED4204" w:rsidRDefault="00E26917" w:rsidP="00E26917">
            <w:pPr>
              <w:rPr>
                <w:rFonts w:ascii="Calibri" w:eastAsia="Times New Roman" w:hAnsi="Calibri" w:cs="Calibri"/>
                <w:color w:val="000000"/>
                <w:sz w:val="20"/>
                <w:szCs w:val="20"/>
              </w:rPr>
            </w:pPr>
            <w:r w:rsidRPr="00ED4204">
              <w:rPr>
                <w:rFonts w:ascii="Calibri" w:eastAsia="Times New Roman" w:hAnsi="Calibri" w:cs="Calibri"/>
                <w:color w:val="000000"/>
                <w:sz w:val="20"/>
                <w:szCs w:val="20"/>
              </w:rPr>
              <w:t>Archiving Services</w:t>
            </w:r>
          </w:p>
        </w:tc>
        <w:tc>
          <w:tcPr>
            <w:tcW w:w="1530" w:type="dxa"/>
            <w:tcBorders>
              <w:top w:val="nil"/>
              <w:left w:val="nil"/>
              <w:bottom w:val="single" w:sz="4" w:space="0" w:color="auto"/>
              <w:right w:val="single" w:sz="4" w:space="0" w:color="auto"/>
            </w:tcBorders>
            <w:shd w:val="clear" w:color="auto" w:fill="auto"/>
            <w:vAlign w:val="bottom"/>
            <w:hideMark/>
          </w:tcPr>
          <w:p w14:paraId="55A053D1" w14:textId="77777777" w:rsidR="00E26917" w:rsidRPr="00ED4204" w:rsidRDefault="00E26917" w:rsidP="00E26917">
            <w:pPr>
              <w:rPr>
                <w:rFonts w:ascii="Calibri" w:eastAsia="Times New Roman" w:hAnsi="Calibri" w:cs="Calibri"/>
                <w:color w:val="000000"/>
                <w:sz w:val="20"/>
                <w:szCs w:val="20"/>
              </w:rPr>
            </w:pPr>
            <w:r w:rsidRPr="00ED4204">
              <w:rPr>
                <w:rFonts w:ascii="Calibri" w:eastAsia="Times New Roman" w:hAnsi="Calibri" w:cs="Calibri"/>
                <w:color w:val="000000"/>
                <w:sz w:val="20"/>
                <w:szCs w:val="20"/>
              </w:rPr>
              <w:t>Open Tender</w:t>
            </w:r>
          </w:p>
        </w:tc>
        <w:tc>
          <w:tcPr>
            <w:tcW w:w="2340" w:type="dxa"/>
            <w:tcBorders>
              <w:top w:val="nil"/>
              <w:left w:val="nil"/>
              <w:bottom w:val="single" w:sz="4" w:space="0" w:color="auto"/>
              <w:right w:val="single" w:sz="4" w:space="0" w:color="auto"/>
            </w:tcBorders>
            <w:shd w:val="clear" w:color="auto" w:fill="auto"/>
            <w:vAlign w:val="bottom"/>
            <w:hideMark/>
          </w:tcPr>
          <w:p w14:paraId="02BC6CC5" w14:textId="669D0E08" w:rsidR="00E26917" w:rsidRPr="00ED4204" w:rsidRDefault="00E26917" w:rsidP="00E26917">
            <w:pPr>
              <w:rPr>
                <w:rFonts w:ascii="Calibri" w:eastAsia="Times New Roman" w:hAnsi="Calibri" w:cs="Calibri"/>
                <w:color w:val="000000"/>
                <w:sz w:val="20"/>
                <w:szCs w:val="20"/>
              </w:rPr>
            </w:pPr>
            <w:r w:rsidRPr="00ED4204">
              <w:rPr>
                <w:rFonts w:ascii="Calibri" w:eastAsia="Times New Roman" w:hAnsi="Calibri" w:cs="Calibri"/>
                <w:color w:val="000000"/>
                <w:sz w:val="20"/>
                <w:szCs w:val="20"/>
              </w:rPr>
              <w:t>Framework Agreement</w:t>
            </w:r>
          </w:p>
        </w:tc>
        <w:tc>
          <w:tcPr>
            <w:tcW w:w="1800" w:type="dxa"/>
            <w:tcBorders>
              <w:top w:val="nil"/>
              <w:left w:val="nil"/>
              <w:bottom w:val="single" w:sz="4" w:space="0" w:color="auto"/>
              <w:right w:val="single" w:sz="4" w:space="0" w:color="auto"/>
            </w:tcBorders>
            <w:shd w:val="clear" w:color="auto" w:fill="auto"/>
            <w:vAlign w:val="bottom"/>
            <w:hideMark/>
          </w:tcPr>
          <w:p w14:paraId="11A56E01" w14:textId="77777777" w:rsidR="00E26917" w:rsidRPr="00ED4204" w:rsidRDefault="00E26917" w:rsidP="00ED4204">
            <w:pPr>
              <w:jc w:val="right"/>
              <w:rPr>
                <w:rFonts w:ascii="Calibri" w:eastAsia="Times New Roman" w:hAnsi="Calibri" w:cs="Calibri"/>
                <w:color w:val="000000"/>
                <w:sz w:val="20"/>
                <w:szCs w:val="20"/>
              </w:rPr>
            </w:pPr>
            <w:r w:rsidRPr="00ED4204">
              <w:rPr>
                <w:rFonts w:ascii="Calibri" w:eastAsia="Times New Roman" w:hAnsi="Calibri" w:cs="Calibri"/>
                <w:color w:val="000000"/>
                <w:sz w:val="20"/>
                <w:szCs w:val="20"/>
              </w:rPr>
              <w:t xml:space="preserve">             966.250,00 </w:t>
            </w:r>
          </w:p>
        </w:tc>
      </w:tr>
      <w:tr w:rsidR="00E26917" w:rsidRPr="004D37CA" w14:paraId="280F1E16" w14:textId="77777777" w:rsidTr="00ED4204">
        <w:trPr>
          <w:trHeight w:val="290"/>
        </w:trPr>
        <w:tc>
          <w:tcPr>
            <w:tcW w:w="3685" w:type="dxa"/>
            <w:tcBorders>
              <w:top w:val="nil"/>
              <w:left w:val="single" w:sz="4" w:space="0" w:color="auto"/>
              <w:bottom w:val="single" w:sz="4" w:space="0" w:color="auto"/>
              <w:right w:val="single" w:sz="4" w:space="0" w:color="auto"/>
            </w:tcBorders>
            <w:shd w:val="clear" w:color="auto" w:fill="auto"/>
            <w:vAlign w:val="bottom"/>
            <w:hideMark/>
          </w:tcPr>
          <w:p w14:paraId="6480C6CA" w14:textId="77777777" w:rsidR="00E26917" w:rsidRPr="00ED4204" w:rsidRDefault="00E26917" w:rsidP="00E26917">
            <w:pPr>
              <w:rPr>
                <w:rFonts w:ascii="Calibri" w:eastAsia="Times New Roman" w:hAnsi="Calibri" w:cs="Calibri"/>
                <w:color w:val="000000"/>
                <w:sz w:val="20"/>
                <w:szCs w:val="20"/>
              </w:rPr>
            </w:pPr>
            <w:r w:rsidRPr="00ED4204">
              <w:rPr>
                <w:rFonts w:ascii="Calibri" w:eastAsia="Times New Roman" w:hAnsi="Calibri" w:cs="Calibri"/>
                <w:color w:val="000000"/>
                <w:sz w:val="20"/>
                <w:szCs w:val="20"/>
              </w:rPr>
              <w:t>Security Services</w:t>
            </w:r>
          </w:p>
        </w:tc>
        <w:tc>
          <w:tcPr>
            <w:tcW w:w="1530" w:type="dxa"/>
            <w:tcBorders>
              <w:top w:val="nil"/>
              <w:left w:val="nil"/>
              <w:bottom w:val="single" w:sz="4" w:space="0" w:color="auto"/>
              <w:right w:val="single" w:sz="4" w:space="0" w:color="auto"/>
            </w:tcBorders>
            <w:shd w:val="clear" w:color="auto" w:fill="auto"/>
            <w:vAlign w:val="bottom"/>
            <w:hideMark/>
          </w:tcPr>
          <w:p w14:paraId="3B57220D" w14:textId="77777777" w:rsidR="00E26917" w:rsidRPr="00ED4204" w:rsidRDefault="00E26917" w:rsidP="00E26917">
            <w:pPr>
              <w:rPr>
                <w:rFonts w:ascii="Calibri" w:eastAsia="Times New Roman" w:hAnsi="Calibri" w:cs="Calibri"/>
                <w:color w:val="000000"/>
                <w:sz w:val="20"/>
                <w:szCs w:val="20"/>
              </w:rPr>
            </w:pPr>
            <w:r w:rsidRPr="00ED4204">
              <w:rPr>
                <w:rFonts w:ascii="Calibri" w:eastAsia="Times New Roman" w:hAnsi="Calibri" w:cs="Calibri"/>
                <w:color w:val="000000"/>
                <w:sz w:val="20"/>
                <w:szCs w:val="20"/>
              </w:rPr>
              <w:t>Simplified Procedures</w:t>
            </w:r>
          </w:p>
        </w:tc>
        <w:tc>
          <w:tcPr>
            <w:tcW w:w="2340" w:type="dxa"/>
            <w:tcBorders>
              <w:top w:val="nil"/>
              <w:left w:val="nil"/>
              <w:bottom w:val="single" w:sz="4" w:space="0" w:color="auto"/>
              <w:right w:val="single" w:sz="4" w:space="0" w:color="auto"/>
            </w:tcBorders>
            <w:shd w:val="clear" w:color="auto" w:fill="auto"/>
            <w:vAlign w:val="bottom"/>
            <w:hideMark/>
          </w:tcPr>
          <w:p w14:paraId="18C2316E" w14:textId="77777777" w:rsidR="00E26917" w:rsidRPr="00ED4204" w:rsidRDefault="00E26917" w:rsidP="00E26917">
            <w:pPr>
              <w:rPr>
                <w:rFonts w:ascii="Calibri" w:eastAsia="Times New Roman" w:hAnsi="Calibri" w:cs="Calibri"/>
                <w:color w:val="000000"/>
                <w:sz w:val="20"/>
                <w:szCs w:val="20"/>
              </w:rPr>
            </w:pPr>
            <w:r w:rsidRPr="00ED4204">
              <w:rPr>
                <w:rFonts w:ascii="Calibri" w:eastAsia="Times New Roman" w:hAnsi="Calibri" w:cs="Calibri"/>
                <w:color w:val="000000"/>
                <w:sz w:val="20"/>
                <w:szCs w:val="20"/>
              </w:rPr>
              <w:t>Public Procurement Contract</w:t>
            </w:r>
          </w:p>
        </w:tc>
        <w:tc>
          <w:tcPr>
            <w:tcW w:w="1800" w:type="dxa"/>
            <w:tcBorders>
              <w:top w:val="nil"/>
              <w:left w:val="nil"/>
              <w:bottom w:val="single" w:sz="4" w:space="0" w:color="auto"/>
              <w:right w:val="single" w:sz="4" w:space="0" w:color="auto"/>
            </w:tcBorders>
            <w:shd w:val="clear" w:color="auto" w:fill="auto"/>
            <w:vAlign w:val="bottom"/>
            <w:hideMark/>
          </w:tcPr>
          <w:p w14:paraId="6CEF013B" w14:textId="77777777" w:rsidR="00E26917" w:rsidRPr="00ED4204" w:rsidRDefault="00E26917" w:rsidP="00ED4204">
            <w:pPr>
              <w:jc w:val="right"/>
              <w:rPr>
                <w:rFonts w:ascii="Calibri" w:eastAsia="Times New Roman" w:hAnsi="Calibri" w:cs="Calibri"/>
                <w:color w:val="000000"/>
                <w:sz w:val="20"/>
                <w:szCs w:val="20"/>
              </w:rPr>
            </w:pPr>
            <w:r w:rsidRPr="00ED4204">
              <w:rPr>
                <w:rFonts w:ascii="Calibri" w:eastAsia="Times New Roman" w:hAnsi="Calibri" w:cs="Calibri"/>
                <w:color w:val="000000"/>
                <w:sz w:val="20"/>
                <w:szCs w:val="20"/>
              </w:rPr>
              <w:t xml:space="preserve">               72.000,00 </w:t>
            </w:r>
          </w:p>
        </w:tc>
      </w:tr>
      <w:tr w:rsidR="00E26917" w:rsidRPr="004D37CA" w14:paraId="34E667CF" w14:textId="77777777" w:rsidTr="00ED4204">
        <w:trPr>
          <w:trHeight w:val="290"/>
        </w:trPr>
        <w:tc>
          <w:tcPr>
            <w:tcW w:w="3685" w:type="dxa"/>
            <w:tcBorders>
              <w:top w:val="nil"/>
              <w:left w:val="single" w:sz="4" w:space="0" w:color="auto"/>
              <w:bottom w:val="single" w:sz="4" w:space="0" w:color="auto"/>
              <w:right w:val="single" w:sz="4" w:space="0" w:color="auto"/>
            </w:tcBorders>
            <w:shd w:val="clear" w:color="auto" w:fill="auto"/>
            <w:vAlign w:val="bottom"/>
            <w:hideMark/>
          </w:tcPr>
          <w:p w14:paraId="6701E9F6" w14:textId="77777777" w:rsidR="00E26917" w:rsidRPr="00ED4204" w:rsidRDefault="00E26917" w:rsidP="00E26917">
            <w:pPr>
              <w:rPr>
                <w:rFonts w:ascii="Calibri" w:eastAsia="Times New Roman" w:hAnsi="Calibri" w:cs="Calibri"/>
                <w:color w:val="000000"/>
                <w:sz w:val="20"/>
                <w:szCs w:val="20"/>
              </w:rPr>
            </w:pPr>
            <w:r w:rsidRPr="00ED4204">
              <w:rPr>
                <w:rFonts w:ascii="Calibri" w:eastAsia="Times New Roman" w:hAnsi="Calibri" w:cs="Calibri"/>
                <w:color w:val="000000"/>
                <w:sz w:val="20"/>
                <w:szCs w:val="20"/>
              </w:rPr>
              <w:t>Security Services</w:t>
            </w:r>
          </w:p>
        </w:tc>
        <w:tc>
          <w:tcPr>
            <w:tcW w:w="1530" w:type="dxa"/>
            <w:tcBorders>
              <w:top w:val="nil"/>
              <w:left w:val="nil"/>
              <w:bottom w:val="single" w:sz="4" w:space="0" w:color="auto"/>
              <w:right w:val="single" w:sz="4" w:space="0" w:color="auto"/>
            </w:tcBorders>
            <w:shd w:val="clear" w:color="auto" w:fill="auto"/>
            <w:vAlign w:val="bottom"/>
            <w:hideMark/>
          </w:tcPr>
          <w:p w14:paraId="4F797681" w14:textId="77777777" w:rsidR="00E26917" w:rsidRPr="00ED4204" w:rsidRDefault="00E26917" w:rsidP="00E26917">
            <w:pPr>
              <w:rPr>
                <w:rFonts w:ascii="Calibri" w:eastAsia="Times New Roman" w:hAnsi="Calibri" w:cs="Calibri"/>
                <w:color w:val="000000"/>
                <w:sz w:val="20"/>
                <w:szCs w:val="20"/>
              </w:rPr>
            </w:pPr>
            <w:r w:rsidRPr="00ED4204">
              <w:rPr>
                <w:rFonts w:ascii="Calibri" w:eastAsia="Times New Roman" w:hAnsi="Calibri" w:cs="Calibri"/>
                <w:color w:val="000000"/>
                <w:sz w:val="20"/>
                <w:szCs w:val="20"/>
              </w:rPr>
              <w:t>Simplified Procedures</w:t>
            </w:r>
          </w:p>
        </w:tc>
        <w:tc>
          <w:tcPr>
            <w:tcW w:w="2340" w:type="dxa"/>
            <w:tcBorders>
              <w:top w:val="nil"/>
              <w:left w:val="nil"/>
              <w:bottom w:val="single" w:sz="4" w:space="0" w:color="auto"/>
              <w:right w:val="single" w:sz="4" w:space="0" w:color="auto"/>
            </w:tcBorders>
            <w:shd w:val="clear" w:color="auto" w:fill="auto"/>
            <w:vAlign w:val="bottom"/>
            <w:hideMark/>
          </w:tcPr>
          <w:p w14:paraId="01C42189" w14:textId="77777777" w:rsidR="00E26917" w:rsidRPr="00ED4204" w:rsidRDefault="00E26917" w:rsidP="00E26917">
            <w:pPr>
              <w:rPr>
                <w:rFonts w:ascii="Calibri" w:eastAsia="Times New Roman" w:hAnsi="Calibri" w:cs="Calibri"/>
                <w:color w:val="000000"/>
                <w:sz w:val="20"/>
                <w:szCs w:val="20"/>
              </w:rPr>
            </w:pPr>
            <w:r w:rsidRPr="00ED4204">
              <w:rPr>
                <w:rFonts w:ascii="Calibri" w:eastAsia="Times New Roman" w:hAnsi="Calibri" w:cs="Calibri"/>
                <w:color w:val="000000"/>
                <w:sz w:val="20"/>
                <w:szCs w:val="20"/>
              </w:rPr>
              <w:t>Public Procurement Contract</w:t>
            </w:r>
          </w:p>
        </w:tc>
        <w:tc>
          <w:tcPr>
            <w:tcW w:w="1800" w:type="dxa"/>
            <w:tcBorders>
              <w:top w:val="nil"/>
              <w:left w:val="nil"/>
              <w:bottom w:val="single" w:sz="4" w:space="0" w:color="auto"/>
              <w:right w:val="single" w:sz="4" w:space="0" w:color="auto"/>
            </w:tcBorders>
            <w:shd w:val="clear" w:color="auto" w:fill="auto"/>
            <w:vAlign w:val="bottom"/>
            <w:hideMark/>
          </w:tcPr>
          <w:p w14:paraId="5C47431C" w14:textId="77777777" w:rsidR="00E26917" w:rsidRPr="00ED4204" w:rsidRDefault="00E26917" w:rsidP="00ED4204">
            <w:pPr>
              <w:jc w:val="right"/>
              <w:rPr>
                <w:rFonts w:ascii="Calibri" w:eastAsia="Times New Roman" w:hAnsi="Calibri" w:cs="Calibri"/>
                <w:color w:val="000000"/>
                <w:sz w:val="20"/>
                <w:szCs w:val="20"/>
              </w:rPr>
            </w:pPr>
            <w:r w:rsidRPr="00ED4204">
              <w:rPr>
                <w:rFonts w:ascii="Calibri" w:eastAsia="Times New Roman" w:hAnsi="Calibri" w:cs="Calibri"/>
                <w:color w:val="000000"/>
                <w:sz w:val="20"/>
                <w:szCs w:val="20"/>
              </w:rPr>
              <w:t xml:space="preserve">             140.833,00 </w:t>
            </w:r>
          </w:p>
        </w:tc>
      </w:tr>
      <w:tr w:rsidR="00E26917" w:rsidRPr="004D37CA" w14:paraId="22DBB2F3" w14:textId="77777777" w:rsidTr="00ED4204">
        <w:trPr>
          <w:trHeight w:val="290"/>
        </w:trPr>
        <w:tc>
          <w:tcPr>
            <w:tcW w:w="3685" w:type="dxa"/>
            <w:tcBorders>
              <w:top w:val="nil"/>
              <w:left w:val="single" w:sz="4" w:space="0" w:color="auto"/>
              <w:bottom w:val="single" w:sz="4" w:space="0" w:color="auto"/>
              <w:right w:val="single" w:sz="4" w:space="0" w:color="auto"/>
            </w:tcBorders>
            <w:shd w:val="clear" w:color="auto" w:fill="auto"/>
            <w:vAlign w:val="bottom"/>
            <w:hideMark/>
          </w:tcPr>
          <w:p w14:paraId="06294A7E" w14:textId="77777777" w:rsidR="00E26917" w:rsidRPr="00ED4204" w:rsidRDefault="00E26917" w:rsidP="00E26917">
            <w:pPr>
              <w:rPr>
                <w:rFonts w:ascii="Calibri" w:eastAsia="Times New Roman" w:hAnsi="Calibri" w:cs="Calibri"/>
                <w:color w:val="000000"/>
                <w:sz w:val="20"/>
                <w:szCs w:val="20"/>
              </w:rPr>
            </w:pPr>
            <w:r w:rsidRPr="00ED4204">
              <w:rPr>
                <w:rFonts w:ascii="Calibri" w:eastAsia="Times New Roman" w:hAnsi="Calibri" w:cs="Calibri"/>
                <w:color w:val="000000"/>
                <w:sz w:val="20"/>
                <w:szCs w:val="20"/>
              </w:rPr>
              <w:t>Cleaning Services</w:t>
            </w:r>
          </w:p>
        </w:tc>
        <w:tc>
          <w:tcPr>
            <w:tcW w:w="1530" w:type="dxa"/>
            <w:tcBorders>
              <w:top w:val="nil"/>
              <w:left w:val="nil"/>
              <w:bottom w:val="single" w:sz="4" w:space="0" w:color="auto"/>
              <w:right w:val="single" w:sz="4" w:space="0" w:color="auto"/>
            </w:tcBorders>
            <w:shd w:val="clear" w:color="auto" w:fill="auto"/>
            <w:vAlign w:val="bottom"/>
            <w:hideMark/>
          </w:tcPr>
          <w:p w14:paraId="791B7287" w14:textId="77777777" w:rsidR="00E26917" w:rsidRPr="00ED4204" w:rsidRDefault="00E26917" w:rsidP="00E26917">
            <w:pPr>
              <w:rPr>
                <w:rFonts w:ascii="Calibri" w:eastAsia="Times New Roman" w:hAnsi="Calibri" w:cs="Calibri"/>
                <w:color w:val="000000"/>
                <w:sz w:val="20"/>
                <w:szCs w:val="20"/>
              </w:rPr>
            </w:pPr>
            <w:r w:rsidRPr="00ED4204">
              <w:rPr>
                <w:rFonts w:ascii="Calibri" w:eastAsia="Times New Roman" w:hAnsi="Calibri" w:cs="Calibri"/>
                <w:color w:val="000000"/>
                <w:sz w:val="20"/>
                <w:szCs w:val="20"/>
              </w:rPr>
              <w:t>Simplified Procedures</w:t>
            </w:r>
          </w:p>
        </w:tc>
        <w:tc>
          <w:tcPr>
            <w:tcW w:w="2340" w:type="dxa"/>
            <w:tcBorders>
              <w:top w:val="nil"/>
              <w:left w:val="nil"/>
              <w:bottom w:val="single" w:sz="4" w:space="0" w:color="auto"/>
              <w:right w:val="single" w:sz="4" w:space="0" w:color="auto"/>
            </w:tcBorders>
            <w:shd w:val="clear" w:color="auto" w:fill="auto"/>
            <w:vAlign w:val="bottom"/>
            <w:hideMark/>
          </w:tcPr>
          <w:p w14:paraId="2D058C12" w14:textId="77777777" w:rsidR="00E26917" w:rsidRPr="00ED4204" w:rsidRDefault="00E26917" w:rsidP="00E26917">
            <w:pPr>
              <w:rPr>
                <w:rFonts w:ascii="Calibri" w:eastAsia="Times New Roman" w:hAnsi="Calibri" w:cs="Calibri"/>
                <w:color w:val="000000"/>
                <w:sz w:val="20"/>
                <w:szCs w:val="20"/>
              </w:rPr>
            </w:pPr>
            <w:r w:rsidRPr="00ED4204">
              <w:rPr>
                <w:rFonts w:ascii="Calibri" w:eastAsia="Times New Roman" w:hAnsi="Calibri" w:cs="Calibri"/>
                <w:color w:val="000000"/>
                <w:sz w:val="20"/>
                <w:szCs w:val="20"/>
              </w:rPr>
              <w:t>Public Procurement Contract</w:t>
            </w:r>
          </w:p>
        </w:tc>
        <w:tc>
          <w:tcPr>
            <w:tcW w:w="1800" w:type="dxa"/>
            <w:tcBorders>
              <w:top w:val="nil"/>
              <w:left w:val="nil"/>
              <w:bottom w:val="single" w:sz="4" w:space="0" w:color="auto"/>
              <w:right w:val="single" w:sz="4" w:space="0" w:color="auto"/>
            </w:tcBorders>
            <w:shd w:val="clear" w:color="auto" w:fill="auto"/>
            <w:vAlign w:val="bottom"/>
            <w:hideMark/>
          </w:tcPr>
          <w:p w14:paraId="48DB5F16" w14:textId="77777777" w:rsidR="00E26917" w:rsidRPr="00ED4204" w:rsidRDefault="00E26917" w:rsidP="00ED4204">
            <w:pPr>
              <w:jc w:val="right"/>
              <w:rPr>
                <w:rFonts w:ascii="Calibri" w:eastAsia="Times New Roman" w:hAnsi="Calibri" w:cs="Calibri"/>
                <w:color w:val="000000"/>
                <w:sz w:val="20"/>
                <w:szCs w:val="20"/>
              </w:rPr>
            </w:pPr>
            <w:r w:rsidRPr="00ED4204">
              <w:rPr>
                <w:rFonts w:ascii="Calibri" w:eastAsia="Times New Roman" w:hAnsi="Calibri" w:cs="Calibri"/>
                <w:color w:val="000000"/>
                <w:sz w:val="20"/>
                <w:szCs w:val="20"/>
              </w:rPr>
              <w:t xml:space="preserve">             172.500,00 </w:t>
            </w:r>
          </w:p>
        </w:tc>
      </w:tr>
      <w:tr w:rsidR="00E26917" w:rsidRPr="004D37CA" w14:paraId="7666F690" w14:textId="77777777" w:rsidTr="00ED4204">
        <w:trPr>
          <w:trHeight w:val="290"/>
        </w:trPr>
        <w:tc>
          <w:tcPr>
            <w:tcW w:w="3685" w:type="dxa"/>
            <w:tcBorders>
              <w:top w:val="nil"/>
              <w:left w:val="single" w:sz="4" w:space="0" w:color="auto"/>
              <w:bottom w:val="single" w:sz="4" w:space="0" w:color="auto"/>
              <w:right w:val="single" w:sz="4" w:space="0" w:color="auto"/>
            </w:tcBorders>
            <w:shd w:val="clear" w:color="auto" w:fill="auto"/>
            <w:vAlign w:val="bottom"/>
            <w:hideMark/>
          </w:tcPr>
          <w:p w14:paraId="616CD397" w14:textId="77777777" w:rsidR="00E26917" w:rsidRPr="00ED4204" w:rsidRDefault="00E26917" w:rsidP="00E26917">
            <w:pPr>
              <w:rPr>
                <w:rFonts w:ascii="Calibri" w:eastAsia="Times New Roman" w:hAnsi="Calibri" w:cs="Calibri"/>
                <w:color w:val="000000"/>
                <w:sz w:val="20"/>
                <w:szCs w:val="20"/>
              </w:rPr>
            </w:pPr>
            <w:r w:rsidRPr="00ED4204">
              <w:rPr>
                <w:rFonts w:ascii="Calibri" w:eastAsia="Times New Roman" w:hAnsi="Calibri" w:cs="Calibri"/>
                <w:color w:val="000000"/>
                <w:sz w:val="20"/>
                <w:szCs w:val="20"/>
              </w:rPr>
              <w:t>Security Services</w:t>
            </w:r>
          </w:p>
        </w:tc>
        <w:tc>
          <w:tcPr>
            <w:tcW w:w="1530" w:type="dxa"/>
            <w:tcBorders>
              <w:top w:val="nil"/>
              <w:left w:val="nil"/>
              <w:bottom w:val="single" w:sz="4" w:space="0" w:color="auto"/>
              <w:right w:val="single" w:sz="4" w:space="0" w:color="auto"/>
            </w:tcBorders>
            <w:shd w:val="clear" w:color="auto" w:fill="auto"/>
            <w:vAlign w:val="bottom"/>
            <w:hideMark/>
          </w:tcPr>
          <w:p w14:paraId="26FE345A" w14:textId="77777777" w:rsidR="00E26917" w:rsidRPr="00ED4204" w:rsidRDefault="00E26917" w:rsidP="00E26917">
            <w:pPr>
              <w:rPr>
                <w:rFonts w:ascii="Calibri" w:eastAsia="Times New Roman" w:hAnsi="Calibri" w:cs="Calibri"/>
                <w:color w:val="000000"/>
                <w:sz w:val="20"/>
                <w:szCs w:val="20"/>
              </w:rPr>
            </w:pPr>
            <w:r w:rsidRPr="00ED4204">
              <w:rPr>
                <w:rFonts w:ascii="Calibri" w:eastAsia="Times New Roman" w:hAnsi="Calibri" w:cs="Calibri"/>
                <w:color w:val="000000"/>
                <w:sz w:val="20"/>
                <w:szCs w:val="20"/>
              </w:rPr>
              <w:t>Simplified Procedures</w:t>
            </w:r>
          </w:p>
        </w:tc>
        <w:tc>
          <w:tcPr>
            <w:tcW w:w="2340" w:type="dxa"/>
            <w:tcBorders>
              <w:top w:val="nil"/>
              <w:left w:val="nil"/>
              <w:bottom w:val="single" w:sz="4" w:space="0" w:color="auto"/>
              <w:right w:val="single" w:sz="4" w:space="0" w:color="auto"/>
            </w:tcBorders>
            <w:shd w:val="clear" w:color="auto" w:fill="auto"/>
            <w:vAlign w:val="bottom"/>
            <w:hideMark/>
          </w:tcPr>
          <w:p w14:paraId="012B3B23" w14:textId="77777777" w:rsidR="00E26917" w:rsidRPr="00ED4204" w:rsidRDefault="00E26917" w:rsidP="00E26917">
            <w:pPr>
              <w:rPr>
                <w:rFonts w:ascii="Calibri" w:eastAsia="Times New Roman" w:hAnsi="Calibri" w:cs="Calibri"/>
                <w:color w:val="000000"/>
                <w:sz w:val="20"/>
                <w:szCs w:val="20"/>
              </w:rPr>
            </w:pPr>
            <w:r w:rsidRPr="00ED4204">
              <w:rPr>
                <w:rFonts w:ascii="Calibri" w:eastAsia="Times New Roman" w:hAnsi="Calibri" w:cs="Calibri"/>
                <w:color w:val="000000"/>
                <w:sz w:val="20"/>
                <w:szCs w:val="20"/>
              </w:rPr>
              <w:t>Public Procurement Contract</w:t>
            </w:r>
          </w:p>
        </w:tc>
        <w:tc>
          <w:tcPr>
            <w:tcW w:w="1800" w:type="dxa"/>
            <w:tcBorders>
              <w:top w:val="nil"/>
              <w:left w:val="nil"/>
              <w:bottom w:val="single" w:sz="4" w:space="0" w:color="auto"/>
              <w:right w:val="single" w:sz="4" w:space="0" w:color="auto"/>
            </w:tcBorders>
            <w:shd w:val="clear" w:color="auto" w:fill="auto"/>
            <w:vAlign w:val="bottom"/>
            <w:hideMark/>
          </w:tcPr>
          <w:p w14:paraId="72886A67" w14:textId="77777777" w:rsidR="00E26917" w:rsidRPr="00ED4204" w:rsidRDefault="00E26917" w:rsidP="00ED4204">
            <w:pPr>
              <w:jc w:val="right"/>
              <w:rPr>
                <w:rFonts w:ascii="Calibri" w:eastAsia="Times New Roman" w:hAnsi="Calibri" w:cs="Calibri"/>
                <w:color w:val="000000"/>
                <w:sz w:val="20"/>
                <w:szCs w:val="20"/>
              </w:rPr>
            </w:pPr>
            <w:r w:rsidRPr="00ED4204">
              <w:rPr>
                <w:rFonts w:ascii="Calibri" w:eastAsia="Times New Roman" w:hAnsi="Calibri" w:cs="Calibri"/>
                <w:color w:val="000000"/>
                <w:sz w:val="20"/>
                <w:szCs w:val="20"/>
              </w:rPr>
              <w:t xml:space="preserve">             169.000,00 </w:t>
            </w:r>
          </w:p>
        </w:tc>
      </w:tr>
      <w:tr w:rsidR="00E26917" w:rsidRPr="004D37CA" w14:paraId="5E385F6D" w14:textId="77777777" w:rsidTr="00ED4204">
        <w:trPr>
          <w:trHeight w:val="290"/>
        </w:trPr>
        <w:tc>
          <w:tcPr>
            <w:tcW w:w="3685" w:type="dxa"/>
            <w:tcBorders>
              <w:top w:val="nil"/>
              <w:left w:val="single" w:sz="4" w:space="0" w:color="auto"/>
              <w:bottom w:val="single" w:sz="4" w:space="0" w:color="auto"/>
              <w:right w:val="single" w:sz="4" w:space="0" w:color="auto"/>
            </w:tcBorders>
            <w:shd w:val="clear" w:color="auto" w:fill="auto"/>
            <w:vAlign w:val="bottom"/>
            <w:hideMark/>
          </w:tcPr>
          <w:p w14:paraId="670DF583" w14:textId="77777777" w:rsidR="00E26917" w:rsidRPr="00ED4204" w:rsidRDefault="00E26917" w:rsidP="00E26917">
            <w:pPr>
              <w:rPr>
                <w:rFonts w:ascii="Calibri" w:eastAsia="Times New Roman" w:hAnsi="Calibri" w:cs="Calibri"/>
                <w:color w:val="000000"/>
                <w:sz w:val="20"/>
                <w:szCs w:val="20"/>
              </w:rPr>
            </w:pPr>
            <w:r w:rsidRPr="00ED4204">
              <w:rPr>
                <w:rFonts w:ascii="Calibri" w:eastAsia="Times New Roman" w:hAnsi="Calibri" w:cs="Calibri"/>
                <w:color w:val="000000"/>
                <w:sz w:val="20"/>
                <w:szCs w:val="20"/>
              </w:rPr>
              <w:t>Transportation Services</w:t>
            </w:r>
          </w:p>
        </w:tc>
        <w:tc>
          <w:tcPr>
            <w:tcW w:w="1530" w:type="dxa"/>
            <w:tcBorders>
              <w:top w:val="nil"/>
              <w:left w:val="nil"/>
              <w:bottom w:val="single" w:sz="4" w:space="0" w:color="auto"/>
              <w:right w:val="single" w:sz="4" w:space="0" w:color="auto"/>
            </w:tcBorders>
            <w:shd w:val="clear" w:color="auto" w:fill="auto"/>
            <w:vAlign w:val="bottom"/>
            <w:hideMark/>
          </w:tcPr>
          <w:p w14:paraId="1D907E87" w14:textId="77777777" w:rsidR="00E26917" w:rsidRPr="00ED4204" w:rsidRDefault="00E26917" w:rsidP="00E26917">
            <w:pPr>
              <w:rPr>
                <w:rFonts w:ascii="Calibri" w:eastAsia="Times New Roman" w:hAnsi="Calibri" w:cs="Calibri"/>
                <w:color w:val="000000"/>
                <w:sz w:val="20"/>
                <w:szCs w:val="20"/>
              </w:rPr>
            </w:pPr>
            <w:r w:rsidRPr="00ED4204">
              <w:rPr>
                <w:rFonts w:ascii="Calibri" w:eastAsia="Times New Roman" w:hAnsi="Calibri" w:cs="Calibri"/>
                <w:color w:val="000000"/>
                <w:sz w:val="20"/>
                <w:szCs w:val="20"/>
              </w:rPr>
              <w:t>Simplified Procedures</w:t>
            </w:r>
          </w:p>
        </w:tc>
        <w:tc>
          <w:tcPr>
            <w:tcW w:w="2340" w:type="dxa"/>
            <w:tcBorders>
              <w:top w:val="nil"/>
              <w:left w:val="nil"/>
              <w:bottom w:val="single" w:sz="4" w:space="0" w:color="auto"/>
              <w:right w:val="single" w:sz="4" w:space="0" w:color="auto"/>
            </w:tcBorders>
            <w:shd w:val="clear" w:color="auto" w:fill="auto"/>
            <w:vAlign w:val="bottom"/>
            <w:hideMark/>
          </w:tcPr>
          <w:p w14:paraId="4B52D603" w14:textId="07F60527" w:rsidR="00E26917" w:rsidRPr="00ED4204" w:rsidRDefault="00E26917" w:rsidP="00E26917">
            <w:pPr>
              <w:rPr>
                <w:rFonts w:ascii="Calibri" w:eastAsia="Times New Roman" w:hAnsi="Calibri" w:cs="Calibri"/>
                <w:color w:val="000000"/>
                <w:sz w:val="20"/>
                <w:szCs w:val="20"/>
              </w:rPr>
            </w:pPr>
            <w:r w:rsidRPr="00ED4204">
              <w:rPr>
                <w:rFonts w:ascii="Calibri" w:eastAsia="Times New Roman" w:hAnsi="Calibri" w:cs="Calibri"/>
                <w:color w:val="000000"/>
                <w:sz w:val="20"/>
                <w:szCs w:val="20"/>
              </w:rPr>
              <w:t>Framework Agreement</w:t>
            </w:r>
          </w:p>
        </w:tc>
        <w:tc>
          <w:tcPr>
            <w:tcW w:w="1800" w:type="dxa"/>
            <w:tcBorders>
              <w:top w:val="nil"/>
              <w:left w:val="nil"/>
              <w:bottom w:val="single" w:sz="4" w:space="0" w:color="auto"/>
              <w:right w:val="single" w:sz="4" w:space="0" w:color="auto"/>
            </w:tcBorders>
            <w:shd w:val="clear" w:color="auto" w:fill="auto"/>
            <w:vAlign w:val="bottom"/>
            <w:hideMark/>
          </w:tcPr>
          <w:p w14:paraId="43E90A2E" w14:textId="77777777" w:rsidR="00E26917" w:rsidRPr="00ED4204" w:rsidRDefault="00E26917" w:rsidP="00ED4204">
            <w:pPr>
              <w:jc w:val="right"/>
              <w:rPr>
                <w:rFonts w:ascii="Calibri" w:eastAsia="Times New Roman" w:hAnsi="Calibri" w:cs="Calibri"/>
                <w:color w:val="000000"/>
                <w:sz w:val="20"/>
                <w:szCs w:val="20"/>
              </w:rPr>
            </w:pPr>
            <w:r w:rsidRPr="00ED4204">
              <w:rPr>
                <w:rFonts w:ascii="Calibri" w:eastAsia="Times New Roman" w:hAnsi="Calibri" w:cs="Calibri"/>
                <w:color w:val="000000"/>
                <w:sz w:val="20"/>
                <w:szCs w:val="20"/>
              </w:rPr>
              <w:t xml:space="preserve">             444.000,00 </w:t>
            </w:r>
          </w:p>
        </w:tc>
      </w:tr>
    </w:tbl>
    <w:p w14:paraId="2063EAA8" w14:textId="77777777" w:rsidR="00AE746A" w:rsidRPr="00EC0178" w:rsidRDefault="00AE746A" w:rsidP="00AE746A">
      <w:pPr>
        <w:autoSpaceDE w:val="0"/>
        <w:autoSpaceDN w:val="0"/>
        <w:adjustRightInd w:val="0"/>
        <w:jc w:val="both"/>
        <w:rPr>
          <w:rFonts w:ascii="Calibri" w:hAnsi="Calibri" w:cs="Calibri"/>
          <w:sz w:val="18"/>
          <w:szCs w:val="18"/>
        </w:rPr>
      </w:pPr>
      <w:r>
        <w:rPr>
          <w:rFonts w:ascii="Calibri" w:hAnsi="Calibri" w:cs="Calibri"/>
          <w:sz w:val="18"/>
          <w:szCs w:val="18"/>
        </w:rPr>
        <w:t>S</w:t>
      </w:r>
      <w:r w:rsidRPr="00EC0178">
        <w:rPr>
          <w:rFonts w:ascii="Calibri" w:hAnsi="Calibri" w:cs="Calibri"/>
          <w:sz w:val="18"/>
          <w:szCs w:val="18"/>
        </w:rPr>
        <w:t>ource: SEAP</w:t>
      </w:r>
    </w:p>
    <w:p w14:paraId="2DA5C206" w14:textId="77777777" w:rsidR="004D37CA" w:rsidRDefault="004D37CA" w:rsidP="00AF72C6">
      <w:pPr>
        <w:autoSpaceDE w:val="0"/>
        <w:autoSpaceDN w:val="0"/>
        <w:adjustRightInd w:val="0"/>
        <w:jc w:val="both"/>
      </w:pPr>
    </w:p>
    <w:p w14:paraId="480F2F27" w14:textId="576FC2D5" w:rsidR="006B08B6" w:rsidRDefault="00492720">
      <w:pPr>
        <w:autoSpaceDE w:val="0"/>
        <w:autoSpaceDN w:val="0"/>
        <w:adjustRightInd w:val="0"/>
        <w:jc w:val="both"/>
        <w:rPr>
          <w:rFonts w:asciiTheme="minorHAnsi" w:hAnsiTheme="minorHAnsi"/>
          <w:sz w:val="22"/>
        </w:rPr>
      </w:pPr>
      <w:r w:rsidRPr="00A74A8F">
        <w:rPr>
          <w:rFonts w:asciiTheme="minorHAnsi" w:hAnsiTheme="minorHAnsi"/>
          <w:i/>
          <w:iCs/>
          <w:sz w:val="22"/>
        </w:rPr>
        <w:t>Procureme</w:t>
      </w:r>
      <w:r w:rsidR="00136B8F" w:rsidRPr="00A74A8F">
        <w:rPr>
          <w:rFonts w:asciiTheme="minorHAnsi" w:hAnsiTheme="minorHAnsi"/>
          <w:i/>
          <w:iCs/>
          <w:sz w:val="22"/>
        </w:rPr>
        <w:t>nt profile of activities needed to implement the agreed milestones</w:t>
      </w:r>
      <w:r w:rsidR="005833DC" w:rsidRPr="00A74A8F">
        <w:rPr>
          <w:rFonts w:asciiTheme="minorHAnsi" w:hAnsiTheme="minorHAnsi"/>
          <w:i/>
          <w:iCs/>
          <w:sz w:val="22"/>
        </w:rPr>
        <w:t>:</w:t>
      </w:r>
      <w:r w:rsidR="00AA6E5C" w:rsidRPr="00A74A8F">
        <w:rPr>
          <w:rFonts w:asciiTheme="minorHAnsi" w:hAnsiTheme="minorHAnsi"/>
          <w:sz w:val="22"/>
        </w:rPr>
        <w:t xml:space="preserve"> Generally</w:t>
      </w:r>
      <w:r w:rsidR="008D7E52" w:rsidRPr="00A74A8F">
        <w:rPr>
          <w:rFonts w:asciiTheme="minorHAnsi" w:hAnsiTheme="minorHAnsi"/>
          <w:sz w:val="22"/>
        </w:rPr>
        <w:t>,</w:t>
      </w:r>
      <w:r w:rsidR="00AA6E5C" w:rsidRPr="00D81831">
        <w:rPr>
          <w:rFonts w:asciiTheme="minorHAnsi" w:hAnsiTheme="minorHAnsi"/>
          <w:sz w:val="22"/>
        </w:rPr>
        <w:t xml:space="preserve"> these are small value consulting services </w:t>
      </w:r>
      <w:r w:rsidR="008D7E52" w:rsidRPr="00BC1D0C">
        <w:rPr>
          <w:rFonts w:asciiTheme="minorHAnsi" w:hAnsiTheme="minorHAnsi"/>
          <w:sz w:val="22"/>
        </w:rPr>
        <w:t xml:space="preserve">and goods </w:t>
      </w:r>
      <w:r w:rsidR="00AA6E5C" w:rsidRPr="00BC1D0C">
        <w:rPr>
          <w:rFonts w:asciiTheme="minorHAnsi" w:hAnsiTheme="minorHAnsi"/>
          <w:sz w:val="22"/>
        </w:rPr>
        <w:t>contracts</w:t>
      </w:r>
      <w:r w:rsidR="00D02D5E" w:rsidRPr="00BC1D0C">
        <w:rPr>
          <w:rFonts w:asciiTheme="minorHAnsi" w:hAnsiTheme="minorHAnsi"/>
          <w:sz w:val="22"/>
        </w:rPr>
        <w:t xml:space="preserve">. </w:t>
      </w:r>
      <w:r w:rsidR="008D7E52" w:rsidRPr="00BC1D0C">
        <w:rPr>
          <w:rFonts w:asciiTheme="minorHAnsi" w:hAnsiTheme="minorHAnsi"/>
          <w:sz w:val="22"/>
        </w:rPr>
        <w:t>Major procurement would be required to achieve the DLI 6</w:t>
      </w:r>
      <w:r w:rsidR="00B411ED" w:rsidRPr="00BC1D0C">
        <w:rPr>
          <w:rFonts w:asciiTheme="minorHAnsi" w:hAnsiTheme="minorHAnsi"/>
          <w:sz w:val="22"/>
        </w:rPr>
        <w:t xml:space="preserve"> aimed to r</w:t>
      </w:r>
      <w:r w:rsidR="005833DC" w:rsidRPr="00BC1D0C">
        <w:rPr>
          <w:rFonts w:asciiTheme="minorHAnsi" w:hAnsiTheme="minorHAnsi"/>
          <w:sz w:val="22"/>
        </w:rPr>
        <w:t>educe ineffective spending through improved data-driven decision makin</w:t>
      </w:r>
      <w:r w:rsidR="00F768D6" w:rsidRPr="00BC1D0C">
        <w:rPr>
          <w:rFonts w:asciiTheme="minorHAnsi" w:hAnsiTheme="minorHAnsi"/>
          <w:sz w:val="22"/>
        </w:rPr>
        <w:t>g</w:t>
      </w:r>
      <w:r w:rsidR="00B411ED" w:rsidRPr="00BC1D0C">
        <w:rPr>
          <w:rFonts w:asciiTheme="minorHAnsi" w:hAnsiTheme="minorHAnsi"/>
          <w:sz w:val="22"/>
        </w:rPr>
        <w:t>,</w:t>
      </w:r>
      <w:r w:rsidR="00F768D6" w:rsidRPr="00BC1D0C">
        <w:rPr>
          <w:rFonts w:asciiTheme="minorHAnsi" w:hAnsiTheme="minorHAnsi"/>
          <w:sz w:val="22"/>
        </w:rPr>
        <w:t xml:space="preserve"> to be implemented primarily by the NHIH. </w:t>
      </w:r>
      <w:r w:rsidR="000872A5" w:rsidRPr="00BC1D0C">
        <w:rPr>
          <w:rFonts w:asciiTheme="minorHAnsi" w:hAnsiTheme="minorHAnsi"/>
          <w:sz w:val="22"/>
        </w:rPr>
        <w:t>Currently, NHIH has limited mechanisms to identify and prevent ineffective spending, such as: provision of unnecessary services, unintentional errors in coding</w:t>
      </w:r>
      <w:r w:rsidR="00301C25" w:rsidRPr="00BC1D0C">
        <w:rPr>
          <w:rFonts w:asciiTheme="minorHAnsi" w:hAnsiTheme="minorHAnsi"/>
          <w:sz w:val="22"/>
        </w:rPr>
        <w:t xml:space="preserve">, </w:t>
      </w:r>
      <w:r w:rsidR="000872A5" w:rsidRPr="00BC1D0C">
        <w:rPr>
          <w:rFonts w:asciiTheme="minorHAnsi" w:hAnsiTheme="minorHAnsi"/>
          <w:sz w:val="22"/>
        </w:rPr>
        <w:t>claims and fraud</w:t>
      </w:r>
      <w:r w:rsidR="00301C25" w:rsidRPr="00BC1D0C">
        <w:rPr>
          <w:rFonts w:asciiTheme="minorHAnsi" w:hAnsiTheme="minorHAnsi"/>
          <w:sz w:val="22"/>
        </w:rPr>
        <w:t>. NHIH’s data system is disconnected from the data systems of the MoH and provide</w:t>
      </w:r>
      <w:r w:rsidR="00B411ED" w:rsidRPr="00BC1D0C">
        <w:rPr>
          <w:rFonts w:asciiTheme="minorHAnsi" w:hAnsiTheme="minorHAnsi"/>
          <w:sz w:val="22"/>
        </w:rPr>
        <w:t>r</w:t>
      </w:r>
      <w:r w:rsidR="00301C25" w:rsidRPr="00BC1D0C">
        <w:rPr>
          <w:rFonts w:asciiTheme="minorHAnsi" w:hAnsiTheme="minorHAnsi"/>
          <w:sz w:val="22"/>
        </w:rPr>
        <w:t>s</w:t>
      </w:r>
      <w:r w:rsidR="00512398" w:rsidRPr="00BC1D0C">
        <w:rPr>
          <w:rFonts w:asciiTheme="minorHAnsi" w:hAnsiTheme="minorHAnsi"/>
          <w:sz w:val="22"/>
        </w:rPr>
        <w:t xml:space="preserve"> which makes it impossible to review spending across databases. The implementation of recommended actions would require procurement of various IT products (</w:t>
      </w:r>
      <w:r w:rsidR="00664E1F" w:rsidRPr="00BC1D0C">
        <w:rPr>
          <w:rFonts w:asciiTheme="minorHAnsi" w:hAnsiTheme="minorHAnsi"/>
          <w:sz w:val="22"/>
        </w:rPr>
        <w:t xml:space="preserve">hardware and </w:t>
      </w:r>
      <w:r w:rsidR="00512398" w:rsidRPr="00BC1D0C">
        <w:rPr>
          <w:rFonts w:asciiTheme="minorHAnsi" w:hAnsiTheme="minorHAnsi"/>
          <w:sz w:val="22"/>
        </w:rPr>
        <w:t>software)</w:t>
      </w:r>
      <w:r w:rsidR="00664E1F" w:rsidRPr="00BC1D0C">
        <w:rPr>
          <w:rFonts w:asciiTheme="minorHAnsi" w:hAnsiTheme="minorHAnsi"/>
          <w:sz w:val="22"/>
        </w:rPr>
        <w:t>.</w:t>
      </w:r>
      <w:r w:rsidR="00B411ED" w:rsidRPr="00BC1D0C">
        <w:rPr>
          <w:rFonts w:asciiTheme="minorHAnsi" w:hAnsiTheme="minorHAnsi"/>
          <w:sz w:val="22"/>
        </w:rPr>
        <w:t xml:space="preserve"> T</w:t>
      </w:r>
      <w:r w:rsidR="00664E1F" w:rsidRPr="00BC1D0C">
        <w:rPr>
          <w:rFonts w:asciiTheme="minorHAnsi" w:hAnsiTheme="minorHAnsi"/>
          <w:sz w:val="22"/>
        </w:rPr>
        <w:t>he value</w:t>
      </w:r>
      <w:r w:rsidR="001F4947" w:rsidRPr="00BC1D0C">
        <w:rPr>
          <w:rFonts w:asciiTheme="minorHAnsi" w:hAnsiTheme="minorHAnsi"/>
          <w:sz w:val="22"/>
        </w:rPr>
        <w:t>s</w:t>
      </w:r>
      <w:r w:rsidR="00664E1F" w:rsidRPr="00BC1D0C">
        <w:rPr>
          <w:rFonts w:asciiTheme="minorHAnsi" w:hAnsiTheme="minorHAnsi"/>
          <w:sz w:val="22"/>
        </w:rPr>
        <w:t xml:space="preserve"> of these contracts </w:t>
      </w:r>
      <w:r w:rsidR="001F4947" w:rsidRPr="00BC1D0C">
        <w:rPr>
          <w:rFonts w:asciiTheme="minorHAnsi" w:hAnsiTheme="minorHAnsi"/>
          <w:sz w:val="22"/>
        </w:rPr>
        <w:t>are</w:t>
      </w:r>
      <w:r w:rsidR="00664E1F" w:rsidRPr="00BC1D0C">
        <w:rPr>
          <w:rFonts w:asciiTheme="minorHAnsi" w:hAnsiTheme="minorHAnsi"/>
          <w:sz w:val="22"/>
        </w:rPr>
        <w:t xml:space="preserve"> </w:t>
      </w:r>
      <w:r w:rsidR="002855B0" w:rsidRPr="00BC1D0C">
        <w:rPr>
          <w:rFonts w:asciiTheme="minorHAnsi" w:hAnsiTheme="minorHAnsi"/>
          <w:sz w:val="22"/>
        </w:rPr>
        <w:t xml:space="preserve">relatively large </w:t>
      </w:r>
      <w:r w:rsidR="001F4947" w:rsidRPr="00BC1D0C">
        <w:rPr>
          <w:rFonts w:asciiTheme="minorHAnsi" w:hAnsiTheme="minorHAnsi"/>
          <w:sz w:val="22"/>
        </w:rPr>
        <w:t xml:space="preserve">compared to the contracts currently managed by the NHIH </w:t>
      </w:r>
      <w:r w:rsidR="002855B0" w:rsidRPr="00BC1D0C">
        <w:rPr>
          <w:rFonts w:asciiTheme="minorHAnsi" w:hAnsiTheme="minorHAnsi"/>
          <w:sz w:val="22"/>
        </w:rPr>
        <w:t xml:space="preserve">and might be challenging for the existing capacities </w:t>
      </w:r>
      <w:r w:rsidR="001F4947" w:rsidRPr="00BC1D0C">
        <w:rPr>
          <w:rFonts w:asciiTheme="minorHAnsi" w:hAnsiTheme="minorHAnsi"/>
          <w:sz w:val="22"/>
        </w:rPr>
        <w:t>within this institution. But they</w:t>
      </w:r>
      <w:r w:rsidR="009A7BDE" w:rsidRPr="00BC1D0C">
        <w:rPr>
          <w:rFonts w:asciiTheme="minorHAnsi" w:hAnsiTheme="minorHAnsi"/>
          <w:sz w:val="22"/>
        </w:rPr>
        <w:t xml:space="preserve"> are</w:t>
      </w:r>
      <w:r w:rsidR="002855B0" w:rsidRPr="00BC1D0C">
        <w:rPr>
          <w:rFonts w:asciiTheme="minorHAnsi" w:hAnsiTheme="minorHAnsi"/>
          <w:sz w:val="22"/>
        </w:rPr>
        <w:t xml:space="preserve"> significantly below the OPRC thresholds.</w:t>
      </w:r>
      <w:r w:rsidR="00890FD7" w:rsidRPr="00BC1D0C">
        <w:rPr>
          <w:rFonts w:asciiTheme="minorHAnsi" w:hAnsiTheme="minorHAnsi"/>
          <w:sz w:val="22"/>
        </w:rPr>
        <w:t xml:space="preserve"> It is expected that wi</w:t>
      </w:r>
      <w:r w:rsidR="009A7BDE" w:rsidRPr="00BC1D0C">
        <w:rPr>
          <w:rFonts w:asciiTheme="minorHAnsi" w:hAnsiTheme="minorHAnsi"/>
          <w:sz w:val="22"/>
        </w:rPr>
        <w:t xml:space="preserve">th </w:t>
      </w:r>
      <w:r w:rsidR="00DD3BE0" w:rsidRPr="00BC1D0C">
        <w:rPr>
          <w:rFonts w:asciiTheme="minorHAnsi" w:hAnsiTheme="minorHAnsi"/>
          <w:sz w:val="22"/>
        </w:rPr>
        <w:t xml:space="preserve">improved and strengthened capacities, </w:t>
      </w:r>
      <w:r w:rsidR="00890FD7" w:rsidRPr="00BC1D0C">
        <w:rPr>
          <w:rFonts w:asciiTheme="minorHAnsi" w:hAnsiTheme="minorHAnsi"/>
          <w:sz w:val="22"/>
        </w:rPr>
        <w:t xml:space="preserve">NHIH will manage these contracts without major issues. List of major procurement activities needed to achieve the DLIs is provided in Annex </w:t>
      </w:r>
      <w:r w:rsidR="00474188" w:rsidRPr="00BC1D0C">
        <w:rPr>
          <w:rFonts w:asciiTheme="minorHAnsi" w:hAnsiTheme="minorHAnsi"/>
          <w:sz w:val="22"/>
        </w:rPr>
        <w:t>1</w:t>
      </w:r>
      <w:r w:rsidR="006151F2">
        <w:rPr>
          <w:rFonts w:asciiTheme="minorHAnsi" w:hAnsiTheme="minorHAnsi"/>
          <w:sz w:val="22"/>
        </w:rPr>
        <w:t xml:space="preserve">, while the total costs per </w:t>
      </w:r>
      <w:r w:rsidR="0091519E">
        <w:rPr>
          <w:rFonts w:asciiTheme="minorHAnsi" w:hAnsiTheme="minorHAnsi"/>
          <w:sz w:val="22"/>
        </w:rPr>
        <w:t xml:space="preserve">expenditure are provided in Table </w:t>
      </w:r>
      <w:r w:rsidR="00DD7018">
        <w:rPr>
          <w:rFonts w:asciiTheme="minorHAnsi" w:hAnsiTheme="minorHAnsi"/>
          <w:sz w:val="22"/>
        </w:rPr>
        <w:t>5</w:t>
      </w:r>
      <w:r w:rsidR="00474188" w:rsidRPr="00BC1D0C">
        <w:rPr>
          <w:rFonts w:asciiTheme="minorHAnsi" w:hAnsiTheme="minorHAnsi"/>
          <w:sz w:val="22"/>
        </w:rPr>
        <w:t xml:space="preserve">. </w:t>
      </w:r>
      <w:r w:rsidR="00DD3BE0" w:rsidRPr="00BC1D0C">
        <w:rPr>
          <w:rFonts w:asciiTheme="minorHAnsi" w:hAnsiTheme="minorHAnsi"/>
          <w:sz w:val="22"/>
        </w:rPr>
        <w:t xml:space="preserve"> </w:t>
      </w:r>
      <w:r w:rsidR="00301C25" w:rsidRPr="00BC1D0C">
        <w:rPr>
          <w:rFonts w:asciiTheme="minorHAnsi" w:hAnsiTheme="minorHAnsi"/>
          <w:sz w:val="22"/>
        </w:rPr>
        <w:t xml:space="preserve"> </w:t>
      </w:r>
    </w:p>
    <w:p w14:paraId="138488EF" w14:textId="5E85E7E1" w:rsidR="0091519E" w:rsidRDefault="0091519E">
      <w:pPr>
        <w:autoSpaceDE w:val="0"/>
        <w:autoSpaceDN w:val="0"/>
        <w:adjustRightInd w:val="0"/>
        <w:jc w:val="both"/>
        <w:rPr>
          <w:rFonts w:asciiTheme="minorHAnsi" w:hAnsiTheme="minorHAnsi"/>
          <w:sz w:val="22"/>
        </w:rPr>
      </w:pPr>
    </w:p>
    <w:p w14:paraId="7D8D9674" w14:textId="7592571E" w:rsidR="0091519E" w:rsidRPr="003C6C79" w:rsidRDefault="0091519E">
      <w:pPr>
        <w:autoSpaceDE w:val="0"/>
        <w:autoSpaceDN w:val="0"/>
        <w:adjustRightInd w:val="0"/>
        <w:jc w:val="both"/>
        <w:rPr>
          <w:rFonts w:asciiTheme="minorHAnsi" w:hAnsiTheme="minorHAnsi"/>
          <w:b/>
          <w:sz w:val="22"/>
        </w:rPr>
      </w:pPr>
      <w:r w:rsidRPr="002242AE">
        <w:rPr>
          <w:rFonts w:asciiTheme="minorHAnsi" w:hAnsiTheme="minorHAnsi"/>
          <w:b/>
          <w:sz w:val="22"/>
        </w:rPr>
        <w:t xml:space="preserve">Table </w:t>
      </w:r>
      <w:r w:rsidR="00DD7018">
        <w:rPr>
          <w:rFonts w:asciiTheme="minorHAnsi" w:hAnsiTheme="minorHAnsi"/>
          <w:b/>
          <w:sz w:val="22"/>
        </w:rPr>
        <w:t>5</w:t>
      </w:r>
      <w:r w:rsidRPr="002242AE">
        <w:rPr>
          <w:rFonts w:asciiTheme="minorHAnsi" w:hAnsiTheme="minorHAnsi"/>
          <w:b/>
          <w:sz w:val="22"/>
        </w:rPr>
        <w:t>. Total costs per expenditure category</w:t>
      </w:r>
      <w:r w:rsidR="00A33C02" w:rsidRPr="002242AE">
        <w:rPr>
          <w:rFonts w:asciiTheme="minorHAnsi" w:hAnsiTheme="minorHAnsi"/>
          <w:b/>
          <w:sz w:val="22"/>
        </w:rPr>
        <w:t xml:space="preserve"> (in USD)</w:t>
      </w:r>
    </w:p>
    <w:tbl>
      <w:tblPr>
        <w:tblStyle w:val="TableGrid"/>
        <w:tblW w:w="0" w:type="auto"/>
        <w:tblLook w:val="04A0" w:firstRow="1" w:lastRow="0" w:firstColumn="1" w:lastColumn="0" w:noHBand="0" w:noVBand="1"/>
      </w:tblPr>
      <w:tblGrid>
        <w:gridCol w:w="4675"/>
        <w:gridCol w:w="4675"/>
      </w:tblGrid>
      <w:tr w:rsidR="0091519E" w14:paraId="2F59BAB2" w14:textId="77777777" w:rsidTr="003C6C79">
        <w:tc>
          <w:tcPr>
            <w:tcW w:w="4675" w:type="dxa"/>
            <w:shd w:val="clear" w:color="auto" w:fill="92CDDC" w:themeFill="accent5" w:themeFillTint="99"/>
          </w:tcPr>
          <w:p w14:paraId="6E9401B2" w14:textId="74D87ED1" w:rsidR="0091519E" w:rsidRPr="003C6C79" w:rsidRDefault="0091519E" w:rsidP="003C6C79">
            <w:pPr>
              <w:autoSpaceDE w:val="0"/>
              <w:autoSpaceDN w:val="0"/>
              <w:adjustRightInd w:val="0"/>
              <w:jc w:val="center"/>
              <w:rPr>
                <w:rFonts w:asciiTheme="minorHAnsi" w:hAnsiTheme="minorHAnsi"/>
                <w:b/>
                <w:sz w:val="20"/>
                <w:szCs w:val="20"/>
              </w:rPr>
            </w:pPr>
            <w:r w:rsidRPr="003C6C79">
              <w:rPr>
                <w:rFonts w:asciiTheme="minorHAnsi" w:hAnsiTheme="minorHAnsi"/>
                <w:b/>
                <w:sz w:val="20"/>
                <w:szCs w:val="20"/>
              </w:rPr>
              <w:t>Expenditure Category</w:t>
            </w:r>
          </w:p>
        </w:tc>
        <w:tc>
          <w:tcPr>
            <w:tcW w:w="4675" w:type="dxa"/>
            <w:shd w:val="clear" w:color="auto" w:fill="92CDDC" w:themeFill="accent5" w:themeFillTint="99"/>
          </w:tcPr>
          <w:p w14:paraId="3F11F7BC" w14:textId="6D34718C" w:rsidR="0091519E" w:rsidRPr="003C6C79" w:rsidRDefault="0091519E" w:rsidP="003C6C79">
            <w:pPr>
              <w:autoSpaceDE w:val="0"/>
              <w:autoSpaceDN w:val="0"/>
              <w:adjustRightInd w:val="0"/>
              <w:jc w:val="center"/>
              <w:rPr>
                <w:rFonts w:asciiTheme="minorHAnsi" w:hAnsiTheme="minorHAnsi"/>
                <w:b/>
                <w:sz w:val="20"/>
                <w:szCs w:val="20"/>
              </w:rPr>
            </w:pPr>
            <w:r w:rsidRPr="003C6C79">
              <w:rPr>
                <w:rFonts w:asciiTheme="minorHAnsi" w:hAnsiTheme="minorHAnsi"/>
                <w:b/>
                <w:sz w:val="20"/>
                <w:szCs w:val="20"/>
              </w:rPr>
              <w:t>Cost</w:t>
            </w:r>
          </w:p>
        </w:tc>
      </w:tr>
      <w:tr w:rsidR="0091519E" w14:paraId="73B8FC73" w14:textId="77777777" w:rsidTr="0091519E">
        <w:tc>
          <w:tcPr>
            <w:tcW w:w="4675" w:type="dxa"/>
          </w:tcPr>
          <w:p w14:paraId="1A0767D9" w14:textId="70DF05B7" w:rsidR="0091519E" w:rsidRPr="003C6C79" w:rsidRDefault="0091519E">
            <w:pPr>
              <w:autoSpaceDE w:val="0"/>
              <w:autoSpaceDN w:val="0"/>
              <w:adjustRightInd w:val="0"/>
              <w:jc w:val="both"/>
              <w:rPr>
                <w:rFonts w:asciiTheme="minorHAnsi" w:hAnsiTheme="minorHAnsi"/>
                <w:sz w:val="20"/>
                <w:szCs w:val="20"/>
              </w:rPr>
            </w:pPr>
            <w:r w:rsidRPr="003C6C79">
              <w:rPr>
                <w:rFonts w:asciiTheme="minorHAnsi" w:hAnsiTheme="minorHAnsi"/>
                <w:sz w:val="20"/>
                <w:szCs w:val="20"/>
              </w:rPr>
              <w:t>Consulting Services</w:t>
            </w:r>
          </w:p>
        </w:tc>
        <w:tc>
          <w:tcPr>
            <w:tcW w:w="4675" w:type="dxa"/>
          </w:tcPr>
          <w:p w14:paraId="2927B78A" w14:textId="3E62516F" w:rsidR="0091519E" w:rsidRPr="003C6C79" w:rsidRDefault="00A33C02" w:rsidP="003C6C79">
            <w:pPr>
              <w:autoSpaceDE w:val="0"/>
              <w:autoSpaceDN w:val="0"/>
              <w:adjustRightInd w:val="0"/>
              <w:jc w:val="right"/>
              <w:rPr>
                <w:rFonts w:asciiTheme="minorHAnsi" w:hAnsiTheme="minorHAnsi"/>
                <w:sz w:val="20"/>
                <w:szCs w:val="20"/>
              </w:rPr>
            </w:pPr>
            <w:r w:rsidRPr="003C6C79">
              <w:rPr>
                <w:rFonts w:asciiTheme="minorHAnsi" w:hAnsiTheme="minorHAnsi"/>
                <w:sz w:val="20"/>
                <w:szCs w:val="20"/>
              </w:rPr>
              <w:t>4,800,000</w:t>
            </w:r>
          </w:p>
        </w:tc>
      </w:tr>
      <w:tr w:rsidR="0091519E" w14:paraId="049C24DF" w14:textId="77777777" w:rsidTr="0091519E">
        <w:tc>
          <w:tcPr>
            <w:tcW w:w="4675" w:type="dxa"/>
          </w:tcPr>
          <w:p w14:paraId="236B70B2" w14:textId="36C6FA25" w:rsidR="0091519E" w:rsidRPr="003C6C79" w:rsidRDefault="0091519E">
            <w:pPr>
              <w:autoSpaceDE w:val="0"/>
              <w:autoSpaceDN w:val="0"/>
              <w:adjustRightInd w:val="0"/>
              <w:jc w:val="both"/>
              <w:rPr>
                <w:rFonts w:asciiTheme="minorHAnsi" w:hAnsiTheme="minorHAnsi"/>
                <w:sz w:val="20"/>
                <w:szCs w:val="20"/>
              </w:rPr>
            </w:pPr>
            <w:r w:rsidRPr="003C6C79">
              <w:rPr>
                <w:rFonts w:asciiTheme="minorHAnsi" w:hAnsiTheme="minorHAnsi"/>
                <w:sz w:val="20"/>
                <w:szCs w:val="20"/>
              </w:rPr>
              <w:t>Goods</w:t>
            </w:r>
          </w:p>
        </w:tc>
        <w:tc>
          <w:tcPr>
            <w:tcW w:w="4675" w:type="dxa"/>
          </w:tcPr>
          <w:p w14:paraId="6BCF23C5" w14:textId="37FA4604" w:rsidR="0091519E" w:rsidRPr="003C6C79" w:rsidRDefault="00A33C02" w:rsidP="003C6C79">
            <w:pPr>
              <w:autoSpaceDE w:val="0"/>
              <w:autoSpaceDN w:val="0"/>
              <w:adjustRightInd w:val="0"/>
              <w:jc w:val="right"/>
              <w:rPr>
                <w:rFonts w:asciiTheme="minorHAnsi" w:hAnsiTheme="minorHAnsi"/>
                <w:sz w:val="20"/>
                <w:szCs w:val="20"/>
              </w:rPr>
            </w:pPr>
            <w:r w:rsidRPr="003C6C79">
              <w:rPr>
                <w:rFonts w:asciiTheme="minorHAnsi" w:hAnsiTheme="minorHAnsi"/>
                <w:sz w:val="20"/>
                <w:szCs w:val="20"/>
              </w:rPr>
              <w:t>29,150,000</w:t>
            </w:r>
          </w:p>
        </w:tc>
      </w:tr>
      <w:tr w:rsidR="0091519E" w14:paraId="56A65802" w14:textId="77777777" w:rsidTr="00914785">
        <w:tc>
          <w:tcPr>
            <w:tcW w:w="4675" w:type="dxa"/>
            <w:tcBorders>
              <w:bottom w:val="double" w:sz="4" w:space="0" w:color="auto"/>
            </w:tcBorders>
          </w:tcPr>
          <w:p w14:paraId="32FB62EB" w14:textId="5F322F09" w:rsidR="0091519E" w:rsidRPr="003C6C79" w:rsidRDefault="0091519E">
            <w:pPr>
              <w:autoSpaceDE w:val="0"/>
              <w:autoSpaceDN w:val="0"/>
              <w:adjustRightInd w:val="0"/>
              <w:jc w:val="both"/>
              <w:rPr>
                <w:rFonts w:asciiTheme="minorHAnsi" w:hAnsiTheme="minorHAnsi"/>
                <w:sz w:val="20"/>
                <w:szCs w:val="20"/>
              </w:rPr>
            </w:pPr>
            <w:r w:rsidRPr="003C6C79">
              <w:rPr>
                <w:rFonts w:asciiTheme="minorHAnsi" w:hAnsiTheme="minorHAnsi"/>
                <w:sz w:val="20"/>
                <w:szCs w:val="20"/>
              </w:rPr>
              <w:t>Non-Consulting Services</w:t>
            </w:r>
          </w:p>
        </w:tc>
        <w:tc>
          <w:tcPr>
            <w:tcW w:w="4675" w:type="dxa"/>
            <w:tcBorders>
              <w:bottom w:val="double" w:sz="4" w:space="0" w:color="auto"/>
            </w:tcBorders>
          </w:tcPr>
          <w:p w14:paraId="710E8F8F" w14:textId="1DA9CB8B" w:rsidR="0091519E" w:rsidRPr="003C6C79" w:rsidRDefault="002242AE" w:rsidP="003C6C79">
            <w:pPr>
              <w:autoSpaceDE w:val="0"/>
              <w:autoSpaceDN w:val="0"/>
              <w:adjustRightInd w:val="0"/>
              <w:jc w:val="right"/>
              <w:rPr>
                <w:rFonts w:asciiTheme="minorHAnsi" w:hAnsiTheme="minorHAnsi"/>
                <w:sz w:val="20"/>
                <w:szCs w:val="20"/>
              </w:rPr>
            </w:pPr>
            <w:r w:rsidRPr="003C6C79">
              <w:rPr>
                <w:rFonts w:asciiTheme="minorHAnsi" w:hAnsiTheme="minorHAnsi"/>
                <w:sz w:val="20"/>
                <w:szCs w:val="20"/>
              </w:rPr>
              <w:t>150,000</w:t>
            </w:r>
          </w:p>
        </w:tc>
      </w:tr>
      <w:tr w:rsidR="0091519E" w14:paraId="4A63C292" w14:textId="77777777" w:rsidTr="00914785">
        <w:tc>
          <w:tcPr>
            <w:tcW w:w="4675" w:type="dxa"/>
            <w:tcBorders>
              <w:top w:val="double" w:sz="4" w:space="0" w:color="auto"/>
            </w:tcBorders>
          </w:tcPr>
          <w:p w14:paraId="578B5677" w14:textId="25201B64" w:rsidR="0091519E" w:rsidRPr="003C6C79" w:rsidRDefault="0091519E">
            <w:pPr>
              <w:autoSpaceDE w:val="0"/>
              <w:autoSpaceDN w:val="0"/>
              <w:adjustRightInd w:val="0"/>
              <w:jc w:val="both"/>
              <w:rPr>
                <w:rFonts w:asciiTheme="minorHAnsi" w:hAnsiTheme="minorHAnsi"/>
                <w:i/>
                <w:sz w:val="20"/>
                <w:szCs w:val="20"/>
              </w:rPr>
            </w:pPr>
            <w:r w:rsidRPr="003C6C79">
              <w:rPr>
                <w:rFonts w:asciiTheme="minorHAnsi" w:hAnsiTheme="minorHAnsi"/>
                <w:i/>
                <w:sz w:val="20"/>
                <w:szCs w:val="20"/>
              </w:rPr>
              <w:t>Total:</w:t>
            </w:r>
          </w:p>
        </w:tc>
        <w:tc>
          <w:tcPr>
            <w:tcW w:w="4675" w:type="dxa"/>
            <w:tcBorders>
              <w:top w:val="double" w:sz="4" w:space="0" w:color="auto"/>
            </w:tcBorders>
          </w:tcPr>
          <w:p w14:paraId="1780FC82" w14:textId="35980EFA" w:rsidR="002242AE" w:rsidRPr="003C6C79" w:rsidRDefault="002242AE" w:rsidP="003C6C79">
            <w:pPr>
              <w:autoSpaceDE w:val="0"/>
              <w:autoSpaceDN w:val="0"/>
              <w:adjustRightInd w:val="0"/>
              <w:jc w:val="right"/>
              <w:rPr>
                <w:rFonts w:asciiTheme="minorHAnsi" w:hAnsiTheme="minorHAnsi"/>
                <w:i/>
                <w:sz w:val="20"/>
                <w:szCs w:val="20"/>
              </w:rPr>
            </w:pPr>
            <w:r w:rsidRPr="003C6C79">
              <w:rPr>
                <w:rFonts w:asciiTheme="minorHAnsi" w:hAnsiTheme="minorHAnsi"/>
                <w:i/>
                <w:sz w:val="20"/>
                <w:szCs w:val="20"/>
              </w:rPr>
              <w:t>34,100,000</w:t>
            </w:r>
          </w:p>
        </w:tc>
      </w:tr>
    </w:tbl>
    <w:p w14:paraId="7C874DEC" w14:textId="77777777" w:rsidR="0091519E" w:rsidRPr="006C054E" w:rsidRDefault="0091519E">
      <w:pPr>
        <w:autoSpaceDE w:val="0"/>
        <w:autoSpaceDN w:val="0"/>
        <w:adjustRightInd w:val="0"/>
        <w:jc w:val="both"/>
        <w:rPr>
          <w:rFonts w:asciiTheme="minorHAnsi" w:hAnsiTheme="minorHAnsi"/>
          <w:sz w:val="22"/>
        </w:rPr>
      </w:pPr>
    </w:p>
    <w:p w14:paraId="3E04049B" w14:textId="7E7D4D03" w:rsidR="00273C9B" w:rsidRDefault="00273C9B">
      <w:pPr>
        <w:spacing w:after="200" w:line="276" w:lineRule="auto"/>
        <w:rPr>
          <w:rFonts w:asciiTheme="minorHAnsi" w:hAnsiTheme="minorHAnsi"/>
          <w:sz w:val="22"/>
        </w:rPr>
      </w:pPr>
      <w:r>
        <w:rPr>
          <w:rFonts w:asciiTheme="minorHAnsi" w:hAnsiTheme="minorHAnsi"/>
          <w:sz w:val="22"/>
        </w:rPr>
        <w:br w:type="page"/>
      </w:r>
    </w:p>
    <w:p w14:paraId="55A5DDAC" w14:textId="69ABB023" w:rsidR="00842EB2" w:rsidRPr="00C62310" w:rsidRDefault="00842EB2" w:rsidP="00C62310">
      <w:pPr>
        <w:pStyle w:val="PforRStyle2"/>
        <w:rPr>
          <w:rFonts w:ascii="Calibri" w:hAnsi="Calibri" w:cs="Calibri"/>
          <w:sz w:val="22"/>
          <w:szCs w:val="22"/>
        </w:rPr>
      </w:pPr>
      <w:bookmarkStart w:id="22" w:name="_Toc12467035"/>
      <w:bookmarkStart w:id="23" w:name="_Toc12467036"/>
      <w:bookmarkEnd w:id="22"/>
      <w:r w:rsidRPr="00C62310">
        <w:rPr>
          <w:rFonts w:ascii="Calibri" w:hAnsi="Calibri" w:cs="Calibri"/>
          <w:sz w:val="22"/>
          <w:szCs w:val="22"/>
        </w:rPr>
        <w:lastRenderedPageBreak/>
        <w:t>Procurement Processing</w:t>
      </w:r>
      <w:bookmarkEnd w:id="23"/>
    </w:p>
    <w:p w14:paraId="3EE5D496" w14:textId="77777777" w:rsidR="00BC1D0C" w:rsidRPr="0032291B" w:rsidRDefault="00BC1D0C" w:rsidP="00BC1D0C">
      <w:pPr>
        <w:pStyle w:val="paragraph"/>
        <w:spacing w:before="0" w:beforeAutospacing="0" w:after="0" w:afterAutospacing="0"/>
        <w:jc w:val="both"/>
        <w:textAlignment w:val="baseline"/>
        <w:rPr>
          <w:rFonts w:ascii="&amp;quot" w:hAnsi="&amp;quot"/>
          <w:color w:val="000000"/>
          <w:sz w:val="18"/>
          <w:szCs w:val="18"/>
        </w:rPr>
      </w:pPr>
      <w:r w:rsidRPr="00B67149">
        <w:rPr>
          <w:rStyle w:val="normaltextrun"/>
          <w:rFonts w:ascii="Calibri" w:hAnsi="Calibri" w:cs="Calibri"/>
          <w:b/>
          <w:bCs/>
          <w:color w:val="000000"/>
          <w:sz w:val="22"/>
          <w:szCs w:val="22"/>
        </w:rPr>
        <w:t>Preparation of bidding documents and technical specifications.</w:t>
      </w:r>
      <w:r w:rsidRPr="00B67149">
        <w:rPr>
          <w:rStyle w:val="normaltextrun"/>
          <w:rFonts w:ascii="Calibri" w:hAnsi="Calibri" w:cs="Calibri"/>
          <w:color w:val="000000"/>
          <w:sz w:val="22"/>
          <w:szCs w:val="22"/>
        </w:rPr>
        <w:t xml:space="preserve"> Standard Bidding Documents have been developed by A</w:t>
      </w:r>
      <w:r w:rsidRPr="0032291B">
        <w:rPr>
          <w:rStyle w:val="normaltextrun"/>
          <w:rFonts w:ascii="Calibri" w:hAnsi="Calibri" w:cs="Calibri"/>
          <w:color w:val="000000"/>
          <w:sz w:val="22"/>
          <w:szCs w:val="22"/>
        </w:rPr>
        <w:t xml:space="preserve">NAP and are available on their website: www.anap.gov.ro. In practice, each technical department within the institution assesses the needs and submits the data to the Procurement Department which collects and consolidates the data. Technical input (technical specifications, terms of references) is provided by the relevant technical departments. The persons involved in the preparation of TSs are doctors and other experts depending on the nature of products/services to be procured. The preparation of technical specifications and the bidding documents is a lengthy process and often takes significant time to accumulate basic information, as it involves numerous consultations with the public institutions for which the joint procurement is conducted and with the business community. The technical experts that have prepared the technical specifications usually participate </w:t>
      </w:r>
      <w:proofErr w:type="gramStart"/>
      <w:r w:rsidRPr="0032291B">
        <w:rPr>
          <w:rStyle w:val="advancedproofingissue"/>
          <w:rFonts w:ascii="Calibri" w:hAnsi="Calibri" w:cs="Calibri"/>
          <w:color w:val="000000"/>
          <w:sz w:val="22"/>
          <w:szCs w:val="22"/>
        </w:rPr>
        <w:t>later on</w:t>
      </w:r>
      <w:proofErr w:type="gramEnd"/>
      <w:r w:rsidRPr="0032291B">
        <w:rPr>
          <w:rStyle w:val="normaltextrun"/>
          <w:rFonts w:ascii="Calibri" w:hAnsi="Calibri" w:cs="Calibri"/>
          <w:color w:val="000000"/>
          <w:sz w:val="22"/>
          <w:szCs w:val="22"/>
        </w:rPr>
        <w:t xml:space="preserve"> in the evaluation process. </w:t>
      </w:r>
      <w:r w:rsidRPr="0032291B">
        <w:rPr>
          <w:rStyle w:val="eop"/>
          <w:rFonts w:ascii="Calibri" w:eastAsiaTheme="minorEastAsia" w:hAnsi="Calibri" w:cs="Calibri"/>
          <w:sz w:val="22"/>
          <w:szCs w:val="22"/>
        </w:rPr>
        <w:t> </w:t>
      </w:r>
    </w:p>
    <w:p w14:paraId="12195C4E" w14:textId="77777777" w:rsidR="00BC1D0C" w:rsidRPr="0032291B" w:rsidRDefault="00BC1D0C" w:rsidP="00BC1D0C">
      <w:pPr>
        <w:pStyle w:val="paragraph"/>
        <w:spacing w:before="0" w:beforeAutospacing="0" w:after="0" w:afterAutospacing="0"/>
        <w:jc w:val="both"/>
        <w:textAlignment w:val="baseline"/>
        <w:rPr>
          <w:rFonts w:ascii="&amp;quot" w:hAnsi="&amp;quot"/>
          <w:color w:val="000000"/>
          <w:sz w:val="18"/>
          <w:szCs w:val="18"/>
        </w:rPr>
      </w:pPr>
    </w:p>
    <w:p w14:paraId="71F6DFB2" w14:textId="77777777" w:rsidR="00BC1D0C" w:rsidRPr="0032291B" w:rsidRDefault="00BC1D0C" w:rsidP="00BC1D0C">
      <w:pPr>
        <w:pStyle w:val="paragraph"/>
        <w:spacing w:before="0" w:beforeAutospacing="0" w:after="0" w:afterAutospacing="0"/>
        <w:jc w:val="both"/>
        <w:textAlignment w:val="baseline"/>
        <w:rPr>
          <w:rFonts w:ascii="&amp;quot" w:hAnsi="&amp;quot"/>
          <w:color w:val="000000"/>
          <w:sz w:val="18"/>
          <w:szCs w:val="18"/>
        </w:rPr>
      </w:pPr>
      <w:r w:rsidRPr="0032291B">
        <w:rPr>
          <w:rStyle w:val="normaltextrun"/>
          <w:rFonts w:ascii="Calibri" w:hAnsi="Calibri" w:cs="Calibri"/>
          <w:color w:val="000000"/>
          <w:sz w:val="22"/>
          <w:szCs w:val="22"/>
        </w:rPr>
        <w:t xml:space="preserve">Procurement </w:t>
      </w:r>
      <w:r w:rsidRPr="006320F8">
        <w:rPr>
          <w:rStyle w:val="normaltextrun"/>
          <w:rFonts w:ascii="Calibri" w:hAnsi="Calibri" w:cs="Calibri"/>
          <w:color w:val="000000"/>
          <w:sz w:val="22"/>
          <w:szCs w:val="22"/>
        </w:rPr>
        <w:t>Units</w:t>
      </w:r>
      <w:r w:rsidRPr="0032291B">
        <w:rPr>
          <w:rStyle w:val="normaltextrun"/>
          <w:rFonts w:ascii="Calibri" w:hAnsi="Calibri" w:cs="Calibri"/>
          <w:color w:val="000000"/>
          <w:sz w:val="22"/>
          <w:szCs w:val="22"/>
        </w:rPr>
        <w:t xml:space="preserve"> are generally not involved in the preparation of the technical aspects of the bidding documents. They are responsible for the tendering phase, overall guidance through the procurement process and development of the annual PP.</w:t>
      </w:r>
      <w:r w:rsidRPr="0032291B">
        <w:rPr>
          <w:rStyle w:val="eop"/>
          <w:rFonts w:ascii="Calibri" w:eastAsiaTheme="minorEastAsia" w:hAnsi="Calibri" w:cs="Calibri"/>
          <w:sz w:val="22"/>
          <w:szCs w:val="22"/>
        </w:rPr>
        <w:t> </w:t>
      </w:r>
    </w:p>
    <w:p w14:paraId="26F094D2" w14:textId="77777777" w:rsidR="00BC1D0C" w:rsidRPr="0032291B" w:rsidRDefault="00BC1D0C" w:rsidP="00BC1D0C">
      <w:pPr>
        <w:pStyle w:val="paragraph"/>
        <w:spacing w:before="0" w:beforeAutospacing="0" w:after="0" w:afterAutospacing="0"/>
        <w:jc w:val="both"/>
        <w:textAlignment w:val="baseline"/>
        <w:rPr>
          <w:rFonts w:ascii="&amp;quot" w:hAnsi="&amp;quot"/>
          <w:color w:val="000000"/>
          <w:sz w:val="18"/>
          <w:szCs w:val="18"/>
        </w:rPr>
      </w:pPr>
    </w:p>
    <w:p w14:paraId="7689F827" w14:textId="77777777" w:rsidR="00BC1D0C" w:rsidRPr="006320F8" w:rsidRDefault="00BC1D0C" w:rsidP="00BC1D0C">
      <w:pPr>
        <w:pStyle w:val="paragraph"/>
        <w:spacing w:before="0" w:beforeAutospacing="0" w:after="0" w:afterAutospacing="0"/>
        <w:jc w:val="both"/>
        <w:textAlignment w:val="baseline"/>
        <w:rPr>
          <w:rStyle w:val="eop"/>
          <w:rFonts w:ascii="Calibri" w:eastAsiaTheme="minorEastAsia" w:hAnsi="Calibri" w:cs="Calibri"/>
          <w:sz w:val="22"/>
          <w:szCs w:val="22"/>
        </w:rPr>
      </w:pPr>
      <w:r w:rsidRPr="0032291B">
        <w:rPr>
          <w:rStyle w:val="normaltextrun"/>
          <w:rFonts w:ascii="Calibri" w:hAnsi="Calibri" w:cs="Calibri"/>
          <w:b/>
          <w:bCs/>
          <w:color w:val="000000"/>
          <w:sz w:val="22"/>
          <w:szCs w:val="22"/>
          <w:lang w:val="en-GB"/>
        </w:rPr>
        <w:t>Opening and evaluation of bids.</w:t>
      </w:r>
      <w:r w:rsidRPr="0032291B">
        <w:rPr>
          <w:rStyle w:val="normaltextrun"/>
          <w:rFonts w:ascii="Calibri" w:hAnsi="Calibri" w:cs="Calibri"/>
          <w:b/>
          <w:bCs/>
          <w:i/>
          <w:iCs/>
          <w:color w:val="000000"/>
          <w:sz w:val="22"/>
          <w:szCs w:val="22"/>
          <w:lang w:val="en-GB"/>
        </w:rPr>
        <w:t xml:space="preserve"> </w:t>
      </w:r>
      <w:r w:rsidRPr="0032291B">
        <w:rPr>
          <w:rStyle w:val="normaltextrun"/>
          <w:rFonts w:ascii="Calibri" w:hAnsi="Calibri" w:cs="Calibri"/>
          <w:color w:val="000000"/>
          <w:sz w:val="22"/>
          <w:szCs w:val="22"/>
          <w:lang w:val="en-GB"/>
        </w:rPr>
        <w:t>Tenders are opened in public and minutes of public opening are prepared in a form and content as defined in the legislation. A copy of the minutes is made available to all authorized representatives of the tenderers. Evaluation is done in accordance with the evaluation and qualification criteria in the tender documents and is carried out by an evaluation committee.</w:t>
      </w:r>
      <w:r w:rsidRPr="0032291B">
        <w:rPr>
          <w:rStyle w:val="eop"/>
          <w:rFonts w:ascii="Calibri" w:eastAsiaTheme="minorEastAsia" w:hAnsi="Calibri" w:cs="Calibri"/>
          <w:sz w:val="22"/>
          <w:szCs w:val="22"/>
        </w:rPr>
        <w:t> </w:t>
      </w:r>
    </w:p>
    <w:p w14:paraId="2601F564" w14:textId="77777777" w:rsidR="00BC1D0C" w:rsidRPr="006320F8" w:rsidRDefault="00BC1D0C" w:rsidP="00BC1D0C">
      <w:pPr>
        <w:pStyle w:val="paragraph"/>
        <w:spacing w:before="0" w:beforeAutospacing="0" w:after="0" w:afterAutospacing="0"/>
        <w:jc w:val="both"/>
        <w:textAlignment w:val="baseline"/>
        <w:rPr>
          <w:rFonts w:ascii="&amp;quot" w:hAnsi="&amp;quot"/>
          <w:color w:val="000000"/>
          <w:sz w:val="18"/>
          <w:szCs w:val="18"/>
          <w:highlight w:val="yellow"/>
        </w:rPr>
      </w:pPr>
    </w:p>
    <w:p w14:paraId="342FD5AB" w14:textId="5E44B00B" w:rsidR="00BC1D0C" w:rsidRPr="00795DE8" w:rsidRDefault="00BC1D0C" w:rsidP="00BC1D0C">
      <w:pPr>
        <w:spacing w:after="160" w:line="259" w:lineRule="auto"/>
        <w:jc w:val="both"/>
        <w:rPr>
          <w:rFonts w:ascii="Calibri" w:eastAsia="Calibri" w:hAnsi="Calibri" w:cs="Times New Roman"/>
          <w:sz w:val="22"/>
        </w:rPr>
      </w:pPr>
      <w:r w:rsidRPr="00795DE8">
        <w:rPr>
          <w:rFonts w:ascii="Calibri" w:eastAsia="Calibri" w:hAnsi="Calibri" w:cs="Times New Roman"/>
          <w:sz w:val="22"/>
        </w:rPr>
        <w:t>The e-procurement system was first introduced in 2007 with an improved version launch in April 2018 (</w:t>
      </w:r>
      <w:hyperlink r:id="rId20" w:history="1">
        <w:r w:rsidRPr="00795DE8">
          <w:rPr>
            <w:rFonts w:ascii="Calibri" w:eastAsia="Calibri" w:hAnsi="Calibri" w:cs="Times New Roman"/>
            <w:color w:val="0563C1"/>
            <w:sz w:val="22"/>
            <w:u w:val="single"/>
          </w:rPr>
          <w:t>http://sicap-prod.e-licitatie.ro/pub</w:t>
        </w:r>
      </w:hyperlink>
      <w:r w:rsidRPr="00795DE8">
        <w:rPr>
          <w:rFonts w:ascii="Calibri" w:eastAsia="Calibri" w:hAnsi="Calibri" w:cs="Times New Roman"/>
          <w:sz w:val="22"/>
        </w:rPr>
        <w:t xml:space="preserve">). Information on tenders launched before April 2018 can still be retrieved from the old system for data analysis purposes. The current system publishes procurement plans, bidding opportunities and contract awards.  The platform represents an electronic infrastructure which offers the public authorities of Romania the possibility to procure goods, works and services through electronic means and the economic operators the possibility to submit bids/proposals. It has a user-friendly interface, offers structured data which can be easily retrieved by any user and advance search function. The system brought more transparency in public procurement. In 2018, about 35,354 procurement procedures were conducted with a total value </w:t>
      </w:r>
      <w:r w:rsidRPr="00767A4F">
        <w:rPr>
          <w:rFonts w:ascii="Calibri" w:eastAsia="Calibri" w:hAnsi="Calibri" w:cs="Times New Roman"/>
          <w:sz w:val="22"/>
        </w:rPr>
        <w:t>of 139,718,293</w:t>
      </w:r>
      <w:r w:rsidR="003A0BAF" w:rsidRPr="00767A4F">
        <w:rPr>
          <w:rFonts w:ascii="Calibri" w:eastAsia="Calibri" w:hAnsi="Calibri" w:cs="Times New Roman"/>
          <w:sz w:val="22"/>
        </w:rPr>
        <w:t>,000</w:t>
      </w:r>
      <w:r w:rsidRPr="00767A4F">
        <w:rPr>
          <w:rFonts w:ascii="Calibri" w:eastAsia="Calibri" w:hAnsi="Calibri" w:cs="Times New Roman"/>
          <w:sz w:val="22"/>
        </w:rPr>
        <w:t xml:space="preserve"> RON</w:t>
      </w:r>
      <w:r w:rsidRPr="00795DE8">
        <w:rPr>
          <w:rFonts w:ascii="Calibri" w:eastAsia="Calibri" w:hAnsi="Calibri" w:cs="Times New Roman"/>
          <w:sz w:val="22"/>
        </w:rPr>
        <w:t xml:space="preserve">. </w:t>
      </w:r>
    </w:p>
    <w:p w14:paraId="2A24E0E2" w14:textId="77777777" w:rsidR="00BC1D0C" w:rsidRPr="00795DE8" w:rsidRDefault="00BC1D0C" w:rsidP="00BC1D0C">
      <w:pPr>
        <w:spacing w:after="160" w:line="259" w:lineRule="auto"/>
        <w:jc w:val="both"/>
        <w:rPr>
          <w:rFonts w:ascii="Calibri" w:eastAsia="Calibri" w:hAnsi="Calibri" w:cs="Times New Roman"/>
          <w:sz w:val="22"/>
        </w:rPr>
      </w:pPr>
      <w:r w:rsidRPr="00795DE8">
        <w:rPr>
          <w:rFonts w:ascii="Calibri" w:eastAsia="Calibri" w:hAnsi="Calibri" w:cs="Times New Roman"/>
          <w:sz w:val="22"/>
        </w:rPr>
        <w:t>Issues identified during the assessment are summarized as follows, with proposed remedial actions outlined in the PAP (Annex 6):</w:t>
      </w:r>
    </w:p>
    <w:p w14:paraId="63D3F6D2" w14:textId="77777777" w:rsidR="00BC1D0C" w:rsidRPr="00795DE8" w:rsidRDefault="00BC1D0C" w:rsidP="00BC1D0C">
      <w:pPr>
        <w:numPr>
          <w:ilvl w:val="0"/>
          <w:numId w:val="37"/>
        </w:numPr>
        <w:spacing w:after="160" w:line="259" w:lineRule="auto"/>
        <w:contextualSpacing/>
        <w:jc w:val="both"/>
        <w:rPr>
          <w:rFonts w:ascii="Calibri" w:eastAsia="Calibri" w:hAnsi="Calibri" w:cs="Times New Roman"/>
          <w:sz w:val="22"/>
        </w:rPr>
      </w:pPr>
      <w:r w:rsidRPr="00795DE8">
        <w:rPr>
          <w:rFonts w:ascii="Calibri" w:eastAsia="Calibri" w:hAnsi="Calibri" w:cs="Times New Roman"/>
          <w:sz w:val="22"/>
        </w:rPr>
        <w:t xml:space="preserve">At the MoH: (i) long tendering processes, generally nine months and longer, for a competitive procedure; (ii) frequent cancellation of tenders or blockages of the tendering process due to complaints; (iii) limited technical capacities to develop technical specifications and otherwise provide support during the evaluation/clarifications process; (iv) difficulty in identifying and maintaining the same technical experts (who are generally doctors) throughout the procurement cycle, starting from the development of the technical specification and ending with the contract award; and (v) even though the Procurement Unit is well staffed, procurement function is carried out by three staff, thus making it difficult to undertake additional work or even cope with the current workload. </w:t>
      </w:r>
    </w:p>
    <w:p w14:paraId="55B0C362" w14:textId="77777777" w:rsidR="00BC1D0C" w:rsidRPr="00795DE8" w:rsidRDefault="00BC1D0C" w:rsidP="00BC1D0C">
      <w:pPr>
        <w:numPr>
          <w:ilvl w:val="0"/>
          <w:numId w:val="37"/>
        </w:numPr>
        <w:spacing w:after="160" w:line="259" w:lineRule="auto"/>
        <w:contextualSpacing/>
        <w:jc w:val="both"/>
        <w:rPr>
          <w:rFonts w:ascii="Calibri" w:eastAsia="Calibri" w:hAnsi="Calibri" w:cs="Times New Roman"/>
          <w:sz w:val="22"/>
        </w:rPr>
      </w:pPr>
      <w:r w:rsidRPr="00795DE8">
        <w:rPr>
          <w:rFonts w:ascii="Calibri" w:eastAsia="Calibri" w:hAnsi="Calibri" w:cs="Times New Roman"/>
          <w:sz w:val="22"/>
        </w:rPr>
        <w:t>Given its current mandate, ONAC does not have the required technical competencies to conduct procurement in the health sector;</w:t>
      </w:r>
    </w:p>
    <w:p w14:paraId="7944726C" w14:textId="77777777" w:rsidR="00BC1D0C" w:rsidRDefault="00BC1D0C" w:rsidP="00BC1D0C">
      <w:pPr>
        <w:numPr>
          <w:ilvl w:val="0"/>
          <w:numId w:val="37"/>
        </w:numPr>
        <w:spacing w:after="160" w:line="259" w:lineRule="auto"/>
        <w:contextualSpacing/>
        <w:jc w:val="both"/>
        <w:rPr>
          <w:rFonts w:ascii="Calibri" w:eastAsia="Calibri" w:hAnsi="Calibri" w:cs="Times New Roman"/>
          <w:sz w:val="22"/>
        </w:rPr>
      </w:pPr>
      <w:r w:rsidRPr="00795DE8">
        <w:rPr>
          <w:rFonts w:ascii="Calibri" w:eastAsia="Calibri" w:hAnsi="Calibri" w:cs="Times New Roman"/>
          <w:sz w:val="22"/>
        </w:rPr>
        <w:lastRenderedPageBreak/>
        <w:t xml:space="preserve">At the NHIH, a major share of financing under the DLIs to be implemented by the NHIH will be in related to IT infrastructure (development of various electronic platforms, software, and possibly hardware) and the nature of these contracts could be challenging, as the NHIH has limited experience with such procurement. </w:t>
      </w:r>
    </w:p>
    <w:p w14:paraId="49B1B951" w14:textId="09322750" w:rsidR="007C600C" w:rsidRPr="00C62310" w:rsidRDefault="007C600C" w:rsidP="00C62310">
      <w:pPr>
        <w:pStyle w:val="PforRStyle2"/>
        <w:rPr>
          <w:rFonts w:ascii="Calibri" w:hAnsi="Calibri" w:cs="Calibri"/>
          <w:sz w:val="22"/>
          <w:szCs w:val="22"/>
        </w:rPr>
      </w:pPr>
      <w:bookmarkStart w:id="24" w:name="_Toc12467037"/>
      <w:r w:rsidRPr="00C62310">
        <w:rPr>
          <w:rFonts w:ascii="Calibri" w:hAnsi="Calibri" w:cs="Calibri"/>
          <w:sz w:val="22"/>
          <w:szCs w:val="22"/>
        </w:rPr>
        <w:t>Contract Management</w:t>
      </w:r>
      <w:bookmarkEnd w:id="24"/>
    </w:p>
    <w:p w14:paraId="0F1C5A32" w14:textId="175C8C73" w:rsidR="00A1687A" w:rsidRDefault="00BC1D0C" w:rsidP="00BC1D0C">
      <w:pPr>
        <w:spacing w:after="160" w:line="259" w:lineRule="auto"/>
        <w:jc w:val="both"/>
        <w:rPr>
          <w:rFonts w:ascii="Calibri" w:eastAsia="Calibri" w:hAnsi="Calibri" w:cs="Times New Roman"/>
          <w:sz w:val="22"/>
          <w:highlight w:val="yellow"/>
        </w:rPr>
      </w:pPr>
      <w:r w:rsidRPr="00795DE8">
        <w:rPr>
          <w:rFonts w:ascii="Calibri" w:eastAsia="Calibri" w:hAnsi="Calibri" w:cs="Times New Roman"/>
          <w:b/>
          <w:sz w:val="22"/>
        </w:rPr>
        <w:t>Legal provisions regarding contract execution are supplemented by relevant guidance and templates which are adapted to the specific needs of each contracting authority</w:t>
      </w:r>
      <w:r w:rsidRPr="00795DE8">
        <w:rPr>
          <w:rFonts w:ascii="Calibri" w:eastAsia="Calibri" w:hAnsi="Calibri" w:cs="Times New Roman"/>
          <w:sz w:val="22"/>
        </w:rPr>
        <w:t xml:space="preserve">. At MoH and NHIH, </w:t>
      </w:r>
      <w:r w:rsidR="00B20ABC">
        <w:rPr>
          <w:rFonts w:ascii="Calibri" w:eastAsia="Calibri" w:hAnsi="Calibri" w:cs="Times New Roman"/>
          <w:sz w:val="22"/>
        </w:rPr>
        <w:t>the template for the contract conditions</w:t>
      </w:r>
      <w:r w:rsidR="00A1687A">
        <w:rPr>
          <w:rFonts w:ascii="Calibri" w:eastAsia="Calibri" w:hAnsi="Calibri" w:cs="Times New Roman"/>
          <w:sz w:val="22"/>
        </w:rPr>
        <w:t>,</w:t>
      </w:r>
      <w:r w:rsidR="00B20ABC">
        <w:rPr>
          <w:rFonts w:ascii="Calibri" w:eastAsia="Calibri" w:hAnsi="Calibri" w:cs="Times New Roman"/>
          <w:sz w:val="22"/>
        </w:rPr>
        <w:t xml:space="preserve"> </w:t>
      </w:r>
      <w:r w:rsidR="00A1687A">
        <w:rPr>
          <w:rFonts w:ascii="Calibri" w:eastAsia="Calibri" w:hAnsi="Calibri" w:cs="Times New Roman"/>
          <w:sz w:val="22"/>
        </w:rPr>
        <w:t xml:space="preserve">which include the obligations for both parties, </w:t>
      </w:r>
      <w:r w:rsidR="00B20ABC">
        <w:rPr>
          <w:rFonts w:ascii="Calibri" w:eastAsia="Calibri" w:hAnsi="Calibri" w:cs="Times New Roman"/>
          <w:sz w:val="22"/>
        </w:rPr>
        <w:t>are published together with the tender documents for each procurement launche</w:t>
      </w:r>
      <w:r w:rsidR="00B20ABC">
        <w:rPr>
          <w:rFonts w:ascii="Calibri" w:eastAsia="Calibri" w:hAnsi="Calibri" w:cs="Times New Roman"/>
          <w:sz w:val="22"/>
        </w:rPr>
        <w:t>d</w:t>
      </w:r>
      <w:r w:rsidR="00B20ABC">
        <w:rPr>
          <w:rFonts w:ascii="Calibri" w:eastAsia="Calibri" w:hAnsi="Calibri" w:cs="Times New Roman"/>
          <w:sz w:val="22"/>
        </w:rPr>
        <w:t xml:space="preserve">. </w:t>
      </w:r>
      <w:r w:rsidR="00A1687A" w:rsidRPr="00767A4F">
        <w:rPr>
          <w:rFonts w:ascii="Calibri" w:eastAsia="Calibri" w:hAnsi="Calibri" w:cs="Times New Roman"/>
          <w:sz w:val="22"/>
        </w:rPr>
        <w:t xml:space="preserve">Payment deadlines are </w:t>
      </w:r>
      <w:r w:rsidR="00A1687A" w:rsidRPr="00C53180">
        <w:rPr>
          <w:rFonts w:ascii="Calibri" w:eastAsia="Calibri" w:hAnsi="Calibri" w:cs="Times New Roman"/>
          <w:sz w:val="22"/>
        </w:rPr>
        <w:t>set in accordance with Law 72/2013</w:t>
      </w:r>
      <w:r w:rsidR="00A1687A">
        <w:rPr>
          <w:rFonts w:ascii="Calibri" w:eastAsia="Calibri" w:hAnsi="Calibri" w:cs="Times New Roman"/>
          <w:sz w:val="22"/>
        </w:rPr>
        <w:t xml:space="preserve">, and </w:t>
      </w:r>
      <w:r w:rsidR="00A1687A" w:rsidRPr="00767A4F">
        <w:rPr>
          <w:rFonts w:ascii="Calibri" w:eastAsia="Calibri" w:hAnsi="Calibri" w:cs="Times New Roman"/>
          <w:sz w:val="22"/>
        </w:rPr>
        <w:t xml:space="preserve">clearly mentioned in the contract conditions. Similar deadlines are established for both procurement contracts and framework </w:t>
      </w:r>
      <w:r w:rsidR="00A1687A">
        <w:rPr>
          <w:rFonts w:ascii="Calibri" w:eastAsia="Calibri" w:hAnsi="Calibri" w:cs="Times New Roman"/>
          <w:sz w:val="22"/>
        </w:rPr>
        <w:t>agreements</w:t>
      </w:r>
      <w:r w:rsidR="00A1687A" w:rsidRPr="00767A4F">
        <w:rPr>
          <w:rFonts w:ascii="Calibri" w:eastAsia="Calibri" w:hAnsi="Calibri" w:cs="Times New Roman"/>
          <w:sz w:val="22"/>
        </w:rPr>
        <w:t>. MoH generally opts for payment of invoices within 60 days after their receipt, following the acceptance of the goods</w:t>
      </w:r>
      <w:r w:rsidR="00A1687A">
        <w:rPr>
          <w:rFonts w:ascii="Calibri" w:eastAsia="Calibri" w:hAnsi="Calibri" w:cs="Times New Roman"/>
          <w:sz w:val="22"/>
        </w:rPr>
        <w:t xml:space="preserve"> or s</w:t>
      </w:r>
      <w:r w:rsidR="00A1687A" w:rsidRPr="00767A4F">
        <w:rPr>
          <w:rFonts w:ascii="Calibri" w:eastAsia="Calibri" w:hAnsi="Calibri" w:cs="Times New Roman"/>
          <w:sz w:val="22"/>
        </w:rPr>
        <w:t xml:space="preserve">ervices, whereas NHIH prefers to pay within 30 days. Contract conditions also provide for specific delays in case the set deadlines are unjustifiably not met, generally 0,1%. </w:t>
      </w:r>
      <w:r w:rsidR="00B20ABC">
        <w:rPr>
          <w:rFonts w:ascii="Calibri" w:eastAsia="Calibri" w:hAnsi="Calibri" w:cs="Times New Roman"/>
          <w:sz w:val="22"/>
        </w:rPr>
        <w:t>R</w:t>
      </w:r>
      <w:r w:rsidRPr="00795DE8">
        <w:rPr>
          <w:rFonts w:ascii="Calibri" w:eastAsia="Calibri" w:hAnsi="Calibri" w:cs="Times New Roman"/>
          <w:sz w:val="22"/>
        </w:rPr>
        <w:t>equesting technical departments are responsible for monitoring the implementation of contracts for operational needs of the institution.</w:t>
      </w:r>
      <w:r w:rsidR="00A1687A">
        <w:rPr>
          <w:rFonts w:ascii="Calibri" w:eastAsia="Calibri" w:hAnsi="Calibri" w:cs="Times New Roman"/>
          <w:sz w:val="22"/>
        </w:rPr>
        <w:t xml:space="preserve"> Contracts </w:t>
      </w:r>
      <w:r w:rsidR="00A1687A">
        <w:rPr>
          <w:rFonts w:ascii="Calibri" w:eastAsia="Calibri" w:hAnsi="Calibri" w:cs="Times New Roman"/>
          <w:sz w:val="22"/>
        </w:rPr>
        <w:t>are generally</w:t>
      </w:r>
      <w:r w:rsidR="00A1687A">
        <w:rPr>
          <w:rFonts w:ascii="Calibri" w:eastAsia="Calibri" w:hAnsi="Calibri" w:cs="Times New Roman"/>
          <w:sz w:val="22"/>
        </w:rPr>
        <w:t xml:space="preserve"> implemented according to the agreed conditi</w:t>
      </w:r>
      <w:r w:rsidR="00A1687A">
        <w:rPr>
          <w:rFonts w:ascii="Calibri" w:eastAsia="Calibri" w:hAnsi="Calibri" w:cs="Times New Roman"/>
          <w:sz w:val="22"/>
        </w:rPr>
        <w:t>ons and payments are made within the established deadlines.</w:t>
      </w:r>
      <w:r w:rsidRPr="00795DE8">
        <w:rPr>
          <w:rFonts w:ascii="Calibri" w:eastAsia="Calibri" w:hAnsi="Calibri" w:cs="Times New Roman"/>
          <w:sz w:val="22"/>
        </w:rPr>
        <w:t xml:space="preserve"> </w:t>
      </w:r>
    </w:p>
    <w:p w14:paraId="73653C50" w14:textId="30E4B94C" w:rsidR="00BC1D0C" w:rsidRPr="00795DE8" w:rsidRDefault="00BC1D0C" w:rsidP="00BC1D0C">
      <w:pPr>
        <w:spacing w:after="160" w:line="259" w:lineRule="auto"/>
        <w:jc w:val="both"/>
        <w:rPr>
          <w:rFonts w:ascii="Calibri" w:eastAsia="Calibri" w:hAnsi="Calibri" w:cs="Times New Roman"/>
          <w:sz w:val="22"/>
        </w:rPr>
      </w:pPr>
      <w:r w:rsidRPr="00795DE8">
        <w:rPr>
          <w:rFonts w:ascii="Calibri" w:eastAsia="Calibri" w:hAnsi="Calibri" w:cs="Times New Roman"/>
          <w:sz w:val="22"/>
        </w:rPr>
        <w:t xml:space="preserve">For centralized procurement, the Procurement Unit of the MoH concludes framework agreements in the name of the final beneficiaries who are then responsible for concluding and managing the subsequent contracts. </w:t>
      </w:r>
      <w:r w:rsidR="00A1687A">
        <w:rPr>
          <w:rFonts w:ascii="Calibri" w:eastAsia="Calibri" w:hAnsi="Calibri" w:cs="Times New Roman"/>
          <w:sz w:val="22"/>
        </w:rPr>
        <w:t>The template</w:t>
      </w:r>
      <w:r w:rsidR="00C8570C">
        <w:rPr>
          <w:rFonts w:ascii="Calibri" w:eastAsia="Calibri" w:hAnsi="Calibri" w:cs="Times New Roman"/>
          <w:sz w:val="22"/>
        </w:rPr>
        <w:t>s</w:t>
      </w:r>
      <w:r w:rsidR="00A1687A">
        <w:rPr>
          <w:rFonts w:ascii="Calibri" w:eastAsia="Calibri" w:hAnsi="Calibri" w:cs="Times New Roman"/>
          <w:sz w:val="22"/>
        </w:rPr>
        <w:t xml:space="preserve"> for the framework agreement and the subsequent contract are </w:t>
      </w:r>
      <w:r w:rsidR="00C8570C">
        <w:rPr>
          <w:rFonts w:ascii="Calibri" w:eastAsia="Calibri" w:hAnsi="Calibri" w:cs="Times New Roman"/>
          <w:sz w:val="22"/>
        </w:rPr>
        <w:t xml:space="preserve">also </w:t>
      </w:r>
      <w:r w:rsidR="00A1687A">
        <w:rPr>
          <w:rFonts w:ascii="Calibri" w:eastAsia="Calibri" w:hAnsi="Calibri" w:cs="Times New Roman"/>
          <w:sz w:val="22"/>
        </w:rPr>
        <w:t>published together with the tender documents for each launched procedure</w:t>
      </w:r>
      <w:r w:rsidR="00C8570C">
        <w:rPr>
          <w:rFonts w:ascii="Calibri" w:eastAsia="Calibri" w:hAnsi="Calibri" w:cs="Times New Roman"/>
          <w:sz w:val="22"/>
        </w:rPr>
        <w:t>, including the payment conditions</w:t>
      </w:r>
      <w:r w:rsidR="00A1687A">
        <w:rPr>
          <w:rFonts w:ascii="Calibri" w:eastAsia="Calibri" w:hAnsi="Calibri" w:cs="Times New Roman"/>
          <w:sz w:val="22"/>
        </w:rPr>
        <w:t xml:space="preserve">. </w:t>
      </w:r>
      <w:r w:rsidRPr="00795DE8">
        <w:rPr>
          <w:rFonts w:ascii="Calibri" w:eastAsia="Calibri" w:hAnsi="Calibri" w:cs="Times New Roman"/>
          <w:sz w:val="22"/>
        </w:rPr>
        <w:t>After the framework agreement is signed with the successful tenderers, the agreement, tender documents, technical and financial offers are sent to the beneficiaries to conclude and sign the subsequent contracts in accordance with their individual procurement plan and allocated budget. Management of subsequent contracts</w:t>
      </w:r>
      <w:r w:rsidR="00C8570C">
        <w:rPr>
          <w:rFonts w:ascii="Calibri" w:eastAsia="Calibri" w:hAnsi="Calibri" w:cs="Times New Roman"/>
          <w:sz w:val="22"/>
        </w:rPr>
        <w:t>, including payments,</w:t>
      </w:r>
      <w:r w:rsidRPr="00795DE8">
        <w:rPr>
          <w:rFonts w:ascii="Calibri" w:eastAsia="Calibri" w:hAnsi="Calibri" w:cs="Times New Roman"/>
          <w:sz w:val="22"/>
        </w:rPr>
        <w:t xml:space="preserve"> is within the responsibility of respective public health institutions</w:t>
      </w:r>
      <w:r w:rsidR="00C8570C">
        <w:rPr>
          <w:rFonts w:ascii="Calibri" w:eastAsia="Calibri" w:hAnsi="Calibri" w:cs="Times New Roman"/>
          <w:sz w:val="22"/>
        </w:rPr>
        <w:t xml:space="preserve">. The </w:t>
      </w:r>
      <w:r w:rsidR="00C8570C">
        <w:rPr>
          <w:rFonts w:ascii="Calibri" w:eastAsia="Calibri" w:hAnsi="Calibri" w:cs="Times New Roman"/>
          <w:sz w:val="22"/>
        </w:rPr>
        <w:t xml:space="preserve">relevant </w:t>
      </w:r>
      <w:r w:rsidR="00A1687A">
        <w:rPr>
          <w:rFonts w:ascii="Calibri" w:eastAsia="Calibri" w:hAnsi="Calibri" w:cs="Times New Roman"/>
          <w:sz w:val="22"/>
        </w:rPr>
        <w:t>technical departments</w:t>
      </w:r>
      <w:r w:rsidR="00F50ED2">
        <w:rPr>
          <w:rFonts w:ascii="Calibri" w:eastAsia="Calibri" w:hAnsi="Calibri" w:cs="Times New Roman"/>
          <w:sz w:val="22"/>
        </w:rPr>
        <w:t xml:space="preserve"> </w:t>
      </w:r>
      <w:r w:rsidR="00F50ED2">
        <w:rPr>
          <w:rFonts w:ascii="Calibri" w:eastAsia="Calibri" w:hAnsi="Calibri" w:cs="Times New Roman"/>
          <w:sz w:val="22"/>
        </w:rPr>
        <w:t xml:space="preserve">in charge with the management of the health programmes </w:t>
      </w:r>
      <w:r w:rsidR="00C8570C">
        <w:rPr>
          <w:rFonts w:ascii="Calibri" w:eastAsia="Calibri" w:hAnsi="Calibri" w:cs="Times New Roman"/>
          <w:sz w:val="22"/>
        </w:rPr>
        <w:t>maintain the ov</w:t>
      </w:r>
      <w:r w:rsidR="00C8570C">
        <w:rPr>
          <w:rFonts w:ascii="Calibri" w:eastAsia="Calibri" w:hAnsi="Calibri" w:cs="Times New Roman"/>
          <w:sz w:val="22"/>
        </w:rPr>
        <w:t>erall coordination of the framework agreements</w:t>
      </w:r>
      <w:r w:rsidRPr="00795DE8">
        <w:rPr>
          <w:rFonts w:ascii="Calibri" w:eastAsia="Calibri" w:hAnsi="Calibri" w:cs="Times New Roman"/>
          <w:sz w:val="22"/>
        </w:rPr>
        <w:t>.</w:t>
      </w:r>
      <w:r w:rsidR="00966E6C">
        <w:rPr>
          <w:rFonts w:ascii="Calibri" w:eastAsia="Calibri" w:hAnsi="Calibri" w:cs="Times New Roman"/>
          <w:sz w:val="22"/>
        </w:rPr>
        <w:t xml:space="preserve"> </w:t>
      </w:r>
    </w:p>
    <w:p w14:paraId="1173CB11" w14:textId="0EA274E1" w:rsidR="00257013" w:rsidRDefault="00BC1D0C" w:rsidP="00C50568">
      <w:pPr>
        <w:autoSpaceDE w:val="0"/>
        <w:autoSpaceDN w:val="0"/>
        <w:adjustRightInd w:val="0"/>
        <w:jc w:val="both"/>
        <w:rPr>
          <w:rFonts w:ascii="Calibri" w:eastAsia="Calibri" w:hAnsi="Calibri" w:cs="Times New Roman"/>
          <w:sz w:val="22"/>
        </w:rPr>
      </w:pPr>
      <w:r w:rsidRPr="00795DE8">
        <w:rPr>
          <w:rFonts w:ascii="Calibri" w:eastAsia="Calibri" w:hAnsi="Calibri" w:cs="Times New Roman"/>
          <w:sz w:val="22"/>
        </w:rPr>
        <w:t xml:space="preserve">An issue identified during the assessment at MoH and NHIH is limited data available at the central level on contract implementation (implementation progress, quantities supplied, payments made). The proposed remedial action is outlined in the PAP (Annex 6). </w:t>
      </w:r>
    </w:p>
    <w:p w14:paraId="096A845B" w14:textId="77777777" w:rsidR="00F50ED2" w:rsidRDefault="00F50ED2" w:rsidP="00C50568">
      <w:pPr>
        <w:autoSpaceDE w:val="0"/>
        <w:autoSpaceDN w:val="0"/>
        <w:adjustRightInd w:val="0"/>
        <w:jc w:val="both"/>
        <w:rPr>
          <w:rFonts w:ascii="Calibri" w:hAnsi="Calibri" w:cs="Calibri"/>
          <w:sz w:val="22"/>
        </w:rPr>
      </w:pPr>
    </w:p>
    <w:p w14:paraId="5A2C0ED2" w14:textId="1C19E690" w:rsidR="00257013" w:rsidRPr="00C62310" w:rsidRDefault="00257013" w:rsidP="00C62310">
      <w:pPr>
        <w:pStyle w:val="PforRStyle2"/>
        <w:rPr>
          <w:rFonts w:ascii="Calibri" w:hAnsi="Calibri" w:cs="Calibri"/>
          <w:sz w:val="22"/>
          <w:szCs w:val="22"/>
        </w:rPr>
      </w:pPr>
      <w:bookmarkStart w:id="25" w:name="_Toc12467038"/>
      <w:r w:rsidRPr="00C62310">
        <w:rPr>
          <w:rFonts w:ascii="Calibri" w:hAnsi="Calibri" w:cs="Calibri"/>
          <w:sz w:val="22"/>
          <w:szCs w:val="22"/>
        </w:rPr>
        <w:t>Transparency and Complaints Handling</w:t>
      </w:r>
      <w:bookmarkEnd w:id="25"/>
      <w:r w:rsidRPr="00C62310">
        <w:rPr>
          <w:rFonts w:ascii="Calibri" w:hAnsi="Calibri" w:cs="Calibri"/>
          <w:sz w:val="22"/>
          <w:szCs w:val="22"/>
        </w:rPr>
        <w:t xml:space="preserve"> </w:t>
      </w:r>
    </w:p>
    <w:p w14:paraId="34717170" w14:textId="1E240DBA" w:rsidR="00F44170" w:rsidRPr="00F44170" w:rsidRDefault="00F44170" w:rsidP="00F44170">
      <w:pPr>
        <w:autoSpaceDE w:val="0"/>
        <w:autoSpaceDN w:val="0"/>
        <w:adjustRightInd w:val="0"/>
        <w:jc w:val="both"/>
        <w:rPr>
          <w:rFonts w:ascii="Calibri" w:hAnsi="Calibri" w:cs="Calibri"/>
          <w:sz w:val="22"/>
        </w:rPr>
      </w:pPr>
      <w:r w:rsidRPr="00F44170">
        <w:rPr>
          <w:rFonts w:ascii="Calibri" w:hAnsi="Calibri" w:cs="Calibri"/>
          <w:sz w:val="22"/>
        </w:rPr>
        <w:t>A new e-procurement system was launched in April 2018 (http://sicap-prod.e-licitatie.ro/pub) as developed by the Agency for Digital Agenda of Romania in line with the national legislation and EU Directives. The system publishes the procurement plans, bidding opportunities and contract awards.  The platform represents an electronic infrastructure which offers the public authorities of Romania the possibility to procure goods, works and services through electronic means and the economic operators the possibility to submit bids/proposals. It has a user-friendly interface, offers structured data which can be easily retrieved by any user and advance search function. The system brought more transparency in this area and generated savings of public funds throughout the procurement cycle.</w:t>
      </w:r>
    </w:p>
    <w:p w14:paraId="64B8C796" w14:textId="77777777" w:rsidR="00ED4204" w:rsidRDefault="00ED4204" w:rsidP="00F44170">
      <w:pPr>
        <w:autoSpaceDE w:val="0"/>
        <w:autoSpaceDN w:val="0"/>
        <w:adjustRightInd w:val="0"/>
        <w:jc w:val="both"/>
        <w:rPr>
          <w:rFonts w:ascii="Calibri" w:hAnsi="Calibri" w:cs="Calibri"/>
          <w:sz w:val="22"/>
        </w:rPr>
      </w:pPr>
    </w:p>
    <w:p w14:paraId="2E6CBB93" w14:textId="5924680E" w:rsidR="00C50568" w:rsidRDefault="00F44170" w:rsidP="00F44170">
      <w:pPr>
        <w:autoSpaceDE w:val="0"/>
        <w:autoSpaceDN w:val="0"/>
        <w:adjustRightInd w:val="0"/>
        <w:jc w:val="both"/>
        <w:rPr>
          <w:rFonts w:ascii="Calibri" w:hAnsi="Calibri" w:cs="Calibri"/>
          <w:sz w:val="22"/>
        </w:rPr>
      </w:pPr>
      <w:r w:rsidRPr="00F44170">
        <w:rPr>
          <w:rFonts w:ascii="Calibri" w:hAnsi="Calibri" w:cs="Calibri"/>
          <w:sz w:val="22"/>
        </w:rPr>
        <w:t xml:space="preserve">The Law 101/2016 on remedies transposes the relevant EU Directive and provides for an independent complaint review mechanism which </w:t>
      </w:r>
      <w:r w:rsidR="00FD094B">
        <w:rPr>
          <w:rFonts w:ascii="Calibri" w:hAnsi="Calibri" w:cs="Calibri"/>
          <w:sz w:val="22"/>
        </w:rPr>
        <w:t>has been</w:t>
      </w:r>
      <w:r w:rsidRPr="00F44170">
        <w:rPr>
          <w:rFonts w:ascii="Calibri" w:hAnsi="Calibri" w:cs="Calibri"/>
          <w:sz w:val="22"/>
        </w:rPr>
        <w:t xml:space="preserve"> in place since 2006. The National Council for Solving </w:t>
      </w:r>
      <w:r w:rsidRPr="00F44170">
        <w:rPr>
          <w:rFonts w:ascii="Calibri" w:hAnsi="Calibri" w:cs="Calibri"/>
          <w:sz w:val="22"/>
        </w:rPr>
        <w:lastRenderedPageBreak/>
        <w:t>Complaints (CNSC) is an independent body established with the mandate to guarantee effective remedies for complaints in public procurement. CNSC’s decisions can be challenged in the Appeal Courts. The establishment of CNSC does not preclude the right of any of the parties to address their cause directly to the courts.</w:t>
      </w:r>
    </w:p>
    <w:p w14:paraId="44E607F5" w14:textId="47CC256F" w:rsidR="00F44170" w:rsidRDefault="00F44170" w:rsidP="00F44170">
      <w:pPr>
        <w:autoSpaceDE w:val="0"/>
        <w:autoSpaceDN w:val="0"/>
        <w:adjustRightInd w:val="0"/>
        <w:jc w:val="both"/>
        <w:rPr>
          <w:rFonts w:ascii="Calibri" w:hAnsi="Calibri" w:cs="Calibri"/>
          <w:sz w:val="22"/>
        </w:rPr>
      </w:pPr>
    </w:p>
    <w:p w14:paraId="5E6727DC" w14:textId="7A40119F" w:rsidR="00BC1D0C" w:rsidRDefault="00F44170" w:rsidP="006C1336">
      <w:pPr>
        <w:spacing w:after="200"/>
        <w:jc w:val="both"/>
        <w:rPr>
          <w:rFonts w:ascii="Calibri" w:hAnsi="Calibri" w:cs="Calibri"/>
          <w:sz w:val="22"/>
        </w:rPr>
      </w:pPr>
      <w:r w:rsidRPr="00F44170">
        <w:rPr>
          <w:rFonts w:ascii="Calibri" w:hAnsi="Calibri" w:cs="Calibri"/>
          <w:sz w:val="22"/>
        </w:rPr>
        <w:t>In 2017, 4782 complaints [data for 2018 is not available] were submitted and analyzed by CNSC (about 18% of the total number of procurement procedures), registering an increase compared with 2016 due to the increase in the number of procurement procedures initiated in the e-procurement system. The complaints generally contest the result of the evaluation process (about 83%),</w:t>
      </w:r>
      <w:r w:rsidR="00FD094B">
        <w:rPr>
          <w:rFonts w:ascii="Calibri" w:hAnsi="Calibri" w:cs="Calibri"/>
          <w:sz w:val="22"/>
        </w:rPr>
        <w:t xml:space="preserve"> particularly with regards to the</w:t>
      </w:r>
      <w:r w:rsidRPr="00F44170">
        <w:rPr>
          <w:rFonts w:ascii="Calibri" w:hAnsi="Calibri" w:cs="Calibri"/>
          <w:sz w:val="22"/>
        </w:rPr>
        <w:t xml:space="preserve"> rejection of bids. A total of 3494 decisions were issued by CNSC, with 66% of the complaints being rejected. 19% of the decisions were contested at the competent Appeal Court and in the case of about 97%</w:t>
      </w:r>
      <w:r w:rsidR="00FD094B">
        <w:rPr>
          <w:rFonts w:ascii="Calibri" w:hAnsi="Calibri" w:cs="Calibri"/>
          <w:sz w:val="22"/>
        </w:rPr>
        <w:t xml:space="preserve"> of the complaints,</w:t>
      </w:r>
      <w:r w:rsidRPr="00F44170">
        <w:rPr>
          <w:rFonts w:ascii="Calibri" w:hAnsi="Calibri" w:cs="Calibri"/>
          <w:sz w:val="22"/>
        </w:rPr>
        <w:t xml:space="preserve"> the Court confirmed the ruling issued by CNSC. The average duration for solving complaints </w:t>
      </w:r>
      <w:r w:rsidR="00FD094B">
        <w:rPr>
          <w:rFonts w:ascii="Calibri" w:hAnsi="Calibri" w:cs="Calibri"/>
          <w:sz w:val="22"/>
        </w:rPr>
        <w:t>is</w:t>
      </w:r>
      <w:r w:rsidRPr="00F44170">
        <w:rPr>
          <w:rFonts w:ascii="Calibri" w:hAnsi="Calibri" w:cs="Calibri"/>
          <w:sz w:val="22"/>
        </w:rPr>
        <w:t xml:space="preserve"> 29 days. However, the general feedback is that duration of solving complaints in the health sector is considerably longer. This has a direct impact on the duration of the tender and its outcome (cancelled lots/tenders).  </w:t>
      </w:r>
    </w:p>
    <w:p w14:paraId="15DB677E" w14:textId="604FC8AF" w:rsidR="00257013" w:rsidRDefault="06D19056" w:rsidP="00C62310">
      <w:pPr>
        <w:autoSpaceDE w:val="0"/>
        <w:autoSpaceDN w:val="0"/>
        <w:adjustRightInd w:val="0"/>
        <w:jc w:val="both"/>
        <w:rPr>
          <w:rFonts w:ascii="Calibri" w:eastAsia="Calibri" w:hAnsi="Calibri" w:cs="Calibri"/>
          <w:sz w:val="22"/>
        </w:rPr>
      </w:pPr>
      <w:r w:rsidRPr="006C054E">
        <w:rPr>
          <w:rFonts w:ascii="Calibri" w:eastAsia="Calibri" w:hAnsi="Calibri" w:cs="Calibri"/>
          <w:b/>
          <w:bCs/>
          <w:sz w:val="22"/>
        </w:rPr>
        <w:t>Debarment procedures:</w:t>
      </w:r>
      <w:r w:rsidRPr="006C054E">
        <w:rPr>
          <w:rFonts w:ascii="Calibri" w:eastAsia="Calibri" w:hAnsi="Calibri" w:cs="Calibri"/>
          <w:sz w:val="22"/>
        </w:rPr>
        <w:t xml:space="preserve"> In Romania, there are no lists of debarred companies, the procurement legislation establishing the exclusion criteria that should be assessed by the contracting authorities for each launched procurement procedure. The legislation provides for the obligation of the contracting authority to exclude from the procurement process tenderers that have been convicted for participation in a criminal organization, corruption and fraud, terrorism, money laundering or terrorist financing, child labor or other forms of trafficking in human being. At the same time, the contracting authority shall exclude from the procurement process tenderers that did not fulfil their obligations relating to the payment of taxes or social security contributions, taxes to the state budget, is in conflict of interest or did not fulfil their contractual obligations, for collusion or false declarations etc., the specific conditions and exceptions being clearly specified by law.</w:t>
      </w:r>
    </w:p>
    <w:p w14:paraId="6FD2CD8B" w14:textId="052443E3" w:rsidR="00C93B97" w:rsidRDefault="00C93B97" w:rsidP="00C62310">
      <w:pPr>
        <w:autoSpaceDE w:val="0"/>
        <w:autoSpaceDN w:val="0"/>
        <w:adjustRightInd w:val="0"/>
        <w:jc w:val="both"/>
        <w:rPr>
          <w:rFonts w:ascii="Calibri" w:hAnsi="Calibri" w:cs="Calibri"/>
          <w:sz w:val="22"/>
        </w:rPr>
      </w:pPr>
    </w:p>
    <w:p w14:paraId="5B4D0EA4" w14:textId="3E169800" w:rsidR="00C93B97" w:rsidRPr="00591A97" w:rsidRDefault="006C1336" w:rsidP="00C62310">
      <w:pPr>
        <w:autoSpaceDE w:val="0"/>
        <w:autoSpaceDN w:val="0"/>
        <w:adjustRightInd w:val="0"/>
        <w:jc w:val="both"/>
        <w:rPr>
          <w:rFonts w:ascii="Calibri" w:hAnsi="Calibri" w:cs="Calibri"/>
          <w:sz w:val="22"/>
        </w:rPr>
      </w:pPr>
      <w:r w:rsidRPr="006C1336">
        <w:rPr>
          <w:rFonts w:ascii="Calibri" w:hAnsi="Calibri" w:cs="Calibri"/>
          <w:b/>
          <w:sz w:val="22"/>
        </w:rPr>
        <w:t xml:space="preserve">Sharing of debarment list of firms and individuals. </w:t>
      </w:r>
      <w:r w:rsidR="0077423F">
        <w:rPr>
          <w:rFonts w:ascii="Calibri" w:hAnsi="Calibri" w:cs="Calibri"/>
          <w:sz w:val="22"/>
        </w:rPr>
        <w:t>The Borrower will use the World Bank’s List of Debarred and Cross-Debarred firms and individuals to ensure that persons or entities debarred or suspended by the Bank are not awarded contracts under the Program during the period of such debar</w:t>
      </w:r>
      <w:r w:rsidR="0077423F">
        <w:rPr>
          <w:rFonts w:ascii="Calibri" w:hAnsi="Calibri" w:cs="Calibri"/>
          <w:sz w:val="22"/>
        </w:rPr>
        <w:t xml:space="preserve">ment or suspension. This list can </w:t>
      </w:r>
      <w:r w:rsidR="00591A97">
        <w:rPr>
          <w:rFonts w:ascii="Calibri" w:hAnsi="Calibri" w:cs="Calibri"/>
          <w:sz w:val="22"/>
        </w:rPr>
        <w:t>be accessed on the World Bank’s website (</w:t>
      </w:r>
      <w:hyperlink r:id="rId21" w:history="1">
        <w:r w:rsidR="003A52C7" w:rsidRPr="006E0327">
          <w:rPr>
            <w:rStyle w:val="Hyperlink"/>
            <w:rFonts w:ascii="Calibri" w:hAnsi="Calibri" w:cs="Calibri"/>
            <w:sz w:val="22"/>
          </w:rPr>
          <w:t>www.worldbank.org/debarr</w:t>
        </w:r>
      </w:hyperlink>
      <w:r w:rsidR="003A52C7">
        <w:rPr>
          <w:rFonts w:ascii="Calibri" w:hAnsi="Calibri" w:cs="Calibri"/>
          <w:sz w:val="22"/>
        </w:rPr>
        <w:t xml:space="preserve">). </w:t>
      </w:r>
      <w:r w:rsidR="00586A96">
        <w:rPr>
          <w:rFonts w:ascii="Calibri" w:hAnsi="Calibri" w:cs="Calibri"/>
          <w:sz w:val="22"/>
        </w:rPr>
        <w:t>It is expected that the Implementing Agencies</w:t>
      </w:r>
      <w:r w:rsidR="00652B9A">
        <w:rPr>
          <w:rFonts w:ascii="Calibri" w:hAnsi="Calibri" w:cs="Calibri"/>
          <w:sz w:val="22"/>
        </w:rPr>
        <w:t xml:space="preserve"> regularly check t</w:t>
      </w:r>
      <w:r w:rsidR="00652B9A">
        <w:rPr>
          <w:rFonts w:ascii="Calibri" w:hAnsi="Calibri" w:cs="Calibri"/>
          <w:sz w:val="22"/>
        </w:rPr>
        <w:t xml:space="preserve">he list of Debarred and Cross-Debarred firms and individuals during the procurement cycle. </w:t>
      </w:r>
      <w:r w:rsidR="003A52C7">
        <w:rPr>
          <w:rFonts w:ascii="Calibri" w:hAnsi="Calibri" w:cs="Calibri"/>
          <w:sz w:val="22"/>
        </w:rPr>
        <w:t>The compli</w:t>
      </w:r>
      <w:r w:rsidR="003A52C7">
        <w:rPr>
          <w:rFonts w:ascii="Calibri" w:hAnsi="Calibri" w:cs="Calibri"/>
          <w:sz w:val="22"/>
        </w:rPr>
        <w:t xml:space="preserve">ance with this requirement will be checked by the Program’s auditor. </w:t>
      </w:r>
    </w:p>
    <w:p w14:paraId="0AA66BB3" w14:textId="77777777" w:rsidR="00575EF8" w:rsidRPr="00C62310" w:rsidRDefault="00575EF8" w:rsidP="00C62310">
      <w:pPr>
        <w:autoSpaceDE w:val="0"/>
        <w:autoSpaceDN w:val="0"/>
        <w:adjustRightInd w:val="0"/>
        <w:jc w:val="both"/>
        <w:rPr>
          <w:rFonts w:ascii="Calibri" w:hAnsi="Calibri" w:cs="Calibri"/>
          <w:sz w:val="22"/>
        </w:rPr>
      </w:pPr>
    </w:p>
    <w:p w14:paraId="454319C5" w14:textId="6DCAE2F2" w:rsidR="00220EAD" w:rsidRPr="00C62310" w:rsidRDefault="000B16AB" w:rsidP="00951121">
      <w:pPr>
        <w:pStyle w:val="PforRStyle2"/>
        <w:rPr>
          <w:rFonts w:ascii="Calibri" w:hAnsi="Calibri" w:cs="Calibri"/>
          <w:sz w:val="22"/>
          <w:szCs w:val="22"/>
        </w:rPr>
      </w:pPr>
      <w:bookmarkStart w:id="26" w:name="_Toc4090014"/>
      <w:bookmarkStart w:id="27" w:name="_Toc374627541"/>
      <w:bookmarkStart w:id="28" w:name="_Toc12467039"/>
      <w:bookmarkEnd w:id="26"/>
      <w:r w:rsidRPr="00C62310">
        <w:rPr>
          <w:rFonts w:ascii="Calibri" w:hAnsi="Calibri" w:cs="Calibri"/>
          <w:sz w:val="22"/>
          <w:szCs w:val="22"/>
        </w:rPr>
        <w:t>Program Accounting and Financial Reporting</w:t>
      </w:r>
      <w:bookmarkEnd w:id="27"/>
      <w:bookmarkEnd w:id="28"/>
    </w:p>
    <w:p w14:paraId="4F3CE21D" w14:textId="079F0BDD" w:rsidR="00CA0B71" w:rsidRPr="00C62310" w:rsidRDefault="00E56F71" w:rsidP="00CA0B71">
      <w:pPr>
        <w:autoSpaceDE w:val="0"/>
        <w:autoSpaceDN w:val="0"/>
        <w:adjustRightInd w:val="0"/>
        <w:jc w:val="both"/>
        <w:rPr>
          <w:rFonts w:ascii="Calibri" w:hAnsi="Calibri" w:cs="Calibri"/>
          <w:sz w:val="22"/>
        </w:rPr>
      </w:pPr>
      <w:r w:rsidRPr="00C62310">
        <w:rPr>
          <w:rFonts w:ascii="Calibri" w:hAnsi="Calibri" w:cs="Calibri"/>
          <w:b/>
          <w:sz w:val="22"/>
        </w:rPr>
        <w:t xml:space="preserve">The Program uses a comprehensive accounting and reporting framework and </w:t>
      </w:r>
      <w:r w:rsidR="00CA0B71" w:rsidRPr="00C62310">
        <w:rPr>
          <w:rFonts w:ascii="Calibri" w:hAnsi="Calibri" w:cs="Calibri"/>
          <w:b/>
          <w:sz w:val="22"/>
        </w:rPr>
        <w:t>reliable</w:t>
      </w:r>
      <w:r w:rsidRPr="00C62310">
        <w:rPr>
          <w:rFonts w:ascii="Calibri" w:hAnsi="Calibri" w:cs="Calibri"/>
          <w:b/>
          <w:sz w:val="22"/>
        </w:rPr>
        <w:t xml:space="preserve"> tools. </w:t>
      </w:r>
      <w:r w:rsidRPr="00C62310">
        <w:rPr>
          <w:rFonts w:ascii="Calibri" w:eastAsia="Times New Roman" w:hAnsi="Calibri" w:cs="Calibri"/>
          <w:sz w:val="22"/>
        </w:rPr>
        <w:t xml:space="preserve">Expenses incurred for achieving the Program results will be accounted in line with the national legislation in force, </w:t>
      </w:r>
      <w:r w:rsidR="00CA0B71" w:rsidRPr="00C62310">
        <w:rPr>
          <w:rFonts w:ascii="Calibri" w:eastAsia="Times New Roman" w:hAnsi="Calibri" w:cs="Calibri"/>
          <w:sz w:val="22"/>
        </w:rPr>
        <w:t xml:space="preserve">which </w:t>
      </w:r>
      <w:r w:rsidR="003C341A" w:rsidRPr="00C62310">
        <w:rPr>
          <w:rFonts w:ascii="Calibri" w:eastAsia="Times New Roman" w:hAnsi="Calibri" w:cs="Calibri"/>
          <w:sz w:val="22"/>
        </w:rPr>
        <w:t>includes</w:t>
      </w:r>
      <w:r w:rsidR="00CA0B71" w:rsidRPr="00C62310">
        <w:rPr>
          <w:rFonts w:ascii="Calibri" w:eastAsia="Times New Roman" w:hAnsi="Calibri" w:cs="Calibri"/>
          <w:sz w:val="22"/>
        </w:rPr>
        <w:t xml:space="preserve"> detailed methodologies and instructions issued by MoPF. There is a unified chart of account for the central and local government units. Since 2006, 11 IPSAS (International Public Sector Accounting Standards) accrual accounting standards</w:t>
      </w:r>
      <w:r w:rsidR="00320E19">
        <w:rPr>
          <w:rFonts w:ascii="Calibri" w:eastAsia="Times New Roman" w:hAnsi="Calibri" w:cs="Calibri"/>
          <w:sz w:val="22"/>
        </w:rPr>
        <w:t xml:space="preserve"> have been adopted</w:t>
      </w:r>
      <w:r w:rsidR="00CA0B71" w:rsidRPr="00C62310">
        <w:rPr>
          <w:rFonts w:ascii="Calibri" w:eastAsia="Times New Roman" w:hAnsi="Calibri" w:cs="Calibri"/>
          <w:sz w:val="22"/>
        </w:rPr>
        <w:t xml:space="preserve">. </w:t>
      </w:r>
      <w:r w:rsidR="000E41F7" w:rsidRPr="00C62310">
        <w:rPr>
          <w:rFonts w:ascii="Calibri" w:eastAsia="Times New Roman" w:hAnsi="Calibri" w:cs="Calibri"/>
          <w:sz w:val="22"/>
        </w:rPr>
        <w:t>As an important step towards faster and better collection of data, a national commitment and reporting system (</w:t>
      </w:r>
      <w:proofErr w:type="spellStart"/>
      <w:r w:rsidR="000E41F7" w:rsidRPr="00C62310">
        <w:rPr>
          <w:rFonts w:ascii="Calibri" w:eastAsia="Times New Roman" w:hAnsi="Calibri" w:cs="Calibri"/>
          <w:sz w:val="22"/>
        </w:rPr>
        <w:t>Forexebug</w:t>
      </w:r>
      <w:proofErr w:type="spellEnd"/>
      <w:r w:rsidR="000E41F7" w:rsidRPr="00C62310">
        <w:rPr>
          <w:rFonts w:ascii="Calibri" w:eastAsia="Times New Roman" w:hAnsi="Calibri" w:cs="Calibri"/>
          <w:sz w:val="22"/>
        </w:rPr>
        <w:t xml:space="preserve">) was rolled-out in the public administration </w:t>
      </w:r>
      <w:r w:rsidR="00CA0B71" w:rsidRPr="00C62310">
        <w:rPr>
          <w:rFonts w:ascii="Calibri" w:eastAsia="Times New Roman" w:hAnsi="Calibri" w:cs="Calibri"/>
          <w:sz w:val="22"/>
        </w:rPr>
        <w:t>in</w:t>
      </w:r>
      <w:r w:rsidR="000E41F7" w:rsidRPr="00C62310">
        <w:rPr>
          <w:rFonts w:ascii="Calibri" w:eastAsia="Times New Roman" w:hAnsi="Calibri" w:cs="Calibri"/>
          <w:sz w:val="22"/>
        </w:rPr>
        <w:t xml:space="preserve"> 2017. Key changes triggered by the implementation of this new reporting system </w:t>
      </w:r>
      <w:r w:rsidR="00782984" w:rsidRPr="00C62310">
        <w:rPr>
          <w:rFonts w:ascii="Calibri" w:eastAsia="Times New Roman" w:hAnsi="Calibri" w:cs="Calibri"/>
          <w:sz w:val="22"/>
        </w:rPr>
        <w:t xml:space="preserve"> are</w:t>
      </w:r>
      <w:r w:rsidR="000E41F7" w:rsidRPr="00C62310">
        <w:rPr>
          <w:rFonts w:ascii="Calibri" w:eastAsia="Times New Roman" w:hAnsi="Calibri" w:cs="Calibri"/>
          <w:sz w:val="22"/>
        </w:rPr>
        <w:t xml:space="preserve"> (i) </w:t>
      </w:r>
      <w:r w:rsidR="00320E19">
        <w:rPr>
          <w:rFonts w:ascii="Calibri" w:eastAsia="Times New Roman" w:hAnsi="Calibri" w:cs="Calibri"/>
          <w:sz w:val="22"/>
        </w:rPr>
        <w:t xml:space="preserve">the </w:t>
      </w:r>
      <w:r w:rsidR="000E41F7" w:rsidRPr="00C62310">
        <w:rPr>
          <w:rFonts w:ascii="Calibri" w:eastAsia="Times New Roman" w:hAnsi="Calibri" w:cs="Calibri"/>
          <w:sz w:val="22"/>
        </w:rPr>
        <w:t>development of Treasury cash accounts of revenues and expenses at COFOG 2 level- respectively, chapter, sub-chapter and paragraph for revenues and expenses</w:t>
      </w:r>
      <w:r w:rsidR="000E41F7" w:rsidRPr="00C62310">
        <w:rPr>
          <w:rFonts w:ascii="Calibri" w:hAnsi="Calibri" w:cs="Calibri"/>
          <w:sz w:val="22"/>
        </w:rPr>
        <w:t xml:space="preserve">, and as per economic classification at the level of title, article and line item for expenses; (ii) control of payments vs. legal commitments in the Treasury; (iii) transmittal to MoPF by each public institution of a standard analytical trial balance; and (iv) </w:t>
      </w:r>
      <w:r w:rsidR="000E41F7" w:rsidRPr="00C62310">
        <w:rPr>
          <w:rFonts w:ascii="Calibri" w:hAnsi="Calibri" w:cs="Calibri"/>
          <w:sz w:val="22"/>
        </w:rPr>
        <w:lastRenderedPageBreak/>
        <w:t>elimination of consolidation of financial statements at the level of secondary, respectively primary credit holders.</w:t>
      </w:r>
      <w:r w:rsidRPr="00C62310">
        <w:rPr>
          <w:rFonts w:ascii="Calibri" w:hAnsi="Calibri" w:cs="Calibri"/>
          <w:sz w:val="22"/>
        </w:rPr>
        <w:t xml:space="preserve"> Starting with 2019, financial statements will be submitted only electronically</w:t>
      </w:r>
      <w:r w:rsidR="003C341A" w:rsidRPr="00C62310">
        <w:rPr>
          <w:rFonts w:ascii="Calibri" w:hAnsi="Calibri" w:cs="Calibri"/>
          <w:sz w:val="22"/>
        </w:rPr>
        <w:t>, permitting efficient preparation of Program financial statements.</w:t>
      </w:r>
    </w:p>
    <w:p w14:paraId="07FAF212" w14:textId="41255137" w:rsidR="00782984" w:rsidRPr="00C62310" w:rsidRDefault="00782984" w:rsidP="00CA0B71">
      <w:pPr>
        <w:autoSpaceDE w:val="0"/>
        <w:autoSpaceDN w:val="0"/>
        <w:adjustRightInd w:val="0"/>
        <w:jc w:val="both"/>
        <w:rPr>
          <w:rFonts w:ascii="Calibri" w:hAnsi="Calibri" w:cs="Calibri"/>
          <w:sz w:val="22"/>
        </w:rPr>
      </w:pPr>
    </w:p>
    <w:p w14:paraId="4D95A25F" w14:textId="15E75169" w:rsidR="00EE3C0F" w:rsidRDefault="00782984" w:rsidP="00782984">
      <w:pPr>
        <w:autoSpaceDE w:val="0"/>
        <w:autoSpaceDN w:val="0"/>
        <w:adjustRightInd w:val="0"/>
        <w:jc w:val="both"/>
        <w:rPr>
          <w:rFonts w:ascii="Calibri" w:eastAsia="Times New Roman" w:hAnsi="Calibri" w:cs="Calibri"/>
          <w:sz w:val="22"/>
        </w:rPr>
      </w:pPr>
      <w:r w:rsidRPr="00C62310">
        <w:rPr>
          <w:rFonts w:ascii="Calibri" w:eastAsia="Times New Roman" w:hAnsi="Calibri" w:cs="Calibri"/>
          <w:b/>
          <w:sz w:val="22"/>
        </w:rPr>
        <w:t>All Program entities prepare several quarterly and annual financial statements, of satisfactory quality,</w:t>
      </w:r>
      <w:r w:rsidRPr="00C62310">
        <w:rPr>
          <w:rFonts w:ascii="Calibri" w:eastAsia="Times New Roman" w:hAnsi="Calibri" w:cs="Calibri"/>
          <w:sz w:val="22"/>
        </w:rPr>
        <w:t xml:space="preserve"> which include, inter alia: a balance sheet that shows assets and liabilities, the patrimonial results account, cash flow statement, the budget execution accounts showing all transactions made in the current period, annexes to the financial statements and explanatory notes.</w:t>
      </w:r>
      <w:r w:rsidR="00DD4C57" w:rsidRPr="00C62310">
        <w:rPr>
          <w:rFonts w:ascii="Calibri" w:eastAsia="Times New Roman" w:hAnsi="Calibri" w:cs="Calibri"/>
          <w:sz w:val="22"/>
        </w:rPr>
        <w:t xml:space="preserve"> </w:t>
      </w:r>
      <w:r w:rsidR="00DF5D28">
        <w:rPr>
          <w:rFonts w:ascii="Calibri" w:eastAsia="Times New Roman" w:hAnsi="Calibri" w:cs="Calibri"/>
          <w:sz w:val="22"/>
        </w:rPr>
        <w:t xml:space="preserve">The three entities involved in Program implementation will continue to reflect the expenses incurred for the Program as per the framework in force, in the existing systems. These costs should be easily identifiable at any moment and proper analytical accounting records should be maintained in this regard at the level of each entity. Program expenses will be quantified </w:t>
      </w:r>
      <w:r w:rsidR="00320E19">
        <w:rPr>
          <w:rFonts w:ascii="Calibri" w:eastAsia="Times New Roman" w:hAnsi="Calibri" w:cs="Calibri"/>
          <w:sz w:val="22"/>
        </w:rPr>
        <w:t xml:space="preserve">during </w:t>
      </w:r>
      <w:r w:rsidR="00DF5D28">
        <w:rPr>
          <w:rFonts w:ascii="Calibri" w:eastAsia="Times New Roman" w:hAnsi="Calibri" w:cs="Calibri"/>
          <w:sz w:val="22"/>
        </w:rPr>
        <w:t>the yearly state audit and reflected in a note to the entity`s financial statements.</w:t>
      </w:r>
      <w:r w:rsidR="00FD0901">
        <w:rPr>
          <w:rFonts w:ascii="Calibri" w:eastAsia="Times New Roman" w:hAnsi="Calibri" w:cs="Calibri"/>
          <w:sz w:val="22"/>
        </w:rPr>
        <w:t xml:space="preserve"> </w:t>
      </w:r>
    </w:p>
    <w:p w14:paraId="3B25F48A" w14:textId="77777777" w:rsidR="00EE3C0F" w:rsidRDefault="00EE3C0F" w:rsidP="00782984">
      <w:pPr>
        <w:autoSpaceDE w:val="0"/>
        <w:autoSpaceDN w:val="0"/>
        <w:adjustRightInd w:val="0"/>
        <w:jc w:val="both"/>
        <w:rPr>
          <w:rFonts w:ascii="Calibri" w:eastAsia="Times New Roman" w:hAnsi="Calibri" w:cs="Calibri"/>
          <w:sz w:val="22"/>
        </w:rPr>
      </w:pPr>
    </w:p>
    <w:p w14:paraId="612FE104" w14:textId="6B944792" w:rsidR="009003C0" w:rsidRDefault="009003C0" w:rsidP="00767A4F">
      <w:pPr>
        <w:pStyle w:val="ListParagraph"/>
        <w:tabs>
          <w:tab w:val="left" w:pos="720"/>
        </w:tabs>
        <w:spacing w:after="0" w:line="240" w:lineRule="auto"/>
        <w:ind w:left="0"/>
        <w:jc w:val="both"/>
        <w:rPr>
          <w:rFonts w:ascii="Calibri" w:eastAsia="Calibri" w:hAnsi="Calibri" w:cs="Times New Roman"/>
        </w:rPr>
      </w:pPr>
      <w:r>
        <w:rPr>
          <w:rFonts w:ascii="Calibri" w:eastAsia="Calibri" w:hAnsi="Calibri" w:cs="Times New Roman"/>
          <w:b/>
        </w:rPr>
        <w:t xml:space="preserve">For the purposes of annual financial reporting and auditing, the Program expenditures will be collated at the level of the MoH </w:t>
      </w:r>
      <w:r w:rsidRPr="00BA5585">
        <w:rPr>
          <w:rFonts w:ascii="Calibri" w:eastAsia="Calibri" w:hAnsi="Calibri" w:cs="Times New Roman"/>
          <w:b/>
        </w:rPr>
        <w:t>by the Program</w:t>
      </w:r>
      <w:r>
        <w:rPr>
          <w:rFonts w:ascii="Calibri" w:eastAsia="Calibri" w:hAnsi="Calibri" w:cs="Times New Roman"/>
          <w:b/>
        </w:rPr>
        <w:t xml:space="preserve"> coordinator and </w:t>
      </w:r>
      <w:r w:rsidR="00273C9B">
        <w:rPr>
          <w:rFonts w:ascii="Calibri" w:eastAsia="Calibri" w:hAnsi="Calibri" w:cs="Times New Roman"/>
          <w:b/>
        </w:rPr>
        <w:t>the</w:t>
      </w:r>
      <w:r>
        <w:rPr>
          <w:rFonts w:ascii="Calibri" w:eastAsia="Calibri" w:hAnsi="Calibri" w:cs="Times New Roman"/>
          <w:b/>
        </w:rPr>
        <w:t xml:space="preserve"> set of Program financial statements </w:t>
      </w:r>
      <w:r w:rsidR="00273C9B">
        <w:rPr>
          <w:rFonts w:ascii="Calibri" w:eastAsia="Calibri" w:hAnsi="Calibri" w:cs="Times New Roman"/>
          <w:b/>
        </w:rPr>
        <w:t xml:space="preserve">subject to </w:t>
      </w:r>
      <w:r>
        <w:rPr>
          <w:rFonts w:ascii="Calibri" w:eastAsia="Calibri" w:hAnsi="Calibri" w:cs="Times New Roman"/>
          <w:b/>
        </w:rPr>
        <w:t xml:space="preserve">independent audit. </w:t>
      </w:r>
      <w:r w:rsidRPr="00143A0D">
        <w:rPr>
          <w:rFonts w:ascii="Calibri" w:eastAsia="Calibri" w:hAnsi="Calibri" w:cs="Times New Roman"/>
        </w:rPr>
        <w:t>A review of financial reporting and auditing compliance by MoH and NHIH confirms that adequate capacity exists.</w:t>
      </w:r>
      <w:r w:rsidRPr="003A6810">
        <w:rPr>
          <w:rFonts w:ascii="Calibri" w:eastAsia="Calibri" w:hAnsi="Calibri" w:cs="Times New Roman"/>
        </w:rPr>
        <w:t xml:space="preserve"> The Program </w:t>
      </w:r>
      <w:r>
        <w:rPr>
          <w:rFonts w:ascii="Calibri" w:eastAsia="Calibri" w:hAnsi="Calibri" w:cs="Times New Roman"/>
        </w:rPr>
        <w:t>financial audit will include in its scope the expenditures incurred for the activities envisaged under the Program (wages of relevant staff, purchase of software, hardware, consulting services, training, etc.) as funded from the budgets of the MoH, MoPF (including ONAC), and NHIH. These should be presented in a note in the separate audit reports produced for each entity. The scope of the financial audit will include</w:t>
      </w:r>
      <w:r>
        <w:rPr>
          <w:rFonts w:ascii="Calibri" w:eastAsia="Calibri" w:hAnsi="Calibri" w:cs="Times New Roman"/>
        </w:rPr>
        <w:t xml:space="preserve"> </w:t>
      </w:r>
      <w:r w:rsidRPr="00767A4F">
        <w:rPr>
          <w:rFonts w:ascii="Calibri" w:eastAsia="Calibri" w:hAnsi="Calibri" w:cs="Times New Roman"/>
          <w:i/>
        </w:rPr>
        <w:t>inter alia</w:t>
      </w:r>
      <w:r>
        <w:rPr>
          <w:rFonts w:ascii="Calibri" w:eastAsia="Calibri" w:hAnsi="Calibri" w:cs="Times New Roman"/>
        </w:rPr>
        <w:t xml:space="preserve"> the review of the relevant work and findings of the entities</w:t>
      </w:r>
      <w:r>
        <w:rPr>
          <w:rFonts w:ascii="Calibri" w:eastAsia="Calibri" w:hAnsi="Calibri" w:cs="Times New Roman"/>
        </w:rPr>
        <w:t>`</w:t>
      </w:r>
      <w:r>
        <w:rPr>
          <w:rFonts w:ascii="Calibri" w:eastAsia="Calibri" w:hAnsi="Calibri" w:cs="Times New Roman"/>
        </w:rPr>
        <w:t xml:space="preserve"> internal audit function</w:t>
      </w:r>
      <w:r>
        <w:rPr>
          <w:rFonts w:ascii="Calibri" w:eastAsia="Calibri" w:hAnsi="Calibri" w:cs="Times New Roman"/>
        </w:rPr>
        <w:t xml:space="preserve"> and observance of the World Bank list of debarred </w:t>
      </w:r>
      <w:r>
        <w:rPr>
          <w:rFonts w:ascii="Calibri" w:eastAsia="Calibri" w:hAnsi="Calibri" w:cs="Times New Roman"/>
        </w:rPr>
        <w:t xml:space="preserve">and cross-debarred </w:t>
      </w:r>
      <w:r>
        <w:rPr>
          <w:rFonts w:ascii="Calibri" w:eastAsia="Calibri" w:hAnsi="Calibri" w:cs="Times New Roman"/>
        </w:rPr>
        <w:t>firms</w:t>
      </w:r>
      <w:r>
        <w:rPr>
          <w:rFonts w:ascii="Calibri" w:eastAsia="Calibri" w:hAnsi="Calibri" w:cs="Times New Roman"/>
        </w:rPr>
        <w:t xml:space="preserve"> and individuals.</w:t>
      </w:r>
    </w:p>
    <w:p w14:paraId="2221ED4F" w14:textId="71ADA541" w:rsidR="000B5C21" w:rsidRPr="00C62310" w:rsidRDefault="000B5C21" w:rsidP="00782984">
      <w:pPr>
        <w:autoSpaceDE w:val="0"/>
        <w:autoSpaceDN w:val="0"/>
        <w:adjustRightInd w:val="0"/>
        <w:jc w:val="both"/>
        <w:rPr>
          <w:rFonts w:ascii="Calibri" w:eastAsia="Times New Roman" w:hAnsi="Calibri" w:cs="Calibri"/>
          <w:sz w:val="22"/>
        </w:rPr>
      </w:pPr>
    </w:p>
    <w:p w14:paraId="2DA991F8" w14:textId="0F29A0A2" w:rsidR="000B5C21" w:rsidRPr="00C62310" w:rsidRDefault="00D839B0" w:rsidP="00C62310">
      <w:pPr>
        <w:pStyle w:val="PforRStyle2"/>
        <w:ind w:left="0" w:firstLine="0"/>
        <w:rPr>
          <w:rFonts w:ascii="Calibri" w:hAnsi="Calibri" w:cs="Calibri"/>
          <w:sz w:val="22"/>
          <w:szCs w:val="22"/>
        </w:rPr>
      </w:pPr>
      <w:bookmarkStart w:id="29" w:name="_Toc12467040"/>
      <w:r w:rsidRPr="00C62310">
        <w:rPr>
          <w:rFonts w:ascii="Calibri" w:hAnsi="Calibri" w:cs="Calibri"/>
          <w:sz w:val="22"/>
          <w:szCs w:val="22"/>
        </w:rPr>
        <w:t>The State Aid Scheme</w:t>
      </w:r>
      <w:r w:rsidR="00AB2637">
        <w:rPr>
          <w:rFonts w:ascii="Calibri" w:hAnsi="Calibri" w:cs="Calibri"/>
          <w:sz w:val="22"/>
          <w:szCs w:val="22"/>
        </w:rPr>
        <w:t xml:space="preserve"> and Performance-Based Financing</w:t>
      </w:r>
      <w:bookmarkEnd w:id="29"/>
      <w:r w:rsidRPr="00C62310">
        <w:rPr>
          <w:rFonts w:ascii="Calibri" w:hAnsi="Calibri" w:cs="Calibri"/>
          <w:sz w:val="22"/>
          <w:szCs w:val="22"/>
        </w:rPr>
        <w:t xml:space="preserve"> </w:t>
      </w:r>
    </w:p>
    <w:p w14:paraId="0C3CBAB5" w14:textId="34AAF31A" w:rsidR="00844389" w:rsidRDefault="004759D0" w:rsidP="00CA0B71">
      <w:pPr>
        <w:autoSpaceDE w:val="0"/>
        <w:autoSpaceDN w:val="0"/>
        <w:adjustRightInd w:val="0"/>
        <w:jc w:val="both"/>
        <w:rPr>
          <w:rFonts w:ascii="Calibri" w:hAnsi="Calibri" w:cs="Calibri"/>
          <w:sz w:val="22"/>
        </w:rPr>
      </w:pPr>
      <w:r>
        <w:rPr>
          <w:rFonts w:ascii="Calibri" w:hAnsi="Calibri" w:cs="Calibri"/>
          <w:sz w:val="22"/>
        </w:rPr>
        <w:t xml:space="preserve">A de minimis state aid scheme </w:t>
      </w:r>
      <w:r w:rsidR="00AB2637">
        <w:rPr>
          <w:rFonts w:ascii="Calibri" w:hAnsi="Calibri" w:cs="Calibri"/>
          <w:sz w:val="22"/>
        </w:rPr>
        <w:t>and a performance-based financing mechanism are</w:t>
      </w:r>
      <w:r>
        <w:rPr>
          <w:rFonts w:ascii="Calibri" w:hAnsi="Calibri" w:cs="Calibri"/>
          <w:sz w:val="22"/>
        </w:rPr>
        <w:t xml:space="preserve"> envisaged under the Program to incentivize family medicine. The type of financing (grant or subsidized interest loan) and implementation arrangements are still to be decided</w:t>
      </w:r>
      <w:r w:rsidR="00941B6E">
        <w:rPr>
          <w:rFonts w:ascii="Calibri" w:hAnsi="Calibri" w:cs="Calibri"/>
          <w:sz w:val="22"/>
        </w:rPr>
        <w:t>. A Government Decision will be issued in this respect in the first year of the project, when the first call is expected to be launched.</w:t>
      </w:r>
      <w:r w:rsidR="00844389">
        <w:rPr>
          <w:rFonts w:ascii="Calibri" w:hAnsi="Calibri" w:cs="Calibri"/>
          <w:sz w:val="22"/>
        </w:rPr>
        <w:t xml:space="preserve"> </w:t>
      </w:r>
    </w:p>
    <w:p w14:paraId="4953B288" w14:textId="2AF4F13C" w:rsidR="00D02205" w:rsidRDefault="00D02205" w:rsidP="00CA0B71">
      <w:pPr>
        <w:autoSpaceDE w:val="0"/>
        <w:autoSpaceDN w:val="0"/>
        <w:adjustRightInd w:val="0"/>
        <w:jc w:val="both"/>
        <w:rPr>
          <w:rFonts w:ascii="Calibri" w:hAnsi="Calibri" w:cs="Calibri"/>
          <w:sz w:val="22"/>
        </w:rPr>
      </w:pPr>
    </w:p>
    <w:p w14:paraId="1573A30E" w14:textId="77777777" w:rsidR="00BC1D0C" w:rsidRPr="00BC1D0C" w:rsidRDefault="00BC1D0C" w:rsidP="00BC1D0C">
      <w:pPr>
        <w:autoSpaceDE w:val="0"/>
        <w:autoSpaceDN w:val="0"/>
        <w:adjustRightInd w:val="0"/>
        <w:jc w:val="both"/>
        <w:rPr>
          <w:rFonts w:ascii="Calibri" w:hAnsi="Calibri" w:cs="Calibri"/>
          <w:sz w:val="22"/>
        </w:rPr>
      </w:pPr>
      <w:r w:rsidRPr="00BC1D0C">
        <w:rPr>
          <w:rFonts w:ascii="Calibri" w:hAnsi="Calibri" w:cs="Calibri"/>
          <w:b/>
          <w:sz w:val="22"/>
        </w:rPr>
        <w:t>Existing arrangements for similar state aid schemes managed by the MoPF are sufficiently robust and reliable and would be considered for the design of the proposed instrument</w:t>
      </w:r>
      <w:r w:rsidRPr="00BC1D0C">
        <w:rPr>
          <w:rFonts w:ascii="Calibri" w:hAnsi="Calibri" w:cs="Calibri"/>
          <w:sz w:val="22"/>
        </w:rPr>
        <w:t xml:space="preserve">. There are several types of de minimis state aid schemes implemented in Romania (including one in the health sector for financing procurement of medical devices by the public health hospitals in the subordination of the </w:t>
      </w:r>
      <w:proofErr w:type="spellStart"/>
      <w:r w:rsidRPr="00BC1D0C">
        <w:rPr>
          <w:rFonts w:ascii="Calibri" w:hAnsi="Calibri" w:cs="Calibri"/>
          <w:sz w:val="22"/>
        </w:rPr>
        <w:t>Timis</w:t>
      </w:r>
      <w:proofErr w:type="spellEnd"/>
      <w:r w:rsidRPr="00BC1D0C">
        <w:rPr>
          <w:rFonts w:ascii="Calibri" w:hAnsi="Calibri" w:cs="Calibri"/>
          <w:sz w:val="22"/>
        </w:rPr>
        <w:t xml:space="preserve"> local authority) and information on the ongoing ones and applicable regulatory framework is published on the Competition Council`s dedicated website. There is a comprehensive EU and national legislation that regulates de minimis state aid schemes, and monitoring is exercised at different levels such as MoPF and Competition Council. </w:t>
      </w:r>
    </w:p>
    <w:p w14:paraId="7344DD68" w14:textId="33EECF79" w:rsidR="00844389" w:rsidRDefault="00844389" w:rsidP="00CA0B71">
      <w:pPr>
        <w:autoSpaceDE w:val="0"/>
        <w:autoSpaceDN w:val="0"/>
        <w:adjustRightInd w:val="0"/>
        <w:jc w:val="both"/>
        <w:rPr>
          <w:rFonts w:ascii="Calibri" w:hAnsi="Calibri" w:cs="Calibri"/>
          <w:sz w:val="22"/>
        </w:rPr>
      </w:pPr>
    </w:p>
    <w:p w14:paraId="3D451180" w14:textId="0C9CA724" w:rsidR="00B27AB2" w:rsidRDefault="00844389" w:rsidP="00D02205">
      <w:pPr>
        <w:autoSpaceDE w:val="0"/>
        <w:autoSpaceDN w:val="0"/>
        <w:adjustRightInd w:val="0"/>
        <w:jc w:val="both"/>
        <w:rPr>
          <w:rFonts w:ascii="Calibri" w:hAnsi="Calibri" w:cs="Calibri"/>
          <w:sz w:val="22"/>
        </w:rPr>
      </w:pPr>
      <w:r>
        <w:rPr>
          <w:rFonts w:ascii="Calibri" w:hAnsi="Calibri" w:cs="Calibri"/>
          <w:sz w:val="22"/>
        </w:rPr>
        <w:t xml:space="preserve">This activity triggers potential risks in terms of internal controls as at this point the scheme arrangements are unknown and fiduciary capacity for implementation and monitoring cannot be assessed. Family doctors </w:t>
      </w:r>
      <w:r w:rsidR="000C5AAE">
        <w:rPr>
          <w:rFonts w:ascii="Calibri" w:hAnsi="Calibri" w:cs="Calibri"/>
          <w:sz w:val="22"/>
        </w:rPr>
        <w:t>provide services in</w:t>
      </w:r>
      <w:r>
        <w:rPr>
          <w:rFonts w:ascii="Calibri" w:hAnsi="Calibri" w:cs="Calibri"/>
          <w:sz w:val="22"/>
        </w:rPr>
        <w:t xml:space="preserve"> private practices, </w:t>
      </w:r>
      <w:r w:rsidR="000C5AAE">
        <w:rPr>
          <w:rFonts w:ascii="Calibri" w:hAnsi="Calibri" w:cs="Calibri"/>
          <w:sz w:val="22"/>
        </w:rPr>
        <w:t xml:space="preserve">which are </w:t>
      </w:r>
      <w:r>
        <w:rPr>
          <w:rFonts w:ascii="Calibri" w:hAnsi="Calibri" w:cs="Calibri"/>
          <w:sz w:val="22"/>
        </w:rPr>
        <w:t>not subject to the public procurement regulations, and their capacity to procure and account for such activities and report to the financ</w:t>
      </w:r>
      <w:r w:rsidR="00D02205">
        <w:rPr>
          <w:rFonts w:ascii="Calibri" w:hAnsi="Calibri" w:cs="Calibri"/>
          <w:sz w:val="22"/>
        </w:rPr>
        <w:t>ing body</w:t>
      </w:r>
      <w:r>
        <w:rPr>
          <w:rFonts w:ascii="Calibri" w:hAnsi="Calibri" w:cs="Calibri"/>
          <w:sz w:val="22"/>
        </w:rPr>
        <w:t xml:space="preserve"> may be </w:t>
      </w:r>
      <w:r w:rsidR="00D02205">
        <w:rPr>
          <w:rFonts w:ascii="Calibri" w:hAnsi="Calibri" w:cs="Calibri"/>
          <w:sz w:val="22"/>
        </w:rPr>
        <w:t xml:space="preserve">limited. Depending of the level of success of the scheme (more than </w:t>
      </w:r>
      <w:r w:rsidR="001876ED">
        <w:rPr>
          <w:rFonts w:ascii="Calibri" w:hAnsi="Calibri" w:cs="Calibri"/>
          <w:sz w:val="22"/>
        </w:rPr>
        <w:t>3,</w:t>
      </w:r>
      <w:r w:rsidR="00D02205">
        <w:rPr>
          <w:rFonts w:ascii="Calibri" w:hAnsi="Calibri" w:cs="Calibri"/>
          <w:sz w:val="22"/>
        </w:rPr>
        <w:t xml:space="preserve">000 doctors are estimated to access the scheme in year 3 of the project if it is designed as non-reimbursable funding), this may also strain the budget available. Financing may be channeled through commercial banks, and while some of them are </w:t>
      </w:r>
      <w:r w:rsidR="00D02205">
        <w:rPr>
          <w:rFonts w:ascii="Calibri" w:hAnsi="Calibri" w:cs="Calibri"/>
          <w:sz w:val="22"/>
        </w:rPr>
        <w:lastRenderedPageBreak/>
        <w:t xml:space="preserve">already familiarized and participating in several other schemes, clear arrangements in terms of flow of funds and reporting should be instituted. </w:t>
      </w:r>
    </w:p>
    <w:p w14:paraId="7EA5BCEC" w14:textId="77777777" w:rsidR="00B27AB2" w:rsidRDefault="00B27AB2" w:rsidP="00D02205">
      <w:pPr>
        <w:autoSpaceDE w:val="0"/>
        <w:autoSpaceDN w:val="0"/>
        <w:adjustRightInd w:val="0"/>
        <w:jc w:val="both"/>
        <w:rPr>
          <w:rFonts w:ascii="Calibri" w:hAnsi="Calibri" w:cs="Calibri"/>
          <w:sz w:val="22"/>
        </w:rPr>
      </w:pPr>
    </w:p>
    <w:p w14:paraId="278A2111" w14:textId="36736572" w:rsidR="00D02205" w:rsidRDefault="4F9E38CA" w:rsidP="00D02205">
      <w:pPr>
        <w:autoSpaceDE w:val="0"/>
        <w:autoSpaceDN w:val="0"/>
        <w:adjustRightInd w:val="0"/>
        <w:jc w:val="both"/>
      </w:pPr>
      <w:r w:rsidRPr="006C054E">
        <w:rPr>
          <w:rFonts w:ascii="Calibri" w:eastAsia="Calibri" w:hAnsi="Calibri" w:cs="Calibri"/>
          <w:sz w:val="22"/>
        </w:rPr>
        <w:t xml:space="preserve">Generally, procurement conducted by family physicians is limited to basic needs to operate the office. As private businesses, they conduct their procurement following commercial practices making sure that funds are spent economically and efficiently. In most of the cases, they conduct a minor market research to have an indication of whether the required product is available on the local market and if so, then at what prices. The main factors contributing to the decision on the contract award are: (i) familiarity/previous satisfactory performance with a </w:t>
      </w:r>
      <w:proofErr w:type="gramStart"/>
      <w:r w:rsidRPr="006C054E">
        <w:rPr>
          <w:rFonts w:ascii="Calibri" w:eastAsia="Calibri" w:hAnsi="Calibri" w:cs="Calibri"/>
          <w:sz w:val="22"/>
        </w:rPr>
        <w:t>particular supplier</w:t>
      </w:r>
      <w:proofErr w:type="gramEnd"/>
      <w:r w:rsidRPr="006C054E">
        <w:rPr>
          <w:rFonts w:ascii="Calibri" w:eastAsia="Calibri" w:hAnsi="Calibri" w:cs="Calibri"/>
          <w:sz w:val="22"/>
        </w:rPr>
        <w:t xml:space="preserve">; (ii) experience of the suppliers, if new to the family physician; (iii) technical compliance with the desired functionalities, mainly in the case of medical equipment; and (iv) price. The most common procurable items are: minor equipment, various supplies (general and health), minor works, software. Direct contracting is also primarily used when there are repeat purchases and purchasing of additional quantities or in the case when proprietary goods are required. Normally, if the family physician had satisfactory experience with a </w:t>
      </w:r>
      <w:proofErr w:type="gramStart"/>
      <w:r w:rsidRPr="006C054E">
        <w:rPr>
          <w:rFonts w:ascii="Calibri" w:eastAsia="Calibri" w:hAnsi="Calibri" w:cs="Calibri"/>
          <w:sz w:val="22"/>
        </w:rPr>
        <w:t>particular supplier</w:t>
      </w:r>
      <w:proofErr w:type="gramEnd"/>
      <w:r w:rsidRPr="006C054E">
        <w:rPr>
          <w:rFonts w:ascii="Calibri" w:eastAsia="Calibri" w:hAnsi="Calibri" w:cs="Calibri"/>
          <w:sz w:val="22"/>
        </w:rPr>
        <w:t xml:space="preserve">, the preference is to maintain the business relationship with this supplier provided the prices remain to be competitive. </w:t>
      </w:r>
    </w:p>
    <w:p w14:paraId="6B88ACCF" w14:textId="7130D7A9" w:rsidR="00D02205" w:rsidRDefault="4F9E38CA" w:rsidP="00D02205">
      <w:pPr>
        <w:autoSpaceDE w:val="0"/>
        <w:autoSpaceDN w:val="0"/>
        <w:adjustRightInd w:val="0"/>
        <w:jc w:val="both"/>
      </w:pPr>
      <w:r w:rsidRPr="006C054E">
        <w:rPr>
          <w:rFonts w:ascii="Calibri" w:eastAsia="Calibri" w:hAnsi="Calibri" w:cs="Calibri"/>
          <w:sz w:val="22"/>
        </w:rPr>
        <w:t xml:space="preserve"> </w:t>
      </w:r>
    </w:p>
    <w:p w14:paraId="589B3F1B" w14:textId="56BD1B3B" w:rsidR="00D02205" w:rsidRDefault="4F9E38CA">
      <w:pPr>
        <w:autoSpaceDE w:val="0"/>
        <w:autoSpaceDN w:val="0"/>
        <w:adjustRightInd w:val="0"/>
        <w:jc w:val="both"/>
        <w:rPr>
          <w:rFonts w:ascii="Calibri" w:hAnsi="Calibri" w:cs="Calibri"/>
          <w:sz w:val="22"/>
        </w:rPr>
      </w:pPr>
      <w:r w:rsidRPr="006C054E">
        <w:rPr>
          <w:rFonts w:ascii="Calibri" w:eastAsia="Calibri" w:hAnsi="Calibri" w:cs="Calibri"/>
          <w:sz w:val="22"/>
        </w:rPr>
        <w:t>The proposed state-aid scheme is expected to support the rehabilitation</w:t>
      </w:r>
      <w:r w:rsidR="187A9B7B" w:rsidRPr="006C054E">
        <w:rPr>
          <w:rFonts w:ascii="Calibri" w:eastAsia="Calibri" w:hAnsi="Calibri" w:cs="Calibri"/>
          <w:sz w:val="22"/>
        </w:rPr>
        <w:t>, training of the doctors</w:t>
      </w:r>
      <w:r w:rsidRPr="006C054E">
        <w:rPr>
          <w:rFonts w:ascii="Calibri" w:eastAsia="Calibri" w:hAnsi="Calibri" w:cs="Calibri"/>
          <w:sz w:val="22"/>
        </w:rPr>
        <w:t xml:space="preserve"> and equipping of family medicine practices. Given the value of the loans/grants, procurement will be of a very small value. However, irrespective of the value, some contracts might be challenging for the family doctors given their limited experience with procurement due to scar</w:t>
      </w:r>
      <w:r w:rsidR="0F7EA62C" w:rsidRPr="006C054E">
        <w:rPr>
          <w:rFonts w:ascii="Calibri" w:eastAsia="Calibri" w:hAnsi="Calibri" w:cs="Calibri"/>
          <w:sz w:val="22"/>
        </w:rPr>
        <w:t>c</w:t>
      </w:r>
      <w:r w:rsidRPr="006C054E">
        <w:rPr>
          <w:rFonts w:ascii="Calibri" w:eastAsia="Calibri" w:hAnsi="Calibri" w:cs="Calibri"/>
          <w:sz w:val="22"/>
        </w:rPr>
        <w:t>e financial resources. This is particularly valid for family physicians outside major cities.</w:t>
      </w:r>
      <w:r w:rsidR="00A5012E" w:rsidRPr="4F9E38CA">
        <w:rPr>
          <w:rFonts w:ascii="Calibri" w:hAnsi="Calibri" w:cs="Calibri"/>
          <w:sz w:val="22"/>
        </w:rPr>
        <w:t xml:space="preserve"> </w:t>
      </w:r>
    </w:p>
    <w:p w14:paraId="440C1544" w14:textId="77777777" w:rsidR="00FF34D6" w:rsidRDefault="00FF34D6" w:rsidP="00FF34D6">
      <w:pPr>
        <w:pStyle w:val="ListParagraph"/>
        <w:tabs>
          <w:tab w:val="left" w:pos="720"/>
        </w:tabs>
        <w:spacing w:after="0" w:line="240" w:lineRule="auto"/>
        <w:ind w:left="0"/>
        <w:jc w:val="both"/>
        <w:rPr>
          <w:rFonts w:ascii="Calibri" w:eastAsiaTheme="minorHAnsi" w:hAnsi="Calibri" w:cs="Calibri"/>
        </w:rPr>
      </w:pPr>
    </w:p>
    <w:p w14:paraId="1778CEFB" w14:textId="10A92564" w:rsidR="00FF34D6" w:rsidRDefault="00FF34D6" w:rsidP="00767A4F">
      <w:pPr>
        <w:pStyle w:val="ListParagraph"/>
        <w:tabs>
          <w:tab w:val="left" w:pos="720"/>
        </w:tabs>
        <w:spacing w:after="0" w:line="240" w:lineRule="auto"/>
        <w:ind w:left="0"/>
        <w:jc w:val="both"/>
        <w:rPr>
          <w:rFonts w:ascii="Calibri" w:eastAsia="Calibri" w:hAnsi="Calibri" w:cs="Times New Roman"/>
        </w:rPr>
      </w:pPr>
      <w:r w:rsidRPr="003A6810">
        <w:rPr>
          <w:rFonts w:ascii="Calibri" w:eastAsia="Calibri" w:hAnsi="Calibri" w:cs="Times New Roman"/>
          <w:b/>
        </w:rPr>
        <w:t>The minimum quality standards for the eligible activities and fiduciary aspects will be developed and provided to the Bank before the launch of the scheme.</w:t>
      </w:r>
      <w:r w:rsidRPr="003A6810">
        <w:rPr>
          <w:rFonts w:ascii="Calibri" w:eastAsia="Calibri" w:hAnsi="Calibri" w:cs="Times New Roman"/>
        </w:rPr>
        <w:t xml:space="preserve"> The Bank will review proposed arrangements and signal any weaknesses in the proposed design and work with the counterparts to ensure adequate implementation arrangements, including fiduciary aspects. Technical support for required capacity for the design and implementation of fiduciary arrangements, including a system of internal controls and oversight is proposed to be supported under the Program and will be monitored under the PAP.  </w:t>
      </w:r>
    </w:p>
    <w:p w14:paraId="35C66761" w14:textId="77777777" w:rsidR="00FF34D6" w:rsidRPr="006C054E" w:rsidRDefault="00FF34D6">
      <w:pPr>
        <w:autoSpaceDE w:val="0"/>
        <w:autoSpaceDN w:val="0"/>
        <w:adjustRightInd w:val="0"/>
        <w:jc w:val="both"/>
        <w:rPr>
          <w:rFonts w:ascii="Calibri" w:hAnsi="Calibri" w:cs="Calibri"/>
          <w:sz w:val="22"/>
        </w:rPr>
      </w:pPr>
    </w:p>
    <w:p w14:paraId="159ABAEC" w14:textId="50CEEBDB" w:rsidR="00C84231" w:rsidRPr="00C62310" w:rsidRDefault="00844389" w:rsidP="00C62310">
      <w:pPr>
        <w:pStyle w:val="PforRStyle2"/>
        <w:ind w:left="0" w:firstLine="0"/>
        <w:rPr>
          <w:rFonts w:ascii="Calibri" w:hAnsi="Calibri" w:cs="Calibri"/>
          <w:sz w:val="22"/>
          <w:szCs w:val="22"/>
        </w:rPr>
      </w:pPr>
      <w:bookmarkStart w:id="30" w:name="_Toc12467041"/>
      <w:bookmarkEnd w:id="30"/>
      <w:r w:rsidRPr="00A74A8F">
        <w:rPr>
          <w:rFonts w:ascii="Calibri" w:hAnsi="Calibri" w:cs="Calibri"/>
          <w:sz w:val="22"/>
          <w:szCs w:val="22"/>
        </w:rPr>
        <w:t xml:space="preserve"> </w:t>
      </w:r>
      <w:bookmarkStart w:id="31" w:name="_Toc374627542"/>
      <w:bookmarkStart w:id="32" w:name="_Toc12467042"/>
      <w:r w:rsidR="000B16AB" w:rsidRPr="00C62310">
        <w:rPr>
          <w:rFonts w:ascii="Calibri" w:hAnsi="Calibri" w:cs="Calibri"/>
          <w:sz w:val="22"/>
          <w:szCs w:val="22"/>
        </w:rPr>
        <w:t>Program Treasury Management and Funds Flow</w:t>
      </w:r>
      <w:bookmarkEnd w:id="31"/>
      <w:bookmarkEnd w:id="32"/>
    </w:p>
    <w:p w14:paraId="784C931A" w14:textId="1725F594" w:rsidR="00786A56" w:rsidRPr="00C62310" w:rsidRDefault="00786A56" w:rsidP="00FB159C">
      <w:pPr>
        <w:autoSpaceDE w:val="0"/>
        <w:autoSpaceDN w:val="0"/>
        <w:adjustRightInd w:val="0"/>
        <w:jc w:val="both"/>
        <w:rPr>
          <w:rFonts w:ascii="Calibri" w:hAnsi="Calibri" w:cs="Calibri"/>
          <w:sz w:val="22"/>
        </w:rPr>
      </w:pPr>
      <w:r w:rsidRPr="00C62310">
        <w:rPr>
          <w:rFonts w:ascii="Calibri" w:hAnsi="Calibri" w:cs="Calibri"/>
          <w:b/>
          <w:sz w:val="22"/>
        </w:rPr>
        <w:t xml:space="preserve">The Treasury Single Account (TSA) framework </w:t>
      </w:r>
      <w:r w:rsidR="00FB159C" w:rsidRPr="00C62310">
        <w:rPr>
          <w:rFonts w:ascii="Calibri" w:hAnsi="Calibri" w:cs="Calibri"/>
          <w:b/>
          <w:sz w:val="22"/>
        </w:rPr>
        <w:t>is</w:t>
      </w:r>
      <w:r w:rsidRPr="00C62310">
        <w:rPr>
          <w:rFonts w:ascii="Calibri" w:hAnsi="Calibri" w:cs="Calibri"/>
          <w:b/>
          <w:sz w:val="22"/>
        </w:rPr>
        <w:t xml:space="preserve"> clearly designed</w:t>
      </w:r>
      <w:r w:rsidR="00FB159C" w:rsidRPr="00C62310">
        <w:rPr>
          <w:rFonts w:ascii="Calibri" w:hAnsi="Calibri" w:cs="Calibri"/>
          <w:b/>
          <w:sz w:val="22"/>
        </w:rPr>
        <w:t xml:space="preserve"> and well-functioning.</w:t>
      </w:r>
      <w:r w:rsidRPr="00C62310">
        <w:rPr>
          <w:rFonts w:ascii="Calibri" w:hAnsi="Calibri" w:cs="Calibri"/>
          <w:sz w:val="22"/>
        </w:rPr>
        <w:t xml:space="preserve"> </w:t>
      </w:r>
      <w:r w:rsidR="00DF3855" w:rsidRPr="00C62310">
        <w:rPr>
          <w:rFonts w:ascii="Calibri" w:hAnsi="Calibri" w:cs="Calibri"/>
          <w:sz w:val="22"/>
        </w:rPr>
        <w:t>Program i</w:t>
      </w:r>
      <w:r w:rsidRPr="00C62310">
        <w:rPr>
          <w:rFonts w:ascii="Calibri" w:hAnsi="Calibri" w:cs="Calibri"/>
          <w:sz w:val="22"/>
        </w:rPr>
        <w:t xml:space="preserve">mplementing entities operate with sub-accounts of the main TSA. Program expenses will be budgeted and channeled through the </w:t>
      </w:r>
      <w:r w:rsidR="00DF3855" w:rsidRPr="00C62310">
        <w:rPr>
          <w:rFonts w:ascii="Calibri" w:hAnsi="Calibri" w:cs="Calibri"/>
          <w:sz w:val="22"/>
        </w:rPr>
        <w:t xml:space="preserve">existing </w:t>
      </w:r>
      <w:r w:rsidRPr="00C62310">
        <w:rPr>
          <w:rFonts w:ascii="Calibri" w:hAnsi="Calibri" w:cs="Calibri"/>
          <w:sz w:val="22"/>
        </w:rPr>
        <w:t xml:space="preserve">budgetary </w:t>
      </w:r>
      <w:r w:rsidR="00DF3855" w:rsidRPr="00C62310">
        <w:rPr>
          <w:rFonts w:ascii="Calibri" w:hAnsi="Calibri" w:cs="Calibri"/>
          <w:sz w:val="22"/>
        </w:rPr>
        <w:t xml:space="preserve">system, according to the national legislation in force. Budget resources are made available to the agencies which are responsible to manage expenditures in accordance with the monthly, quarterly and yearly limits and ceilings imposed by the </w:t>
      </w:r>
      <w:r w:rsidR="00DD4C57" w:rsidRPr="00C62310">
        <w:rPr>
          <w:rFonts w:ascii="Calibri" w:hAnsi="Calibri" w:cs="Calibri"/>
          <w:sz w:val="22"/>
        </w:rPr>
        <w:t>MoPF</w:t>
      </w:r>
      <w:r w:rsidR="00DF3855" w:rsidRPr="00C62310">
        <w:rPr>
          <w:rFonts w:ascii="Calibri" w:hAnsi="Calibri" w:cs="Calibri"/>
          <w:sz w:val="22"/>
        </w:rPr>
        <w:t xml:space="preserve">. </w:t>
      </w:r>
      <w:r w:rsidR="00FB159C" w:rsidRPr="00C62310">
        <w:rPr>
          <w:rFonts w:ascii="Calibri" w:hAnsi="Calibri" w:cs="Calibri"/>
          <w:sz w:val="22"/>
        </w:rPr>
        <w:t xml:space="preserve">A tight control is exercised over credit releases through the combination of quarterly cash limits and monthly credit openings. </w:t>
      </w:r>
      <w:r w:rsidR="009C7F81" w:rsidRPr="00C62310">
        <w:rPr>
          <w:rFonts w:ascii="Calibri" w:hAnsi="Calibri" w:cs="Calibri"/>
          <w:sz w:val="22"/>
        </w:rPr>
        <w:t xml:space="preserve">The Treasury Information System </w:t>
      </w:r>
      <w:proofErr w:type="gramStart"/>
      <w:r w:rsidR="009C7F81" w:rsidRPr="00C62310">
        <w:rPr>
          <w:rFonts w:ascii="Calibri" w:hAnsi="Calibri" w:cs="Calibri"/>
          <w:sz w:val="22"/>
        </w:rPr>
        <w:t>is able to</w:t>
      </w:r>
      <w:proofErr w:type="gramEnd"/>
      <w:r w:rsidR="009C7F81" w:rsidRPr="00C62310">
        <w:rPr>
          <w:rFonts w:ascii="Calibri" w:hAnsi="Calibri" w:cs="Calibri"/>
          <w:sz w:val="22"/>
        </w:rPr>
        <w:t xml:space="preserve"> produce budget execution reports on a cash basis in almost real time.</w:t>
      </w:r>
      <w:r w:rsidR="00DF3855" w:rsidRPr="00C62310">
        <w:rPr>
          <w:rFonts w:ascii="Calibri" w:hAnsi="Calibri" w:cs="Calibri"/>
          <w:sz w:val="22"/>
        </w:rPr>
        <w:t xml:space="preserve"> The recently-introduced </w:t>
      </w:r>
      <w:proofErr w:type="spellStart"/>
      <w:r w:rsidR="00DF3855" w:rsidRPr="00C62310">
        <w:rPr>
          <w:rFonts w:ascii="Calibri" w:hAnsi="Calibri" w:cs="Calibri"/>
          <w:sz w:val="22"/>
        </w:rPr>
        <w:t>Forexebug</w:t>
      </w:r>
      <w:proofErr w:type="spellEnd"/>
      <w:r w:rsidR="00DF3855" w:rsidRPr="00C62310">
        <w:rPr>
          <w:rFonts w:ascii="Calibri" w:hAnsi="Calibri" w:cs="Calibri"/>
          <w:sz w:val="22"/>
        </w:rPr>
        <w:t xml:space="preserve"> also contributed to more effective scrutiny over commitments and payments</w:t>
      </w:r>
      <w:r w:rsidR="000E41F7" w:rsidRPr="00C62310">
        <w:rPr>
          <w:rFonts w:ascii="Calibri" w:hAnsi="Calibri" w:cs="Calibri"/>
          <w:sz w:val="22"/>
        </w:rPr>
        <w:t>, as mentioned above.</w:t>
      </w:r>
    </w:p>
    <w:p w14:paraId="5B7F7AB8" w14:textId="77777777" w:rsidR="00786A56" w:rsidRPr="00C62310" w:rsidRDefault="00786A56" w:rsidP="00DF3855">
      <w:pPr>
        <w:pStyle w:val="PKFNormalNumbered"/>
        <w:tabs>
          <w:tab w:val="clear" w:pos="851"/>
        </w:tabs>
        <w:spacing w:after="0" w:line="240" w:lineRule="auto"/>
        <w:ind w:left="0" w:firstLine="0"/>
        <w:rPr>
          <w:rFonts w:ascii="Calibri" w:hAnsi="Calibri" w:cs="Calibri"/>
          <w:sz w:val="22"/>
          <w:szCs w:val="22"/>
        </w:rPr>
      </w:pPr>
    </w:p>
    <w:p w14:paraId="68FFDF13" w14:textId="1D3CF760" w:rsidR="00C84231" w:rsidRDefault="00C84231" w:rsidP="00C84231">
      <w:pPr>
        <w:pStyle w:val="PKFNormalNumbered"/>
        <w:tabs>
          <w:tab w:val="clear" w:pos="851"/>
        </w:tabs>
        <w:spacing w:after="0" w:line="240" w:lineRule="auto"/>
        <w:ind w:left="0" w:firstLine="0"/>
        <w:rPr>
          <w:rFonts w:ascii="Calibri" w:hAnsi="Calibri" w:cs="Calibri"/>
          <w:sz w:val="22"/>
          <w:szCs w:val="22"/>
        </w:rPr>
      </w:pPr>
      <w:r w:rsidRPr="00C62310">
        <w:rPr>
          <w:rFonts w:ascii="Calibri" w:hAnsi="Calibri" w:cs="Calibri"/>
          <w:sz w:val="22"/>
          <w:szCs w:val="22"/>
        </w:rPr>
        <w:t xml:space="preserve">NHIH administers </w:t>
      </w:r>
      <w:r w:rsidR="00FB159C" w:rsidRPr="00C62310">
        <w:rPr>
          <w:rFonts w:ascii="Calibri" w:hAnsi="Calibri" w:cs="Calibri"/>
          <w:sz w:val="22"/>
          <w:szCs w:val="22"/>
        </w:rPr>
        <w:t xml:space="preserve">NHIF (which ensures about </w:t>
      </w:r>
      <w:r w:rsidR="00A54194" w:rsidRPr="00C62310">
        <w:rPr>
          <w:rFonts w:ascii="Calibri" w:hAnsi="Calibri" w:cs="Calibri"/>
          <w:sz w:val="22"/>
          <w:szCs w:val="22"/>
        </w:rPr>
        <w:t>75</w:t>
      </w:r>
      <w:r w:rsidR="00FB159C" w:rsidRPr="00C62310">
        <w:rPr>
          <w:rFonts w:ascii="Calibri" w:hAnsi="Calibri" w:cs="Calibri"/>
          <w:sz w:val="22"/>
          <w:szCs w:val="22"/>
        </w:rPr>
        <w:t>% of the sector financing)</w:t>
      </w:r>
      <w:r w:rsidRPr="00C62310">
        <w:rPr>
          <w:rFonts w:ascii="Calibri" w:hAnsi="Calibri" w:cs="Calibri"/>
          <w:sz w:val="22"/>
          <w:szCs w:val="22"/>
        </w:rPr>
        <w:t xml:space="preserve"> and is responsible for planning and purchasing, through its county branches, health services from both public and private hospitals, laboratories, pharmacies, ambulatory care specialists, GPs etc.</w:t>
      </w:r>
      <w:r w:rsidR="0073555A" w:rsidRPr="00C62310">
        <w:rPr>
          <w:rFonts w:ascii="Calibri" w:hAnsi="Calibri" w:cs="Calibri"/>
          <w:sz w:val="22"/>
          <w:szCs w:val="22"/>
        </w:rPr>
        <w:t xml:space="preserve"> NHIH’s treasury management and funds flow mechanisms are assessed as reliable and sufficiently robust based on a review of their internal control and oversight arrangements, together with a review of findings of </w:t>
      </w:r>
      <w:r w:rsidR="006537FB">
        <w:rPr>
          <w:rFonts w:ascii="Calibri" w:hAnsi="Calibri" w:cs="Calibri"/>
          <w:sz w:val="22"/>
          <w:szCs w:val="22"/>
        </w:rPr>
        <w:t xml:space="preserve">the latest </w:t>
      </w:r>
      <w:r w:rsidR="0073555A" w:rsidRPr="00C62310">
        <w:rPr>
          <w:rFonts w:ascii="Calibri" w:hAnsi="Calibri" w:cs="Calibri"/>
          <w:sz w:val="22"/>
          <w:szCs w:val="22"/>
        </w:rPr>
        <w:t>independent audit reports</w:t>
      </w:r>
      <w:r w:rsidR="006537FB">
        <w:rPr>
          <w:rFonts w:ascii="Calibri" w:hAnsi="Calibri" w:cs="Calibri"/>
          <w:sz w:val="22"/>
          <w:szCs w:val="22"/>
        </w:rPr>
        <w:t>.</w:t>
      </w:r>
      <w:r w:rsidR="0073555A" w:rsidRPr="00C62310">
        <w:rPr>
          <w:rFonts w:ascii="Calibri" w:hAnsi="Calibri" w:cs="Calibri"/>
          <w:sz w:val="22"/>
          <w:szCs w:val="22"/>
        </w:rPr>
        <w:t xml:space="preserve">   </w:t>
      </w:r>
    </w:p>
    <w:p w14:paraId="1BD0BA64" w14:textId="77777777" w:rsidR="009003C0" w:rsidRPr="00C62310" w:rsidRDefault="009003C0" w:rsidP="00C84231">
      <w:pPr>
        <w:pStyle w:val="PKFNormalNumbered"/>
        <w:tabs>
          <w:tab w:val="clear" w:pos="851"/>
        </w:tabs>
        <w:spacing w:after="0" w:line="240" w:lineRule="auto"/>
        <w:ind w:left="0" w:firstLine="0"/>
        <w:rPr>
          <w:rFonts w:ascii="Calibri" w:hAnsi="Calibri" w:cs="Calibri"/>
          <w:sz w:val="22"/>
          <w:szCs w:val="22"/>
        </w:rPr>
      </w:pPr>
    </w:p>
    <w:p w14:paraId="104EAEAF" w14:textId="77777777" w:rsidR="00E655F0" w:rsidRPr="00C62310" w:rsidRDefault="00E655F0" w:rsidP="00C84231">
      <w:pPr>
        <w:pStyle w:val="PKFNormalNumbered"/>
        <w:tabs>
          <w:tab w:val="clear" w:pos="851"/>
        </w:tabs>
        <w:spacing w:after="0" w:line="240" w:lineRule="auto"/>
        <w:ind w:left="0" w:firstLine="0"/>
        <w:rPr>
          <w:rFonts w:ascii="Calibri" w:hAnsi="Calibri" w:cs="Calibri"/>
          <w:sz w:val="22"/>
          <w:szCs w:val="22"/>
        </w:rPr>
      </w:pPr>
    </w:p>
    <w:p w14:paraId="360114C4" w14:textId="6D54E57D" w:rsidR="000B16AB" w:rsidRPr="00C62310" w:rsidRDefault="000B16AB" w:rsidP="00C62310">
      <w:pPr>
        <w:pStyle w:val="PforRStyle2"/>
        <w:ind w:left="0" w:firstLine="0"/>
        <w:rPr>
          <w:rFonts w:ascii="Calibri" w:hAnsi="Calibri" w:cs="Calibri"/>
          <w:sz w:val="22"/>
          <w:szCs w:val="22"/>
        </w:rPr>
      </w:pPr>
      <w:bookmarkStart w:id="33" w:name="_Toc374627543"/>
      <w:bookmarkStart w:id="34" w:name="_Toc12467043"/>
      <w:r w:rsidRPr="00C62310">
        <w:rPr>
          <w:rFonts w:ascii="Calibri" w:hAnsi="Calibri" w:cs="Calibri"/>
          <w:sz w:val="22"/>
          <w:szCs w:val="22"/>
        </w:rPr>
        <w:lastRenderedPageBreak/>
        <w:t>Internal Controls and Internal Audit</w:t>
      </w:r>
      <w:bookmarkStart w:id="35" w:name="_Toc374627544"/>
      <w:bookmarkEnd w:id="33"/>
      <w:bookmarkEnd w:id="34"/>
    </w:p>
    <w:p w14:paraId="2B8ED5BE" w14:textId="77777777" w:rsidR="003A02E2" w:rsidRPr="00C62310" w:rsidRDefault="00B95143" w:rsidP="003A02E2">
      <w:pPr>
        <w:pStyle w:val="PKFNormalNumbered"/>
        <w:tabs>
          <w:tab w:val="clear" w:pos="851"/>
        </w:tabs>
        <w:spacing w:after="0" w:line="240" w:lineRule="auto"/>
        <w:ind w:left="0" w:firstLine="0"/>
        <w:rPr>
          <w:rFonts w:ascii="Calibri" w:hAnsi="Calibri" w:cs="Calibri"/>
          <w:sz w:val="22"/>
          <w:szCs w:val="22"/>
        </w:rPr>
      </w:pPr>
      <w:r w:rsidRPr="00C62310">
        <w:rPr>
          <w:rFonts w:ascii="Calibri" w:hAnsi="Calibri" w:cs="Calibri"/>
          <w:b/>
          <w:sz w:val="22"/>
          <w:szCs w:val="22"/>
        </w:rPr>
        <w:t>Romania, as an EU member is part of Public Internal Financial Control (PIFC) agenda</w:t>
      </w:r>
      <w:r w:rsidR="003A02E2" w:rsidRPr="00C62310">
        <w:rPr>
          <w:rFonts w:ascii="Calibri" w:hAnsi="Calibri" w:cs="Calibri"/>
          <w:b/>
          <w:sz w:val="22"/>
          <w:szCs w:val="22"/>
        </w:rPr>
        <w:t xml:space="preserve"> and there are plans to further strengthen this area.</w:t>
      </w:r>
      <w:r w:rsidR="003A02E2" w:rsidRPr="00C62310">
        <w:rPr>
          <w:rFonts w:ascii="Calibri" w:hAnsi="Calibri" w:cs="Calibri"/>
          <w:sz w:val="22"/>
          <w:szCs w:val="22"/>
        </w:rPr>
        <w:t xml:space="preserve"> The strategy for consolidation of public administration 2014-2020 recognizes among other objectives the need to increase the use of internal controls standards and strengthen the internal audit capacity at both central and local level.</w:t>
      </w:r>
    </w:p>
    <w:p w14:paraId="29591E46" w14:textId="77777777" w:rsidR="003A02E2" w:rsidRPr="00C62310" w:rsidRDefault="003A02E2" w:rsidP="00B95143">
      <w:pPr>
        <w:pStyle w:val="PKFNormalNumbered"/>
        <w:tabs>
          <w:tab w:val="clear" w:pos="851"/>
        </w:tabs>
        <w:spacing w:after="0" w:line="240" w:lineRule="auto"/>
        <w:ind w:left="0" w:firstLine="0"/>
        <w:rPr>
          <w:rFonts w:ascii="Calibri" w:hAnsi="Calibri" w:cs="Calibri"/>
          <w:sz w:val="22"/>
          <w:szCs w:val="22"/>
        </w:rPr>
      </w:pPr>
    </w:p>
    <w:p w14:paraId="66E3D46D" w14:textId="46EAE9ED" w:rsidR="00B95143" w:rsidRPr="00C62310" w:rsidRDefault="00B95143" w:rsidP="00B95143">
      <w:pPr>
        <w:pStyle w:val="PKFNormalNumbered"/>
        <w:tabs>
          <w:tab w:val="clear" w:pos="851"/>
        </w:tabs>
        <w:spacing w:after="0" w:line="240" w:lineRule="auto"/>
        <w:ind w:left="0" w:firstLine="0"/>
        <w:rPr>
          <w:rFonts w:ascii="Calibri" w:hAnsi="Calibri" w:cs="Calibri"/>
          <w:sz w:val="22"/>
          <w:szCs w:val="22"/>
        </w:rPr>
      </w:pPr>
      <w:r w:rsidRPr="00C62310">
        <w:rPr>
          <w:rFonts w:ascii="Calibri" w:hAnsi="Calibri" w:cs="Calibri"/>
          <w:b/>
          <w:sz w:val="22"/>
          <w:szCs w:val="22"/>
        </w:rPr>
        <w:t xml:space="preserve">Internal controls are well established in the entities in the scope of the Program. </w:t>
      </w:r>
      <w:r w:rsidRPr="00C62310">
        <w:rPr>
          <w:rFonts w:ascii="Calibri" w:hAnsi="Calibri" w:cs="Calibri"/>
          <w:sz w:val="22"/>
          <w:szCs w:val="22"/>
        </w:rPr>
        <w:t>There are clear written procedures for authorisations, segregation of duties, reconciliations etc. covering expenditure and financial management, as well as procurement responsibilities.</w:t>
      </w:r>
      <w:r w:rsidR="003A02E2" w:rsidRPr="00C62310">
        <w:rPr>
          <w:rFonts w:ascii="Calibri" w:hAnsi="Calibri" w:cs="Calibri"/>
          <w:sz w:val="22"/>
          <w:szCs w:val="22"/>
        </w:rPr>
        <w:t xml:space="preserve"> There are strict ex</w:t>
      </w:r>
      <w:r w:rsidR="000C5AAE">
        <w:rPr>
          <w:rFonts w:ascii="Calibri" w:hAnsi="Calibri" w:cs="Calibri"/>
          <w:sz w:val="22"/>
          <w:szCs w:val="22"/>
        </w:rPr>
        <w:t>-</w:t>
      </w:r>
      <w:r w:rsidR="003A02E2" w:rsidRPr="00C62310">
        <w:rPr>
          <w:rFonts w:ascii="Calibri" w:hAnsi="Calibri" w:cs="Calibri"/>
          <w:sz w:val="22"/>
          <w:szCs w:val="22"/>
        </w:rPr>
        <w:t>ante and detective controls imposed by the legislation and internal regulations,</w:t>
      </w:r>
      <w:r w:rsidR="00C84231" w:rsidRPr="00C62310">
        <w:rPr>
          <w:rFonts w:ascii="Calibri" w:hAnsi="Calibri" w:cs="Calibri"/>
          <w:sz w:val="22"/>
          <w:szCs w:val="22"/>
        </w:rPr>
        <w:t xml:space="preserve"> particularly over the budget execution,</w:t>
      </w:r>
      <w:r w:rsidR="003A02E2" w:rsidRPr="00C62310">
        <w:rPr>
          <w:rFonts w:ascii="Calibri" w:hAnsi="Calibri" w:cs="Calibri"/>
          <w:sz w:val="22"/>
          <w:szCs w:val="22"/>
        </w:rPr>
        <w:t xml:space="preserve"> but </w:t>
      </w:r>
      <w:r w:rsidR="00E655F0" w:rsidRPr="00C62310">
        <w:rPr>
          <w:rFonts w:ascii="Calibri" w:hAnsi="Calibri" w:cs="Calibri"/>
          <w:sz w:val="22"/>
          <w:szCs w:val="22"/>
        </w:rPr>
        <w:t>often rather</w:t>
      </w:r>
      <w:r w:rsidR="003A02E2" w:rsidRPr="00C62310">
        <w:rPr>
          <w:rFonts w:ascii="Calibri" w:hAnsi="Calibri" w:cs="Calibri"/>
          <w:sz w:val="22"/>
          <w:szCs w:val="22"/>
        </w:rPr>
        <w:t xml:space="preserve"> bureaucratic and not necessarily endorsing a risk-based value-for-money approach.</w:t>
      </w:r>
      <w:r w:rsidR="0073555A" w:rsidRPr="00C62310">
        <w:rPr>
          <w:rFonts w:ascii="Calibri" w:hAnsi="Calibri" w:cs="Calibri"/>
          <w:sz w:val="22"/>
          <w:szCs w:val="22"/>
        </w:rPr>
        <w:t xml:space="preserve"> </w:t>
      </w:r>
    </w:p>
    <w:p w14:paraId="22F1D542" w14:textId="1369698A" w:rsidR="00B95143" w:rsidRPr="00C62310" w:rsidRDefault="00B95143" w:rsidP="00E46771">
      <w:pPr>
        <w:pStyle w:val="PKFNormalNumbered"/>
        <w:tabs>
          <w:tab w:val="clear" w:pos="851"/>
        </w:tabs>
        <w:spacing w:after="0" w:line="240" w:lineRule="auto"/>
        <w:ind w:left="0" w:firstLine="0"/>
        <w:rPr>
          <w:rFonts w:ascii="Calibri" w:hAnsi="Calibri" w:cs="Calibri"/>
          <w:sz w:val="22"/>
          <w:szCs w:val="22"/>
        </w:rPr>
      </w:pPr>
    </w:p>
    <w:p w14:paraId="6F10A142" w14:textId="1F200AAD" w:rsidR="00B47266" w:rsidRPr="00C62310" w:rsidRDefault="00D81831" w:rsidP="00E46771">
      <w:pPr>
        <w:pStyle w:val="PKFNormalNumbered"/>
        <w:tabs>
          <w:tab w:val="clear" w:pos="851"/>
        </w:tabs>
        <w:spacing w:after="0" w:line="240" w:lineRule="auto"/>
        <w:ind w:left="0" w:firstLine="0"/>
        <w:rPr>
          <w:rFonts w:ascii="Calibri" w:hAnsi="Calibri" w:cs="Calibri"/>
          <w:sz w:val="22"/>
          <w:szCs w:val="22"/>
        </w:rPr>
      </w:pPr>
      <w:r>
        <w:rPr>
          <w:rFonts w:ascii="Calibri" w:hAnsi="Calibri" w:cs="Calibri"/>
          <w:b/>
          <w:sz w:val="22"/>
          <w:szCs w:val="22"/>
        </w:rPr>
        <w:t xml:space="preserve">The </w:t>
      </w:r>
      <w:r w:rsidR="004F5F37" w:rsidRPr="00C62310">
        <w:rPr>
          <w:rFonts w:ascii="Calibri" w:hAnsi="Calibri" w:cs="Calibri"/>
          <w:b/>
          <w:sz w:val="22"/>
          <w:szCs w:val="22"/>
        </w:rPr>
        <w:t>Internal audit function</w:t>
      </w:r>
      <w:r>
        <w:rPr>
          <w:rFonts w:ascii="Calibri" w:hAnsi="Calibri" w:cs="Calibri"/>
          <w:b/>
          <w:sz w:val="22"/>
          <w:szCs w:val="22"/>
        </w:rPr>
        <w:t>, complemented by other oversight departments such as control, integrity and antifraud at the level of MoH and NHIH,</w:t>
      </w:r>
      <w:r w:rsidR="004F5F37" w:rsidRPr="00C62310">
        <w:rPr>
          <w:rFonts w:ascii="Calibri" w:hAnsi="Calibri" w:cs="Calibri"/>
          <w:b/>
          <w:sz w:val="22"/>
          <w:szCs w:val="22"/>
        </w:rPr>
        <w:t xml:space="preserve"> is well-regulated, but its effectiveness is impaired by capacity</w:t>
      </w:r>
      <w:r>
        <w:rPr>
          <w:rFonts w:ascii="Calibri" w:hAnsi="Calibri" w:cs="Calibri"/>
          <w:b/>
          <w:sz w:val="22"/>
          <w:szCs w:val="22"/>
        </w:rPr>
        <w:t xml:space="preserve"> constraints</w:t>
      </w:r>
      <w:r w:rsidR="004F5F37" w:rsidRPr="00C62310">
        <w:rPr>
          <w:rFonts w:ascii="Calibri" w:hAnsi="Calibri" w:cs="Calibri"/>
          <w:b/>
          <w:sz w:val="22"/>
          <w:szCs w:val="22"/>
          <w:vertAlign w:val="superscript"/>
        </w:rPr>
        <w:footnoteReference w:id="4"/>
      </w:r>
      <w:r w:rsidR="00B47266" w:rsidRPr="00C62310">
        <w:rPr>
          <w:rFonts w:ascii="Calibri" w:hAnsi="Calibri" w:cs="Calibri"/>
          <w:b/>
          <w:sz w:val="22"/>
          <w:szCs w:val="22"/>
        </w:rPr>
        <w:t>.</w:t>
      </w:r>
      <w:r w:rsidR="00E46771" w:rsidRPr="00C62310">
        <w:rPr>
          <w:rFonts w:ascii="Calibri" w:hAnsi="Calibri" w:cs="Calibri"/>
          <w:sz w:val="22"/>
          <w:szCs w:val="22"/>
        </w:rPr>
        <w:t xml:space="preserve"> </w:t>
      </w:r>
      <w:r w:rsidR="00B47266" w:rsidRPr="00C62310">
        <w:rPr>
          <w:rFonts w:ascii="Calibri" w:hAnsi="Calibri" w:cs="Calibri"/>
          <w:sz w:val="22"/>
          <w:szCs w:val="22"/>
        </w:rPr>
        <w:t xml:space="preserve">It has a well-formulated legislative framework </w:t>
      </w:r>
      <w:r w:rsidR="000940AC" w:rsidRPr="00C62310">
        <w:rPr>
          <w:rFonts w:ascii="Calibri" w:hAnsi="Calibri" w:cs="Calibri"/>
          <w:sz w:val="22"/>
          <w:szCs w:val="22"/>
        </w:rPr>
        <w:t xml:space="preserve">established through Law 672/2002 </w:t>
      </w:r>
      <w:r w:rsidR="00B47266" w:rsidRPr="00C62310">
        <w:rPr>
          <w:rFonts w:ascii="Calibri" w:hAnsi="Calibri" w:cs="Calibri"/>
          <w:sz w:val="22"/>
          <w:szCs w:val="22"/>
        </w:rPr>
        <w:t xml:space="preserve">which defines its scope as covering the broader areas of strategic decisions, regulation development, coordination, control, evaluation, and reporting. </w:t>
      </w:r>
      <w:r w:rsidR="0021704F" w:rsidRPr="00C62310">
        <w:rPr>
          <w:rFonts w:ascii="Calibri" w:hAnsi="Calibri" w:cs="Calibri"/>
          <w:sz w:val="22"/>
          <w:szCs w:val="22"/>
        </w:rPr>
        <w:t xml:space="preserve">Internal audit </w:t>
      </w:r>
      <w:proofErr w:type="gramStart"/>
      <w:r w:rsidR="0021704F" w:rsidRPr="00C62310">
        <w:rPr>
          <w:rFonts w:ascii="Calibri" w:hAnsi="Calibri" w:cs="Calibri"/>
          <w:sz w:val="22"/>
          <w:szCs w:val="22"/>
        </w:rPr>
        <w:t>looks into</w:t>
      </w:r>
      <w:proofErr w:type="gramEnd"/>
      <w:r w:rsidR="0021704F" w:rsidRPr="00C62310">
        <w:rPr>
          <w:rFonts w:ascii="Calibri" w:hAnsi="Calibri" w:cs="Calibri"/>
          <w:sz w:val="22"/>
          <w:szCs w:val="22"/>
        </w:rPr>
        <w:t xml:space="preserve"> areas such as budgeting, accounting and reporting, public procurement, HR, IT, legal aspects, EU funds and other specific functions and should cover them every </w:t>
      </w:r>
      <w:r w:rsidR="000C5AAE">
        <w:rPr>
          <w:rFonts w:ascii="Calibri" w:hAnsi="Calibri" w:cs="Calibri"/>
          <w:sz w:val="22"/>
          <w:szCs w:val="22"/>
        </w:rPr>
        <w:t>three</w:t>
      </w:r>
      <w:r w:rsidR="0021704F" w:rsidRPr="00C62310">
        <w:rPr>
          <w:rFonts w:ascii="Calibri" w:hAnsi="Calibri" w:cs="Calibri"/>
          <w:sz w:val="22"/>
          <w:szCs w:val="22"/>
        </w:rPr>
        <w:t xml:space="preserve"> years.</w:t>
      </w:r>
      <w:r w:rsidR="005C2B07" w:rsidRPr="00C62310">
        <w:rPr>
          <w:rFonts w:ascii="Calibri" w:hAnsi="Calibri" w:cs="Calibri"/>
          <w:sz w:val="22"/>
          <w:szCs w:val="22"/>
        </w:rPr>
        <w:t xml:space="preserve"> </w:t>
      </w:r>
      <w:r w:rsidR="00B47266" w:rsidRPr="00C62310">
        <w:rPr>
          <w:rFonts w:ascii="Calibri" w:hAnsi="Calibri" w:cs="Calibri"/>
          <w:sz w:val="22"/>
          <w:szCs w:val="22"/>
        </w:rPr>
        <w:t xml:space="preserve">Compliance and quality </w:t>
      </w:r>
      <w:r w:rsidR="000940AC" w:rsidRPr="00C62310">
        <w:rPr>
          <w:rFonts w:ascii="Calibri" w:hAnsi="Calibri" w:cs="Calibri"/>
          <w:sz w:val="22"/>
          <w:szCs w:val="22"/>
        </w:rPr>
        <w:t>are</w:t>
      </w:r>
      <w:r w:rsidR="00B47266" w:rsidRPr="00C62310">
        <w:rPr>
          <w:rFonts w:ascii="Calibri" w:hAnsi="Calibri" w:cs="Calibri"/>
          <w:sz w:val="22"/>
          <w:szCs w:val="22"/>
        </w:rPr>
        <w:t xml:space="preserve"> monitored by </w:t>
      </w:r>
      <w:r w:rsidR="000940AC" w:rsidRPr="00C62310">
        <w:rPr>
          <w:rFonts w:ascii="Calibri" w:hAnsi="Calibri" w:cs="Calibri"/>
          <w:sz w:val="22"/>
          <w:szCs w:val="22"/>
        </w:rPr>
        <w:t xml:space="preserve">the </w:t>
      </w:r>
      <w:r w:rsidR="00B47266" w:rsidRPr="00C62310">
        <w:rPr>
          <w:rFonts w:ascii="Calibri" w:hAnsi="Calibri" w:cs="Calibri"/>
          <w:sz w:val="22"/>
          <w:szCs w:val="22"/>
        </w:rPr>
        <w:t xml:space="preserve">MoPF Central </w:t>
      </w:r>
      <w:r w:rsidR="000940AC" w:rsidRPr="00C62310">
        <w:rPr>
          <w:rFonts w:ascii="Calibri" w:hAnsi="Calibri" w:cs="Calibri"/>
          <w:sz w:val="22"/>
          <w:szCs w:val="22"/>
        </w:rPr>
        <w:t>Harmonisation</w:t>
      </w:r>
      <w:r w:rsidR="00B47266" w:rsidRPr="00C62310">
        <w:rPr>
          <w:rFonts w:ascii="Calibri" w:hAnsi="Calibri" w:cs="Calibri"/>
          <w:sz w:val="22"/>
          <w:szCs w:val="22"/>
        </w:rPr>
        <w:t xml:space="preserve"> Unit </w:t>
      </w:r>
      <w:r w:rsidR="000940AC" w:rsidRPr="00C62310">
        <w:rPr>
          <w:rFonts w:ascii="Calibri" w:hAnsi="Calibri" w:cs="Calibri"/>
          <w:sz w:val="22"/>
          <w:szCs w:val="22"/>
        </w:rPr>
        <w:t xml:space="preserve">of Public Internal Audit (CHUPIA), with entities being subject to its review (or of the superior budgetary unit) at least once </w:t>
      </w:r>
      <w:r w:rsidR="00161DA8" w:rsidRPr="00C62310">
        <w:rPr>
          <w:rFonts w:ascii="Calibri" w:hAnsi="Calibri" w:cs="Calibri"/>
          <w:sz w:val="22"/>
          <w:szCs w:val="22"/>
        </w:rPr>
        <w:t xml:space="preserve">every </w:t>
      </w:r>
      <w:r w:rsidR="000C5AAE">
        <w:rPr>
          <w:rFonts w:ascii="Calibri" w:hAnsi="Calibri" w:cs="Calibri"/>
          <w:sz w:val="22"/>
          <w:szCs w:val="22"/>
        </w:rPr>
        <w:t>five</w:t>
      </w:r>
      <w:r w:rsidR="000940AC" w:rsidRPr="00C62310">
        <w:rPr>
          <w:rFonts w:ascii="Calibri" w:hAnsi="Calibri" w:cs="Calibri"/>
          <w:sz w:val="22"/>
          <w:szCs w:val="22"/>
        </w:rPr>
        <w:t xml:space="preserve"> years.</w:t>
      </w:r>
      <w:r w:rsidR="0021704F" w:rsidRPr="00C62310">
        <w:rPr>
          <w:rFonts w:ascii="Calibri" w:hAnsi="Calibri" w:cs="Calibri"/>
          <w:sz w:val="22"/>
          <w:szCs w:val="22"/>
        </w:rPr>
        <w:t xml:space="preserve"> The </w:t>
      </w:r>
      <w:r w:rsidR="00B95143" w:rsidRPr="00C62310">
        <w:rPr>
          <w:rFonts w:ascii="Calibri" w:hAnsi="Calibri" w:cs="Calibri"/>
          <w:sz w:val="22"/>
          <w:szCs w:val="22"/>
        </w:rPr>
        <w:t>R</w:t>
      </w:r>
      <w:r>
        <w:rPr>
          <w:rFonts w:ascii="Calibri" w:hAnsi="Calibri" w:cs="Calibri"/>
          <w:sz w:val="22"/>
          <w:szCs w:val="22"/>
        </w:rPr>
        <w:t>CoA</w:t>
      </w:r>
      <w:r w:rsidR="0021704F" w:rsidRPr="00C62310">
        <w:rPr>
          <w:rFonts w:ascii="Calibri" w:hAnsi="Calibri" w:cs="Calibri"/>
          <w:sz w:val="22"/>
          <w:szCs w:val="22"/>
        </w:rPr>
        <w:t xml:space="preserve"> </w:t>
      </w:r>
      <w:r w:rsidR="000C5AAE">
        <w:rPr>
          <w:rFonts w:ascii="Calibri" w:hAnsi="Calibri" w:cs="Calibri"/>
          <w:sz w:val="22"/>
          <w:szCs w:val="22"/>
        </w:rPr>
        <w:t xml:space="preserve">also </w:t>
      </w:r>
      <w:r w:rsidR="0021704F" w:rsidRPr="00C62310">
        <w:rPr>
          <w:rFonts w:ascii="Calibri" w:hAnsi="Calibri" w:cs="Calibri"/>
          <w:sz w:val="22"/>
          <w:szCs w:val="22"/>
        </w:rPr>
        <w:t xml:space="preserve">receives </w:t>
      </w:r>
      <w:r w:rsidR="000C5AAE">
        <w:rPr>
          <w:rFonts w:ascii="Calibri" w:hAnsi="Calibri" w:cs="Calibri"/>
          <w:sz w:val="22"/>
          <w:szCs w:val="22"/>
        </w:rPr>
        <w:t>on a yearly basis</w:t>
      </w:r>
      <w:r w:rsidR="0021704F" w:rsidRPr="00C62310">
        <w:rPr>
          <w:rFonts w:ascii="Calibri" w:hAnsi="Calibri" w:cs="Calibri"/>
          <w:sz w:val="22"/>
          <w:szCs w:val="22"/>
        </w:rPr>
        <w:t xml:space="preserve"> a report on the internal audit activities carried out from public entities and consider the findings in its work.</w:t>
      </w:r>
      <w:r w:rsidR="006537FB" w:rsidRPr="00C62310" w:rsidDel="006537FB">
        <w:rPr>
          <w:rFonts w:ascii="Calibri" w:hAnsi="Calibri" w:cs="Calibri"/>
          <w:sz w:val="22"/>
          <w:szCs w:val="22"/>
        </w:rPr>
        <w:t xml:space="preserve"> </w:t>
      </w:r>
    </w:p>
    <w:p w14:paraId="71088063" w14:textId="77777777" w:rsidR="00B47266" w:rsidRPr="00C62310" w:rsidRDefault="00B47266" w:rsidP="00E46771">
      <w:pPr>
        <w:pStyle w:val="PKFNormalNumbered"/>
        <w:tabs>
          <w:tab w:val="clear" w:pos="851"/>
        </w:tabs>
        <w:spacing w:after="0" w:line="240" w:lineRule="auto"/>
        <w:ind w:left="0" w:firstLine="0"/>
        <w:rPr>
          <w:rFonts w:ascii="Calibri" w:hAnsi="Calibri" w:cs="Calibri"/>
          <w:sz w:val="22"/>
          <w:szCs w:val="22"/>
        </w:rPr>
      </w:pPr>
    </w:p>
    <w:p w14:paraId="347B70FC" w14:textId="085E0DF4" w:rsidR="00A5012E" w:rsidRDefault="00B47266" w:rsidP="00C84231">
      <w:pPr>
        <w:pStyle w:val="PKFNormalNumbered"/>
        <w:tabs>
          <w:tab w:val="clear" w:pos="851"/>
        </w:tabs>
        <w:spacing w:after="0" w:line="240" w:lineRule="auto"/>
        <w:ind w:left="0" w:firstLine="0"/>
        <w:rPr>
          <w:rFonts w:ascii="Calibri" w:hAnsi="Calibri" w:cs="Calibri"/>
          <w:sz w:val="22"/>
          <w:szCs w:val="22"/>
        </w:rPr>
      </w:pPr>
      <w:r w:rsidRPr="00C62310">
        <w:rPr>
          <w:rFonts w:ascii="Calibri" w:hAnsi="Calibri" w:cs="Calibri"/>
          <w:b/>
          <w:sz w:val="22"/>
          <w:szCs w:val="22"/>
        </w:rPr>
        <w:t xml:space="preserve">The </w:t>
      </w:r>
      <w:r w:rsidR="000940AC" w:rsidRPr="00C62310">
        <w:rPr>
          <w:rFonts w:ascii="Calibri" w:hAnsi="Calibri" w:cs="Calibri"/>
          <w:b/>
          <w:sz w:val="22"/>
          <w:szCs w:val="22"/>
        </w:rPr>
        <w:t xml:space="preserve">internal audit </w:t>
      </w:r>
      <w:r w:rsidRPr="00C62310">
        <w:rPr>
          <w:rFonts w:ascii="Calibri" w:hAnsi="Calibri" w:cs="Calibri"/>
          <w:b/>
          <w:sz w:val="22"/>
          <w:szCs w:val="22"/>
        </w:rPr>
        <w:t xml:space="preserve">function is </w:t>
      </w:r>
      <w:r w:rsidR="00D81831">
        <w:rPr>
          <w:rFonts w:ascii="Calibri" w:hAnsi="Calibri" w:cs="Calibri"/>
          <w:b/>
          <w:sz w:val="22"/>
          <w:szCs w:val="22"/>
        </w:rPr>
        <w:t xml:space="preserve">well </w:t>
      </w:r>
      <w:r w:rsidRPr="00C62310">
        <w:rPr>
          <w:rFonts w:ascii="Calibri" w:hAnsi="Calibri" w:cs="Calibri"/>
          <w:b/>
          <w:sz w:val="22"/>
          <w:szCs w:val="22"/>
        </w:rPr>
        <w:t xml:space="preserve">organised </w:t>
      </w:r>
      <w:r w:rsidR="00C84231" w:rsidRPr="00C62310">
        <w:rPr>
          <w:rFonts w:ascii="Calibri" w:hAnsi="Calibri" w:cs="Calibri"/>
          <w:b/>
          <w:sz w:val="22"/>
          <w:szCs w:val="22"/>
        </w:rPr>
        <w:t xml:space="preserve">in </w:t>
      </w:r>
      <w:r w:rsidRPr="00C62310">
        <w:rPr>
          <w:rFonts w:ascii="Calibri" w:hAnsi="Calibri" w:cs="Calibri"/>
          <w:b/>
          <w:sz w:val="22"/>
          <w:szCs w:val="22"/>
        </w:rPr>
        <w:t xml:space="preserve">the implementing agencies, but there are </w:t>
      </w:r>
      <w:r w:rsidR="0021704F" w:rsidRPr="00C62310">
        <w:rPr>
          <w:rFonts w:ascii="Calibri" w:hAnsi="Calibri" w:cs="Calibri"/>
          <w:b/>
          <w:sz w:val="22"/>
          <w:szCs w:val="22"/>
        </w:rPr>
        <w:t>challenges in terms of staffing and skills development, realism</w:t>
      </w:r>
      <w:r w:rsidR="00C84231" w:rsidRPr="00C62310">
        <w:rPr>
          <w:rFonts w:ascii="Calibri" w:hAnsi="Calibri" w:cs="Calibri"/>
          <w:b/>
          <w:sz w:val="22"/>
          <w:szCs w:val="22"/>
        </w:rPr>
        <w:t xml:space="preserve"> and scope</w:t>
      </w:r>
      <w:r w:rsidR="0021704F" w:rsidRPr="00C62310">
        <w:rPr>
          <w:rFonts w:ascii="Calibri" w:hAnsi="Calibri" w:cs="Calibri"/>
          <w:b/>
          <w:sz w:val="22"/>
          <w:szCs w:val="22"/>
        </w:rPr>
        <w:t xml:space="preserve"> of audit work programs, </w:t>
      </w:r>
      <w:r w:rsidRPr="00C62310">
        <w:rPr>
          <w:rFonts w:ascii="Calibri" w:hAnsi="Calibri" w:cs="Calibri"/>
          <w:b/>
          <w:sz w:val="22"/>
          <w:szCs w:val="22"/>
        </w:rPr>
        <w:t>an</w:t>
      </w:r>
      <w:r w:rsidR="0021704F" w:rsidRPr="00C62310">
        <w:rPr>
          <w:rFonts w:ascii="Calibri" w:hAnsi="Calibri" w:cs="Calibri"/>
          <w:b/>
          <w:sz w:val="22"/>
          <w:szCs w:val="22"/>
        </w:rPr>
        <w:t xml:space="preserve">d proper </w:t>
      </w:r>
      <w:r w:rsidRPr="00C62310">
        <w:rPr>
          <w:rFonts w:ascii="Calibri" w:hAnsi="Calibri" w:cs="Calibri"/>
          <w:b/>
          <w:sz w:val="22"/>
          <w:szCs w:val="22"/>
        </w:rPr>
        <w:t>follow-up on findings.</w:t>
      </w:r>
      <w:r w:rsidRPr="00C62310">
        <w:rPr>
          <w:rFonts w:ascii="Calibri" w:hAnsi="Calibri" w:cs="Calibri"/>
          <w:sz w:val="22"/>
          <w:szCs w:val="22"/>
        </w:rPr>
        <w:t xml:space="preserve"> </w:t>
      </w:r>
      <w:r w:rsidR="00C84231" w:rsidRPr="00C62310">
        <w:rPr>
          <w:rFonts w:ascii="Calibri" w:hAnsi="Calibri" w:cs="Calibri"/>
          <w:sz w:val="22"/>
          <w:szCs w:val="22"/>
        </w:rPr>
        <w:t xml:space="preserve">In practice, although it complies with legislation, </w:t>
      </w:r>
      <w:r w:rsidR="00786A56" w:rsidRPr="00C62310">
        <w:rPr>
          <w:rFonts w:ascii="Calibri" w:hAnsi="Calibri" w:cs="Calibri"/>
          <w:sz w:val="22"/>
          <w:szCs w:val="22"/>
        </w:rPr>
        <w:t xml:space="preserve">it </w:t>
      </w:r>
      <w:r w:rsidR="00C84231" w:rsidRPr="00C62310">
        <w:rPr>
          <w:rFonts w:ascii="Calibri" w:hAnsi="Calibri" w:cs="Calibri"/>
          <w:sz w:val="22"/>
          <w:szCs w:val="22"/>
        </w:rPr>
        <w:t xml:space="preserve">is still dominated to a large extent by ad-hoc, compliance-focused audit engagement missions and is not yet fully endorsing a longer-term, risk-based planning method of internal auditing. </w:t>
      </w:r>
      <w:r w:rsidR="005C2B07" w:rsidRPr="00C62310">
        <w:rPr>
          <w:rFonts w:ascii="Calibri" w:hAnsi="Calibri" w:cs="Calibri"/>
          <w:sz w:val="22"/>
          <w:szCs w:val="22"/>
        </w:rPr>
        <w:t xml:space="preserve">Despite capacity constraints, </w:t>
      </w:r>
      <w:r w:rsidR="00E46771" w:rsidRPr="00C62310">
        <w:rPr>
          <w:rFonts w:ascii="Calibri" w:hAnsi="Calibri" w:cs="Calibri"/>
          <w:sz w:val="22"/>
          <w:szCs w:val="22"/>
        </w:rPr>
        <w:t>MoH</w:t>
      </w:r>
      <w:r w:rsidR="0021704F" w:rsidRPr="00C62310">
        <w:rPr>
          <w:rFonts w:ascii="Calibri" w:hAnsi="Calibri" w:cs="Calibri"/>
          <w:sz w:val="22"/>
          <w:szCs w:val="22"/>
        </w:rPr>
        <w:t>`s internal audit function</w:t>
      </w:r>
      <w:r w:rsidR="00E46771" w:rsidRPr="00C62310">
        <w:rPr>
          <w:rFonts w:ascii="Calibri" w:hAnsi="Calibri" w:cs="Calibri"/>
          <w:sz w:val="22"/>
          <w:szCs w:val="22"/>
        </w:rPr>
        <w:t xml:space="preserve"> is perceived as good practice</w:t>
      </w:r>
      <w:r w:rsidRPr="00C62310">
        <w:rPr>
          <w:rFonts w:ascii="Calibri" w:hAnsi="Calibri" w:cs="Calibri"/>
          <w:sz w:val="22"/>
          <w:szCs w:val="22"/>
        </w:rPr>
        <w:t xml:space="preserve"> by the RCoA</w:t>
      </w:r>
      <w:r w:rsidR="00E46771" w:rsidRPr="00C62310">
        <w:rPr>
          <w:rFonts w:ascii="Calibri" w:hAnsi="Calibri" w:cs="Calibri"/>
          <w:sz w:val="22"/>
          <w:szCs w:val="22"/>
        </w:rPr>
        <w:t xml:space="preserve"> in terms of coverage of </w:t>
      </w:r>
      <w:r w:rsidR="005C2B07" w:rsidRPr="00C62310">
        <w:rPr>
          <w:rFonts w:ascii="Calibri" w:hAnsi="Calibri" w:cs="Calibri"/>
          <w:sz w:val="22"/>
          <w:szCs w:val="22"/>
        </w:rPr>
        <w:t xml:space="preserve">different types of </w:t>
      </w:r>
      <w:r w:rsidR="00E46771" w:rsidRPr="00C62310">
        <w:rPr>
          <w:rFonts w:ascii="Calibri" w:hAnsi="Calibri" w:cs="Calibri"/>
          <w:sz w:val="22"/>
          <w:szCs w:val="22"/>
        </w:rPr>
        <w:t>activities</w:t>
      </w:r>
      <w:r w:rsidR="005C2B07" w:rsidRPr="00C62310">
        <w:rPr>
          <w:rFonts w:ascii="Calibri" w:hAnsi="Calibri" w:cs="Calibri"/>
          <w:sz w:val="22"/>
          <w:szCs w:val="22"/>
        </w:rPr>
        <w:t>. Each year the NHIH`s internal audit evaluates the activities of various central departments (such as medical services; pharmaceuticals, clawback and cost-volume contracts; control and antifraud etc) and of a representative sample of subordinated county insurance houses. ONAC is subject to MoPF`s internal audit</w:t>
      </w:r>
      <w:r w:rsidR="00D81831">
        <w:rPr>
          <w:rFonts w:ascii="Calibri" w:hAnsi="Calibri" w:cs="Calibri"/>
          <w:sz w:val="22"/>
          <w:szCs w:val="22"/>
        </w:rPr>
        <w:t xml:space="preserve"> which has adequate capacity and has included ONAC activities in its strategic multi-year work plan</w:t>
      </w:r>
      <w:r w:rsidR="00B95143" w:rsidRPr="00C62310">
        <w:rPr>
          <w:rFonts w:ascii="Calibri" w:hAnsi="Calibri" w:cs="Calibri"/>
          <w:sz w:val="22"/>
          <w:szCs w:val="22"/>
        </w:rPr>
        <w:t>.</w:t>
      </w:r>
      <w:r w:rsidR="00A5012E">
        <w:rPr>
          <w:rFonts w:ascii="Calibri" w:hAnsi="Calibri" w:cs="Calibri"/>
          <w:sz w:val="22"/>
          <w:szCs w:val="22"/>
        </w:rPr>
        <w:t xml:space="preserve"> </w:t>
      </w:r>
    </w:p>
    <w:p w14:paraId="637C4242" w14:textId="77777777" w:rsidR="00A5012E" w:rsidRDefault="00A5012E" w:rsidP="00C84231">
      <w:pPr>
        <w:pStyle w:val="PKFNormalNumbered"/>
        <w:tabs>
          <w:tab w:val="clear" w:pos="851"/>
        </w:tabs>
        <w:spacing w:after="0" w:line="240" w:lineRule="auto"/>
        <w:ind w:left="0" w:firstLine="0"/>
        <w:rPr>
          <w:rFonts w:ascii="Calibri" w:hAnsi="Calibri" w:cs="Calibri"/>
          <w:sz w:val="22"/>
          <w:szCs w:val="22"/>
        </w:rPr>
      </w:pPr>
    </w:p>
    <w:p w14:paraId="6C816CC3" w14:textId="5EAF96A3" w:rsidR="00B47266" w:rsidRPr="00C62310" w:rsidRDefault="00A5012E" w:rsidP="00C84231">
      <w:pPr>
        <w:pStyle w:val="PKFNormalNumbered"/>
        <w:tabs>
          <w:tab w:val="clear" w:pos="851"/>
        </w:tabs>
        <w:spacing w:after="0" w:line="240" w:lineRule="auto"/>
        <w:ind w:left="0" w:firstLine="0"/>
        <w:rPr>
          <w:rFonts w:ascii="Calibri" w:hAnsi="Calibri" w:cs="Calibri"/>
          <w:sz w:val="22"/>
          <w:szCs w:val="22"/>
        </w:rPr>
      </w:pPr>
      <w:r>
        <w:rPr>
          <w:rFonts w:ascii="Calibri" w:hAnsi="Calibri" w:cs="Calibri"/>
          <w:sz w:val="22"/>
          <w:szCs w:val="22"/>
        </w:rPr>
        <w:t xml:space="preserve">In light </w:t>
      </w:r>
      <w:r w:rsidR="000C5AAE">
        <w:rPr>
          <w:rFonts w:ascii="Calibri" w:hAnsi="Calibri" w:cs="Calibri"/>
          <w:sz w:val="22"/>
          <w:szCs w:val="22"/>
        </w:rPr>
        <w:t>with</w:t>
      </w:r>
      <w:r>
        <w:rPr>
          <w:rFonts w:ascii="Calibri" w:hAnsi="Calibri" w:cs="Calibri"/>
          <w:sz w:val="22"/>
          <w:szCs w:val="22"/>
        </w:rPr>
        <w:t xml:space="preserve"> the expanded scope of activities to be introduced by the Program, this assessment proposes a need to evaluate and continually monitor the technical capacity of the MoH and the NHIH to effectively oversee the continuing efficacy of internal controls and oversight over Program resources</w:t>
      </w:r>
      <w:r w:rsidR="00AB2637">
        <w:rPr>
          <w:rFonts w:ascii="Calibri" w:hAnsi="Calibri" w:cs="Calibri"/>
          <w:sz w:val="22"/>
          <w:szCs w:val="22"/>
        </w:rPr>
        <w:t xml:space="preserve">. Capacity needs will be supported by the Program and monitored </w:t>
      </w:r>
      <w:r w:rsidR="00FF34D6">
        <w:rPr>
          <w:rFonts w:ascii="Calibri" w:hAnsi="Calibri" w:cs="Calibri"/>
          <w:sz w:val="22"/>
          <w:szCs w:val="22"/>
        </w:rPr>
        <w:t>as part of the regular Bank`s implementation support and supervision</w:t>
      </w:r>
      <w:r w:rsidR="00AB2637">
        <w:rPr>
          <w:rFonts w:ascii="Calibri" w:hAnsi="Calibri" w:cs="Calibri"/>
          <w:sz w:val="22"/>
          <w:szCs w:val="22"/>
        </w:rPr>
        <w:t>.</w:t>
      </w:r>
    </w:p>
    <w:p w14:paraId="6CF4E15F" w14:textId="77777777" w:rsidR="00C26E03" w:rsidRPr="00C62310" w:rsidRDefault="00C26E03" w:rsidP="00B47266">
      <w:pPr>
        <w:pStyle w:val="PKFNormalNumbered"/>
        <w:tabs>
          <w:tab w:val="clear" w:pos="851"/>
        </w:tabs>
        <w:spacing w:after="0" w:line="240" w:lineRule="auto"/>
        <w:ind w:left="0" w:firstLine="0"/>
        <w:rPr>
          <w:rFonts w:ascii="Calibri" w:hAnsi="Calibri" w:cs="Calibri"/>
          <w:sz w:val="22"/>
          <w:szCs w:val="22"/>
        </w:rPr>
      </w:pPr>
    </w:p>
    <w:p w14:paraId="360114C5" w14:textId="77777777" w:rsidR="000B16AB" w:rsidRPr="00C62310" w:rsidRDefault="000B16AB" w:rsidP="00C62310">
      <w:pPr>
        <w:pStyle w:val="PforRStyle2"/>
        <w:ind w:left="0" w:firstLine="0"/>
        <w:rPr>
          <w:rFonts w:ascii="Calibri" w:hAnsi="Calibri" w:cs="Calibri"/>
          <w:sz w:val="22"/>
          <w:szCs w:val="22"/>
        </w:rPr>
      </w:pPr>
      <w:bookmarkStart w:id="36" w:name="_Toc12467044"/>
      <w:r w:rsidRPr="00C62310">
        <w:rPr>
          <w:rFonts w:ascii="Calibri" w:hAnsi="Calibri" w:cs="Calibri"/>
          <w:sz w:val="22"/>
          <w:szCs w:val="22"/>
        </w:rPr>
        <w:t>Program Audit</w:t>
      </w:r>
      <w:bookmarkEnd w:id="35"/>
      <w:bookmarkEnd w:id="36"/>
    </w:p>
    <w:p w14:paraId="603B1282" w14:textId="5FE4B3C2" w:rsidR="00FF34D6" w:rsidRPr="00FF34D6" w:rsidRDefault="00FF34D6" w:rsidP="00FF34D6">
      <w:pPr>
        <w:tabs>
          <w:tab w:val="left" w:pos="720"/>
        </w:tabs>
        <w:jc w:val="both"/>
        <w:rPr>
          <w:rFonts w:ascii="Calibri" w:eastAsia="Times New Roman" w:hAnsi="Calibri" w:cs="Calibri"/>
          <w:sz w:val="22"/>
          <w:lang w:val="en-GB" w:eastAsia="en-GB"/>
        </w:rPr>
      </w:pPr>
      <w:r w:rsidRPr="00FF34D6">
        <w:rPr>
          <w:rFonts w:ascii="Calibri" w:eastAsia="Times New Roman" w:hAnsi="Calibri" w:cs="Calibri"/>
          <w:b/>
          <w:sz w:val="22"/>
          <w:lang w:val="en-GB" w:eastAsia="en-GB"/>
        </w:rPr>
        <w:t>The Bank is presently engaging with the Romanian Court of Accounts (RCoA) on an institutional reform and capacity building effort, under a separately-funded initiative.</w:t>
      </w:r>
      <w:r w:rsidRPr="00FF34D6">
        <w:rPr>
          <w:rFonts w:ascii="Calibri" w:eastAsia="Times New Roman" w:hAnsi="Calibri" w:cs="Calibri"/>
          <w:sz w:val="22"/>
          <w:lang w:val="en-GB" w:eastAsia="en-GB"/>
        </w:rPr>
        <w:t xml:space="preserve"> This support is intended at strengthening the technical capacity of the Court to fully adopt a risk-based approach and methodology </w:t>
      </w:r>
      <w:r w:rsidRPr="00FF34D6">
        <w:rPr>
          <w:rFonts w:ascii="Calibri" w:eastAsia="Times New Roman" w:hAnsi="Calibri" w:cs="Calibri"/>
          <w:sz w:val="22"/>
          <w:lang w:val="en-GB" w:eastAsia="en-GB"/>
        </w:rPr>
        <w:lastRenderedPageBreak/>
        <w:t xml:space="preserve">consistent with the INTOSAI standards and practices. It is intended that as that capacity is attained, the Court will be engaged to audit the Program financial statements. In the interim, this assessment proposes engaging a private sector firm under terms of reference acceptable to the Bank. Audited program financial statements will be required to be submitted to the Bank within 12 months following the end of the financial year. </w:t>
      </w:r>
    </w:p>
    <w:p w14:paraId="5541F2D8" w14:textId="77777777" w:rsidR="00FF34D6" w:rsidRPr="00FF34D6" w:rsidRDefault="00FF34D6" w:rsidP="00FF34D6">
      <w:pPr>
        <w:tabs>
          <w:tab w:val="left" w:pos="720"/>
        </w:tabs>
        <w:jc w:val="both"/>
        <w:rPr>
          <w:rFonts w:ascii="Calibri" w:eastAsia="Times New Roman" w:hAnsi="Calibri" w:cs="Calibri"/>
          <w:sz w:val="22"/>
          <w:lang w:val="en-GB" w:eastAsia="en-GB"/>
        </w:rPr>
      </w:pPr>
    </w:p>
    <w:p w14:paraId="5E0E3EB4" w14:textId="24767D54" w:rsidR="00FF34D6" w:rsidRPr="00FF34D6" w:rsidRDefault="00FF34D6" w:rsidP="00FF34D6">
      <w:pPr>
        <w:tabs>
          <w:tab w:val="left" w:pos="720"/>
        </w:tabs>
        <w:jc w:val="both"/>
        <w:rPr>
          <w:rFonts w:ascii="Calibri" w:eastAsia="Times New Roman" w:hAnsi="Calibri" w:cs="Calibri"/>
          <w:sz w:val="22"/>
          <w:lang w:val="en-GB" w:eastAsia="en-GB"/>
        </w:rPr>
      </w:pPr>
      <w:r w:rsidRPr="00FF34D6">
        <w:rPr>
          <w:rFonts w:ascii="Calibri" w:eastAsia="Times New Roman" w:hAnsi="Calibri" w:cs="Calibri"/>
          <w:b/>
          <w:sz w:val="22"/>
          <w:lang w:val="en-GB" w:eastAsia="en-GB"/>
        </w:rPr>
        <w:t xml:space="preserve">RCoA has audited timely and satisfactorily the public entities involved in the </w:t>
      </w:r>
      <w:r w:rsidRPr="00FF34D6">
        <w:rPr>
          <w:rFonts w:ascii="Calibri" w:eastAsia="Times New Roman" w:hAnsi="Calibri" w:cs="Calibri"/>
          <w:b/>
          <w:sz w:val="22"/>
          <w:lang w:val="en-GB" w:eastAsia="en-GB"/>
        </w:rPr>
        <w:t>P</w:t>
      </w:r>
      <w:r w:rsidRPr="00FF34D6">
        <w:rPr>
          <w:rFonts w:ascii="Calibri" w:eastAsia="Times New Roman" w:hAnsi="Calibri" w:cs="Calibri"/>
          <w:b/>
          <w:sz w:val="22"/>
          <w:lang w:val="en-GB" w:eastAsia="en-GB"/>
        </w:rPr>
        <w:t xml:space="preserve">rogram, </w:t>
      </w:r>
      <w:proofErr w:type="gramStart"/>
      <w:r w:rsidRPr="00FF34D6">
        <w:rPr>
          <w:rFonts w:ascii="Calibri" w:eastAsia="Times New Roman" w:hAnsi="Calibri" w:cs="Calibri"/>
          <w:b/>
          <w:sz w:val="22"/>
          <w:lang w:val="en-GB" w:eastAsia="en-GB"/>
        </w:rPr>
        <w:t>with the exception of</w:t>
      </w:r>
      <w:proofErr w:type="gramEnd"/>
      <w:r w:rsidRPr="00FF34D6">
        <w:rPr>
          <w:rFonts w:ascii="Calibri" w:eastAsia="Times New Roman" w:hAnsi="Calibri" w:cs="Calibri"/>
          <w:b/>
          <w:sz w:val="22"/>
          <w:lang w:val="en-GB" w:eastAsia="en-GB"/>
        </w:rPr>
        <w:t xml:space="preserve"> the recently-created ONAC</w:t>
      </w:r>
      <w:r w:rsidRPr="00FF34D6">
        <w:rPr>
          <w:rFonts w:ascii="Calibri" w:eastAsia="Times New Roman" w:hAnsi="Calibri" w:cs="Calibri"/>
          <w:sz w:val="22"/>
          <w:lang w:val="en-GB" w:eastAsia="en-GB"/>
        </w:rPr>
        <w:t xml:space="preserve">.  It has also conducted several performance audits in the health sector (such as on various national health programs). It has issued a qualified-except for opinion, with an emphasis of matter paragraph on the 2017 financial statements of both MoH and NHIH. In the case of MoH, the audit revealed issues such as double-accounted expenses, medical equipment purchased but put in operation after payment, inaccurate consumption of vaccines, etc. The audit of the NHIH noted irregularities pertaining to the reimbursement of medicines and health services under the contracts concluded between the country insurance houses and providers, and partial implementation of the internal control managerial standards. </w:t>
      </w:r>
    </w:p>
    <w:p w14:paraId="26C228CC" w14:textId="2D0A35F6" w:rsidR="00951121" w:rsidRPr="00C62310" w:rsidRDefault="00951121" w:rsidP="000B16AB">
      <w:pPr>
        <w:pStyle w:val="ListParagraph"/>
        <w:spacing w:after="0" w:line="240" w:lineRule="auto"/>
        <w:ind w:left="0"/>
        <w:jc w:val="both"/>
        <w:rPr>
          <w:rFonts w:ascii="Calibri" w:hAnsi="Calibri" w:cs="Calibri"/>
        </w:rPr>
        <w:sectPr w:rsidR="00951121" w:rsidRPr="00C62310" w:rsidSect="001B40E9">
          <w:headerReference w:type="even" r:id="rId22"/>
          <w:headerReference w:type="default" r:id="rId23"/>
          <w:footerReference w:type="default" r:id="rId24"/>
          <w:headerReference w:type="first" r:id="rId25"/>
          <w:pgSz w:w="12240" w:h="15840"/>
          <w:pgMar w:top="1440" w:right="1440" w:bottom="1440" w:left="1350" w:header="720" w:footer="720" w:gutter="0"/>
          <w:cols w:space="720"/>
          <w:docGrid w:linePitch="360"/>
        </w:sectPr>
      </w:pPr>
    </w:p>
    <w:p w14:paraId="15553668" w14:textId="6B207CB4" w:rsidR="00016564" w:rsidRPr="00C62310" w:rsidRDefault="000B16AB" w:rsidP="00016564">
      <w:pPr>
        <w:pStyle w:val="PforRStyle2"/>
        <w:rPr>
          <w:rFonts w:ascii="Calibri" w:hAnsi="Calibri" w:cs="Calibri"/>
          <w:sz w:val="22"/>
          <w:szCs w:val="22"/>
        </w:rPr>
      </w:pPr>
      <w:bookmarkStart w:id="37" w:name="_Toc4090020"/>
      <w:bookmarkStart w:id="38" w:name="_Toc4090021"/>
      <w:bookmarkStart w:id="39" w:name="_Toc374627545"/>
      <w:bookmarkStart w:id="40" w:name="_Hlk4093522"/>
      <w:bookmarkStart w:id="41" w:name="_Toc12467045"/>
      <w:bookmarkEnd w:id="37"/>
      <w:bookmarkEnd w:id="38"/>
      <w:r w:rsidRPr="00C62310">
        <w:rPr>
          <w:rFonts w:ascii="Calibri" w:hAnsi="Calibri" w:cs="Calibri"/>
          <w:sz w:val="22"/>
          <w:szCs w:val="22"/>
        </w:rPr>
        <w:lastRenderedPageBreak/>
        <w:t>Key F</w:t>
      </w:r>
      <w:bookmarkEnd w:id="39"/>
      <w:r w:rsidR="00016564" w:rsidRPr="00C62310">
        <w:rPr>
          <w:rFonts w:ascii="Calibri" w:hAnsi="Calibri" w:cs="Calibri"/>
          <w:sz w:val="22"/>
          <w:szCs w:val="22"/>
        </w:rPr>
        <w:t>iduciary Risks and Mitigating Measures</w:t>
      </w:r>
      <w:bookmarkEnd w:id="41"/>
    </w:p>
    <w:tbl>
      <w:tblPr>
        <w:tblW w:w="13860" w:type="dxa"/>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00"/>
        <w:gridCol w:w="4230"/>
        <w:gridCol w:w="2160"/>
        <w:gridCol w:w="1260"/>
        <w:gridCol w:w="1440"/>
        <w:gridCol w:w="1170"/>
      </w:tblGrid>
      <w:tr w:rsidR="00016564" w:rsidRPr="00C62310" w14:paraId="5C5CA2FF" w14:textId="77777777" w:rsidTr="002C546D">
        <w:trPr>
          <w:trHeight w:val="711"/>
        </w:trPr>
        <w:tc>
          <w:tcPr>
            <w:tcW w:w="3600" w:type="dxa"/>
            <w:tcBorders>
              <w:top w:val="single" w:sz="4" w:space="0" w:color="000000"/>
              <w:left w:val="single" w:sz="4" w:space="0" w:color="000000"/>
              <w:bottom w:val="single" w:sz="4" w:space="0" w:color="000000"/>
              <w:right w:val="single" w:sz="4" w:space="0" w:color="000000"/>
            </w:tcBorders>
            <w:vAlign w:val="center"/>
          </w:tcPr>
          <w:bookmarkEnd w:id="40"/>
          <w:p w14:paraId="08C09C0F" w14:textId="77777777" w:rsidR="00016564" w:rsidRPr="00C62310" w:rsidRDefault="00016564" w:rsidP="004247CA">
            <w:pPr>
              <w:pStyle w:val="ListParagraph"/>
              <w:spacing w:after="0" w:line="240" w:lineRule="auto"/>
              <w:ind w:left="0"/>
              <w:rPr>
                <w:rFonts w:ascii="Calibri" w:hAnsi="Calibri" w:cs="Calibri"/>
                <w:b/>
              </w:rPr>
            </w:pPr>
            <w:r w:rsidRPr="00C62310">
              <w:rPr>
                <w:rFonts w:ascii="Calibri" w:hAnsi="Calibri" w:cs="Calibri"/>
                <w:b/>
              </w:rPr>
              <w:t xml:space="preserve">Risk sources </w:t>
            </w:r>
          </w:p>
        </w:tc>
        <w:tc>
          <w:tcPr>
            <w:tcW w:w="4230" w:type="dxa"/>
            <w:tcBorders>
              <w:top w:val="single" w:sz="4" w:space="0" w:color="000000"/>
              <w:left w:val="single" w:sz="4" w:space="0" w:color="000000"/>
              <w:bottom w:val="single" w:sz="4" w:space="0" w:color="000000"/>
              <w:right w:val="single" w:sz="4" w:space="0" w:color="000000"/>
            </w:tcBorders>
            <w:vAlign w:val="center"/>
            <w:hideMark/>
          </w:tcPr>
          <w:p w14:paraId="602F8E70" w14:textId="77777777" w:rsidR="00016564" w:rsidRPr="00C62310" w:rsidRDefault="00016564" w:rsidP="004247CA">
            <w:pPr>
              <w:pStyle w:val="ListParagraph"/>
              <w:spacing w:after="0" w:line="240" w:lineRule="auto"/>
              <w:ind w:left="0"/>
              <w:rPr>
                <w:rFonts w:ascii="Calibri" w:hAnsi="Calibri" w:cs="Calibri"/>
                <w:b/>
              </w:rPr>
            </w:pPr>
            <w:r w:rsidRPr="00C62310">
              <w:rPr>
                <w:rFonts w:ascii="Calibri" w:hAnsi="Calibri" w:cs="Calibri"/>
                <w:b/>
              </w:rPr>
              <w:t>Actions to address weaknesses that will support attainment of Program objectives</w:t>
            </w:r>
          </w:p>
        </w:tc>
        <w:tc>
          <w:tcPr>
            <w:tcW w:w="2160" w:type="dxa"/>
            <w:tcBorders>
              <w:top w:val="single" w:sz="4" w:space="0" w:color="000000"/>
              <w:left w:val="single" w:sz="4" w:space="0" w:color="000000"/>
              <w:bottom w:val="single" w:sz="4" w:space="0" w:color="000000"/>
              <w:right w:val="single" w:sz="4" w:space="0" w:color="000000"/>
            </w:tcBorders>
            <w:vAlign w:val="center"/>
          </w:tcPr>
          <w:p w14:paraId="1B785839" w14:textId="77777777" w:rsidR="00016564" w:rsidRPr="00C62310" w:rsidRDefault="00016564" w:rsidP="004247CA">
            <w:pPr>
              <w:pStyle w:val="ListParagraph"/>
              <w:spacing w:after="0" w:line="240" w:lineRule="auto"/>
              <w:ind w:left="0"/>
              <w:rPr>
                <w:rFonts w:ascii="Calibri" w:hAnsi="Calibri" w:cs="Calibri"/>
                <w:b/>
              </w:rPr>
            </w:pPr>
            <w:r w:rsidRPr="00C62310">
              <w:rPr>
                <w:rFonts w:ascii="Calibri" w:hAnsi="Calibri" w:cs="Calibri"/>
                <w:b/>
              </w:rPr>
              <w:t>PAP, DLIs, mitigating measures</w:t>
            </w:r>
          </w:p>
        </w:tc>
        <w:tc>
          <w:tcPr>
            <w:tcW w:w="1260" w:type="dxa"/>
            <w:tcBorders>
              <w:top w:val="single" w:sz="4" w:space="0" w:color="000000"/>
              <w:left w:val="single" w:sz="4" w:space="0" w:color="000000"/>
              <w:bottom w:val="single" w:sz="4" w:space="0" w:color="000000"/>
              <w:right w:val="single" w:sz="4" w:space="0" w:color="000000"/>
            </w:tcBorders>
            <w:vAlign w:val="center"/>
          </w:tcPr>
          <w:p w14:paraId="72DD4E02" w14:textId="77777777" w:rsidR="00016564" w:rsidRPr="00C62310" w:rsidRDefault="00016564" w:rsidP="004247CA">
            <w:pPr>
              <w:pStyle w:val="ListParagraph"/>
              <w:spacing w:after="0" w:line="240" w:lineRule="auto"/>
              <w:ind w:left="0"/>
              <w:rPr>
                <w:rFonts w:ascii="Calibri" w:hAnsi="Calibri" w:cs="Calibri"/>
                <w:b/>
              </w:rPr>
            </w:pPr>
            <w:r w:rsidRPr="00C62310">
              <w:rPr>
                <w:rFonts w:ascii="Calibri" w:hAnsi="Calibri" w:cs="Calibri"/>
                <w:b/>
              </w:rPr>
              <w:t>Risk level</w:t>
            </w:r>
          </w:p>
        </w:tc>
        <w:tc>
          <w:tcPr>
            <w:tcW w:w="1440" w:type="dxa"/>
            <w:tcBorders>
              <w:top w:val="single" w:sz="4" w:space="0" w:color="000000"/>
              <w:left w:val="single" w:sz="4" w:space="0" w:color="000000"/>
              <w:bottom w:val="single" w:sz="4" w:space="0" w:color="000000"/>
              <w:right w:val="single" w:sz="4" w:space="0" w:color="000000"/>
            </w:tcBorders>
            <w:vAlign w:val="center"/>
          </w:tcPr>
          <w:p w14:paraId="2F06919F" w14:textId="77777777" w:rsidR="00016564" w:rsidRPr="00C62310" w:rsidRDefault="00016564" w:rsidP="004247CA">
            <w:pPr>
              <w:pStyle w:val="ListParagraph"/>
              <w:spacing w:after="0" w:line="240" w:lineRule="auto"/>
              <w:ind w:left="0"/>
              <w:rPr>
                <w:rFonts w:ascii="Calibri" w:hAnsi="Calibri" w:cs="Calibri"/>
                <w:b/>
              </w:rPr>
            </w:pPr>
            <w:r w:rsidRPr="00C62310">
              <w:rPr>
                <w:rFonts w:ascii="Calibri" w:hAnsi="Calibri" w:cs="Calibri"/>
                <w:b/>
              </w:rPr>
              <w:t xml:space="preserve">Responsible </w:t>
            </w:r>
          </w:p>
        </w:tc>
        <w:tc>
          <w:tcPr>
            <w:tcW w:w="1170" w:type="dxa"/>
            <w:tcBorders>
              <w:top w:val="single" w:sz="4" w:space="0" w:color="000000"/>
              <w:left w:val="single" w:sz="4" w:space="0" w:color="000000"/>
              <w:bottom w:val="single" w:sz="4" w:space="0" w:color="000000"/>
              <w:right w:val="single" w:sz="4" w:space="0" w:color="000000"/>
            </w:tcBorders>
            <w:vAlign w:val="center"/>
          </w:tcPr>
          <w:p w14:paraId="2A0D5402" w14:textId="77777777" w:rsidR="00016564" w:rsidRPr="00C62310" w:rsidRDefault="00016564" w:rsidP="004247CA">
            <w:pPr>
              <w:pStyle w:val="ListParagraph"/>
              <w:spacing w:after="0" w:line="240" w:lineRule="auto"/>
              <w:ind w:left="0"/>
              <w:rPr>
                <w:rFonts w:ascii="Calibri" w:hAnsi="Calibri" w:cs="Calibri"/>
                <w:b/>
              </w:rPr>
            </w:pPr>
            <w:r w:rsidRPr="00C62310">
              <w:rPr>
                <w:rFonts w:ascii="Calibri" w:hAnsi="Calibri" w:cs="Calibri"/>
                <w:b/>
              </w:rPr>
              <w:t>Deadline</w:t>
            </w:r>
          </w:p>
        </w:tc>
      </w:tr>
      <w:tr w:rsidR="00857975" w:rsidRPr="004247CA" w14:paraId="39B8B274" w14:textId="77777777" w:rsidTr="002C546D">
        <w:trPr>
          <w:trHeight w:val="711"/>
        </w:trPr>
        <w:tc>
          <w:tcPr>
            <w:tcW w:w="13860" w:type="dxa"/>
            <w:gridSpan w:val="6"/>
            <w:tcBorders>
              <w:top w:val="single" w:sz="4" w:space="0" w:color="000000"/>
              <w:left w:val="single" w:sz="4" w:space="0" w:color="000000"/>
              <w:bottom w:val="single" w:sz="4" w:space="0" w:color="000000"/>
              <w:right w:val="single" w:sz="4" w:space="0" w:color="000000"/>
            </w:tcBorders>
          </w:tcPr>
          <w:p w14:paraId="6B47BA08" w14:textId="5AC9A80A" w:rsidR="00857975" w:rsidRPr="004247CA" w:rsidRDefault="00857975" w:rsidP="004247CA">
            <w:pPr>
              <w:pStyle w:val="ListParagraph"/>
              <w:spacing w:line="240" w:lineRule="auto"/>
              <w:ind w:left="0"/>
              <w:jc w:val="both"/>
              <w:rPr>
                <w:rFonts w:ascii="Calibri" w:hAnsi="Calibri" w:cs="Calibri"/>
                <w:sz w:val="20"/>
                <w:szCs w:val="20"/>
              </w:rPr>
            </w:pPr>
            <w:r w:rsidRPr="004247CA">
              <w:rPr>
                <w:rFonts w:ascii="Calibri" w:hAnsi="Calibri" w:cs="Calibri"/>
                <w:b/>
                <w:sz w:val="20"/>
                <w:szCs w:val="20"/>
              </w:rPr>
              <w:t>Planning and budgeting</w:t>
            </w:r>
            <w:r w:rsidR="00ED0C42">
              <w:rPr>
                <w:rFonts w:ascii="Calibri" w:hAnsi="Calibri" w:cs="Calibri"/>
                <w:b/>
                <w:sz w:val="20"/>
                <w:szCs w:val="20"/>
              </w:rPr>
              <w:t xml:space="preserve">. </w:t>
            </w:r>
            <w:r w:rsidRPr="004247CA">
              <w:rPr>
                <w:rFonts w:ascii="Calibri" w:hAnsi="Calibri" w:cs="Calibri"/>
                <w:sz w:val="20"/>
                <w:szCs w:val="20"/>
              </w:rPr>
              <w:t>Risk of insufficient</w:t>
            </w:r>
            <w:r w:rsidR="00E22B24">
              <w:rPr>
                <w:rFonts w:ascii="Calibri" w:hAnsi="Calibri" w:cs="Calibri"/>
                <w:sz w:val="20"/>
                <w:szCs w:val="20"/>
              </w:rPr>
              <w:t xml:space="preserve"> and/</w:t>
            </w:r>
            <w:proofErr w:type="spellStart"/>
            <w:r w:rsidR="00E22B24">
              <w:rPr>
                <w:rFonts w:ascii="Calibri" w:hAnsi="Calibri" w:cs="Calibri"/>
                <w:sz w:val="20"/>
                <w:szCs w:val="20"/>
              </w:rPr>
              <w:t>or</w:t>
            </w:r>
            <w:r w:rsidRPr="004247CA">
              <w:rPr>
                <w:rFonts w:ascii="Calibri" w:hAnsi="Calibri" w:cs="Calibri"/>
                <w:sz w:val="20"/>
                <w:szCs w:val="20"/>
              </w:rPr>
              <w:t>delayed</w:t>
            </w:r>
            <w:proofErr w:type="spellEnd"/>
            <w:r w:rsidRPr="004247CA">
              <w:rPr>
                <w:rFonts w:ascii="Calibri" w:hAnsi="Calibri" w:cs="Calibri"/>
                <w:sz w:val="20"/>
                <w:szCs w:val="20"/>
              </w:rPr>
              <w:t xml:space="preserve"> financing of Program activities by the MoPF (considering the increased envelope needed for certain results areas and the systemic budgetary constraints)</w:t>
            </w:r>
          </w:p>
        </w:tc>
      </w:tr>
      <w:tr w:rsidR="00ED0C42" w:rsidRPr="004247CA" w14:paraId="25B40255" w14:textId="77777777" w:rsidTr="002C546D">
        <w:trPr>
          <w:trHeight w:val="711"/>
        </w:trPr>
        <w:tc>
          <w:tcPr>
            <w:tcW w:w="3600" w:type="dxa"/>
            <w:tcBorders>
              <w:top w:val="single" w:sz="4" w:space="0" w:color="000000"/>
              <w:left w:val="single" w:sz="4" w:space="0" w:color="000000"/>
              <w:bottom w:val="single" w:sz="4" w:space="0" w:color="000000"/>
              <w:right w:val="single" w:sz="4" w:space="0" w:color="000000"/>
            </w:tcBorders>
            <w:vAlign w:val="center"/>
          </w:tcPr>
          <w:p w14:paraId="1E32D75E" w14:textId="53755F36" w:rsidR="00ED0C42" w:rsidRPr="004247CA" w:rsidRDefault="00ED0C42" w:rsidP="00767A4F">
            <w:pPr>
              <w:pStyle w:val="ListParagraph"/>
              <w:spacing w:line="240" w:lineRule="auto"/>
              <w:ind w:left="0"/>
              <w:jc w:val="both"/>
              <w:rPr>
                <w:rFonts w:ascii="Calibri" w:hAnsi="Calibri" w:cs="Calibri"/>
                <w:sz w:val="20"/>
                <w:szCs w:val="20"/>
              </w:rPr>
            </w:pPr>
            <w:r w:rsidRPr="00ED0C42">
              <w:rPr>
                <w:rFonts w:ascii="Calibri" w:hAnsi="Calibri" w:cs="Calibri"/>
                <w:sz w:val="20"/>
                <w:szCs w:val="20"/>
              </w:rPr>
              <w:t xml:space="preserve">Linkage between the Government strategic priorities, Medium-Term Expenditure Framework (MTEF) and Budget allocations for the program exists but there are deviations between the MTEF, financing requests and approved </w:t>
            </w:r>
            <w:r w:rsidRPr="00873249">
              <w:rPr>
                <w:rFonts w:ascii="Calibri" w:hAnsi="Calibri" w:cs="Calibri"/>
                <w:sz w:val="20"/>
                <w:szCs w:val="20"/>
              </w:rPr>
              <w:t>budgets, and timeliness of the budgetary allocations</w:t>
            </w:r>
          </w:p>
        </w:tc>
        <w:tc>
          <w:tcPr>
            <w:tcW w:w="4230" w:type="dxa"/>
            <w:tcBorders>
              <w:top w:val="single" w:sz="4" w:space="0" w:color="000000"/>
              <w:left w:val="single" w:sz="4" w:space="0" w:color="000000"/>
              <w:bottom w:val="single" w:sz="4" w:space="0" w:color="000000"/>
              <w:right w:val="single" w:sz="4" w:space="0" w:color="000000"/>
            </w:tcBorders>
            <w:vAlign w:val="center"/>
          </w:tcPr>
          <w:p w14:paraId="1F7CF616" w14:textId="13388180" w:rsidR="00ED0C42" w:rsidRPr="004247CA" w:rsidRDefault="001844D3" w:rsidP="004247CA">
            <w:pPr>
              <w:pStyle w:val="ListParagraph"/>
              <w:spacing w:line="240" w:lineRule="auto"/>
              <w:ind w:left="0"/>
              <w:rPr>
                <w:rFonts w:ascii="Calibri" w:hAnsi="Calibri" w:cs="Calibri"/>
                <w:sz w:val="20"/>
                <w:szCs w:val="20"/>
              </w:rPr>
            </w:pPr>
            <w:proofErr w:type="gramStart"/>
            <w:r w:rsidRPr="00767A4F">
              <w:rPr>
                <w:rFonts w:ascii="Calibri" w:hAnsi="Calibri" w:cs="Calibri"/>
                <w:sz w:val="20"/>
                <w:szCs w:val="20"/>
              </w:rPr>
              <w:t>Sufficient</w:t>
            </w:r>
            <w:proofErr w:type="gramEnd"/>
            <w:r w:rsidRPr="00767A4F">
              <w:rPr>
                <w:rFonts w:ascii="Calibri" w:hAnsi="Calibri" w:cs="Calibri"/>
                <w:sz w:val="20"/>
                <w:szCs w:val="20"/>
              </w:rPr>
              <w:t xml:space="preserve"> allocation of Program funding in the budget and timely remittance of financing to implementing entities</w:t>
            </w:r>
            <w:r w:rsidRPr="00ED0C42" w:rsidDel="001844D3">
              <w:rPr>
                <w:rFonts w:ascii="Calibri" w:hAnsi="Calibri" w:cs="Calibri"/>
                <w:sz w:val="20"/>
                <w:szCs w:val="20"/>
              </w:rPr>
              <w:t xml:space="preserve"> </w:t>
            </w:r>
          </w:p>
        </w:tc>
        <w:tc>
          <w:tcPr>
            <w:tcW w:w="2160" w:type="dxa"/>
            <w:tcBorders>
              <w:top w:val="single" w:sz="4" w:space="0" w:color="000000"/>
              <w:left w:val="single" w:sz="4" w:space="0" w:color="000000"/>
              <w:bottom w:val="single" w:sz="4" w:space="0" w:color="000000"/>
              <w:right w:val="single" w:sz="4" w:space="0" w:color="000000"/>
            </w:tcBorders>
            <w:vAlign w:val="center"/>
          </w:tcPr>
          <w:p w14:paraId="20E83BFA" w14:textId="77777777" w:rsidR="00ED0C42" w:rsidRDefault="00ED0C42" w:rsidP="004247CA">
            <w:pPr>
              <w:pStyle w:val="ListParagraph"/>
              <w:spacing w:line="240" w:lineRule="auto"/>
              <w:ind w:left="0"/>
              <w:rPr>
                <w:rFonts w:ascii="Calibri" w:hAnsi="Calibri" w:cs="Calibri"/>
                <w:sz w:val="20"/>
                <w:szCs w:val="20"/>
              </w:rPr>
            </w:pPr>
            <w:r w:rsidRPr="004247CA">
              <w:rPr>
                <w:rFonts w:ascii="Calibri" w:hAnsi="Calibri" w:cs="Calibri"/>
                <w:sz w:val="20"/>
                <w:szCs w:val="20"/>
              </w:rPr>
              <w:t>PAP</w:t>
            </w:r>
          </w:p>
          <w:p w14:paraId="17F961AB" w14:textId="215CC837" w:rsidR="001844D3" w:rsidRPr="004247CA" w:rsidRDefault="001844D3" w:rsidP="00767A4F">
            <w:pPr>
              <w:pStyle w:val="ListParagraph"/>
              <w:spacing w:line="240" w:lineRule="auto"/>
              <w:ind w:left="0"/>
              <w:jc w:val="both"/>
              <w:rPr>
                <w:rFonts w:ascii="Calibri" w:hAnsi="Calibri" w:cs="Calibri"/>
                <w:sz w:val="20"/>
                <w:szCs w:val="20"/>
              </w:rPr>
            </w:pPr>
            <w:r>
              <w:rPr>
                <w:rFonts w:ascii="Calibri" w:hAnsi="Calibri" w:cs="Calibri"/>
                <w:sz w:val="20"/>
                <w:szCs w:val="20"/>
              </w:rPr>
              <w:t>DLI 1 and 3</w:t>
            </w:r>
          </w:p>
        </w:tc>
        <w:tc>
          <w:tcPr>
            <w:tcW w:w="1260" w:type="dxa"/>
            <w:tcBorders>
              <w:top w:val="single" w:sz="4" w:space="0" w:color="000000"/>
              <w:left w:val="single" w:sz="4" w:space="0" w:color="000000"/>
              <w:bottom w:val="single" w:sz="4" w:space="0" w:color="000000"/>
              <w:right w:val="single" w:sz="4" w:space="0" w:color="000000"/>
            </w:tcBorders>
            <w:vAlign w:val="center"/>
          </w:tcPr>
          <w:p w14:paraId="55248F06" w14:textId="1F418A76" w:rsidR="00ED0C42" w:rsidRPr="004247CA" w:rsidRDefault="00ED0C42" w:rsidP="004247CA">
            <w:pPr>
              <w:pStyle w:val="ListParagraph"/>
              <w:spacing w:line="240" w:lineRule="auto"/>
              <w:ind w:left="0"/>
              <w:rPr>
                <w:rFonts w:ascii="Calibri" w:hAnsi="Calibri" w:cs="Calibri"/>
                <w:sz w:val="20"/>
                <w:szCs w:val="20"/>
              </w:rPr>
            </w:pPr>
            <w:r w:rsidRPr="00ED0C42">
              <w:rPr>
                <w:rFonts w:ascii="Calibri" w:hAnsi="Calibri" w:cs="Calibri"/>
                <w:sz w:val="20"/>
                <w:szCs w:val="20"/>
              </w:rPr>
              <w:t>Substantial</w:t>
            </w:r>
          </w:p>
        </w:tc>
        <w:tc>
          <w:tcPr>
            <w:tcW w:w="1440" w:type="dxa"/>
            <w:tcBorders>
              <w:top w:val="single" w:sz="4" w:space="0" w:color="000000"/>
              <w:left w:val="single" w:sz="4" w:space="0" w:color="000000"/>
              <w:bottom w:val="single" w:sz="4" w:space="0" w:color="000000"/>
              <w:right w:val="single" w:sz="4" w:space="0" w:color="000000"/>
            </w:tcBorders>
            <w:vAlign w:val="center"/>
          </w:tcPr>
          <w:p w14:paraId="4FC5A367" w14:textId="77777777" w:rsidR="00ED0C42" w:rsidRDefault="00ED0C42" w:rsidP="004247CA">
            <w:pPr>
              <w:pStyle w:val="ListParagraph"/>
              <w:spacing w:line="240" w:lineRule="auto"/>
              <w:ind w:left="0"/>
              <w:rPr>
                <w:rFonts w:ascii="Calibri" w:hAnsi="Calibri" w:cs="Calibri"/>
                <w:sz w:val="20"/>
                <w:szCs w:val="20"/>
              </w:rPr>
            </w:pPr>
            <w:r w:rsidRPr="00ED0C42">
              <w:rPr>
                <w:rFonts w:ascii="Calibri" w:hAnsi="Calibri" w:cs="Calibri"/>
                <w:sz w:val="20"/>
                <w:szCs w:val="20"/>
              </w:rPr>
              <w:t>MoH/NHIH/</w:t>
            </w:r>
          </w:p>
          <w:p w14:paraId="736B8503" w14:textId="79BC819F" w:rsidR="00ED0C42" w:rsidRPr="00ED0C42" w:rsidRDefault="00ED0C42" w:rsidP="004247CA">
            <w:pPr>
              <w:pStyle w:val="ListParagraph"/>
              <w:spacing w:line="240" w:lineRule="auto"/>
              <w:ind w:left="0"/>
              <w:rPr>
                <w:rFonts w:ascii="Calibri" w:hAnsi="Calibri" w:cs="Calibri"/>
                <w:sz w:val="20"/>
                <w:szCs w:val="20"/>
              </w:rPr>
            </w:pPr>
            <w:r w:rsidRPr="00ED0C42">
              <w:rPr>
                <w:rFonts w:ascii="Calibri" w:hAnsi="Calibri" w:cs="Calibri"/>
                <w:sz w:val="20"/>
                <w:szCs w:val="20"/>
              </w:rPr>
              <w:t>MoPF/ONAC</w:t>
            </w:r>
          </w:p>
          <w:p w14:paraId="768FB1F7" w14:textId="77777777" w:rsidR="00ED0C42" w:rsidRPr="004247CA" w:rsidRDefault="00ED0C42" w:rsidP="004247CA">
            <w:pPr>
              <w:pStyle w:val="ListParagraph"/>
              <w:spacing w:line="240" w:lineRule="auto"/>
              <w:ind w:left="0"/>
              <w:rPr>
                <w:rFonts w:ascii="Calibri" w:hAnsi="Calibri" w:cs="Calibri"/>
                <w:sz w:val="20"/>
                <w:szCs w:val="20"/>
              </w:rPr>
            </w:pPr>
          </w:p>
        </w:tc>
        <w:tc>
          <w:tcPr>
            <w:tcW w:w="1170" w:type="dxa"/>
            <w:tcBorders>
              <w:top w:val="single" w:sz="4" w:space="0" w:color="000000"/>
              <w:left w:val="single" w:sz="4" w:space="0" w:color="000000"/>
              <w:bottom w:val="single" w:sz="4" w:space="0" w:color="000000"/>
              <w:right w:val="single" w:sz="4" w:space="0" w:color="000000"/>
            </w:tcBorders>
            <w:vAlign w:val="center"/>
          </w:tcPr>
          <w:p w14:paraId="01AB5A4E" w14:textId="43FB5AD6" w:rsidR="00ED0C42" w:rsidRPr="004247CA" w:rsidRDefault="00ED0C42" w:rsidP="004247CA">
            <w:pPr>
              <w:pStyle w:val="ListParagraph"/>
              <w:spacing w:line="240" w:lineRule="auto"/>
              <w:ind w:left="0"/>
              <w:rPr>
                <w:rFonts w:ascii="Calibri" w:hAnsi="Calibri" w:cs="Calibri"/>
                <w:sz w:val="20"/>
                <w:szCs w:val="20"/>
              </w:rPr>
            </w:pPr>
            <w:r w:rsidRPr="00ED0C42">
              <w:rPr>
                <w:rFonts w:ascii="Calibri" w:hAnsi="Calibri" w:cs="Calibri"/>
                <w:sz w:val="20"/>
                <w:szCs w:val="20"/>
              </w:rPr>
              <w:t>2020-2023</w:t>
            </w:r>
          </w:p>
        </w:tc>
      </w:tr>
      <w:tr w:rsidR="00873249" w:rsidRPr="004247CA" w14:paraId="623C105A" w14:textId="77777777" w:rsidTr="002C546D">
        <w:trPr>
          <w:trHeight w:val="269"/>
        </w:trPr>
        <w:tc>
          <w:tcPr>
            <w:tcW w:w="13860" w:type="dxa"/>
            <w:gridSpan w:val="6"/>
            <w:tcBorders>
              <w:top w:val="single" w:sz="4" w:space="0" w:color="000000"/>
              <w:left w:val="single" w:sz="4" w:space="0" w:color="000000"/>
              <w:bottom w:val="single" w:sz="4" w:space="0" w:color="000000"/>
              <w:right w:val="single" w:sz="4" w:space="0" w:color="000000"/>
            </w:tcBorders>
          </w:tcPr>
          <w:p w14:paraId="644911C8" w14:textId="6AC39354" w:rsidR="00873249" w:rsidRPr="00ED0C42" w:rsidRDefault="00873249" w:rsidP="00873249">
            <w:pPr>
              <w:pStyle w:val="ListParagraph"/>
              <w:spacing w:after="0" w:line="240" w:lineRule="auto"/>
              <w:ind w:left="0"/>
              <w:rPr>
                <w:rFonts w:ascii="Calibri" w:hAnsi="Calibri" w:cs="Calibri"/>
                <w:sz w:val="20"/>
                <w:szCs w:val="20"/>
              </w:rPr>
            </w:pPr>
            <w:r w:rsidRPr="004247CA">
              <w:rPr>
                <w:rFonts w:ascii="Calibri" w:hAnsi="Calibri" w:cs="Calibri"/>
                <w:b/>
                <w:sz w:val="20"/>
                <w:szCs w:val="20"/>
              </w:rPr>
              <w:t>Procurement capacity</w:t>
            </w:r>
            <w:r>
              <w:rPr>
                <w:rFonts w:ascii="Calibri" w:hAnsi="Calibri" w:cs="Calibri"/>
                <w:sz w:val="20"/>
                <w:szCs w:val="20"/>
              </w:rPr>
              <w:t xml:space="preserve">. </w:t>
            </w:r>
          </w:p>
        </w:tc>
      </w:tr>
      <w:tr w:rsidR="00873249" w:rsidRPr="004247CA" w14:paraId="1C36F462" w14:textId="77777777" w:rsidTr="002C546D">
        <w:trPr>
          <w:trHeight w:val="711"/>
        </w:trPr>
        <w:tc>
          <w:tcPr>
            <w:tcW w:w="3600" w:type="dxa"/>
            <w:tcBorders>
              <w:top w:val="single" w:sz="4" w:space="0" w:color="000000"/>
              <w:left w:val="single" w:sz="4" w:space="0" w:color="000000"/>
              <w:bottom w:val="single" w:sz="4" w:space="0" w:color="000000"/>
              <w:right w:val="single" w:sz="4" w:space="0" w:color="000000"/>
            </w:tcBorders>
          </w:tcPr>
          <w:p w14:paraId="63110AD7" w14:textId="724A7466" w:rsidR="00873249" w:rsidRPr="004247CA" w:rsidRDefault="00873249" w:rsidP="00767A4F">
            <w:pPr>
              <w:pStyle w:val="ListParagraph"/>
              <w:spacing w:line="240" w:lineRule="auto"/>
              <w:ind w:left="0"/>
              <w:jc w:val="both"/>
              <w:rPr>
                <w:rFonts w:ascii="Calibri" w:hAnsi="Calibri" w:cs="Calibri"/>
                <w:sz w:val="20"/>
                <w:szCs w:val="20"/>
              </w:rPr>
            </w:pPr>
            <w:r w:rsidRPr="004247CA">
              <w:rPr>
                <w:rFonts w:ascii="Calibri" w:hAnsi="Calibri" w:cs="Calibri"/>
                <w:sz w:val="20"/>
                <w:szCs w:val="20"/>
              </w:rPr>
              <w:t>ONAC is newly established and has not yet developed requisite capacity to perform the full range of procurement activities, including of specialized medical supplies and equipment</w:t>
            </w:r>
          </w:p>
        </w:tc>
        <w:tc>
          <w:tcPr>
            <w:tcW w:w="4230" w:type="dxa"/>
            <w:tcBorders>
              <w:top w:val="single" w:sz="4" w:space="0" w:color="000000"/>
              <w:left w:val="single" w:sz="4" w:space="0" w:color="000000"/>
              <w:bottom w:val="single" w:sz="4" w:space="0" w:color="000000"/>
              <w:right w:val="single" w:sz="4" w:space="0" w:color="000000"/>
            </w:tcBorders>
            <w:vAlign w:val="center"/>
          </w:tcPr>
          <w:p w14:paraId="61BA9075" w14:textId="4D32DF87" w:rsidR="00873249" w:rsidRDefault="00873249" w:rsidP="00767A4F">
            <w:pPr>
              <w:pStyle w:val="ListParagraph"/>
              <w:spacing w:line="240" w:lineRule="auto"/>
              <w:ind w:left="0"/>
              <w:jc w:val="both"/>
              <w:rPr>
                <w:rFonts w:ascii="Calibri" w:hAnsi="Calibri" w:cs="Calibri"/>
                <w:sz w:val="20"/>
                <w:szCs w:val="20"/>
              </w:rPr>
            </w:pPr>
            <w:r w:rsidRPr="00873249">
              <w:rPr>
                <w:rFonts w:ascii="Calibri" w:hAnsi="Calibri" w:cs="Calibri"/>
                <w:sz w:val="20"/>
                <w:szCs w:val="20"/>
              </w:rPr>
              <w:t xml:space="preserve">Technical assistance to build capacity including establishing systems and resources for efficient and effective performance. </w:t>
            </w:r>
          </w:p>
          <w:p w14:paraId="33B625D2" w14:textId="77777777" w:rsidR="00873249" w:rsidRPr="00873249" w:rsidRDefault="00873249" w:rsidP="00767A4F">
            <w:pPr>
              <w:pStyle w:val="ListParagraph"/>
              <w:spacing w:line="240" w:lineRule="auto"/>
              <w:ind w:left="0"/>
              <w:jc w:val="both"/>
              <w:rPr>
                <w:rFonts w:ascii="Calibri" w:hAnsi="Calibri" w:cs="Calibri"/>
                <w:sz w:val="20"/>
                <w:szCs w:val="20"/>
              </w:rPr>
            </w:pPr>
          </w:p>
          <w:p w14:paraId="1FD9BF69" w14:textId="77777777" w:rsidR="00873249" w:rsidRPr="00ED0C42" w:rsidRDefault="00873249" w:rsidP="00767A4F">
            <w:pPr>
              <w:pStyle w:val="ListParagraph"/>
              <w:spacing w:line="240" w:lineRule="auto"/>
              <w:ind w:left="0"/>
              <w:jc w:val="both"/>
              <w:rPr>
                <w:rFonts w:ascii="Calibri" w:hAnsi="Calibri" w:cs="Calibri"/>
                <w:sz w:val="20"/>
                <w:szCs w:val="20"/>
              </w:rPr>
            </w:pPr>
            <w:r w:rsidRPr="00873249">
              <w:rPr>
                <w:rFonts w:ascii="Calibri" w:hAnsi="Calibri" w:cs="Calibri"/>
                <w:sz w:val="20"/>
                <w:szCs w:val="20"/>
              </w:rPr>
              <w:t>Establishment of mechanisms for ongoing specialized supplies’ procurement support by the MoH</w:t>
            </w:r>
          </w:p>
        </w:tc>
        <w:tc>
          <w:tcPr>
            <w:tcW w:w="2160" w:type="dxa"/>
            <w:tcBorders>
              <w:top w:val="single" w:sz="4" w:space="0" w:color="000000"/>
              <w:left w:val="single" w:sz="4" w:space="0" w:color="000000"/>
              <w:bottom w:val="single" w:sz="4" w:space="0" w:color="000000"/>
              <w:right w:val="single" w:sz="4" w:space="0" w:color="000000"/>
            </w:tcBorders>
            <w:vAlign w:val="center"/>
          </w:tcPr>
          <w:p w14:paraId="7F90E8CC" w14:textId="481C88CE" w:rsidR="00873249" w:rsidRPr="00ED0C42" w:rsidRDefault="00873249" w:rsidP="004247CA">
            <w:pPr>
              <w:pStyle w:val="ListParagraph"/>
              <w:spacing w:line="240" w:lineRule="auto"/>
              <w:ind w:left="0"/>
              <w:rPr>
                <w:rFonts w:ascii="Calibri" w:hAnsi="Calibri" w:cs="Calibri"/>
                <w:sz w:val="20"/>
                <w:szCs w:val="20"/>
              </w:rPr>
            </w:pPr>
            <w:r>
              <w:rPr>
                <w:rFonts w:ascii="Calibri" w:hAnsi="Calibri" w:cs="Calibri"/>
                <w:sz w:val="20"/>
                <w:szCs w:val="20"/>
              </w:rPr>
              <w:t>PAP</w:t>
            </w:r>
          </w:p>
        </w:tc>
        <w:tc>
          <w:tcPr>
            <w:tcW w:w="1260" w:type="dxa"/>
            <w:tcBorders>
              <w:top w:val="single" w:sz="4" w:space="0" w:color="000000"/>
              <w:left w:val="single" w:sz="4" w:space="0" w:color="000000"/>
              <w:bottom w:val="single" w:sz="4" w:space="0" w:color="000000"/>
              <w:right w:val="single" w:sz="4" w:space="0" w:color="000000"/>
            </w:tcBorders>
            <w:vAlign w:val="center"/>
          </w:tcPr>
          <w:p w14:paraId="753FC926" w14:textId="46B39AAE" w:rsidR="00873249" w:rsidRPr="00ED0C42" w:rsidRDefault="00873249" w:rsidP="004247CA">
            <w:pPr>
              <w:pStyle w:val="ListParagraph"/>
              <w:spacing w:line="240" w:lineRule="auto"/>
              <w:ind w:left="0"/>
              <w:rPr>
                <w:rFonts w:ascii="Calibri" w:hAnsi="Calibri" w:cs="Calibri"/>
                <w:sz w:val="20"/>
                <w:szCs w:val="20"/>
              </w:rPr>
            </w:pPr>
            <w:r>
              <w:rPr>
                <w:rFonts w:ascii="Calibri" w:hAnsi="Calibri" w:cs="Calibri"/>
                <w:sz w:val="20"/>
                <w:szCs w:val="20"/>
              </w:rPr>
              <w:t>Substantial</w:t>
            </w:r>
          </w:p>
        </w:tc>
        <w:tc>
          <w:tcPr>
            <w:tcW w:w="1440" w:type="dxa"/>
            <w:tcBorders>
              <w:top w:val="single" w:sz="4" w:space="0" w:color="000000"/>
              <w:left w:val="single" w:sz="4" w:space="0" w:color="000000"/>
              <w:bottom w:val="single" w:sz="4" w:space="0" w:color="000000"/>
              <w:right w:val="single" w:sz="4" w:space="0" w:color="000000"/>
            </w:tcBorders>
            <w:vAlign w:val="center"/>
          </w:tcPr>
          <w:p w14:paraId="2B14BE80" w14:textId="308DC8C8" w:rsidR="00873249" w:rsidRPr="00ED0C42" w:rsidRDefault="00873249" w:rsidP="004247CA">
            <w:pPr>
              <w:pStyle w:val="ListParagraph"/>
              <w:spacing w:line="240" w:lineRule="auto"/>
              <w:ind w:left="0"/>
              <w:rPr>
                <w:rFonts w:ascii="Calibri" w:hAnsi="Calibri" w:cs="Calibri"/>
                <w:sz w:val="20"/>
                <w:szCs w:val="20"/>
              </w:rPr>
            </w:pPr>
            <w:r>
              <w:rPr>
                <w:rFonts w:ascii="Calibri" w:hAnsi="Calibri" w:cs="Calibri"/>
                <w:sz w:val="20"/>
                <w:szCs w:val="20"/>
              </w:rPr>
              <w:t>MoPF/ONAC/MoH</w:t>
            </w:r>
          </w:p>
        </w:tc>
        <w:tc>
          <w:tcPr>
            <w:tcW w:w="1170" w:type="dxa"/>
            <w:tcBorders>
              <w:top w:val="single" w:sz="4" w:space="0" w:color="000000"/>
              <w:left w:val="single" w:sz="4" w:space="0" w:color="000000"/>
              <w:bottom w:val="single" w:sz="4" w:space="0" w:color="000000"/>
              <w:right w:val="single" w:sz="4" w:space="0" w:color="000000"/>
            </w:tcBorders>
            <w:vAlign w:val="center"/>
          </w:tcPr>
          <w:p w14:paraId="55DD0C8A" w14:textId="7567F779" w:rsidR="00873249" w:rsidRPr="00ED0C42" w:rsidRDefault="00873249" w:rsidP="004247CA">
            <w:pPr>
              <w:pStyle w:val="ListParagraph"/>
              <w:spacing w:line="240" w:lineRule="auto"/>
              <w:ind w:left="0"/>
              <w:rPr>
                <w:rFonts w:ascii="Calibri" w:hAnsi="Calibri" w:cs="Calibri"/>
                <w:sz w:val="20"/>
                <w:szCs w:val="20"/>
              </w:rPr>
            </w:pPr>
            <w:r>
              <w:rPr>
                <w:rFonts w:ascii="Calibri" w:hAnsi="Calibri" w:cs="Calibri"/>
                <w:sz w:val="20"/>
                <w:szCs w:val="20"/>
              </w:rPr>
              <w:t>2020-2023</w:t>
            </w:r>
          </w:p>
        </w:tc>
      </w:tr>
      <w:tr w:rsidR="00873249" w:rsidRPr="004247CA" w14:paraId="3603C185" w14:textId="77777777" w:rsidTr="002C546D">
        <w:trPr>
          <w:trHeight w:val="711"/>
        </w:trPr>
        <w:tc>
          <w:tcPr>
            <w:tcW w:w="3600" w:type="dxa"/>
            <w:tcBorders>
              <w:top w:val="single" w:sz="4" w:space="0" w:color="000000"/>
              <w:left w:val="single" w:sz="4" w:space="0" w:color="000000"/>
              <w:bottom w:val="single" w:sz="4" w:space="0" w:color="000000"/>
              <w:right w:val="single" w:sz="4" w:space="0" w:color="000000"/>
            </w:tcBorders>
          </w:tcPr>
          <w:p w14:paraId="08025E66" w14:textId="0C94FDA4" w:rsidR="00873249" w:rsidRPr="004247CA" w:rsidRDefault="00873249" w:rsidP="00767A4F">
            <w:pPr>
              <w:pStyle w:val="ListParagraph"/>
              <w:spacing w:line="240" w:lineRule="auto"/>
              <w:ind w:left="0"/>
              <w:jc w:val="both"/>
              <w:rPr>
                <w:rFonts w:ascii="Calibri" w:hAnsi="Calibri" w:cs="Calibri"/>
                <w:sz w:val="20"/>
                <w:szCs w:val="20"/>
              </w:rPr>
            </w:pPr>
            <w:r w:rsidRPr="004247CA">
              <w:rPr>
                <w:rFonts w:ascii="Calibri" w:hAnsi="Calibri" w:cs="Calibri"/>
                <w:sz w:val="20"/>
                <w:szCs w:val="20"/>
              </w:rPr>
              <w:t>Lack of electronic platforms to co</w:t>
            </w:r>
            <w:r>
              <w:rPr>
                <w:rFonts w:ascii="Calibri" w:hAnsi="Calibri" w:cs="Calibri"/>
                <w:sz w:val="20"/>
                <w:szCs w:val="20"/>
              </w:rPr>
              <w:t xml:space="preserve">llate </w:t>
            </w:r>
            <w:r w:rsidRPr="004247CA">
              <w:rPr>
                <w:rFonts w:ascii="Calibri" w:hAnsi="Calibri" w:cs="Calibri"/>
                <w:sz w:val="20"/>
                <w:szCs w:val="20"/>
              </w:rPr>
              <w:t>and consolidate the procurement needs of beneficiaries delays the preparation of the tenders and unnecessarily increases the level of effort of personnel managing the procurement process</w:t>
            </w:r>
          </w:p>
        </w:tc>
        <w:tc>
          <w:tcPr>
            <w:tcW w:w="4230" w:type="dxa"/>
            <w:tcBorders>
              <w:top w:val="single" w:sz="4" w:space="0" w:color="000000"/>
              <w:left w:val="single" w:sz="4" w:space="0" w:color="000000"/>
              <w:bottom w:val="single" w:sz="4" w:space="0" w:color="000000"/>
              <w:right w:val="single" w:sz="4" w:space="0" w:color="000000"/>
            </w:tcBorders>
            <w:vAlign w:val="center"/>
          </w:tcPr>
          <w:p w14:paraId="5DEC1BA3" w14:textId="1D84A43C" w:rsidR="00873249" w:rsidRPr="00ED0C42" w:rsidRDefault="00873249" w:rsidP="00767A4F">
            <w:pPr>
              <w:pStyle w:val="ListParagraph"/>
              <w:spacing w:line="240" w:lineRule="auto"/>
              <w:ind w:left="0"/>
              <w:jc w:val="both"/>
              <w:rPr>
                <w:rFonts w:ascii="Calibri" w:hAnsi="Calibri" w:cs="Calibri"/>
                <w:sz w:val="20"/>
                <w:szCs w:val="20"/>
              </w:rPr>
            </w:pPr>
            <w:r w:rsidRPr="00873249">
              <w:rPr>
                <w:rFonts w:ascii="Calibri" w:hAnsi="Calibri" w:cs="Calibri"/>
                <w:sz w:val="20"/>
                <w:szCs w:val="20"/>
              </w:rPr>
              <w:t>Complete the initiated development of the proposed electronic platform</w:t>
            </w:r>
          </w:p>
        </w:tc>
        <w:tc>
          <w:tcPr>
            <w:tcW w:w="2160" w:type="dxa"/>
            <w:tcBorders>
              <w:top w:val="single" w:sz="4" w:space="0" w:color="000000"/>
              <w:left w:val="single" w:sz="4" w:space="0" w:color="000000"/>
              <w:bottom w:val="single" w:sz="4" w:space="0" w:color="000000"/>
              <w:right w:val="single" w:sz="4" w:space="0" w:color="000000"/>
            </w:tcBorders>
            <w:vAlign w:val="center"/>
          </w:tcPr>
          <w:p w14:paraId="45ED18FA" w14:textId="70C01570" w:rsidR="00873249" w:rsidRPr="00ED0C42" w:rsidRDefault="00873249" w:rsidP="004247CA">
            <w:pPr>
              <w:pStyle w:val="ListParagraph"/>
              <w:spacing w:line="240" w:lineRule="auto"/>
              <w:ind w:left="0"/>
              <w:rPr>
                <w:rFonts w:ascii="Calibri" w:hAnsi="Calibri" w:cs="Calibri"/>
                <w:sz w:val="20"/>
                <w:szCs w:val="20"/>
              </w:rPr>
            </w:pPr>
            <w:r>
              <w:rPr>
                <w:rFonts w:ascii="Calibri" w:hAnsi="Calibri" w:cs="Calibri"/>
                <w:sz w:val="20"/>
                <w:szCs w:val="20"/>
              </w:rPr>
              <w:t>PAP</w:t>
            </w:r>
          </w:p>
        </w:tc>
        <w:tc>
          <w:tcPr>
            <w:tcW w:w="1260" w:type="dxa"/>
            <w:tcBorders>
              <w:top w:val="single" w:sz="4" w:space="0" w:color="000000"/>
              <w:left w:val="single" w:sz="4" w:space="0" w:color="000000"/>
              <w:bottom w:val="single" w:sz="4" w:space="0" w:color="000000"/>
              <w:right w:val="single" w:sz="4" w:space="0" w:color="000000"/>
            </w:tcBorders>
            <w:vAlign w:val="center"/>
          </w:tcPr>
          <w:p w14:paraId="33E403B7" w14:textId="5BBF3614" w:rsidR="00873249" w:rsidRPr="00ED0C42" w:rsidRDefault="00873249" w:rsidP="004247CA">
            <w:pPr>
              <w:pStyle w:val="ListParagraph"/>
              <w:spacing w:line="240" w:lineRule="auto"/>
              <w:ind w:left="0"/>
              <w:rPr>
                <w:rFonts w:ascii="Calibri" w:hAnsi="Calibri" w:cs="Calibri"/>
                <w:sz w:val="20"/>
                <w:szCs w:val="20"/>
              </w:rPr>
            </w:pPr>
            <w:r>
              <w:rPr>
                <w:rFonts w:ascii="Calibri" w:hAnsi="Calibri" w:cs="Calibri"/>
                <w:sz w:val="20"/>
                <w:szCs w:val="20"/>
              </w:rPr>
              <w:t>Substantial</w:t>
            </w:r>
          </w:p>
        </w:tc>
        <w:tc>
          <w:tcPr>
            <w:tcW w:w="1440" w:type="dxa"/>
            <w:tcBorders>
              <w:top w:val="single" w:sz="4" w:space="0" w:color="000000"/>
              <w:left w:val="single" w:sz="4" w:space="0" w:color="000000"/>
              <w:bottom w:val="single" w:sz="4" w:space="0" w:color="000000"/>
              <w:right w:val="single" w:sz="4" w:space="0" w:color="000000"/>
            </w:tcBorders>
            <w:vAlign w:val="center"/>
          </w:tcPr>
          <w:p w14:paraId="115C1143" w14:textId="77777777" w:rsidR="00873249" w:rsidRDefault="00873249" w:rsidP="004247CA">
            <w:pPr>
              <w:pStyle w:val="ListParagraph"/>
              <w:spacing w:line="240" w:lineRule="auto"/>
              <w:ind w:left="0"/>
              <w:rPr>
                <w:rFonts w:ascii="Calibri" w:hAnsi="Calibri" w:cs="Calibri"/>
                <w:sz w:val="20"/>
                <w:szCs w:val="20"/>
              </w:rPr>
            </w:pPr>
            <w:r>
              <w:rPr>
                <w:rFonts w:ascii="Calibri" w:hAnsi="Calibri" w:cs="Calibri"/>
                <w:sz w:val="20"/>
                <w:szCs w:val="20"/>
              </w:rPr>
              <w:t>MoH/NHIH/</w:t>
            </w:r>
          </w:p>
          <w:p w14:paraId="4D6F559A" w14:textId="5F96A373" w:rsidR="00873249" w:rsidRPr="00ED0C42" w:rsidRDefault="00873249" w:rsidP="004247CA">
            <w:pPr>
              <w:pStyle w:val="ListParagraph"/>
              <w:spacing w:line="240" w:lineRule="auto"/>
              <w:ind w:left="0"/>
              <w:rPr>
                <w:rFonts w:ascii="Calibri" w:hAnsi="Calibri" w:cs="Calibri"/>
                <w:sz w:val="20"/>
                <w:szCs w:val="20"/>
              </w:rPr>
            </w:pPr>
            <w:r>
              <w:rPr>
                <w:rFonts w:ascii="Calibri" w:hAnsi="Calibri" w:cs="Calibri"/>
                <w:sz w:val="20"/>
                <w:szCs w:val="20"/>
              </w:rPr>
              <w:t>ONAC</w:t>
            </w:r>
          </w:p>
        </w:tc>
        <w:tc>
          <w:tcPr>
            <w:tcW w:w="1170" w:type="dxa"/>
            <w:tcBorders>
              <w:top w:val="single" w:sz="4" w:space="0" w:color="000000"/>
              <w:left w:val="single" w:sz="4" w:space="0" w:color="000000"/>
              <w:bottom w:val="single" w:sz="4" w:space="0" w:color="000000"/>
              <w:right w:val="single" w:sz="4" w:space="0" w:color="000000"/>
            </w:tcBorders>
            <w:vAlign w:val="center"/>
          </w:tcPr>
          <w:p w14:paraId="4333D1C8" w14:textId="18BE44DD" w:rsidR="00873249" w:rsidRPr="00ED0C42" w:rsidRDefault="00873249" w:rsidP="004247CA">
            <w:pPr>
              <w:pStyle w:val="ListParagraph"/>
              <w:spacing w:line="240" w:lineRule="auto"/>
              <w:ind w:left="0"/>
              <w:rPr>
                <w:rFonts w:ascii="Calibri" w:hAnsi="Calibri" w:cs="Calibri"/>
                <w:sz w:val="20"/>
                <w:szCs w:val="20"/>
              </w:rPr>
            </w:pPr>
            <w:r>
              <w:rPr>
                <w:rFonts w:ascii="Calibri" w:hAnsi="Calibri" w:cs="Calibri"/>
                <w:sz w:val="20"/>
                <w:szCs w:val="20"/>
              </w:rPr>
              <w:t>2020-2023</w:t>
            </w:r>
          </w:p>
        </w:tc>
      </w:tr>
      <w:tr w:rsidR="00873249" w:rsidRPr="004247CA" w14:paraId="36B1C571" w14:textId="77777777" w:rsidTr="002C546D">
        <w:trPr>
          <w:trHeight w:val="711"/>
        </w:trPr>
        <w:tc>
          <w:tcPr>
            <w:tcW w:w="3600" w:type="dxa"/>
            <w:tcBorders>
              <w:top w:val="single" w:sz="4" w:space="0" w:color="000000"/>
              <w:left w:val="single" w:sz="4" w:space="0" w:color="000000"/>
              <w:bottom w:val="single" w:sz="4" w:space="0" w:color="000000"/>
              <w:right w:val="single" w:sz="4" w:space="0" w:color="000000"/>
            </w:tcBorders>
          </w:tcPr>
          <w:p w14:paraId="47E621BB" w14:textId="0CD8EDE9" w:rsidR="00873249" w:rsidRPr="004247CA" w:rsidRDefault="00873249" w:rsidP="00767A4F">
            <w:pPr>
              <w:pStyle w:val="ListParagraph"/>
              <w:spacing w:line="240" w:lineRule="auto"/>
              <w:ind w:left="0"/>
              <w:jc w:val="both"/>
              <w:rPr>
                <w:rFonts w:ascii="Calibri" w:hAnsi="Calibri" w:cs="Calibri"/>
                <w:sz w:val="20"/>
                <w:szCs w:val="20"/>
              </w:rPr>
            </w:pPr>
            <w:r w:rsidRPr="004247CA">
              <w:rPr>
                <w:rFonts w:ascii="Calibri" w:hAnsi="Calibri" w:cs="Calibri"/>
                <w:sz w:val="20"/>
                <w:szCs w:val="20"/>
              </w:rPr>
              <w:t>Limited experience with IT procurement might delay the procurement process and affect its quality and outcome</w:t>
            </w:r>
          </w:p>
        </w:tc>
        <w:tc>
          <w:tcPr>
            <w:tcW w:w="4230" w:type="dxa"/>
            <w:tcBorders>
              <w:top w:val="single" w:sz="4" w:space="0" w:color="000000"/>
              <w:left w:val="single" w:sz="4" w:space="0" w:color="000000"/>
              <w:bottom w:val="single" w:sz="4" w:space="0" w:color="000000"/>
              <w:right w:val="single" w:sz="4" w:space="0" w:color="000000"/>
            </w:tcBorders>
            <w:vAlign w:val="center"/>
          </w:tcPr>
          <w:p w14:paraId="62A8EC95" w14:textId="23072029" w:rsidR="00873249" w:rsidRPr="00ED0C42" w:rsidRDefault="00873249" w:rsidP="00767A4F">
            <w:pPr>
              <w:pStyle w:val="ListParagraph"/>
              <w:spacing w:line="240" w:lineRule="auto"/>
              <w:ind w:left="0"/>
              <w:jc w:val="both"/>
              <w:rPr>
                <w:rFonts w:ascii="Calibri" w:hAnsi="Calibri" w:cs="Calibri"/>
                <w:sz w:val="20"/>
                <w:szCs w:val="20"/>
              </w:rPr>
            </w:pPr>
            <w:r w:rsidRPr="00873249">
              <w:rPr>
                <w:rFonts w:ascii="Calibri" w:hAnsi="Calibri" w:cs="Calibri"/>
                <w:sz w:val="20"/>
                <w:szCs w:val="20"/>
              </w:rPr>
              <w:t>Enhance the IT expertise through technical assistance programs and/or employ specialists in the area</w:t>
            </w:r>
          </w:p>
        </w:tc>
        <w:tc>
          <w:tcPr>
            <w:tcW w:w="2160" w:type="dxa"/>
            <w:tcBorders>
              <w:top w:val="single" w:sz="4" w:space="0" w:color="000000"/>
              <w:left w:val="single" w:sz="4" w:space="0" w:color="000000"/>
              <w:bottom w:val="single" w:sz="4" w:space="0" w:color="000000"/>
              <w:right w:val="single" w:sz="4" w:space="0" w:color="000000"/>
            </w:tcBorders>
            <w:vAlign w:val="center"/>
          </w:tcPr>
          <w:p w14:paraId="0588EE51" w14:textId="2D82D9EB" w:rsidR="00873249" w:rsidRPr="00ED0C42" w:rsidRDefault="00873249" w:rsidP="004247CA">
            <w:pPr>
              <w:pStyle w:val="ListParagraph"/>
              <w:spacing w:line="240" w:lineRule="auto"/>
              <w:ind w:left="0"/>
              <w:rPr>
                <w:rFonts w:ascii="Calibri" w:hAnsi="Calibri" w:cs="Calibri"/>
                <w:sz w:val="20"/>
                <w:szCs w:val="20"/>
              </w:rPr>
            </w:pPr>
            <w:r>
              <w:rPr>
                <w:rFonts w:ascii="Calibri" w:hAnsi="Calibri" w:cs="Calibri"/>
                <w:sz w:val="20"/>
                <w:szCs w:val="20"/>
              </w:rPr>
              <w:t>PAP</w:t>
            </w:r>
          </w:p>
        </w:tc>
        <w:tc>
          <w:tcPr>
            <w:tcW w:w="1260" w:type="dxa"/>
            <w:tcBorders>
              <w:top w:val="single" w:sz="4" w:space="0" w:color="000000"/>
              <w:left w:val="single" w:sz="4" w:space="0" w:color="000000"/>
              <w:bottom w:val="single" w:sz="4" w:space="0" w:color="000000"/>
              <w:right w:val="single" w:sz="4" w:space="0" w:color="000000"/>
            </w:tcBorders>
            <w:vAlign w:val="center"/>
          </w:tcPr>
          <w:p w14:paraId="712B5943" w14:textId="0E9DE218" w:rsidR="00873249" w:rsidRPr="00ED0C42" w:rsidRDefault="00873249" w:rsidP="004247CA">
            <w:pPr>
              <w:pStyle w:val="ListParagraph"/>
              <w:spacing w:line="240" w:lineRule="auto"/>
              <w:ind w:left="0"/>
              <w:rPr>
                <w:rFonts w:ascii="Calibri" w:hAnsi="Calibri" w:cs="Calibri"/>
                <w:sz w:val="20"/>
                <w:szCs w:val="20"/>
              </w:rPr>
            </w:pPr>
            <w:r>
              <w:rPr>
                <w:rFonts w:ascii="Calibri" w:hAnsi="Calibri" w:cs="Calibri"/>
                <w:sz w:val="20"/>
                <w:szCs w:val="20"/>
              </w:rPr>
              <w:t>Substantial</w:t>
            </w:r>
          </w:p>
        </w:tc>
        <w:tc>
          <w:tcPr>
            <w:tcW w:w="1440" w:type="dxa"/>
            <w:tcBorders>
              <w:top w:val="single" w:sz="4" w:space="0" w:color="000000"/>
              <w:left w:val="single" w:sz="4" w:space="0" w:color="000000"/>
              <w:bottom w:val="single" w:sz="4" w:space="0" w:color="000000"/>
              <w:right w:val="single" w:sz="4" w:space="0" w:color="000000"/>
            </w:tcBorders>
            <w:vAlign w:val="center"/>
          </w:tcPr>
          <w:p w14:paraId="56CE25BA" w14:textId="77777777" w:rsidR="00873249" w:rsidRDefault="00873249" w:rsidP="00873249">
            <w:pPr>
              <w:pStyle w:val="ListParagraph"/>
              <w:spacing w:line="240" w:lineRule="auto"/>
              <w:ind w:left="0"/>
              <w:rPr>
                <w:rFonts w:ascii="Calibri" w:hAnsi="Calibri" w:cs="Calibri"/>
                <w:sz w:val="20"/>
                <w:szCs w:val="20"/>
              </w:rPr>
            </w:pPr>
            <w:r>
              <w:rPr>
                <w:rFonts w:ascii="Calibri" w:hAnsi="Calibri" w:cs="Calibri"/>
                <w:sz w:val="20"/>
                <w:szCs w:val="20"/>
              </w:rPr>
              <w:t>MoH/ONAC/</w:t>
            </w:r>
          </w:p>
          <w:p w14:paraId="270C5641" w14:textId="1BBA57FC" w:rsidR="00873249" w:rsidRPr="00ED0C42" w:rsidRDefault="00873249" w:rsidP="004247CA">
            <w:pPr>
              <w:pStyle w:val="ListParagraph"/>
              <w:spacing w:line="240" w:lineRule="auto"/>
              <w:ind w:left="0"/>
              <w:rPr>
                <w:rFonts w:ascii="Calibri" w:hAnsi="Calibri" w:cs="Calibri"/>
                <w:sz w:val="20"/>
                <w:szCs w:val="20"/>
              </w:rPr>
            </w:pPr>
            <w:r>
              <w:rPr>
                <w:rFonts w:ascii="Calibri" w:hAnsi="Calibri" w:cs="Calibri"/>
                <w:sz w:val="20"/>
                <w:szCs w:val="20"/>
              </w:rPr>
              <w:t>NHIH</w:t>
            </w:r>
          </w:p>
        </w:tc>
        <w:tc>
          <w:tcPr>
            <w:tcW w:w="1170" w:type="dxa"/>
            <w:tcBorders>
              <w:top w:val="single" w:sz="4" w:space="0" w:color="000000"/>
              <w:left w:val="single" w:sz="4" w:space="0" w:color="000000"/>
              <w:bottom w:val="single" w:sz="4" w:space="0" w:color="000000"/>
              <w:right w:val="single" w:sz="4" w:space="0" w:color="000000"/>
            </w:tcBorders>
            <w:vAlign w:val="center"/>
          </w:tcPr>
          <w:p w14:paraId="1F55B948" w14:textId="2B68058C" w:rsidR="00873249" w:rsidRPr="00ED0C42" w:rsidRDefault="00873249" w:rsidP="004247CA">
            <w:pPr>
              <w:pStyle w:val="ListParagraph"/>
              <w:spacing w:line="240" w:lineRule="auto"/>
              <w:ind w:left="0"/>
              <w:rPr>
                <w:rFonts w:ascii="Calibri" w:hAnsi="Calibri" w:cs="Calibri"/>
                <w:sz w:val="20"/>
                <w:szCs w:val="20"/>
              </w:rPr>
            </w:pPr>
            <w:r>
              <w:rPr>
                <w:rFonts w:ascii="Calibri" w:hAnsi="Calibri" w:cs="Calibri"/>
                <w:sz w:val="20"/>
                <w:szCs w:val="20"/>
              </w:rPr>
              <w:t>2020-2023</w:t>
            </w:r>
          </w:p>
        </w:tc>
      </w:tr>
    </w:tbl>
    <w:p w14:paraId="28E8A72B" w14:textId="77777777" w:rsidR="00EA14E3" w:rsidRDefault="00EA14E3"/>
    <w:tbl>
      <w:tblPr>
        <w:tblW w:w="13860" w:type="dxa"/>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00"/>
        <w:gridCol w:w="4230"/>
        <w:gridCol w:w="2160"/>
        <w:gridCol w:w="1260"/>
        <w:gridCol w:w="1440"/>
        <w:gridCol w:w="1170"/>
      </w:tblGrid>
      <w:tr w:rsidR="00ED0C42" w:rsidRPr="004247CA" w14:paraId="37D44D88" w14:textId="77777777" w:rsidTr="004247CA">
        <w:trPr>
          <w:trHeight w:val="278"/>
          <w:tblHeader/>
        </w:trPr>
        <w:tc>
          <w:tcPr>
            <w:tcW w:w="13860" w:type="dxa"/>
            <w:gridSpan w:val="6"/>
            <w:tcBorders>
              <w:top w:val="single" w:sz="4" w:space="0" w:color="000000"/>
              <w:left w:val="single" w:sz="4" w:space="0" w:color="000000"/>
              <w:bottom w:val="single" w:sz="4" w:space="0" w:color="000000"/>
              <w:right w:val="single" w:sz="4" w:space="0" w:color="000000"/>
            </w:tcBorders>
          </w:tcPr>
          <w:p w14:paraId="3A3C56A2" w14:textId="31796277" w:rsidR="00ED0C42" w:rsidRPr="00ED0C42" w:rsidRDefault="00ED0C42" w:rsidP="00873249">
            <w:pPr>
              <w:pStyle w:val="ListParagraph"/>
              <w:spacing w:after="0" w:line="240" w:lineRule="auto"/>
              <w:ind w:left="0"/>
              <w:rPr>
                <w:rFonts w:ascii="Calibri" w:hAnsi="Calibri" w:cs="Calibri"/>
                <w:sz w:val="20"/>
                <w:szCs w:val="20"/>
              </w:rPr>
            </w:pPr>
            <w:r w:rsidRPr="004247CA">
              <w:rPr>
                <w:rFonts w:ascii="Calibri" w:hAnsi="Calibri" w:cs="Calibri"/>
                <w:b/>
                <w:sz w:val="20"/>
                <w:szCs w:val="20"/>
              </w:rPr>
              <w:lastRenderedPageBreak/>
              <w:t>Accounting and financial reporting</w:t>
            </w:r>
            <w:r>
              <w:rPr>
                <w:rFonts w:ascii="Calibri" w:hAnsi="Calibri" w:cs="Calibri"/>
                <w:sz w:val="20"/>
                <w:szCs w:val="20"/>
              </w:rPr>
              <w:t xml:space="preserve">. </w:t>
            </w:r>
          </w:p>
        </w:tc>
      </w:tr>
      <w:tr w:rsidR="00ED0C42" w:rsidRPr="004247CA" w14:paraId="61373088" w14:textId="77777777" w:rsidTr="00ED0C42">
        <w:trPr>
          <w:trHeight w:val="711"/>
          <w:tblHeader/>
        </w:trPr>
        <w:tc>
          <w:tcPr>
            <w:tcW w:w="3600" w:type="dxa"/>
            <w:tcBorders>
              <w:top w:val="single" w:sz="4" w:space="0" w:color="000000"/>
              <w:left w:val="single" w:sz="4" w:space="0" w:color="000000"/>
              <w:bottom w:val="single" w:sz="4" w:space="0" w:color="000000"/>
              <w:right w:val="single" w:sz="4" w:space="0" w:color="000000"/>
            </w:tcBorders>
            <w:vAlign w:val="center"/>
          </w:tcPr>
          <w:p w14:paraId="60798EF3" w14:textId="0F1BC716" w:rsidR="00ED0C42" w:rsidRPr="00ED0C42" w:rsidRDefault="00ED0C42" w:rsidP="00767A4F">
            <w:pPr>
              <w:pStyle w:val="ListParagraph"/>
              <w:spacing w:line="240" w:lineRule="auto"/>
              <w:ind w:left="0"/>
              <w:jc w:val="both"/>
              <w:rPr>
                <w:rFonts w:ascii="Calibri" w:hAnsi="Calibri" w:cs="Calibri"/>
                <w:sz w:val="20"/>
                <w:szCs w:val="20"/>
              </w:rPr>
            </w:pPr>
            <w:r w:rsidRPr="00ED0C42">
              <w:rPr>
                <w:rFonts w:ascii="Calibri" w:hAnsi="Calibri" w:cs="Calibri"/>
                <w:sz w:val="20"/>
                <w:szCs w:val="20"/>
              </w:rPr>
              <w:t>Potential delays in preparation and audit of the Program financial statements (considering the multiple stakeholders) by MoH.</w:t>
            </w:r>
          </w:p>
        </w:tc>
        <w:tc>
          <w:tcPr>
            <w:tcW w:w="4230" w:type="dxa"/>
            <w:tcBorders>
              <w:top w:val="single" w:sz="4" w:space="0" w:color="000000"/>
              <w:left w:val="single" w:sz="4" w:space="0" w:color="000000"/>
              <w:bottom w:val="single" w:sz="4" w:space="0" w:color="000000"/>
              <w:right w:val="single" w:sz="4" w:space="0" w:color="000000"/>
            </w:tcBorders>
            <w:vAlign w:val="center"/>
          </w:tcPr>
          <w:p w14:paraId="326DDBEA" w14:textId="71CB44BD" w:rsidR="00ED0C42" w:rsidRPr="00ED0C42" w:rsidRDefault="00ED0C42" w:rsidP="004247CA">
            <w:pPr>
              <w:pStyle w:val="ListParagraph"/>
              <w:spacing w:line="240" w:lineRule="auto"/>
              <w:ind w:left="0"/>
              <w:rPr>
                <w:rFonts w:ascii="Calibri" w:hAnsi="Calibri" w:cs="Calibri"/>
                <w:sz w:val="20"/>
                <w:szCs w:val="20"/>
              </w:rPr>
            </w:pPr>
            <w:r w:rsidRPr="00ED0C42">
              <w:rPr>
                <w:rFonts w:ascii="Calibri" w:hAnsi="Calibri" w:cs="Calibri"/>
                <w:sz w:val="20"/>
                <w:szCs w:val="20"/>
              </w:rPr>
              <w:t xml:space="preserve">Program coordination arrangements will include centralized preparation of Program financial </w:t>
            </w:r>
            <w:proofErr w:type="gramStart"/>
            <w:r w:rsidRPr="00ED0C42">
              <w:rPr>
                <w:rFonts w:ascii="Calibri" w:hAnsi="Calibri" w:cs="Calibri"/>
                <w:sz w:val="20"/>
                <w:szCs w:val="20"/>
              </w:rPr>
              <w:t xml:space="preserve">statements </w:t>
            </w:r>
            <w:r w:rsidR="00E22B24">
              <w:rPr>
                <w:rFonts w:ascii="Calibri" w:hAnsi="Calibri" w:cs="Calibri"/>
                <w:sz w:val="20"/>
                <w:szCs w:val="20"/>
              </w:rPr>
              <w:t xml:space="preserve"> by</w:t>
            </w:r>
            <w:proofErr w:type="gramEnd"/>
            <w:r w:rsidR="00E22B24">
              <w:rPr>
                <w:rFonts w:ascii="Calibri" w:hAnsi="Calibri" w:cs="Calibri"/>
                <w:sz w:val="20"/>
                <w:szCs w:val="20"/>
              </w:rPr>
              <w:t xml:space="preserve"> MoH</w:t>
            </w:r>
            <w:r w:rsidR="001844D3">
              <w:rPr>
                <w:rFonts w:ascii="Calibri" w:hAnsi="Calibri" w:cs="Calibri"/>
                <w:sz w:val="20"/>
                <w:szCs w:val="20"/>
              </w:rPr>
              <w:t>.</w:t>
            </w:r>
          </w:p>
        </w:tc>
        <w:tc>
          <w:tcPr>
            <w:tcW w:w="2160" w:type="dxa"/>
            <w:tcBorders>
              <w:top w:val="single" w:sz="4" w:space="0" w:color="000000"/>
              <w:left w:val="single" w:sz="4" w:space="0" w:color="000000"/>
              <w:bottom w:val="single" w:sz="4" w:space="0" w:color="000000"/>
              <w:right w:val="single" w:sz="4" w:space="0" w:color="000000"/>
            </w:tcBorders>
            <w:vAlign w:val="center"/>
          </w:tcPr>
          <w:p w14:paraId="3B9A7F78" w14:textId="7E451078" w:rsidR="00ED0C42" w:rsidRPr="00ED0C42" w:rsidRDefault="00ED0C42" w:rsidP="004247CA">
            <w:pPr>
              <w:pStyle w:val="ListParagraph"/>
              <w:spacing w:line="240" w:lineRule="auto"/>
              <w:ind w:left="0"/>
              <w:rPr>
                <w:rFonts w:ascii="Calibri" w:hAnsi="Calibri" w:cs="Calibri"/>
              </w:rPr>
            </w:pPr>
            <w:r w:rsidRPr="00ED0C42">
              <w:rPr>
                <w:rFonts w:ascii="Calibri" w:hAnsi="Calibri" w:cs="Calibri"/>
                <w:sz w:val="20"/>
                <w:szCs w:val="20"/>
              </w:rPr>
              <w:t>PAP</w:t>
            </w:r>
          </w:p>
        </w:tc>
        <w:tc>
          <w:tcPr>
            <w:tcW w:w="1260" w:type="dxa"/>
            <w:tcBorders>
              <w:top w:val="single" w:sz="4" w:space="0" w:color="000000"/>
              <w:left w:val="single" w:sz="4" w:space="0" w:color="000000"/>
              <w:bottom w:val="single" w:sz="4" w:space="0" w:color="000000"/>
              <w:right w:val="single" w:sz="4" w:space="0" w:color="000000"/>
            </w:tcBorders>
            <w:vAlign w:val="center"/>
          </w:tcPr>
          <w:p w14:paraId="3118E1CE" w14:textId="0D3407B6" w:rsidR="00ED0C42" w:rsidRPr="00ED0C42" w:rsidRDefault="00ED0C42" w:rsidP="004247CA">
            <w:pPr>
              <w:pStyle w:val="ListParagraph"/>
              <w:spacing w:line="240" w:lineRule="auto"/>
              <w:ind w:left="0"/>
              <w:rPr>
                <w:rFonts w:ascii="Calibri" w:hAnsi="Calibri" w:cs="Calibri"/>
                <w:sz w:val="20"/>
                <w:szCs w:val="20"/>
              </w:rPr>
            </w:pPr>
            <w:r>
              <w:rPr>
                <w:rFonts w:ascii="Calibri" w:hAnsi="Calibri" w:cs="Calibri"/>
                <w:sz w:val="20"/>
                <w:szCs w:val="20"/>
              </w:rPr>
              <w:t>Substantial</w:t>
            </w:r>
          </w:p>
        </w:tc>
        <w:tc>
          <w:tcPr>
            <w:tcW w:w="1440" w:type="dxa"/>
            <w:tcBorders>
              <w:top w:val="single" w:sz="4" w:space="0" w:color="000000"/>
              <w:left w:val="single" w:sz="4" w:space="0" w:color="000000"/>
              <w:bottom w:val="single" w:sz="4" w:space="0" w:color="000000"/>
              <w:right w:val="single" w:sz="4" w:space="0" w:color="000000"/>
            </w:tcBorders>
            <w:vAlign w:val="center"/>
          </w:tcPr>
          <w:p w14:paraId="00D15528" w14:textId="77777777" w:rsidR="00ED0C42" w:rsidRDefault="00ED0C42" w:rsidP="004247CA">
            <w:pPr>
              <w:pStyle w:val="ListParagraph"/>
              <w:spacing w:line="240" w:lineRule="auto"/>
              <w:ind w:left="0"/>
              <w:rPr>
                <w:rFonts w:ascii="Calibri" w:hAnsi="Calibri" w:cs="Calibri"/>
                <w:sz w:val="20"/>
                <w:szCs w:val="20"/>
              </w:rPr>
            </w:pPr>
            <w:r>
              <w:rPr>
                <w:rFonts w:ascii="Calibri" w:hAnsi="Calibri" w:cs="Calibri"/>
                <w:sz w:val="20"/>
                <w:szCs w:val="20"/>
              </w:rPr>
              <w:t>MoH/NHIH/</w:t>
            </w:r>
          </w:p>
          <w:p w14:paraId="229B730E" w14:textId="6FA750BD" w:rsidR="00ED0C42" w:rsidRPr="00ED0C42" w:rsidRDefault="00ED0C42" w:rsidP="004247CA">
            <w:pPr>
              <w:pStyle w:val="ListParagraph"/>
              <w:spacing w:line="240" w:lineRule="auto"/>
              <w:ind w:left="0"/>
              <w:rPr>
                <w:rFonts w:ascii="Calibri" w:hAnsi="Calibri" w:cs="Calibri"/>
                <w:sz w:val="20"/>
                <w:szCs w:val="20"/>
              </w:rPr>
            </w:pPr>
            <w:r>
              <w:rPr>
                <w:rFonts w:ascii="Calibri" w:hAnsi="Calibri" w:cs="Calibri"/>
                <w:sz w:val="20"/>
                <w:szCs w:val="20"/>
              </w:rPr>
              <w:t>ONAC</w:t>
            </w:r>
          </w:p>
        </w:tc>
        <w:tc>
          <w:tcPr>
            <w:tcW w:w="1170" w:type="dxa"/>
            <w:tcBorders>
              <w:top w:val="single" w:sz="4" w:space="0" w:color="000000"/>
              <w:left w:val="single" w:sz="4" w:space="0" w:color="000000"/>
              <w:bottom w:val="single" w:sz="4" w:space="0" w:color="000000"/>
              <w:right w:val="single" w:sz="4" w:space="0" w:color="000000"/>
            </w:tcBorders>
            <w:vAlign w:val="center"/>
          </w:tcPr>
          <w:p w14:paraId="4099A40C" w14:textId="4128844A" w:rsidR="00ED0C42" w:rsidRPr="00ED0C42" w:rsidRDefault="00ED0C42" w:rsidP="004247CA">
            <w:pPr>
              <w:pStyle w:val="ListParagraph"/>
              <w:spacing w:line="240" w:lineRule="auto"/>
              <w:ind w:left="0"/>
              <w:rPr>
                <w:rFonts w:ascii="Calibri" w:hAnsi="Calibri" w:cs="Calibri"/>
                <w:sz w:val="20"/>
                <w:szCs w:val="20"/>
              </w:rPr>
            </w:pPr>
            <w:r>
              <w:rPr>
                <w:rFonts w:ascii="Calibri" w:hAnsi="Calibri" w:cs="Calibri"/>
                <w:sz w:val="20"/>
                <w:szCs w:val="20"/>
              </w:rPr>
              <w:t>2020-2023</w:t>
            </w:r>
          </w:p>
        </w:tc>
      </w:tr>
      <w:tr w:rsidR="00ED0C42" w:rsidRPr="004247CA" w14:paraId="78F444C0" w14:textId="77777777" w:rsidTr="00ED0C42">
        <w:trPr>
          <w:trHeight w:val="711"/>
          <w:tblHeader/>
        </w:trPr>
        <w:tc>
          <w:tcPr>
            <w:tcW w:w="3600" w:type="dxa"/>
            <w:tcBorders>
              <w:top w:val="single" w:sz="4" w:space="0" w:color="000000"/>
              <w:left w:val="single" w:sz="4" w:space="0" w:color="000000"/>
              <w:bottom w:val="single" w:sz="4" w:space="0" w:color="000000"/>
              <w:right w:val="single" w:sz="4" w:space="0" w:color="000000"/>
            </w:tcBorders>
            <w:vAlign w:val="center"/>
          </w:tcPr>
          <w:p w14:paraId="4BA3F922" w14:textId="628C84A8" w:rsidR="00ED0C42" w:rsidRPr="00ED0C42" w:rsidRDefault="00ED0C42" w:rsidP="00767A4F">
            <w:pPr>
              <w:pStyle w:val="ListParagraph"/>
              <w:spacing w:after="0" w:line="240" w:lineRule="auto"/>
              <w:ind w:left="0"/>
              <w:jc w:val="both"/>
              <w:rPr>
                <w:rFonts w:ascii="Calibri" w:hAnsi="Calibri" w:cs="Calibri"/>
                <w:sz w:val="20"/>
                <w:szCs w:val="20"/>
              </w:rPr>
            </w:pPr>
            <w:r w:rsidRPr="00ED0C42">
              <w:rPr>
                <w:rFonts w:ascii="Calibri" w:hAnsi="Calibri" w:cs="Calibri"/>
                <w:sz w:val="20"/>
                <w:szCs w:val="20"/>
              </w:rPr>
              <w:t xml:space="preserve">The </w:t>
            </w:r>
            <w:r w:rsidR="00E22B24">
              <w:rPr>
                <w:rFonts w:ascii="Calibri" w:hAnsi="Calibri" w:cs="Calibri"/>
                <w:sz w:val="20"/>
                <w:szCs w:val="20"/>
              </w:rPr>
              <w:t xml:space="preserve">Romanian </w:t>
            </w:r>
            <w:r w:rsidRPr="00ED0C42">
              <w:rPr>
                <w:rFonts w:ascii="Calibri" w:hAnsi="Calibri" w:cs="Calibri"/>
                <w:sz w:val="20"/>
                <w:szCs w:val="20"/>
              </w:rPr>
              <w:t>Court of Accounts may not have enough capacity and experience in auditing the new activities proposed under the Program</w:t>
            </w:r>
          </w:p>
        </w:tc>
        <w:tc>
          <w:tcPr>
            <w:tcW w:w="4230" w:type="dxa"/>
            <w:tcBorders>
              <w:top w:val="single" w:sz="4" w:space="0" w:color="000000"/>
              <w:left w:val="single" w:sz="4" w:space="0" w:color="000000"/>
              <w:bottom w:val="single" w:sz="4" w:space="0" w:color="000000"/>
              <w:right w:val="single" w:sz="4" w:space="0" w:color="000000"/>
            </w:tcBorders>
            <w:vAlign w:val="center"/>
          </w:tcPr>
          <w:p w14:paraId="481A976C" w14:textId="2D51CFAB" w:rsidR="00ED0C42" w:rsidRDefault="00ED0C42" w:rsidP="00767A4F">
            <w:pPr>
              <w:pStyle w:val="ListParagraph"/>
              <w:spacing w:line="240" w:lineRule="auto"/>
              <w:ind w:left="0"/>
              <w:jc w:val="both"/>
              <w:rPr>
                <w:rFonts w:ascii="Calibri" w:hAnsi="Calibri" w:cs="Calibri"/>
                <w:sz w:val="20"/>
                <w:szCs w:val="20"/>
              </w:rPr>
            </w:pPr>
            <w:r w:rsidRPr="00ED0C42">
              <w:rPr>
                <w:rFonts w:ascii="Calibri" w:hAnsi="Calibri" w:cs="Calibri"/>
                <w:sz w:val="20"/>
                <w:szCs w:val="20"/>
              </w:rPr>
              <w:t>The Bank will agree with the Romanian Court of Accounts</w:t>
            </w:r>
            <w:r w:rsidR="00596E5F">
              <w:rPr>
                <w:rFonts w:ascii="Calibri" w:hAnsi="Calibri" w:cs="Calibri"/>
                <w:sz w:val="20"/>
                <w:szCs w:val="20"/>
              </w:rPr>
              <w:t xml:space="preserve"> (RCoA)</w:t>
            </w:r>
            <w:r w:rsidRPr="00ED0C42">
              <w:rPr>
                <w:rFonts w:ascii="Calibri" w:hAnsi="Calibri" w:cs="Calibri"/>
                <w:sz w:val="20"/>
                <w:szCs w:val="20"/>
              </w:rPr>
              <w:t xml:space="preserve"> on the terms of reference and due dates (no later than 12 months from the end of the audited year) of the Program audit.</w:t>
            </w:r>
            <w:r w:rsidR="001844D3">
              <w:rPr>
                <w:rFonts w:ascii="Calibri" w:hAnsi="Calibri" w:cs="Calibri"/>
                <w:sz w:val="20"/>
                <w:szCs w:val="20"/>
              </w:rPr>
              <w:t xml:space="preserve"> In the interim, until the </w:t>
            </w:r>
            <w:proofErr w:type="spellStart"/>
            <w:r w:rsidR="001844D3">
              <w:rPr>
                <w:rFonts w:ascii="Calibri" w:hAnsi="Calibri" w:cs="Calibri"/>
                <w:sz w:val="20"/>
                <w:szCs w:val="20"/>
              </w:rPr>
              <w:t>RCoA`s</w:t>
            </w:r>
            <w:proofErr w:type="spellEnd"/>
            <w:r w:rsidR="001844D3">
              <w:rPr>
                <w:rFonts w:ascii="Calibri" w:hAnsi="Calibri" w:cs="Calibri"/>
                <w:sz w:val="20"/>
                <w:szCs w:val="20"/>
              </w:rPr>
              <w:t xml:space="preserve"> capacity is strengthened under a separately-funded initiative, a private firm w</w:t>
            </w:r>
            <w:r w:rsidR="001844D3">
              <w:rPr>
                <w:rFonts w:ascii="Calibri" w:hAnsi="Calibri" w:cs="Calibri"/>
                <w:sz w:val="20"/>
                <w:szCs w:val="20"/>
              </w:rPr>
              <w:t xml:space="preserve">ill </w:t>
            </w:r>
            <w:r w:rsidR="001844D3">
              <w:rPr>
                <w:rFonts w:ascii="Calibri" w:hAnsi="Calibri" w:cs="Calibri"/>
                <w:sz w:val="20"/>
                <w:szCs w:val="20"/>
              </w:rPr>
              <w:t>perform the Program audit under acceptable terms of reference.</w:t>
            </w:r>
            <w:r w:rsidRPr="00ED0C42">
              <w:rPr>
                <w:rFonts w:ascii="Calibri" w:hAnsi="Calibri" w:cs="Calibri"/>
                <w:sz w:val="20"/>
                <w:szCs w:val="20"/>
              </w:rPr>
              <w:t xml:space="preserve"> R</w:t>
            </w:r>
            <w:r w:rsidR="00596E5F">
              <w:rPr>
                <w:rFonts w:ascii="Calibri" w:hAnsi="Calibri" w:cs="Calibri"/>
                <w:sz w:val="20"/>
                <w:szCs w:val="20"/>
              </w:rPr>
              <w:t>C</w:t>
            </w:r>
            <w:r w:rsidRPr="00ED0C42">
              <w:rPr>
                <w:rFonts w:ascii="Calibri" w:hAnsi="Calibri" w:cs="Calibri"/>
                <w:sz w:val="20"/>
                <w:szCs w:val="20"/>
              </w:rPr>
              <w:t xml:space="preserve">oA capacity needs will be assessed and monitored annually as reflected in the PAP. </w:t>
            </w:r>
          </w:p>
          <w:p w14:paraId="60F1136E" w14:textId="77777777" w:rsidR="00ED0C42" w:rsidRPr="00ED0C42" w:rsidRDefault="00ED0C42" w:rsidP="004247CA">
            <w:pPr>
              <w:pStyle w:val="ListParagraph"/>
              <w:spacing w:line="240" w:lineRule="auto"/>
              <w:ind w:left="0"/>
              <w:rPr>
                <w:rFonts w:ascii="Calibri" w:hAnsi="Calibri" w:cs="Calibri"/>
                <w:sz w:val="20"/>
                <w:szCs w:val="20"/>
              </w:rPr>
            </w:pPr>
          </w:p>
          <w:p w14:paraId="6C99580E" w14:textId="3F2FD576" w:rsidR="00ED0C42" w:rsidRPr="00ED0C42" w:rsidRDefault="00ED0C42" w:rsidP="00767A4F">
            <w:pPr>
              <w:pStyle w:val="ListParagraph"/>
              <w:spacing w:line="240" w:lineRule="auto"/>
              <w:ind w:left="0"/>
              <w:jc w:val="both"/>
              <w:rPr>
                <w:rFonts w:ascii="Calibri" w:hAnsi="Calibri" w:cs="Calibri"/>
                <w:sz w:val="20"/>
                <w:szCs w:val="20"/>
              </w:rPr>
            </w:pPr>
            <w:r w:rsidRPr="00ED0C42">
              <w:rPr>
                <w:rFonts w:ascii="Calibri" w:hAnsi="Calibri" w:cs="Calibri"/>
                <w:sz w:val="20"/>
                <w:szCs w:val="20"/>
              </w:rPr>
              <w:t>Technical assistance for required audit coverage and timely reporting could be provided.</w:t>
            </w:r>
          </w:p>
        </w:tc>
        <w:tc>
          <w:tcPr>
            <w:tcW w:w="2160" w:type="dxa"/>
            <w:tcBorders>
              <w:top w:val="single" w:sz="4" w:space="0" w:color="000000"/>
              <w:left w:val="single" w:sz="4" w:space="0" w:color="000000"/>
              <w:bottom w:val="single" w:sz="4" w:space="0" w:color="000000"/>
              <w:right w:val="single" w:sz="4" w:space="0" w:color="000000"/>
            </w:tcBorders>
            <w:vAlign w:val="center"/>
          </w:tcPr>
          <w:p w14:paraId="51D40599" w14:textId="645FEF8F" w:rsidR="00ED0C42" w:rsidRPr="00ED0C42" w:rsidRDefault="00ED0C42" w:rsidP="00ED0C42">
            <w:pPr>
              <w:pStyle w:val="ListParagraph"/>
              <w:spacing w:after="0" w:line="240" w:lineRule="auto"/>
              <w:ind w:left="0"/>
              <w:rPr>
                <w:rFonts w:ascii="Calibri" w:hAnsi="Calibri" w:cs="Calibri"/>
                <w:sz w:val="20"/>
                <w:szCs w:val="20"/>
              </w:rPr>
            </w:pPr>
            <w:r>
              <w:rPr>
                <w:rFonts w:ascii="Calibri" w:hAnsi="Calibri" w:cs="Calibri"/>
                <w:sz w:val="20"/>
                <w:szCs w:val="20"/>
              </w:rPr>
              <w:t>PAP</w:t>
            </w:r>
          </w:p>
        </w:tc>
        <w:tc>
          <w:tcPr>
            <w:tcW w:w="1260" w:type="dxa"/>
            <w:tcBorders>
              <w:top w:val="single" w:sz="4" w:space="0" w:color="000000"/>
              <w:left w:val="single" w:sz="4" w:space="0" w:color="000000"/>
              <w:bottom w:val="single" w:sz="4" w:space="0" w:color="000000"/>
              <w:right w:val="single" w:sz="4" w:space="0" w:color="000000"/>
            </w:tcBorders>
            <w:vAlign w:val="center"/>
          </w:tcPr>
          <w:p w14:paraId="4DE7A9CE" w14:textId="5E4F6761" w:rsidR="00ED0C42" w:rsidRDefault="00ED0C42" w:rsidP="00ED0C42">
            <w:pPr>
              <w:pStyle w:val="ListParagraph"/>
              <w:spacing w:after="0" w:line="240" w:lineRule="auto"/>
              <w:ind w:left="0"/>
              <w:rPr>
                <w:rFonts w:ascii="Calibri" w:hAnsi="Calibri" w:cs="Calibri"/>
                <w:sz w:val="20"/>
                <w:szCs w:val="20"/>
              </w:rPr>
            </w:pPr>
            <w:r>
              <w:rPr>
                <w:rFonts w:ascii="Calibri" w:hAnsi="Calibri" w:cs="Calibri"/>
                <w:sz w:val="20"/>
                <w:szCs w:val="20"/>
              </w:rPr>
              <w:t>Substantial</w:t>
            </w:r>
          </w:p>
        </w:tc>
        <w:tc>
          <w:tcPr>
            <w:tcW w:w="1440" w:type="dxa"/>
            <w:tcBorders>
              <w:top w:val="single" w:sz="4" w:space="0" w:color="000000"/>
              <w:left w:val="single" w:sz="4" w:space="0" w:color="000000"/>
              <w:bottom w:val="single" w:sz="4" w:space="0" w:color="000000"/>
              <w:right w:val="single" w:sz="4" w:space="0" w:color="000000"/>
            </w:tcBorders>
            <w:vAlign w:val="center"/>
          </w:tcPr>
          <w:p w14:paraId="4B6A1AE7" w14:textId="6C1A8859" w:rsidR="00ED0C42" w:rsidRDefault="00ED0C42" w:rsidP="00ED0C42">
            <w:pPr>
              <w:pStyle w:val="ListParagraph"/>
              <w:spacing w:after="0" w:line="240" w:lineRule="auto"/>
              <w:ind w:left="0"/>
              <w:rPr>
                <w:rFonts w:ascii="Calibri" w:hAnsi="Calibri" w:cs="Calibri"/>
                <w:sz w:val="20"/>
                <w:szCs w:val="20"/>
              </w:rPr>
            </w:pPr>
            <w:r>
              <w:rPr>
                <w:rFonts w:ascii="Calibri" w:hAnsi="Calibri" w:cs="Calibri"/>
                <w:sz w:val="20"/>
                <w:szCs w:val="20"/>
              </w:rPr>
              <w:t>RCoA</w:t>
            </w:r>
          </w:p>
        </w:tc>
        <w:tc>
          <w:tcPr>
            <w:tcW w:w="1170" w:type="dxa"/>
            <w:tcBorders>
              <w:top w:val="single" w:sz="4" w:space="0" w:color="000000"/>
              <w:left w:val="single" w:sz="4" w:space="0" w:color="000000"/>
              <w:bottom w:val="single" w:sz="4" w:space="0" w:color="000000"/>
              <w:right w:val="single" w:sz="4" w:space="0" w:color="000000"/>
            </w:tcBorders>
            <w:vAlign w:val="center"/>
          </w:tcPr>
          <w:p w14:paraId="4096EC4E" w14:textId="647DAA82" w:rsidR="00ED0C42" w:rsidRPr="00ED0C42" w:rsidRDefault="00ED0C42" w:rsidP="00ED0C42">
            <w:pPr>
              <w:pStyle w:val="ListParagraph"/>
              <w:spacing w:after="0" w:line="240" w:lineRule="auto"/>
              <w:ind w:left="0"/>
              <w:rPr>
                <w:rFonts w:ascii="Calibri" w:hAnsi="Calibri" w:cs="Calibri"/>
                <w:sz w:val="20"/>
                <w:szCs w:val="20"/>
              </w:rPr>
            </w:pPr>
            <w:r>
              <w:rPr>
                <w:rFonts w:ascii="Calibri" w:hAnsi="Calibri" w:cs="Calibri"/>
                <w:sz w:val="20"/>
                <w:szCs w:val="20"/>
              </w:rPr>
              <w:t>2020-2023</w:t>
            </w:r>
          </w:p>
        </w:tc>
      </w:tr>
      <w:tr w:rsidR="00873249" w:rsidRPr="004247CA" w14:paraId="2BEB03B9" w14:textId="77777777" w:rsidTr="004247CA">
        <w:trPr>
          <w:trHeight w:val="296"/>
          <w:tblHeader/>
        </w:trPr>
        <w:tc>
          <w:tcPr>
            <w:tcW w:w="13860" w:type="dxa"/>
            <w:gridSpan w:val="6"/>
            <w:tcBorders>
              <w:top w:val="single" w:sz="4" w:space="0" w:color="000000"/>
              <w:left w:val="single" w:sz="4" w:space="0" w:color="000000"/>
              <w:bottom w:val="single" w:sz="4" w:space="0" w:color="000000"/>
              <w:right w:val="single" w:sz="4" w:space="0" w:color="000000"/>
            </w:tcBorders>
          </w:tcPr>
          <w:p w14:paraId="003FD56A" w14:textId="7E67F782" w:rsidR="00873249" w:rsidRPr="004247CA" w:rsidRDefault="00873249" w:rsidP="00873249">
            <w:pPr>
              <w:pStyle w:val="ListParagraph"/>
              <w:spacing w:after="0" w:line="240" w:lineRule="auto"/>
              <w:ind w:left="0"/>
              <w:rPr>
                <w:rFonts w:ascii="Calibri" w:hAnsi="Calibri" w:cs="Calibri"/>
                <w:b/>
                <w:sz w:val="20"/>
                <w:szCs w:val="20"/>
              </w:rPr>
            </w:pPr>
            <w:r w:rsidRPr="004247CA">
              <w:rPr>
                <w:rFonts w:ascii="Calibri" w:hAnsi="Calibri" w:cs="Calibri"/>
                <w:b/>
                <w:sz w:val="20"/>
                <w:szCs w:val="20"/>
              </w:rPr>
              <w:t>Internal Control and Oversight</w:t>
            </w:r>
          </w:p>
        </w:tc>
      </w:tr>
      <w:tr w:rsidR="00ED0C42" w:rsidRPr="004247CA" w14:paraId="36F406EA" w14:textId="77777777" w:rsidTr="00ED0C42">
        <w:trPr>
          <w:trHeight w:val="711"/>
          <w:tblHeader/>
        </w:trPr>
        <w:tc>
          <w:tcPr>
            <w:tcW w:w="3600" w:type="dxa"/>
            <w:tcBorders>
              <w:top w:val="single" w:sz="4" w:space="0" w:color="000000"/>
              <w:left w:val="single" w:sz="4" w:space="0" w:color="000000"/>
              <w:bottom w:val="single" w:sz="4" w:space="0" w:color="000000"/>
              <w:right w:val="single" w:sz="4" w:space="0" w:color="000000"/>
            </w:tcBorders>
            <w:vAlign w:val="center"/>
          </w:tcPr>
          <w:p w14:paraId="0BE99331" w14:textId="6D5E021C" w:rsidR="00ED0C42" w:rsidRPr="00ED0C42" w:rsidRDefault="00873249" w:rsidP="00767A4F">
            <w:pPr>
              <w:pStyle w:val="ListParagraph"/>
              <w:spacing w:after="0" w:line="240" w:lineRule="auto"/>
              <w:ind w:left="0"/>
              <w:jc w:val="both"/>
              <w:rPr>
                <w:rFonts w:ascii="Calibri" w:hAnsi="Calibri" w:cs="Calibri"/>
                <w:sz w:val="20"/>
                <w:szCs w:val="20"/>
              </w:rPr>
            </w:pPr>
            <w:r w:rsidRPr="00873249">
              <w:rPr>
                <w:rFonts w:ascii="Calibri" w:hAnsi="Calibri" w:cs="Calibri"/>
                <w:sz w:val="20"/>
                <w:szCs w:val="20"/>
              </w:rPr>
              <w:t>Capacity constraints in the oversight of primary and community care staffing and related expenses by MoH and NHIH</w:t>
            </w:r>
          </w:p>
        </w:tc>
        <w:tc>
          <w:tcPr>
            <w:tcW w:w="4230" w:type="dxa"/>
            <w:tcBorders>
              <w:top w:val="single" w:sz="4" w:space="0" w:color="000000"/>
              <w:left w:val="single" w:sz="4" w:space="0" w:color="000000"/>
              <w:bottom w:val="single" w:sz="4" w:space="0" w:color="000000"/>
              <w:right w:val="single" w:sz="4" w:space="0" w:color="000000"/>
            </w:tcBorders>
            <w:vAlign w:val="center"/>
          </w:tcPr>
          <w:p w14:paraId="0C1400C9" w14:textId="3372D873" w:rsidR="006E159F" w:rsidRDefault="006E159F" w:rsidP="00767A4F">
            <w:pPr>
              <w:pStyle w:val="ListParagraph"/>
              <w:spacing w:after="0" w:line="240" w:lineRule="auto"/>
              <w:ind w:left="0"/>
              <w:jc w:val="both"/>
              <w:rPr>
                <w:rFonts w:ascii="Calibri" w:hAnsi="Calibri" w:cs="Calibri"/>
                <w:sz w:val="20"/>
                <w:szCs w:val="20"/>
              </w:rPr>
            </w:pPr>
            <w:r w:rsidRPr="006E159F">
              <w:rPr>
                <w:rFonts w:ascii="Calibri" w:hAnsi="Calibri" w:cs="Calibri"/>
                <w:sz w:val="20"/>
                <w:szCs w:val="20"/>
              </w:rPr>
              <w:t xml:space="preserve">The Program finances activities to enhance the quality of monitoring. (i.e., integrating health systems for better monitoring, public disclosure of relevant data, establishment of a unit for governance of primary and community health care in the MoH, revision of clinical protocols, etc.) </w:t>
            </w:r>
          </w:p>
          <w:p w14:paraId="57E68A9E" w14:textId="77777777" w:rsidR="006E159F" w:rsidRPr="006E159F" w:rsidRDefault="006E159F" w:rsidP="004247CA">
            <w:pPr>
              <w:pStyle w:val="ListParagraph"/>
              <w:spacing w:after="0" w:line="240" w:lineRule="auto"/>
              <w:ind w:left="0"/>
              <w:rPr>
                <w:rFonts w:ascii="Calibri" w:hAnsi="Calibri" w:cs="Calibri"/>
                <w:sz w:val="20"/>
                <w:szCs w:val="20"/>
              </w:rPr>
            </w:pPr>
          </w:p>
          <w:p w14:paraId="08BAB0BA" w14:textId="77777777" w:rsidR="006E159F" w:rsidRDefault="006E159F" w:rsidP="00767A4F">
            <w:pPr>
              <w:pStyle w:val="ListParagraph"/>
              <w:spacing w:after="0" w:line="240" w:lineRule="auto"/>
              <w:ind w:left="0"/>
              <w:jc w:val="both"/>
              <w:rPr>
                <w:rFonts w:ascii="Calibri" w:hAnsi="Calibri" w:cs="Calibri"/>
                <w:sz w:val="20"/>
                <w:szCs w:val="20"/>
              </w:rPr>
            </w:pPr>
            <w:r w:rsidRPr="006E159F">
              <w:rPr>
                <w:rFonts w:ascii="Calibri" w:hAnsi="Calibri" w:cs="Calibri"/>
                <w:sz w:val="20"/>
                <w:szCs w:val="20"/>
              </w:rPr>
              <w:t xml:space="preserve">The proposed revisions in the Framework Contract expanding of scope of primary care services and payment mechanisms should be duly reflected in the NHIH`s internal procedures. </w:t>
            </w:r>
          </w:p>
          <w:p w14:paraId="7FC89682" w14:textId="77777777" w:rsidR="006E159F" w:rsidRDefault="006E159F" w:rsidP="006E159F">
            <w:pPr>
              <w:pStyle w:val="ListParagraph"/>
              <w:spacing w:after="0" w:line="240" w:lineRule="auto"/>
              <w:ind w:left="0"/>
              <w:rPr>
                <w:rFonts w:ascii="Calibri" w:hAnsi="Calibri" w:cs="Calibri"/>
                <w:sz w:val="20"/>
                <w:szCs w:val="20"/>
              </w:rPr>
            </w:pPr>
          </w:p>
          <w:p w14:paraId="1AC086F6" w14:textId="118881F4" w:rsidR="00ED0C42" w:rsidRPr="00ED0C42" w:rsidRDefault="001844D3" w:rsidP="00767A4F">
            <w:pPr>
              <w:pStyle w:val="ListParagraph"/>
              <w:spacing w:after="0" w:line="240" w:lineRule="auto"/>
              <w:ind w:left="0"/>
              <w:jc w:val="both"/>
              <w:rPr>
                <w:rFonts w:ascii="Calibri" w:hAnsi="Calibri" w:cs="Calibri"/>
                <w:sz w:val="20"/>
                <w:szCs w:val="20"/>
              </w:rPr>
            </w:pPr>
            <w:proofErr w:type="spellStart"/>
            <w:r>
              <w:rPr>
                <w:rFonts w:ascii="Calibri" w:hAnsi="Calibri" w:cs="Calibri"/>
                <w:sz w:val="20"/>
                <w:szCs w:val="20"/>
              </w:rPr>
              <w:t>The</w:t>
            </w:r>
            <w:r w:rsidR="006E159F" w:rsidRPr="006E159F">
              <w:rPr>
                <w:rFonts w:ascii="Calibri" w:hAnsi="Calibri" w:cs="Calibri"/>
                <w:sz w:val="20"/>
                <w:szCs w:val="20"/>
              </w:rPr>
              <w:t>institutions</w:t>
            </w:r>
            <w:proofErr w:type="spellEnd"/>
            <w:r w:rsidR="006E159F" w:rsidRPr="006E159F">
              <w:rPr>
                <w:rFonts w:ascii="Calibri" w:hAnsi="Calibri" w:cs="Calibri"/>
                <w:sz w:val="20"/>
                <w:szCs w:val="20"/>
              </w:rPr>
              <w:t>’ capacity to oversee and monitor performance</w:t>
            </w:r>
            <w:r>
              <w:rPr>
                <w:rFonts w:ascii="Calibri" w:hAnsi="Calibri" w:cs="Calibri"/>
                <w:sz w:val="20"/>
                <w:szCs w:val="20"/>
              </w:rPr>
              <w:t xml:space="preserve"> will be monitored during the Bank`s regular implementation support and supervision missions</w:t>
            </w:r>
            <w:r w:rsidR="006E159F" w:rsidRPr="006E159F">
              <w:rPr>
                <w:rFonts w:ascii="Calibri" w:hAnsi="Calibri" w:cs="Calibri"/>
                <w:sz w:val="20"/>
                <w:szCs w:val="20"/>
              </w:rPr>
              <w:t>.</w:t>
            </w:r>
          </w:p>
        </w:tc>
        <w:tc>
          <w:tcPr>
            <w:tcW w:w="2160" w:type="dxa"/>
            <w:tcBorders>
              <w:top w:val="single" w:sz="4" w:space="0" w:color="000000"/>
              <w:left w:val="single" w:sz="4" w:space="0" w:color="000000"/>
              <w:bottom w:val="single" w:sz="4" w:space="0" w:color="000000"/>
              <w:right w:val="single" w:sz="4" w:space="0" w:color="000000"/>
            </w:tcBorders>
            <w:vAlign w:val="center"/>
          </w:tcPr>
          <w:p w14:paraId="67063BC5" w14:textId="3CEE1906" w:rsidR="00ED0C42" w:rsidRPr="00ED0C42" w:rsidRDefault="000C5176" w:rsidP="00ED0C42">
            <w:pPr>
              <w:pStyle w:val="ListParagraph"/>
              <w:spacing w:after="0" w:line="240" w:lineRule="auto"/>
              <w:ind w:left="0"/>
              <w:rPr>
                <w:rFonts w:ascii="Calibri" w:hAnsi="Calibri" w:cs="Calibri"/>
              </w:rPr>
            </w:pPr>
            <w:r>
              <w:rPr>
                <w:rFonts w:ascii="Calibri" w:hAnsi="Calibri" w:cs="Calibri"/>
              </w:rPr>
              <w:t>ISSP</w:t>
            </w:r>
          </w:p>
        </w:tc>
        <w:tc>
          <w:tcPr>
            <w:tcW w:w="1260" w:type="dxa"/>
            <w:tcBorders>
              <w:top w:val="single" w:sz="4" w:space="0" w:color="000000"/>
              <w:left w:val="single" w:sz="4" w:space="0" w:color="000000"/>
              <w:bottom w:val="single" w:sz="4" w:space="0" w:color="000000"/>
              <w:right w:val="single" w:sz="4" w:space="0" w:color="000000"/>
            </w:tcBorders>
            <w:vAlign w:val="center"/>
          </w:tcPr>
          <w:p w14:paraId="752FDB71" w14:textId="5B3FF2D2" w:rsidR="00ED0C42" w:rsidRPr="00ED0C42" w:rsidRDefault="006E159F" w:rsidP="00ED0C42">
            <w:pPr>
              <w:pStyle w:val="ListParagraph"/>
              <w:spacing w:after="0" w:line="240" w:lineRule="auto"/>
              <w:ind w:left="0"/>
              <w:rPr>
                <w:rFonts w:ascii="Calibri" w:hAnsi="Calibri" w:cs="Calibri"/>
                <w:sz w:val="20"/>
                <w:szCs w:val="20"/>
              </w:rPr>
            </w:pPr>
            <w:r>
              <w:rPr>
                <w:rFonts w:ascii="Calibri" w:hAnsi="Calibri" w:cs="Calibri"/>
                <w:sz w:val="20"/>
                <w:szCs w:val="20"/>
              </w:rPr>
              <w:t>Substantial</w:t>
            </w:r>
          </w:p>
        </w:tc>
        <w:tc>
          <w:tcPr>
            <w:tcW w:w="1440" w:type="dxa"/>
            <w:tcBorders>
              <w:top w:val="single" w:sz="4" w:space="0" w:color="000000"/>
              <w:left w:val="single" w:sz="4" w:space="0" w:color="000000"/>
              <w:bottom w:val="single" w:sz="4" w:space="0" w:color="000000"/>
              <w:right w:val="single" w:sz="4" w:space="0" w:color="000000"/>
            </w:tcBorders>
            <w:vAlign w:val="center"/>
          </w:tcPr>
          <w:p w14:paraId="480266F3" w14:textId="1A440847" w:rsidR="00ED0C42" w:rsidRPr="00ED0C42" w:rsidRDefault="006E159F" w:rsidP="00ED0C42">
            <w:pPr>
              <w:pStyle w:val="ListParagraph"/>
              <w:spacing w:after="0" w:line="240" w:lineRule="auto"/>
              <w:ind w:left="0"/>
              <w:rPr>
                <w:rFonts w:ascii="Calibri" w:hAnsi="Calibri" w:cs="Calibri"/>
                <w:sz w:val="20"/>
                <w:szCs w:val="20"/>
              </w:rPr>
            </w:pPr>
            <w:r>
              <w:rPr>
                <w:rFonts w:ascii="Calibri" w:hAnsi="Calibri" w:cs="Calibri"/>
                <w:sz w:val="20"/>
                <w:szCs w:val="20"/>
              </w:rPr>
              <w:t xml:space="preserve">MoH/NHIH </w:t>
            </w:r>
          </w:p>
        </w:tc>
        <w:tc>
          <w:tcPr>
            <w:tcW w:w="1170" w:type="dxa"/>
            <w:tcBorders>
              <w:top w:val="single" w:sz="4" w:space="0" w:color="000000"/>
              <w:left w:val="single" w:sz="4" w:space="0" w:color="000000"/>
              <w:bottom w:val="single" w:sz="4" w:space="0" w:color="000000"/>
              <w:right w:val="single" w:sz="4" w:space="0" w:color="000000"/>
            </w:tcBorders>
            <w:vAlign w:val="center"/>
          </w:tcPr>
          <w:p w14:paraId="1F345D82" w14:textId="102BB198" w:rsidR="00ED0C42" w:rsidRPr="00ED0C42" w:rsidRDefault="006E159F" w:rsidP="00ED0C42">
            <w:pPr>
              <w:pStyle w:val="ListParagraph"/>
              <w:spacing w:after="0" w:line="240" w:lineRule="auto"/>
              <w:ind w:left="0"/>
              <w:rPr>
                <w:rFonts w:ascii="Calibri" w:hAnsi="Calibri" w:cs="Calibri"/>
                <w:sz w:val="20"/>
                <w:szCs w:val="20"/>
              </w:rPr>
            </w:pPr>
            <w:r>
              <w:rPr>
                <w:rFonts w:ascii="Calibri" w:hAnsi="Calibri" w:cs="Calibri"/>
                <w:sz w:val="20"/>
                <w:szCs w:val="20"/>
              </w:rPr>
              <w:t>2020-2023</w:t>
            </w:r>
          </w:p>
        </w:tc>
      </w:tr>
      <w:tr w:rsidR="006E159F" w:rsidRPr="004247CA" w14:paraId="199DA901" w14:textId="77777777" w:rsidTr="00ED0C42">
        <w:trPr>
          <w:trHeight w:val="711"/>
          <w:tblHeader/>
        </w:trPr>
        <w:tc>
          <w:tcPr>
            <w:tcW w:w="3600" w:type="dxa"/>
            <w:tcBorders>
              <w:top w:val="single" w:sz="4" w:space="0" w:color="000000"/>
              <w:left w:val="single" w:sz="4" w:space="0" w:color="000000"/>
              <w:bottom w:val="single" w:sz="4" w:space="0" w:color="000000"/>
              <w:right w:val="single" w:sz="4" w:space="0" w:color="000000"/>
            </w:tcBorders>
            <w:vAlign w:val="center"/>
          </w:tcPr>
          <w:p w14:paraId="69075D6F" w14:textId="4C4F2010" w:rsidR="006E159F" w:rsidRPr="00ED0C42" w:rsidRDefault="006E159F" w:rsidP="006E159F">
            <w:pPr>
              <w:pStyle w:val="ListParagraph"/>
              <w:spacing w:after="0" w:line="240" w:lineRule="auto"/>
              <w:ind w:left="0"/>
              <w:rPr>
                <w:rFonts w:ascii="Calibri" w:hAnsi="Calibri" w:cs="Calibri"/>
                <w:sz w:val="20"/>
                <w:szCs w:val="20"/>
              </w:rPr>
            </w:pPr>
            <w:r w:rsidRPr="006E159F">
              <w:rPr>
                <w:rFonts w:ascii="Calibri" w:hAnsi="Calibri" w:cs="Calibri"/>
                <w:sz w:val="20"/>
                <w:szCs w:val="20"/>
              </w:rPr>
              <w:lastRenderedPageBreak/>
              <w:t>Weaknesses in internal controls and oversight of the State Aid financing scheme for family physicians by the MoPF</w:t>
            </w:r>
          </w:p>
        </w:tc>
        <w:tc>
          <w:tcPr>
            <w:tcW w:w="4230" w:type="dxa"/>
            <w:tcBorders>
              <w:top w:val="single" w:sz="4" w:space="0" w:color="000000"/>
              <w:left w:val="single" w:sz="4" w:space="0" w:color="000000"/>
              <w:bottom w:val="single" w:sz="4" w:space="0" w:color="000000"/>
              <w:right w:val="single" w:sz="4" w:space="0" w:color="000000"/>
            </w:tcBorders>
            <w:vAlign w:val="center"/>
          </w:tcPr>
          <w:p w14:paraId="5A984C48" w14:textId="03E48B93" w:rsidR="006E159F" w:rsidRPr="00ED0C42" w:rsidRDefault="006E159F" w:rsidP="00767A4F">
            <w:pPr>
              <w:pStyle w:val="ListParagraph"/>
              <w:spacing w:after="0" w:line="240" w:lineRule="auto"/>
              <w:ind w:left="0"/>
              <w:jc w:val="both"/>
              <w:rPr>
                <w:rFonts w:ascii="Calibri" w:hAnsi="Calibri" w:cs="Calibri"/>
                <w:sz w:val="20"/>
                <w:szCs w:val="20"/>
              </w:rPr>
            </w:pPr>
            <w:r w:rsidRPr="006E159F">
              <w:rPr>
                <w:rFonts w:ascii="Calibri" w:hAnsi="Calibri" w:cs="Calibri"/>
                <w:sz w:val="20"/>
                <w:szCs w:val="20"/>
              </w:rPr>
              <w:t>Technical assistance for establishing the scheme, including a system of internal controls, performance monitoring and oversight</w:t>
            </w:r>
            <w:r w:rsidR="001844D3">
              <w:rPr>
                <w:rFonts w:ascii="Calibri" w:hAnsi="Calibri" w:cs="Calibri"/>
                <w:sz w:val="20"/>
                <w:szCs w:val="20"/>
              </w:rPr>
              <w:t>.</w:t>
            </w:r>
          </w:p>
        </w:tc>
        <w:tc>
          <w:tcPr>
            <w:tcW w:w="2160" w:type="dxa"/>
            <w:tcBorders>
              <w:top w:val="single" w:sz="4" w:space="0" w:color="000000"/>
              <w:left w:val="single" w:sz="4" w:space="0" w:color="000000"/>
              <w:bottom w:val="single" w:sz="4" w:space="0" w:color="000000"/>
              <w:right w:val="single" w:sz="4" w:space="0" w:color="000000"/>
            </w:tcBorders>
            <w:vAlign w:val="center"/>
          </w:tcPr>
          <w:p w14:paraId="1FB341A5" w14:textId="5F412D9D" w:rsidR="006E159F" w:rsidRPr="00ED0C42" w:rsidRDefault="006E159F" w:rsidP="006E159F">
            <w:pPr>
              <w:pStyle w:val="ListParagraph"/>
              <w:spacing w:after="0" w:line="240" w:lineRule="auto"/>
              <w:ind w:left="0"/>
              <w:rPr>
                <w:rFonts w:ascii="Calibri" w:hAnsi="Calibri" w:cs="Calibri"/>
              </w:rPr>
            </w:pPr>
            <w:r>
              <w:rPr>
                <w:rFonts w:ascii="Calibri" w:hAnsi="Calibri" w:cs="Calibri"/>
              </w:rPr>
              <w:t>PAP</w:t>
            </w:r>
          </w:p>
        </w:tc>
        <w:tc>
          <w:tcPr>
            <w:tcW w:w="1260" w:type="dxa"/>
            <w:tcBorders>
              <w:top w:val="single" w:sz="4" w:space="0" w:color="000000"/>
              <w:left w:val="single" w:sz="4" w:space="0" w:color="000000"/>
              <w:bottom w:val="single" w:sz="4" w:space="0" w:color="000000"/>
              <w:right w:val="single" w:sz="4" w:space="0" w:color="000000"/>
            </w:tcBorders>
            <w:vAlign w:val="center"/>
          </w:tcPr>
          <w:p w14:paraId="3AEA2877" w14:textId="627FBD78" w:rsidR="006E159F" w:rsidRPr="00ED0C42" w:rsidRDefault="006E159F" w:rsidP="006E159F">
            <w:pPr>
              <w:pStyle w:val="ListParagraph"/>
              <w:spacing w:after="0" w:line="240" w:lineRule="auto"/>
              <w:ind w:left="0"/>
              <w:rPr>
                <w:rFonts w:ascii="Calibri" w:hAnsi="Calibri" w:cs="Calibri"/>
                <w:sz w:val="20"/>
                <w:szCs w:val="20"/>
              </w:rPr>
            </w:pPr>
            <w:r>
              <w:rPr>
                <w:rFonts w:ascii="Calibri" w:hAnsi="Calibri" w:cs="Calibri"/>
                <w:sz w:val="20"/>
                <w:szCs w:val="20"/>
              </w:rPr>
              <w:t>Substantial</w:t>
            </w:r>
          </w:p>
        </w:tc>
        <w:tc>
          <w:tcPr>
            <w:tcW w:w="1440" w:type="dxa"/>
            <w:tcBorders>
              <w:top w:val="single" w:sz="4" w:space="0" w:color="000000"/>
              <w:left w:val="single" w:sz="4" w:space="0" w:color="000000"/>
              <w:bottom w:val="single" w:sz="4" w:space="0" w:color="000000"/>
              <w:right w:val="single" w:sz="4" w:space="0" w:color="000000"/>
            </w:tcBorders>
            <w:vAlign w:val="center"/>
          </w:tcPr>
          <w:p w14:paraId="441F28AF" w14:textId="29CAC5D4" w:rsidR="006E159F" w:rsidRPr="00ED0C42" w:rsidRDefault="006E159F" w:rsidP="006E159F">
            <w:pPr>
              <w:pStyle w:val="ListParagraph"/>
              <w:spacing w:after="0" w:line="240" w:lineRule="auto"/>
              <w:ind w:left="0"/>
              <w:rPr>
                <w:rFonts w:ascii="Calibri" w:hAnsi="Calibri" w:cs="Calibri"/>
                <w:sz w:val="20"/>
                <w:szCs w:val="20"/>
              </w:rPr>
            </w:pPr>
            <w:r>
              <w:rPr>
                <w:rFonts w:ascii="Calibri" w:hAnsi="Calibri" w:cs="Calibri"/>
                <w:sz w:val="20"/>
                <w:szCs w:val="20"/>
              </w:rPr>
              <w:t xml:space="preserve">MoPF/NHIH </w:t>
            </w:r>
          </w:p>
        </w:tc>
        <w:tc>
          <w:tcPr>
            <w:tcW w:w="1170" w:type="dxa"/>
            <w:tcBorders>
              <w:top w:val="single" w:sz="4" w:space="0" w:color="000000"/>
              <w:left w:val="single" w:sz="4" w:space="0" w:color="000000"/>
              <w:bottom w:val="single" w:sz="4" w:space="0" w:color="000000"/>
              <w:right w:val="single" w:sz="4" w:space="0" w:color="000000"/>
            </w:tcBorders>
            <w:vAlign w:val="center"/>
          </w:tcPr>
          <w:p w14:paraId="7A68980A" w14:textId="33ABB880" w:rsidR="006E159F" w:rsidRPr="00ED0C42" w:rsidRDefault="006E159F" w:rsidP="006E159F">
            <w:pPr>
              <w:pStyle w:val="ListParagraph"/>
              <w:spacing w:after="0" w:line="240" w:lineRule="auto"/>
              <w:ind w:left="0"/>
              <w:rPr>
                <w:rFonts w:ascii="Calibri" w:hAnsi="Calibri" w:cs="Calibri"/>
                <w:sz w:val="20"/>
                <w:szCs w:val="20"/>
              </w:rPr>
            </w:pPr>
            <w:r>
              <w:rPr>
                <w:rFonts w:ascii="Calibri" w:hAnsi="Calibri" w:cs="Calibri"/>
                <w:sz w:val="20"/>
                <w:szCs w:val="20"/>
              </w:rPr>
              <w:t>2020-2023</w:t>
            </w:r>
          </w:p>
        </w:tc>
      </w:tr>
      <w:tr w:rsidR="006E159F" w:rsidRPr="004247CA" w14:paraId="2B0445C3" w14:textId="77777777" w:rsidTr="00ED0C42">
        <w:trPr>
          <w:trHeight w:val="711"/>
          <w:tblHeader/>
        </w:trPr>
        <w:tc>
          <w:tcPr>
            <w:tcW w:w="3600" w:type="dxa"/>
            <w:tcBorders>
              <w:top w:val="single" w:sz="4" w:space="0" w:color="000000"/>
              <w:left w:val="single" w:sz="4" w:space="0" w:color="000000"/>
              <w:bottom w:val="single" w:sz="4" w:space="0" w:color="000000"/>
              <w:right w:val="single" w:sz="4" w:space="0" w:color="000000"/>
            </w:tcBorders>
            <w:vAlign w:val="center"/>
          </w:tcPr>
          <w:p w14:paraId="5AAFB234" w14:textId="1822D744" w:rsidR="006E159F" w:rsidRPr="00ED0C42" w:rsidRDefault="006E159F" w:rsidP="00767A4F">
            <w:pPr>
              <w:pStyle w:val="ListParagraph"/>
              <w:spacing w:after="0" w:line="240" w:lineRule="auto"/>
              <w:ind w:left="0"/>
              <w:jc w:val="both"/>
              <w:rPr>
                <w:rFonts w:ascii="Calibri" w:hAnsi="Calibri" w:cs="Calibri"/>
                <w:sz w:val="20"/>
                <w:szCs w:val="20"/>
              </w:rPr>
            </w:pPr>
            <w:r w:rsidRPr="006E159F">
              <w:rPr>
                <w:rFonts w:ascii="Calibri" w:hAnsi="Calibri" w:cs="Calibri"/>
                <w:sz w:val="20"/>
                <w:szCs w:val="20"/>
              </w:rPr>
              <w:t>Weaknesses in internal controls and oversight of the performance-based financing mechanism for family physicians at NHIH</w:t>
            </w:r>
          </w:p>
        </w:tc>
        <w:tc>
          <w:tcPr>
            <w:tcW w:w="4230" w:type="dxa"/>
            <w:tcBorders>
              <w:top w:val="single" w:sz="4" w:space="0" w:color="000000"/>
              <w:left w:val="single" w:sz="4" w:space="0" w:color="000000"/>
              <w:bottom w:val="single" w:sz="4" w:space="0" w:color="000000"/>
              <w:right w:val="single" w:sz="4" w:space="0" w:color="000000"/>
            </w:tcBorders>
            <w:vAlign w:val="center"/>
          </w:tcPr>
          <w:p w14:paraId="21545E3E" w14:textId="1ACEB7E3" w:rsidR="006E159F" w:rsidRPr="00ED0C42" w:rsidRDefault="006E159F" w:rsidP="00767A4F">
            <w:pPr>
              <w:pStyle w:val="ListParagraph"/>
              <w:spacing w:after="0" w:line="240" w:lineRule="auto"/>
              <w:ind w:left="0"/>
              <w:jc w:val="both"/>
              <w:rPr>
                <w:rFonts w:ascii="Calibri" w:hAnsi="Calibri" w:cs="Calibri"/>
                <w:sz w:val="20"/>
                <w:szCs w:val="20"/>
              </w:rPr>
            </w:pPr>
            <w:r w:rsidRPr="006E159F">
              <w:rPr>
                <w:rFonts w:ascii="Calibri" w:hAnsi="Calibri" w:cs="Calibri"/>
                <w:sz w:val="20"/>
                <w:szCs w:val="20"/>
              </w:rPr>
              <w:t xml:space="preserve">Technical assistance for establishing the mechanism, including a system of internal controls, performance monitoring and oversight </w:t>
            </w:r>
          </w:p>
        </w:tc>
        <w:tc>
          <w:tcPr>
            <w:tcW w:w="2160" w:type="dxa"/>
            <w:tcBorders>
              <w:top w:val="single" w:sz="4" w:space="0" w:color="000000"/>
              <w:left w:val="single" w:sz="4" w:space="0" w:color="000000"/>
              <w:bottom w:val="single" w:sz="4" w:space="0" w:color="000000"/>
              <w:right w:val="single" w:sz="4" w:space="0" w:color="000000"/>
            </w:tcBorders>
            <w:vAlign w:val="center"/>
          </w:tcPr>
          <w:p w14:paraId="3CB032D6" w14:textId="1542DB8A" w:rsidR="006E159F" w:rsidRPr="00ED0C42" w:rsidRDefault="000C5176" w:rsidP="006E159F">
            <w:pPr>
              <w:pStyle w:val="ListParagraph"/>
              <w:spacing w:after="0" w:line="240" w:lineRule="auto"/>
              <w:ind w:left="0"/>
              <w:rPr>
                <w:rFonts w:ascii="Calibri" w:hAnsi="Calibri" w:cs="Calibri"/>
              </w:rPr>
            </w:pPr>
            <w:r>
              <w:rPr>
                <w:rFonts w:ascii="Calibri" w:hAnsi="Calibri" w:cs="Calibri"/>
              </w:rPr>
              <w:t>ISSP</w:t>
            </w:r>
          </w:p>
        </w:tc>
        <w:tc>
          <w:tcPr>
            <w:tcW w:w="1260" w:type="dxa"/>
            <w:tcBorders>
              <w:top w:val="single" w:sz="4" w:space="0" w:color="000000"/>
              <w:left w:val="single" w:sz="4" w:space="0" w:color="000000"/>
              <w:bottom w:val="single" w:sz="4" w:space="0" w:color="000000"/>
              <w:right w:val="single" w:sz="4" w:space="0" w:color="000000"/>
            </w:tcBorders>
            <w:vAlign w:val="center"/>
          </w:tcPr>
          <w:p w14:paraId="4E9B0C11" w14:textId="757EC098" w:rsidR="006E159F" w:rsidRPr="00ED0C42" w:rsidRDefault="006E159F" w:rsidP="006E159F">
            <w:pPr>
              <w:pStyle w:val="ListParagraph"/>
              <w:spacing w:after="0" w:line="240" w:lineRule="auto"/>
              <w:ind w:left="0"/>
              <w:rPr>
                <w:rFonts w:ascii="Calibri" w:hAnsi="Calibri" w:cs="Calibri"/>
                <w:sz w:val="20"/>
                <w:szCs w:val="20"/>
              </w:rPr>
            </w:pPr>
            <w:r>
              <w:rPr>
                <w:rFonts w:ascii="Calibri" w:hAnsi="Calibri" w:cs="Calibri"/>
                <w:sz w:val="20"/>
                <w:szCs w:val="20"/>
              </w:rPr>
              <w:t>Substantial</w:t>
            </w:r>
          </w:p>
        </w:tc>
        <w:tc>
          <w:tcPr>
            <w:tcW w:w="1440" w:type="dxa"/>
            <w:tcBorders>
              <w:top w:val="single" w:sz="4" w:space="0" w:color="000000"/>
              <w:left w:val="single" w:sz="4" w:space="0" w:color="000000"/>
              <w:bottom w:val="single" w:sz="4" w:space="0" w:color="000000"/>
              <w:right w:val="single" w:sz="4" w:space="0" w:color="000000"/>
            </w:tcBorders>
            <w:vAlign w:val="center"/>
          </w:tcPr>
          <w:p w14:paraId="2D2AB73A" w14:textId="3BC8E02C" w:rsidR="006E159F" w:rsidRPr="00ED0C42" w:rsidRDefault="006E159F" w:rsidP="006E159F">
            <w:pPr>
              <w:pStyle w:val="ListParagraph"/>
              <w:spacing w:after="0" w:line="240" w:lineRule="auto"/>
              <w:ind w:left="0"/>
              <w:rPr>
                <w:rFonts w:ascii="Calibri" w:hAnsi="Calibri" w:cs="Calibri"/>
                <w:sz w:val="20"/>
                <w:szCs w:val="20"/>
              </w:rPr>
            </w:pPr>
            <w:r>
              <w:rPr>
                <w:rFonts w:ascii="Calibri" w:hAnsi="Calibri" w:cs="Calibri"/>
                <w:sz w:val="20"/>
                <w:szCs w:val="20"/>
              </w:rPr>
              <w:t xml:space="preserve">NHIH </w:t>
            </w:r>
          </w:p>
        </w:tc>
        <w:tc>
          <w:tcPr>
            <w:tcW w:w="1170" w:type="dxa"/>
            <w:tcBorders>
              <w:top w:val="single" w:sz="4" w:space="0" w:color="000000"/>
              <w:left w:val="single" w:sz="4" w:space="0" w:color="000000"/>
              <w:bottom w:val="single" w:sz="4" w:space="0" w:color="000000"/>
              <w:right w:val="single" w:sz="4" w:space="0" w:color="000000"/>
            </w:tcBorders>
            <w:vAlign w:val="center"/>
          </w:tcPr>
          <w:p w14:paraId="5AC3F7BF" w14:textId="5716D828" w:rsidR="006E159F" w:rsidRPr="00ED0C42" w:rsidRDefault="006E159F" w:rsidP="006E159F">
            <w:pPr>
              <w:pStyle w:val="ListParagraph"/>
              <w:spacing w:after="0" w:line="240" w:lineRule="auto"/>
              <w:ind w:left="0"/>
              <w:rPr>
                <w:rFonts w:ascii="Calibri" w:hAnsi="Calibri" w:cs="Calibri"/>
                <w:sz w:val="20"/>
                <w:szCs w:val="20"/>
              </w:rPr>
            </w:pPr>
            <w:r>
              <w:rPr>
                <w:rFonts w:ascii="Calibri" w:hAnsi="Calibri" w:cs="Calibri"/>
                <w:sz w:val="20"/>
                <w:szCs w:val="20"/>
              </w:rPr>
              <w:t>2020-2023</w:t>
            </w:r>
          </w:p>
        </w:tc>
      </w:tr>
      <w:tr w:rsidR="006E159F" w:rsidRPr="004247CA" w14:paraId="123B6305" w14:textId="77777777" w:rsidTr="00ED0C42">
        <w:trPr>
          <w:trHeight w:val="711"/>
          <w:tblHeader/>
        </w:trPr>
        <w:tc>
          <w:tcPr>
            <w:tcW w:w="3600" w:type="dxa"/>
            <w:tcBorders>
              <w:top w:val="single" w:sz="4" w:space="0" w:color="000000"/>
              <w:left w:val="single" w:sz="4" w:space="0" w:color="000000"/>
              <w:bottom w:val="single" w:sz="4" w:space="0" w:color="000000"/>
              <w:right w:val="single" w:sz="4" w:space="0" w:color="000000"/>
            </w:tcBorders>
            <w:vAlign w:val="center"/>
          </w:tcPr>
          <w:p w14:paraId="5F75B72B" w14:textId="49F5BB35" w:rsidR="006E159F" w:rsidRPr="00ED0C42" w:rsidRDefault="006E159F" w:rsidP="00767A4F">
            <w:pPr>
              <w:pStyle w:val="ListParagraph"/>
              <w:spacing w:after="0" w:line="240" w:lineRule="auto"/>
              <w:ind w:left="0"/>
              <w:jc w:val="both"/>
              <w:rPr>
                <w:rFonts w:ascii="Calibri" w:hAnsi="Calibri" w:cs="Calibri"/>
                <w:sz w:val="20"/>
                <w:szCs w:val="20"/>
              </w:rPr>
            </w:pPr>
            <w:r w:rsidRPr="006E159F">
              <w:rPr>
                <w:rFonts w:ascii="Calibri" w:hAnsi="Calibri" w:cs="Calibri"/>
                <w:sz w:val="20"/>
                <w:szCs w:val="20"/>
              </w:rPr>
              <w:t xml:space="preserve">Complexity of arrangements for: (i) pricing and reimbursement of medicines; and (ii) clawback tax calculation and management by the NHIH.   </w:t>
            </w:r>
          </w:p>
        </w:tc>
        <w:tc>
          <w:tcPr>
            <w:tcW w:w="4230" w:type="dxa"/>
            <w:tcBorders>
              <w:top w:val="single" w:sz="4" w:space="0" w:color="000000"/>
              <w:left w:val="single" w:sz="4" w:space="0" w:color="000000"/>
              <w:bottom w:val="single" w:sz="4" w:space="0" w:color="000000"/>
              <w:right w:val="single" w:sz="4" w:space="0" w:color="000000"/>
            </w:tcBorders>
            <w:vAlign w:val="center"/>
          </w:tcPr>
          <w:p w14:paraId="03D6ECF7" w14:textId="40ED073D" w:rsidR="006E159F" w:rsidRDefault="006E159F" w:rsidP="00767A4F">
            <w:pPr>
              <w:pStyle w:val="ListParagraph"/>
              <w:spacing w:after="0" w:line="240" w:lineRule="auto"/>
              <w:ind w:left="0"/>
              <w:jc w:val="both"/>
              <w:rPr>
                <w:rFonts w:ascii="Calibri" w:hAnsi="Calibri" w:cs="Calibri"/>
                <w:sz w:val="20"/>
                <w:szCs w:val="20"/>
              </w:rPr>
            </w:pPr>
            <w:r w:rsidRPr="006E159F">
              <w:rPr>
                <w:rFonts w:ascii="Calibri" w:hAnsi="Calibri" w:cs="Calibri"/>
                <w:sz w:val="20"/>
                <w:szCs w:val="20"/>
              </w:rPr>
              <w:t>Technical assistance for establishing the mechanism, including a system of internal controls, performance monitoring and oversight is reflected in the PAP.</w:t>
            </w:r>
          </w:p>
          <w:p w14:paraId="7C764E80" w14:textId="77777777" w:rsidR="006E159F" w:rsidRPr="006E159F" w:rsidRDefault="006E159F" w:rsidP="00767A4F">
            <w:pPr>
              <w:pStyle w:val="ListParagraph"/>
              <w:spacing w:after="0" w:line="240" w:lineRule="auto"/>
              <w:ind w:left="0"/>
              <w:jc w:val="both"/>
              <w:rPr>
                <w:rFonts w:ascii="Calibri" w:hAnsi="Calibri" w:cs="Calibri"/>
                <w:sz w:val="20"/>
                <w:szCs w:val="20"/>
              </w:rPr>
            </w:pPr>
          </w:p>
          <w:p w14:paraId="4200E123" w14:textId="674D7454" w:rsidR="006E159F" w:rsidRPr="00ED0C42" w:rsidRDefault="006E159F" w:rsidP="00767A4F">
            <w:pPr>
              <w:pStyle w:val="ListParagraph"/>
              <w:spacing w:after="0" w:line="240" w:lineRule="auto"/>
              <w:ind w:left="0"/>
              <w:jc w:val="both"/>
              <w:rPr>
                <w:rFonts w:ascii="Calibri" w:hAnsi="Calibri" w:cs="Calibri"/>
                <w:sz w:val="20"/>
                <w:szCs w:val="20"/>
              </w:rPr>
            </w:pPr>
            <w:r w:rsidRPr="006E159F">
              <w:rPr>
                <w:rFonts w:ascii="Calibri" w:hAnsi="Calibri" w:cs="Calibri"/>
                <w:sz w:val="20"/>
                <w:szCs w:val="20"/>
              </w:rPr>
              <w:t>To improve transparency and accountability, the MoH and NHIH pricing process for medicines will be completed and published on the NHIH website annually. Any notifications received on the pricing process will be duly tackled and outcome of investigations made public.</w:t>
            </w:r>
          </w:p>
        </w:tc>
        <w:tc>
          <w:tcPr>
            <w:tcW w:w="2160" w:type="dxa"/>
            <w:tcBorders>
              <w:top w:val="single" w:sz="4" w:space="0" w:color="000000"/>
              <w:left w:val="single" w:sz="4" w:space="0" w:color="000000"/>
              <w:bottom w:val="single" w:sz="4" w:space="0" w:color="000000"/>
              <w:right w:val="single" w:sz="4" w:space="0" w:color="000000"/>
            </w:tcBorders>
            <w:vAlign w:val="center"/>
          </w:tcPr>
          <w:p w14:paraId="36C9C080" w14:textId="603B7B49" w:rsidR="006E159F" w:rsidRPr="00ED0C42" w:rsidRDefault="000C5176" w:rsidP="006E159F">
            <w:pPr>
              <w:pStyle w:val="ListParagraph"/>
              <w:spacing w:after="0" w:line="240" w:lineRule="auto"/>
              <w:ind w:left="0"/>
              <w:rPr>
                <w:rFonts w:ascii="Calibri" w:hAnsi="Calibri" w:cs="Calibri"/>
              </w:rPr>
            </w:pPr>
            <w:r>
              <w:rPr>
                <w:rFonts w:ascii="Calibri" w:hAnsi="Calibri" w:cs="Calibri"/>
              </w:rPr>
              <w:t>ISSP</w:t>
            </w:r>
          </w:p>
        </w:tc>
        <w:tc>
          <w:tcPr>
            <w:tcW w:w="1260" w:type="dxa"/>
            <w:tcBorders>
              <w:top w:val="single" w:sz="4" w:space="0" w:color="000000"/>
              <w:left w:val="single" w:sz="4" w:space="0" w:color="000000"/>
              <w:bottom w:val="single" w:sz="4" w:space="0" w:color="000000"/>
              <w:right w:val="single" w:sz="4" w:space="0" w:color="000000"/>
            </w:tcBorders>
            <w:vAlign w:val="center"/>
          </w:tcPr>
          <w:p w14:paraId="74EABE98" w14:textId="316BA6AB" w:rsidR="006E159F" w:rsidRPr="00ED0C42" w:rsidRDefault="006E159F" w:rsidP="006E159F">
            <w:pPr>
              <w:pStyle w:val="ListParagraph"/>
              <w:spacing w:after="0" w:line="240" w:lineRule="auto"/>
              <w:ind w:left="0"/>
              <w:rPr>
                <w:rFonts w:ascii="Calibri" w:hAnsi="Calibri" w:cs="Calibri"/>
                <w:sz w:val="20"/>
                <w:szCs w:val="20"/>
              </w:rPr>
            </w:pPr>
            <w:r>
              <w:rPr>
                <w:rFonts w:ascii="Calibri" w:hAnsi="Calibri" w:cs="Calibri"/>
                <w:sz w:val="20"/>
                <w:szCs w:val="20"/>
              </w:rPr>
              <w:t>Substantial</w:t>
            </w:r>
          </w:p>
        </w:tc>
        <w:tc>
          <w:tcPr>
            <w:tcW w:w="1440" w:type="dxa"/>
            <w:tcBorders>
              <w:top w:val="single" w:sz="4" w:space="0" w:color="000000"/>
              <w:left w:val="single" w:sz="4" w:space="0" w:color="000000"/>
              <w:bottom w:val="single" w:sz="4" w:space="0" w:color="000000"/>
              <w:right w:val="single" w:sz="4" w:space="0" w:color="000000"/>
            </w:tcBorders>
            <w:vAlign w:val="center"/>
          </w:tcPr>
          <w:p w14:paraId="6C9ED416" w14:textId="09E5BA2D" w:rsidR="006E159F" w:rsidRPr="00ED0C42" w:rsidRDefault="006E159F" w:rsidP="006E159F">
            <w:pPr>
              <w:pStyle w:val="ListParagraph"/>
              <w:spacing w:after="0" w:line="240" w:lineRule="auto"/>
              <w:ind w:left="0"/>
              <w:rPr>
                <w:rFonts w:ascii="Calibri" w:hAnsi="Calibri" w:cs="Calibri"/>
                <w:sz w:val="20"/>
                <w:szCs w:val="20"/>
              </w:rPr>
            </w:pPr>
            <w:r>
              <w:rPr>
                <w:rFonts w:ascii="Calibri" w:hAnsi="Calibri" w:cs="Calibri"/>
                <w:sz w:val="20"/>
                <w:szCs w:val="20"/>
              </w:rPr>
              <w:t xml:space="preserve">MoH/NHIH </w:t>
            </w:r>
          </w:p>
        </w:tc>
        <w:tc>
          <w:tcPr>
            <w:tcW w:w="1170" w:type="dxa"/>
            <w:tcBorders>
              <w:top w:val="single" w:sz="4" w:space="0" w:color="000000"/>
              <w:left w:val="single" w:sz="4" w:space="0" w:color="000000"/>
              <w:bottom w:val="single" w:sz="4" w:space="0" w:color="000000"/>
              <w:right w:val="single" w:sz="4" w:space="0" w:color="000000"/>
            </w:tcBorders>
            <w:vAlign w:val="center"/>
          </w:tcPr>
          <w:p w14:paraId="243B4E66" w14:textId="4D2411D6" w:rsidR="006E159F" w:rsidRPr="00ED0C42" w:rsidRDefault="006E159F" w:rsidP="006E159F">
            <w:pPr>
              <w:pStyle w:val="ListParagraph"/>
              <w:spacing w:after="0" w:line="240" w:lineRule="auto"/>
              <w:ind w:left="0"/>
              <w:rPr>
                <w:rFonts w:ascii="Calibri" w:hAnsi="Calibri" w:cs="Calibri"/>
                <w:sz w:val="20"/>
                <w:szCs w:val="20"/>
              </w:rPr>
            </w:pPr>
            <w:r>
              <w:rPr>
                <w:rFonts w:ascii="Calibri" w:hAnsi="Calibri" w:cs="Calibri"/>
                <w:sz w:val="20"/>
                <w:szCs w:val="20"/>
              </w:rPr>
              <w:t>2020-2023</w:t>
            </w:r>
          </w:p>
        </w:tc>
      </w:tr>
    </w:tbl>
    <w:p w14:paraId="5A481853" w14:textId="77777777" w:rsidR="006E159F" w:rsidRDefault="006E159F" w:rsidP="00AC1CB5">
      <w:pPr>
        <w:pStyle w:val="PforRStyle1"/>
        <w:rPr>
          <w:rFonts w:asciiTheme="minorHAnsi" w:hAnsiTheme="minorHAnsi" w:cstheme="minorHAnsi"/>
          <w:sz w:val="22"/>
          <w:szCs w:val="22"/>
        </w:rPr>
        <w:sectPr w:rsidR="006E159F" w:rsidSect="004247CA">
          <w:headerReference w:type="even" r:id="rId26"/>
          <w:headerReference w:type="default" r:id="rId27"/>
          <w:headerReference w:type="first" r:id="rId28"/>
          <w:pgSz w:w="15840" w:h="12240" w:orient="landscape"/>
          <w:pgMar w:top="1440" w:right="1440" w:bottom="1440" w:left="1440" w:header="720" w:footer="720" w:gutter="0"/>
          <w:cols w:space="720"/>
          <w:docGrid w:linePitch="360"/>
        </w:sectPr>
      </w:pPr>
    </w:p>
    <w:p w14:paraId="360114F3" w14:textId="28297A5D" w:rsidR="001F1FB3" w:rsidRDefault="001F1FB3" w:rsidP="00AC1CB5">
      <w:pPr>
        <w:pStyle w:val="PforRStyle1"/>
        <w:rPr>
          <w:rFonts w:asciiTheme="minorHAnsi" w:hAnsiTheme="minorHAnsi" w:cstheme="minorHAnsi"/>
          <w:sz w:val="22"/>
          <w:szCs w:val="22"/>
        </w:rPr>
      </w:pPr>
      <w:bookmarkStart w:id="42" w:name="_Toc12467046"/>
      <w:r w:rsidRPr="00AB36EF">
        <w:rPr>
          <w:rFonts w:asciiTheme="minorHAnsi" w:hAnsiTheme="minorHAnsi" w:cstheme="minorHAnsi"/>
          <w:sz w:val="22"/>
          <w:szCs w:val="22"/>
        </w:rPr>
        <w:lastRenderedPageBreak/>
        <w:t>Governance</w:t>
      </w:r>
      <w:r w:rsidR="005C702D">
        <w:rPr>
          <w:rFonts w:asciiTheme="minorHAnsi" w:hAnsiTheme="minorHAnsi" w:cstheme="minorHAnsi"/>
          <w:sz w:val="22"/>
          <w:szCs w:val="22"/>
        </w:rPr>
        <w:t xml:space="preserve"> and </w:t>
      </w:r>
      <w:r w:rsidR="00BD70B1">
        <w:rPr>
          <w:rFonts w:asciiTheme="minorHAnsi" w:hAnsiTheme="minorHAnsi" w:cstheme="minorHAnsi"/>
          <w:sz w:val="22"/>
          <w:szCs w:val="22"/>
        </w:rPr>
        <w:t>Anticorruption</w:t>
      </w:r>
      <w:bookmarkEnd w:id="42"/>
    </w:p>
    <w:p w14:paraId="00C9EDD2" w14:textId="2DC0F80C" w:rsidR="00C62310" w:rsidRPr="00FD5BBB" w:rsidRDefault="00C62310" w:rsidP="00FD5BBB">
      <w:pPr>
        <w:pStyle w:val="PforRStyle2"/>
        <w:numPr>
          <w:ilvl w:val="1"/>
          <w:numId w:val="25"/>
        </w:numPr>
        <w:rPr>
          <w:rFonts w:ascii="Calibri" w:hAnsi="Calibri" w:cs="Calibri"/>
          <w:sz w:val="22"/>
          <w:szCs w:val="22"/>
        </w:rPr>
      </w:pPr>
      <w:bookmarkStart w:id="43" w:name="_Toc12467047"/>
      <w:r w:rsidRPr="00FD5BBB">
        <w:rPr>
          <w:rFonts w:ascii="Calibri" w:hAnsi="Calibri" w:cs="Calibri"/>
          <w:sz w:val="22"/>
          <w:szCs w:val="22"/>
        </w:rPr>
        <w:t>Institutional Arrangements</w:t>
      </w:r>
      <w:bookmarkEnd w:id="43"/>
    </w:p>
    <w:p w14:paraId="6023EA62" w14:textId="09FBF621" w:rsidR="00703F9E" w:rsidRPr="00767A4F" w:rsidRDefault="004E4FE0" w:rsidP="00767A4F">
      <w:pPr>
        <w:jc w:val="both"/>
        <w:rPr>
          <w:rFonts w:asciiTheme="minorHAnsi" w:eastAsia="Calibri" w:hAnsiTheme="minorHAnsi" w:cstheme="minorHAnsi"/>
          <w:sz w:val="22"/>
        </w:rPr>
      </w:pPr>
      <w:r w:rsidRPr="00767A4F">
        <w:rPr>
          <w:rFonts w:asciiTheme="minorHAnsi" w:hAnsiTheme="minorHAnsi" w:cstheme="minorHAnsi"/>
          <w:sz w:val="22"/>
        </w:rPr>
        <w:t>The operation will rely on national institutions and public bodies responsible for combating fraud and corruption – i.e., the government will use its own systems for responding to concerns (from citizens, contractors, etc.) related to governance.</w:t>
      </w:r>
      <w:r w:rsidR="00273C9B" w:rsidRPr="00767A4F">
        <w:rPr>
          <w:rFonts w:asciiTheme="minorHAnsi" w:hAnsiTheme="minorHAnsi" w:cstheme="minorHAnsi"/>
          <w:sz w:val="22"/>
        </w:rPr>
        <w:t xml:space="preserve"> </w:t>
      </w:r>
      <w:r w:rsidR="00E034B3" w:rsidRPr="00767A4F">
        <w:rPr>
          <w:rFonts w:asciiTheme="minorHAnsi" w:eastAsia="Calibri" w:hAnsiTheme="minorHAnsi" w:cstheme="minorHAnsi"/>
          <w:color w:val="000000"/>
          <w:sz w:val="22"/>
        </w:rPr>
        <w:t xml:space="preserve">The Bank’s Anticorruption Guidelines will be applicable to the Program </w:t>
      </w:r>
      <w:proofErr w:type="gramStart"/>
      <w:r w:rsidR="00E034B3" w:rsidRPr="00767A4F">
        <w:rPr>
          <w:rFonts w:asciiTheme="minorHAnsi" w:eastAsia="Calibri" w:hAnsiTheme="minorHAnsi" w:cstheme="minorHAnsi"/>
          <w:color w:val="000000"/>
          <w:sz w:val="22"/>
        </w:rPr>
        <w:t>as a whole</w:t>
      </w:r>
      <w:r w:rsidR="00273C9B" w:rsidRPr="00273C9B">
        <w:rPr>
          <w:rFonts w:asciiTheme="minorHAnsi" w:eastAsia="Calibri" w:hAnsiTheme="minorHAnsi" w:cstheme="minorHAnsi"/>
          <w:color w:val="000000"/>
          <w:sz w:val="22"/>
        </w:rPr>
        <w:t xml:space="preserve"> as</w:t>
      </w:r>
      <w:proofErr w:type="gramEnd"/>
      <w:r w:rsidR="00E034B3" w:rsidRPr="00767A4F">
        <w:rPr>
          <w:rFonts w:asciiTheme="minorHAnsi" w:eastAsia="Calibri" w:hAnsiTheme="minorHAnsi" w:cstheme="minorHAnsi"/>
          <w:color w:val="000000"/>
          <w:sz w:val="22"/>
        </w:rPr>
        <w:t xml:space="preserve"> negotiated and agreed with the Borrower during project appraisal and negotiation. </w:t>
      </w:r>
      <w:r w:rsidR="00703F9E" w:rsidRPr="00767A4F">
        <w:rPr>
          <w:rFonts w:asciiTheme="minorHAnsi" w:eastAsia="Calibri" w:hAnsiTheme="minorHAnsi" w:cstheme="minorHAnsi"/>
          <w:sz w:val="22"/>
        </w:rPr>
        <w:t xml:space="preserve">The Program shall be subject to the Bank’s Guidelines on Preventing and Combating Fraud and Corruption in Program-for-Results Financing, dated February 1, 2012 and revised July 10, 2015, which require that Borrowers ensure that any person or entity debarred or suspended by the Bank is not awarded a contract under or otherwise allowed to participate in the Program during the period of such debarment or suspension. Participation, however, does not include the performance under contracts entered into or other engagements which began prior to the date of the Loan Agreement. The list of such debarred firms and individuals can be found on the following website: </w:t>
      </w:r>
      <w:hyperlink r:id="rId29" w:history="1">
        <w:r w:rsidR="00703F9E" w:rsidRPr="00767A4F">
          <w:rPr>
            <w:rStyle w:val="Hyperlink"/>
            <w:rFonts w:asciiTheme="minorHAnsi" w:eastAsia="Calibri" w:hAnsiTheme="minorHAnsi" w:cstheme="minorHAnsi"/>
            <w:sz w:val="22"/>
          </w:rPr>
          <w:t>www.worldbank.org/debarr</w:t>
        </w:r>
      </w:hyperlink>
      <w:r w:rsidR="00703F9E" w:rsidRPr="00767A4F">
        <w:rPr>
          <w:rFonts w:asciiTheme="minorHAnsi" w:eastAsia="Calibri" w:hAnsiTheme="minorHAnsi" w:cstheme="minorHAnsi"/>
          <w:sz w:val="22"/>
        </w:rPr>
        <w:t>. The compliance with this requirement will be checked through the Program’s audit. A memorandum of understanding (MoU) entered between the Romanian Prosecutor's Office attached to the High Court of Cassation and Justice, the National Anticorruption Directorate (DNA) and the Bank’s Integrity Vice Presidency (INT), signed on December 8, 2014 is in force. In this MoU, the parties commit to cooperate with each other on matters of mutual interest within the scope of their mandates.</w:t>
      </w:r>
      <w:r w:rsidR="00273C9B">
        <w:rPr>
          <w:rFonts w:asciiTheme="minorHAnsi" w:eastAsia="Calibri" w:hAnsiTheme="minorHAnsi" w:cstheme="minorHAnsi"/>
          <w:sz w:val="22"/>
        </w:rPr>
        <w:t xml:space="preserve"> The terms of the</w:t>
      </w:r>
      <w:r w:rsidR="00273C9B">
        <w:rPr>
          <w:rFonts w:asciiTheme="minorHAnsi" w:eastAsia="Calibri" w:hAnsiTheme="minorHAnsi" w:cstheme="minorHAnsi"/>
          <w:sz w:val="22"/>
        </w:rPr>
        <w:t xml:space="preserve"> MoU will be applicable to the Program. </w:t>
      </w:r>
    </w:p>
    <w:p w14:paraId="68046882" w14:textId="77777777" w:rsidR="00273C9B" w:rsidRDefault="00273C9B" w:rsidP="00767A4F">
      <w:pPr>
        <w:rPr>
          <w:rFonts w:ascii="Calibri" w:eastAsia="Calibri" w:hAnsi="Calibri" w:cs="Times New Roman"/>
        </w:rPr>
      </w:pPr>
    </w:p>
    <w:p w14:paraId="2FD1D3F9" w14:textId="4780C34C" w:rsidR="00E034B3" w:rsidRPr="0040216F" w:rsidRDefault="00E034B3" w:rsidP="0040216F">
      <w:pPr>
        <w:pStyle w:val="ListParagraph"/>
        <w:tabs>
          <w:tab w:val="left" w:pos="720"/>
        </w:tabs>
        <w:autoSpaceDE w:val="0"/>
        <w:autoSpaceDN w:val="0"/>
        <w:adjustRightInd w:val="0"/>
        <w:spacing w:after="0" w:line="240" w:lineRule="auto"/>
        <w:ind w:left="0"/>
        <w:jc w:val="both"/>
        <w:rPr>
          <w:rFonts w:eastAsia="Calibri" w:cstheme="minorHAnsi"/>
          <w:color w:val="000000"/>
        </w:rPr>
      </w:pPr>
      <w:r w:rsidRPr="00113409">
        <w:rPr>
          <w:rFonts w:eastAsia="Calibri" w:cstheme="minorHAnsi"/>
          <w:color w:val="000000"/>
        </w:rPr>
        <w:t>Corruption is still acknowledged as an issue in the public sector, and more prominent in the health sector. According to the 2018 Transparency International’s Corruption Perception Index, Romania was ranked 61</w:t>
      </w:r>
      <w:r w:rsidRPr="00113409">
        <w:rPr>
          <w:rFonts w:eastAsia="Calibri" w:cstheme="minorHAnsi"/>
          <w:color w:val="000000"/>
          <w:vertAlign w:val="superscript"/>
        </w:rPr>
        <w:t>st</w:t>
      </w:r>
      <w:r w:rsidRPr="00113409">
        <w:rPr>
          <w:rFonts w:eastAsia="Calibri" w:cstheme="minorHAnsi"/>
          <w:color w:val="000000"/>
        </w:rPr>
        <w:t xml:space="preserve"> in the list of 180 countries.</w:t>
      </w:r>
      <w:r w:rsidRPr="00113409">
        <w:rPr>
          <w:rFonts w:eastAsia="Calibri" w:cstheme="minorHAnsi"/>
          <w:color w:val="000000"/>
          <w:vertAlign w:val="superscript"/>
        </w:rPr>
        <w:footnoteReference w:id="5"/>
      </w:r>
      <w:r w:rsidRPr="00113409">
        <w:rPr>
          <w:rFonts w:eastAsia="Calibri" w:cstheme="minorHAnsi"/>
          <w:color w:val="000000"/>
        </w:rPr>
        <w:t xml:space="preserve"> </w:t>
      </w:r>
      <w:r w:rsidRPr="00113409">
        <w:rPr>
          <w:rFonts w:eastAsia="Calibri" w:cstheme="minorHAnsi"/>
        </w:rPr>
        <w:t xml:space="preserve">Despite some improvements, Romania has marked a decrease in government effectiveness, regulatory quality, and control of corruption in the past few years (WGI data: 2013-2017). </w:t>
      </w:r>
    </w:p>
    <w:p w14:paraId="2D7B8447" w14:textId="606BA516" w:rsidR="00F12060" w:rsidRDefault="00F12060" w:rsidP="00194643">
      <w:pPr>
        <w:jc w:val="both"/>
        <w:rPr>
          <w:rFonts w:asciiTheme="minorHAnsi" w:hAnsiTheme="minorHAnsi" w:cstheme="minorHAnsi"/>
          <w:b/>
          <w:sz w:val="22"/>
        </w:rPr>
      </w:pPr>
    </w:p>
    <w:p w14:paraId="1E7BD3F1" w14:textId="77777777" w:rsidR="00F12060" w:rsidRPr="00AB36EF" w:rsidRDefault="00F12060" w:rsidP="00F12060">
      <w:pPr>
        <w:jc w:val="both"/>
        <w:rPr>
          <w:rFonts w:asciiTheme="minorHAnsi" w:hAnsiTheme="minorHAnsi" w:cstheme="minorHAnsi"/>
          <w:sz w:val="22"/>
        </w:rPr>
      </w:pPr>
      <w:r w:rsidRPr="00AB36EF">
        <w:rPr>
          <w:rFonts w:asciiTheme="minorHAnsi" w:hAnsiTheme="minorHAnsi" w:cstheme="minorHAnsi"/>
          <w:sz w:val="22"/>
        </w:rPr>
        <w:t>The three main areas identified as relevant for the assessment include:</w:t>
      </w:r>
    </w:p>
    <w:p w14:paraId="0F7E7B1A" w14:textId="77777777" w:rsidR="00F12060" w:rsidRPr="00AB36EF" w:rsidRDefault="00F12060" w:rsidP="00F12060">
      <w:pPr>
        <w:jc w:val="both"/>
        <w:rPr>
          <w:rFonts w:asciiTheme="minorHAnsi" w:hAnsiTheme="minorHAnsi" w:cstheme="minorHAnsi"/>
          <w:sz w:val="22"/>
        </w:rPr>
      </w:pPr>
    </w:p>
    <w:p w14:paraId="024550EB" w14:textId="4A299BCA" w:rsidR="00F12060" w:rsidRPr="00AB36EF" w:rsidRDefault="00F12060" w:rsidP="00575EF8">
      <w:pPr>
        <w:pStyle w:val="ListParagraph"/>
        <w:numPr>
          <w:ilvl w:val="0"/>
          <w:numId w:val="4"/>
        </w:numPr>
        <w:spacing w:after="0" w:line="240" w:lineRule="auto"/>
        <w:ind w:left="360"/>
        <w:contextualSpacing w:val="0"/>
        <w:jc w:val="both"/>
        <w:rPr>
          <w:rFonts w:cstheme="minorHAnsi"/>
        </w:rPr>
      </w:pPr>
      <w:r w:rsidRPr="00AB36EF">
        <w:rPr>
          <w:rFonts w:cstheme="minorHAnsi"/>
        </w:rPr>
        <w:t xml:space="preserve">Transparency, integrity and accountability in </w:t>
      </w:r>
      <w:r w:rsidR="00596E5F">
        <w:rPr>
          <w:rFonts w:cstheme="minorHAnsi"/>
        </w:rPr>
        <w:t xml:space="preserve">the </w:t>
      </w:r>
      <w:r w:rsidRPr="00AB36EF">
        <w:rPr>
          <w:rFonts w:cstheme="minorHAnsi"/>
        </w:rPr>
        <w:t xml:space="preserve">selection of the activities included in the Program; </w:t>
      </w:r>
    </w:p>
    <w:p w14:paraId="383DEAE3" w14:textId="61603360" w:rsidR="00F12060" w:rsidRPr="00AB36EF" w:rsidRDefault="00F12060" w:rsidP="006C054E">
      <w:pPr>
        <w:pStyle w:val="ListParagraph"/>
        <w:numPr>
          <w:ilvl w:val="0"/>
          <w:numId w:val="4"/>
        </w:numPr>
        <w:spacing w:after="0" w:line="240" w:lineRule="auto"/>
        <w:ind w:left="360"/>
        <w:contextualSpacing w:val="0"/>
        <w:jc w:val="both"/>
        <w:rPr>
          <w:rFonts w:cstheme="minorHAnsi"/>
        </w:rPr>
      </w:pPr>
      <w:r w:rsidRPr="00AB36EF">
        <w:rPr>
          <w:rFonts w:cstheme="minorHAnsi"/>
        </w:rPr>
        <w:t>Systems capacity to handle risks of fraud and corruption throughout</w:t>
      </w:r>
      <w:r w:rsidR="00596E5F">
        <w:rPr>
          <w:rFonts w:cstheme="minorHAnsi"/>
        </w:rPr>
        <w:t xml:space="preserve"> the</w:t>
      </w:r>
      <w:r w:rsidRPr="00AB36EF">
        <w:rPr>
          <w:rFonts w:cstheme="minorHAnsi"/>
        </w:rPr>
        <w:t xml:space="preserve"> implementation of the Program activities; </w:t>
      </w:r>
    </w:p>
    <w:p w14:paraId="3A68E40E" w14:textId="77777777" w:rsidR="00F12060" w:rsidRPr="00AB36EF" w:rsidRDefault="00F12060" w:rsidP="006C054E">
      <w:pPr>
        <w:pStyle w:val="ListParagraph"/>
        <w:numPr>
          <w:ilvl w:val="0"/>
          <w:numId w:val="4"/>
        </w:numPr>
        <w:spacing w:after="0" w:line="240" w:lineRule="auto"/>
        <w:ind w:left="360"/>
        <w:contextualSpacing w:val="0"/>
        <w:jc w:val="both"/>
        <w:rPr>
          <w:rFonts w:cstheme="minorHAnsi"/>
        </w:rPr>
      </w:pPr>
      <w:r w:rsidRPr="00AB36EF">
        <w:rPr>
          <w:rFonts w:cstheme="minorHAnsi"/>
        </w:rPr>
        <w:t>Integrity issues within the health sector supported through the Program.</w:t>
      </w:r>
    </w:p>
    <w:p w14:paraId="1CA91AF4" w14:textId="77777777" w:rsidR="00F12060" w:rsidRDefault="00F12060" w:rsidP="00194643">
      <w:pPr>
        <w:jc w:val="both"/>
        <w:rPr>
          <w:rFonts w:asciiTheme="minorHAnsi" w:hAnsiTheme="minorHAnsi" w:cstheme="minorHAnsi"/>
          <w:b/>
          <w:sz w:val="22"/>
        </w:rPr>
      </w:pPr>
    </w:p>
    <w:p w14:paraId="5FFE602A" w14:textId="0535D1D7" w:rsidR="00350AA4" w:rsidRPr="00C62310" w:rsidRDefault="00C62310" w:rsidP="00C62310">
      <w:pPr>
        <w:pStyle w:val="PforRStyle2"/>
        <w:jc w:val="both"/>
        <w:rPr>
          <w:rFonts w:asciiTheme="minorHAnsi" w:hAnsiTheme="minorHAnsi" w:cstheme="minorHAnsi"/>
          <w:sz w:val="22"/>
        </w:rPr>
      </w:pPr>
      <w:bookmarkStart w:id="44" w:name="_Toc372640707"/>
      <w:bookmarkStart w:id="45" w:name="_Toc12467048"/>
      <w:r w:rsidRPr="00C62310">
        <w:rPr>
          <w:rFonts w:ascii="Calibri" w:hAnsi="Calibri" w:cs="Calibri"/>
          <w:sz w:val="22"/>
          <w:szCs w:val="22"/>
        </w:rPr>
        <w:t>C</w:t>
      </w:r>
      <w:r w:rsidR="00F12060" w:rsidRPr="00C62310">
        <w:rPr>
          <w:rFonts w:ascii="Calibri" w:hAnsi="Calibri" w:cs="Calibri"/>
          <w:sz w:val="22"/>
          <w:szCs w:val="22"/>
        </w:rPr>
        <w:t xml:space="preserve">apacity to </w:t>
      </w:r>
      <w:r w:rsidRPr="00C62310">
        <w:rPr>
          <w:rFonts w:ascii="Calibri" w:hAnsi="Calibri" w:cs="Calibri"/>
          <w:sz w:val="22"/>
          <w:szCs w:val="22"/>
        </w:rPr>
        <w:t xml:space="preserve">Handle Risks </w:t>
      </w:r>
      <w:r w:rsidR="00F12060" w:rsidRPr="00C62310">
        <w:rPr>
          <w:rFonts w:ascii="Calibri" w:hAnsi="Calibri" w:cs="Calibri"/>
          <w:sz w:val="22"/>
          <w:szCs w:val="22"/>
        </w:rPr>
        <w:t xml:space="preserve">of </w:t>
      </w:r>
      <w:r w:rsidRPr="00C62310">
        <w:rPr>
          <w:rFonts w:ascii="Calibri" w:hAnsi="Calibri" w:cs="Calibri"/>
          <w:sz w:val="22"/>
          <w:szCs w:val="22"/>
        </w:rPr>
        <w:t xml:space="preserve">Fraud </w:t>
      </w:r>
      <w:r w:rsidR="00F12060" w:rsidRPr="00C62310">
        <w:rPr>
          <w:rFonts w:ascii="Calibri" w:hAnsi="Calibri" w:cs="Calibri"/>
          <w:sz w:val="22"/>
          <w:szCs w:val="22"/>
        </w:rPr>
        <w:t xml:space="preserve">and </w:t>
      </w:r>
      <w:r w:rsidRPr="00C62310">
        <w:rPr>
          <w:rFonts w:ascii="Calibri" w:hAnsi="Calibri" w:cs="Calibri"/>
          <w:sz w:val="22"/>
          <w:szCs w:val="22"/>
        </w:rPr>
        <w:t>Corruption</w:t>
      </w:r>
      <w:bookmarkEnd w:id="44"/>
      <w:bookmarkEnd w:id="45"/>
    </w:p>
    <w:p w14:paraId="0BF878E5" w14:textId="4822A449" w:rsidR="00F12060" w:rsidRPr="00AB36EF" w:rsidRDefault="00DE4B3F" w:rsidP="00F12060">
      <w:pPr>
        <w:jc w:val="both"/>
        <w:rPr>
          <w:rFonts w:asciiTheme="minorHAnsi" w:hAnsiTheme="minorHAnsi" w:cstheme="minorHAnsi"/>
          <w:sz w:val="22"/>
        </w:rPr>
      </w:pPr>
      <w:r>
        <w:rPr>
          <w:rFonts w:asciiTheme="minorHAnsi" w:hAnsiTheme="minorHAnsi" w:cstheme="minorHAnsi"/>
          <w:sz w:val="22"/>
        </w:rPr>
        <w:t xml:space="preserve">One </w:t>
      </w:r>
      <w:r w:rsidR="00F12060" w:rsidRPr="00AB36EF">
        <w:rPr>
          <w:rFonts w:asciiTheme="minorHAnsi" w:hAnsiTheme="minorHAnsi" w:cstheme="minorHAnsi"/>
          <w:sz w:val="22"/>
        </w:rPr>
        <w:t xml:space="preserve">aggregated indicator of the borrower’s systems capacity to handle risk of fraud and corruption is </w:t>
      </w:r>
      <w:r>
        <w:rPr>
          <w:rFonts w:asciiTheme="minorHAnsi" w:hAnsiTheme="minorHAnsi" w:cstheme="minorHAnsi"/>
          <w:sz w:val="22"/>
        </w:rPr>
        <w:t xml:space="preserve">Romania`s </w:t>
      </w:r>
      <w:r w:rsidR="00F12060" w:rsidRPr="00AB36EF">
        <w:rPr>
          <w:rFonts w:asciiTheme="minorHAnsi" w:hAnsiTheme="minorHAnsi" w:cstheme="minorHAnsi"/>
          <w:sz w:val="22"/>
        </w:rPr>
        <w:t>EU membership</w:t>
      </w:r>
      <w:r w:rsidR="00B20235">
        <w:rPr>
          <w:rFonts w:asciiTheme="minorHAnsi" w:hAnsiTheme="minorHAnsi" w:cstheme="minorHAnsi"/>
          <w:sz w:val="22"/>
        </w:rPr>
        <w:t>.</w:t>
      </w:r>
      <w:r w:rsidR="00F12060" w:rsidRPr="00AB36EF">
        <w:rPr>
          <w:rFonts w:asciiTheme="minorHAnsi" w:hAnsiTheme="minorHAnsi" w:cstheme="minorHAnsi"/>
          <w:sz w:val="22"/>
        </w:rPr>
        <w:t xml:space="preserve"> </w:t>
      </w:r>
      <w:r w:rsidR="00B20235">
        <w:rPr>
          <w:rFonts w:asciiTheme="minorHAnsi" w:hAnsiTheme="minorHAnsi" w:cstheme="minorHAnsi"/>
          <w:sz w:val="22"/>
        </w:rPr>
        <w:t>E</w:t>
      </w:r>
      <w:r w:rsidR="00F12060" w:rsidRPr="00AB36EF">
        <w:rPr>
          <w:rFonts w:asciiTheme="minorHAnsi" w:hAnsiTheme="minorHAnsi" w:cstheme="minorHAnsi"/>
          <w:sz w:val="22"/>
        </w:rPr>
        <w:t xml:space="preserve">stablishment and proven reasonable effectiveness of all systems relevant for handling of fraud and corruption </w:t>
      </w:r>
      <w:r w:rsidR="00B20235">
        <w:rPr>
          <w:rFonts w:asciiTheme="minorHAnsi" w:hAnsiTheme="minorHAnsi" w:cstheme="minorHAnsi"/>
          <w:sz w:val="22"/>
        </w:rPr>
        <w:t>is</w:t>
      </w:r>
      <w:r w:rsidR="00F12060" w:rsidRPr="00AB36EF">
        <w:rPr>
          <w:rFonts w:asciiTheme="minorHAnsi" w:hAnsiTheme="minorHAnsi" w:cstheme="minorHAnsi"/>
          <w:sz w:val="22"/>
        </w:rPr>
        <w:t xml:space="preserve"> one of the most scrutinized </w:t>
      </w:r>
      <w:r w:rsidR="00B20235">
        <w:rPr>
          <w:rFonts w:asciiTheme="minorHAnsi" w:hAnsiTheme="minorHAnsi" w:cstheme="minorHAnsi"/>
          <w:sz w:val="22"/>
        </w:rPr>
        <w:t>area</w:t>
      </w:r>
      <w:r>
        <w:rPr>
          <w:rFonts w:asciiTheme="minorHAnsi" w:hAnsiTheme="minorHAnsi" w:cstheme="minorHAnsi"/>
          <w:sz w:val="22"/>
        </w:rPr>
        <w:t xml:space="preserve"> in this capacity</w:t>
      </w:r>
      <w:r w:rsidR="00B20235">
        <w:rPr>
          <w:rFonts w:asciiTheme="minorHAnsi" w:hAnsiTheme="minorHAnsi" w:cstheme="minorHAnsi"/>
          <w:sz w:val="22"/>
        </w:rPr>
        <w:t xml:space="preserve">. Since it became a member state in 2007, Romania is monitored by the Commission through the Mechanism of Cooperation and Verification (MCV). The </w:t>
      </w:r>
      <w:r w:rsidR="00350AA4">
        <w:rPr>
          <w:rFonts w:asciiTheme="minorHAnsi" w:hAnsiTheme="minorHAnsi" w:cstheme="minorHAnsi"/>
          <w:sz w:val="22"/>
        </w:rPr>
        <w:t xml:space="preserve">MCV </w:t>
      </w:r>
      <w:r w:rsidR="00B20235">
        <w:rPr>
          <w:rFonts w:asciiTheme="minorHAnsi" w:hAnsiTheme="minorHAnsi" w:cstheme="minorHAnsi"/>
          <w:sz w:val="22"/>
        </w:rPr>
        <w:t>report for 2018 note</w:t>
      </w:r>
      <w:r w:rsidR="00350AA4">
        <w:rPr>
          <w:rFonts w:asciiTheme="minorHAnsi" w:hAnsiTheme="minorHAnsi" w:cstheme="minorHAnsi"/>
          <w:sz w:val="22"/>
        </w:rPr>
        <w:t>d</w:t>
      </w:r>
      <w:r w:rsidR="00B20235">
        <w:rPr>
          <w:rFonts w:asciiTheme="minorHAnsi" w:hAnsiTheme="minorHAnsi" w:cstheme="minorHAnsi"/>
          <w:sz w:val="22"/>
        </w:rPr>
        <w:t xml:space="preserve"> a regression </w:t>
      </w:r>
      <w:r w:rsidR="00350AA4">
        <w:rPr>
          <w:rFonts w:asciiTheme="minorHAnsi" w:hAnsiTheme="minorHAnsi" w:cstheme="minorHAnsi"/>
          <w:sz w:val="22"/>
        </w:rPr>
        <w:t>(</w:t>
      </w:r>
      <w:r>
        <w:rPr>
          <w:rFonts w:asciiTheme="minorHAnsi" w:hAnsiTheme="minorHAnsi" w:cstheme="minorHAnsi"/>
          <w:sz w:val="22"/>
        </w:rPr>
        <w:t xml:space="preserve">mostly </w:t>
      </w:r>
      <w:r w:rsidR="00350AA4">
        <w:rPr>
          <w:rFonts w:asciiTheme="minorHAnsi" w:hAnsiTheme="minorHAnsi" w:cstheme="minorHAnsi"/>
          <w:sz w:val="22"/>
        </w:rPr>
        <w:t>in terms of independency of judiciary and increased pressure on prosecuting bodies)</w:t>
      </w:r>
      <w:r w:rsidR="00596E5F">
        <w:rPr>
          <w:rFonts w:asciiTheme="minorHAnsi" w:hAnsiTheme="minorHAnsi" w:cstheme="minorHAnsi"/>
          <w:sz w:val="22"/>
        </w:rPr>
        <w:t>,</w:t>
      </w:r>
      <w:r w:rsidR="00350AA4">
        <w:rPr>
          <w:rFonts w:asciiTheme="minorHAnsi" w:hAnsiTheme="minorHAnsi" w:cstheme="minorHAnsi"/>
          <w:sz w:val="22"/>
        </w:rPr>
        <w:t xml:space="preserve"> </w:t>
      </w:r>
      <w:r w:rsidR="00B20235">
        <w:rPr>
          <w:rFonts w:asciiTheme="minorHAnsi" w:hAnsiTheme="minorHAnsi" w:cstheme="minorHAnsi"/>
          <w:sz w:val="22"/>
        </w:rPr>
        <w:t>but salutes several important steps taken (such as introduction of the PREVENT system to prevent conflict of interest in public procurement</w:t>
      </w:r>
      <w:r w:rsidR="00350AA4">
        <w:rPr>
          <w:rFonts w:asciiTheme="minorHAnsi" w:hAnsiTheme="minorHAnsi" w:cstheme="minorHAnsi"/>
          <w:sz w:val="22"/>
        </w:rPr>
        <w:t xml:space="preserve">) towards the implementation of the national anticorruption strategy. </w:t>
      </w:r>
    </w:p>
    <w:p w14:paraId="56429D91" w14:textId="77777777" w:rsidR="00F12060" w:rsidRPr="00AB36EF" w:rsidRDefault="00F12060" w:rsidP="00F12060">
      <w:pPr>
        <w:jc w:val="both"/>
        <w:rPr>
          <w:rFonts w:asciiTheme="minorHAnsi" w:hAnsiTheme="minorHAnsi" w:cstheme="minorHAnsi"/>
          <w:sz w:val="22"/>
        </w:rPr>
      </w:pPr>
    </w:p>
    <w:p w14:paraId="699D095E" w14:textId="77777777" w:rsidR="00E034B3" w:rsidRPr="00113409" w:rsidRDefault="00F12060" w:rsidP="00E034B3">
      <w:pPr>
        <w:pStyle w:val="ListParagraph"/>
        <w:tabs>
          <w:tab w:val="left" w:pos="720"/>
        </w:tabs>
        <w:autoSpaceDE w:val="0"/>
        <w:autoSpaceDN w:val="0"/>
        <w:adjustRightInd w:val="0"/>
        <w:spacing w:after="0" w:line="240" w:lineRule="auto"/>
        <w:ind w:left="0"/>
        <w:jc w:val="both"/>
        <w:rPr>
          <w:rFonts w:eastAsia="Calibri" w:cstheme="minorHAnsi"/>
        </w:rPr>
      </w:pPr>
      <w:r w:rsidRPr="00AB36EF">
        <w:rPr>
          <w:rFonts w:cstheme="minorHAnsi"/>
        </w:rPr>
        <w:t xml:space="preserve">More specifically, </w:t>
      </w:r>
      <w:r w:rsidR="00B20235">
        <w:rPr>
          <w:rFonts w:cstheme="minorHAnsi"/>
        </w:rPr>
        <w:t>R</w:t>
      </w:r>
      <w:r>
        <w:rPr>
          <w:rFonts w:cstheme="minorHAnsi"/>
        </w:rPr>
        <w:t>omania</w:t>
      </w:r>
      <w:r w:rsidRPr="00AB36EF">
        <w:rPr>
          <w:rFonts w:cstheme="minorHAnsi"/>
        </w:rPr>
        <w:t xml:space="preserve"> has EU harmonized legislation framework and institutional arrangement for public procurement</w:t>
      </w:r>
      <w:r w:rsidR="00E034B3">
        <w:rPr>
          <w:rFonts w:cstheme="minorHAnsi"/>
        </w:rPr>
        <w:t xml:space="preserve">. </w:t>
      </w:r>
      <w:r w:rsidR="00E034B3" w:rsidRPr="00113409">
        <w:rPr>
          <w:rFonts w:eastAsia="Calibri" w:cstheme="minorHAnsi"/>
          <w:color w:val="000000"/>
        </w:rPr>
        <w:t xml:space="preserve">The Law 101/2016 on remedies transposes the relevant EU Directive and provides for an independent complaint review mechanism which is in place since </w:t>
      </w:r>
      <w:r w:rsidR="00E034B3" w:rsidRPr="00113409">
        <w:rPr>
          <w:rFonts w:eastAsia="Calibri" w:cstheme="minorHAnsi"/>
        </w:rPr>
        <w:t>2006. The National Council for Solving Complaints (CNSC) is an independent body established with the mandate to guarantee effective remedies for complaints in public procurement. CNSC’s decisions can be challenged in the Appeal Courts. The establishment of CNSC does not preclude the right of any of the parties to address their cause directly to the courts.</w:t>
      </w:r>
    </w:p>
    <w:p w14:paraId="54A39C3D" w14:textId="5393D69C" w:rsidR="00F12060" w:rsidRPr="00AB36EF" w:rsidRDefault="00F12060" w:rsidP="00F12060">
      <w:pPr>
        <w:jc w:val="both"/>
        <w:rPr>
          <w:rFonts w:asciiTheme="minorHAnsi" w:hAnsiTheme="minorHAnsi" w:cstheme="minorHAnsi"/>
          <w:sz w:val="22"/>
        </w:rPr>
      </w:pPr>
    </w:p>
    <w:p w14:paraId="30DB203E" w14:textId="430FCC54" w:rsidR="00F12060" w:rsidRDefault="00F12060" w:rsidP="00F12060">
      <w:pPr>
        <w:jc w:val="both"/>
        <w:rPr>
          <w:rFonts w:asciiTheme="minorHAnsi" w:hAnsiTheme="minorHAnsi" w:cstheme="minorHAnsi"/>
          <w:sz w:val="22"/>
        </w:rPr>
      </w:pPr>
      <w:r w:rsidRPr="00F12060">
        <w:rPr>
          <w:rFonts w:asciiTheme="minorHAnsi" w:hAnsiTheme="minorHAnsi" w:cstheme="minorHAnsi"/>
          <w:sz w:val="22"/>
        </w:rPr>
        <w:t>Romania has made good progress on anti-corruption in the last decade, but political pressure over the investigation bodies</w:t>
      </w:r>
      <w:r w:rsidR="00596E5F">
        <w:rPr>
          <w:rFonts w:asciiTheme="minorHAnsi" w:hAnsiTheme="minorHAnsi" w:cstheme="minorHAnsi"/>
          <w:sz w:val="22"/>
        </w:rPr>
        <w:t xml:space="preserve"> has </w:t>
      </w:r>
      <w:r w:rsidRPr="00F12060">
        <w:rPr>
          <w:rFonts w:asciiTheme="minorHAnsi" w:hAnsiTheme="minorHAnsi" w:cstheme="minorHAnsi"/>
          <w:sz w:val="22"/>
        </w:rPr>
        <w:t xml:space="preserve">increased significantly in the past few years. Within the context of this health </w:t>
      </w:r>
      <w:r w:rsidRPr="005C702D">
        <w:rPr>
          <w:rFonts w:asciiTheme="minorHAnsi" w:hAnsiTheme="minorHAnsi" w:cstheme="minorHAnsi"/>
          <w:sz w:val="22"/>
        </w:rPr>
        <w:t xml:space="preserve">program, there are a few </w:t>
      </w:r>
      <w:r w:rsidRPr="00AB36EF">
        <w:rPr>
          <w:rFonts w:asciiTheme="minorHAnsi" w:hAnsiTheme="minorHAnsi" w:cstheme="minorHAnsi"/>
          <w:sz w:val="22"/>
        </w:rPr>
        <w:t xml:space="preserve">institutions </w:t>
      </w:r>
      <w:r w:rsidR="00350AA4">
        <w:rPr>
          <w:rFonts w:asciiTheme="minorHAnsi" w:hAnsiTheme="minorHAnsi" w:cstheme="minorHAnsi"/>
          <w:sz w:val="22"/>
        </w:rPr>
        <w:t xml:space="preserve">(as listed below) </w:t>
      </w:r>
      <w:r w:rsidR="00596E5F">
        <w:rPr>
          <w:rFonts w:asciiTheme="minorHAnsi" w:hAnsiTheme="minorHAnsi" w:cstheme="minorHAnsi"/>
          <w:sz w:val="22"/>
        </w:rPr>
        <w:t>that</w:t>
      </w:r>
      <w:r w:rsidR="00596E5F" w:rsidRPr="00AB36EF">
        <w:rPr>
          <w:rFonts w:asciiTheme="minorHAnsi" w:hAnsiTheme="minorHAnsi" w:cstheme="minorHAnsi"/>
          <w:sz w:val="22"/>
        </w:rPr>
        <w:t xml:space="preserve"> </w:t>
      </w:r>
      <w:r w:rsidRPr="00AB36EF">
        <w:rPr>
          <w:rFonts w:asciiTheme="minorHAnsi" w:hAnsiTheme="minorHAnsi" w:cstheme="minorHAnsi"/>
          <w:sz w:val="22"/>
        </w:rPr>
        <w:t>are directly related to combating fraud and corruption</w:t>
      </w:r>
      <w:r w:rsidR="00596E5F">
        <w:rPr>
          <w:rFonts w:asciiTheme="minorHAnsi" w:hAnsiTheme="minorHAnsi" w:cstheme="minorHAnsi"/>
          <w:sz w:val="22"/>
        </w:rPr>
        <w:t xml:space="preserve"> and</w:t>
      </w:r>
      <w:r w:rsidR="00350AA4">
        <w:rPr>
          <w:rFonts w:asciiTheme="minorHAnsi" w:hAnsiTheme="minorHAnsi" w:cstheme="minorHAnsi"/>
          <w:sz w:val="22"/>
        </w:rPr>
        <w:t xml:space="preserve"> generally effective </w:t>
      </w:r>
      <w:r w:rsidR="00596E5F">
        <w:rPr>
          <w:rFonts w:asciiTheme="minorHAnsi" w:hAnsiTheme="minorHAnsi" w:cstheme="minorHAnsi"/>
          <w:sz w:val="22"/>
        </w:rPr>
        <w:t xml:space="preserve">in delivering </w:t>
      </w:r>
      <w:r w:rsidR="00350AA4">
        <w:rPr>
          <w:rFonts w:asciiTheme="minorHAnsi" w:hAnsiTheme="minorHAnsi" w:cstheme="minorHAnsi"/>
          <w:sz w:val="22"/>
        </w:rPr>
        <w:t>their mandate.</w:t>
      </w:r>
    </w:p>
    <w:p w14:paraId="0373908B" w14:textId="77777777" w:rsidR="00E034B3" w:rsidRDefault="00E034B3" w:rsidP="00F12060">
      <w:pPr>
        <w:jc w:val="both"/>
        <w:rPr>
          <w:rFonts w:asciiTheme="minorHAnsi" w:hAnsiTheme="minorHAnsi" w:cstheme="minorHAnsi"/>
          <w:sz w:val="22"/>
        </w:rPr>
      </w:pPr>
    </w:p>
    <w:p w14:paraId="7019B630" w14:textId="49426D9F" w:rsidR="00F12060" w:rsidRDefault="00F12060" w:rsidP="00F12060">
      <w:pPr>
        <w:jc w:val="both"/>
        <w:rPr>
          <w:rFonts w:asciiTheme="minorHAnsi" w:hAnsiTheme="minorHAnsi" w:cstheme="minorHAnsi"/>
          <w:sz w:val="22"/>
        </w:rPr>
      </w:pPr>
      <w:r w:rsidRPr="00164960">
        <w:rPr>
          <w:rFonts w:asciiTheme="minorHAnsi" w:hAnsiTheme="minorHAnsi" w:cstheme="minorHAnsi"/>
          <w:sz w:val="22"/>
        </w:rPr>
        <w:t>The institutions responsible for application of criminal and administrative sanctions in Romania are the National Integrity Agency (ANI), the National Anti-Corruption Directorate (DNA) and the General Prosecution Services.</w:t>
      </w:r>
    </w:p>
    <w:p w14:paraId="75D4D296" w14:textId="77777777" w:rsidR="00273C9B" w:rsidRPr="00273C9B" w:rsidRDefault="00273C9B" w:rsidP="00F12060">
      <w:pPr>
        <w:jc w:val="both"/>
        <w:rPr>
          <w:rFonts w:asciiTheme="minorHAnsi" w:hAnsiTheme="minorHAnsi" w:cstheme="minorHAnsi"/>
          <w:sz w:val="22"/>
        </w:rPr>
      </w:pPr>
    </w:p>
    <w:p w14:paraId="48279DF0" w14:textId="09D46A56" w:rsidR="00703F9E" w:rsidRDefault="00703F9E" w:rsidP="00F73FDC">
      <w:pPr>
        <w:pStyle w:val="ListParagraph"/>
        <w:tabs>
          <w:tab w:val="left" w:pos="720"/>
        </w:tabs>
        <w:spacing w:after="0" w:line="240" w:lineRule="auto"/>
        <w:ind w:left="0"/>
        <w:jc w:val="both"/>
        <w:rPr>
          <w:rFonts w:ascii="Calibri" w:eastAsia="Calibri" w:hAnsi="Calibri" w:cs="Times New Roman"/>
        </w:rPr>
      </w:pPr>
      <w:r w:rsidRPr="00767A4F">
        <w:rPr>
          <w:rFonts w:ascii="Calibri" w:eastAsia="Calibri" w:hAnsi="Calibri" w:cs="Times New Roman"/>
        </w:rPr>
        <w:t xml:space="preserve">Romania’s anti-corruption agency </w:t>
      </w:r>
      <w:r w:rsidRPr="00767A4F">
        <w:rPr>
          <w:rFonts w:ascii="Calibri" w:eastAsia="Calibri" w:hAnsi="Calibri" w:cs="Times New Roman"/>
        </w:rPr>
        <w:t xml:space="preserve">(DNA) </w:t>
      </w:r>
      <w:r w:rsidRPr="00767A4F">
        <w:rPr>
          <w:rFonts w:ascii="Calibri" w:eastAsia="Calibri" w:hAnsi="Calibri" w:cs="Times New Roman"/>
        </w:rPr>
        <w:t>has requisite capacity</w:t>
      </w:r>
      <w:r w:rsidRPr="00273C9B">
        <w:rPr>
          <w:rFonts w:ascii="Calibri" w:eastAsia="Calibri" w:hAnsi="Calibri" w:cs="Times New Roman"/>
        </w:rPr>
        <w:t xml:space="preserve">. The </w:t>
      </w:r>
      <w:r w:rsidR="00E40610" w:rsidRPr="00273C9B">
        <w:rPr>
          <w:rFonts w:ascii="Calibri" w:eastAsia="Calibri" w:hAnsi="Calibri" w:cs="Times New Roman"/>
        </w:rPr>
        <w:t>National An</w:t>
      </w:r>
      <w:r w:rsidR="00E40610" w:rsidRPr="00273C9B">
        <w:rPr>
          <w:rFonts w:ascii="Calibri" w:eastAsia="Calibri" w:hAnsi="Calibri" w:cs="Times New Roman"/>
        </w:rPr>
        <w:t>ticorruption Directorate (</w:t>
      </w:r>
      <w:r w:rsidRPr="00F316AC">
        <w:rPr>
          <w:rFonts w:ascii="Calibri" w:eastAsia="Calibri" w:hAnsi="Calibri" w:cs="Times New Roman"/>
        </w:rPr>
        <w:t>DNA</w:t>
      </w:r>
      <w:r w:rsidR="00E40610" w:rsidRPr="00F316AC">
        <w:rPr>
          <w:rFonts w:ascii="Calibri" w:eastAsia="Calibri" w:hAnsi="Calibri" w:cs="Times New Roman"/>
        </w:rPr>
        <w:t>) under the Public Ministry</w:t>
      </w:r>
      <w:r w:rsidRPr="00F316AC">
        <w:rPr>
          <w:rFonts w:ascii="Calibri" w:eastAsia="Calibri" w:hAnsi="Calibri" w:cs="Times New Roman"/>
        </w:rPr>
        <w:t xml:space="preserve"> is the national agency tasked with preventing, investigating and prosecuting </w:t>
      </w:r>
      <w:r w:rsidR="00E40610" w:rsidRPr="00767A4F">
        <w:rPr>
          <w:rFonts w:ascii="Calibri" w:eastAsia="Calibri" w:hAnsi="Calibri" w:cs="Times New Roman"/>
        </w:rPr>
        <w:t>material</w:t>
      </w:r>
      <w:r w:rsidR="00E40610">
        <w:rPr>
          <w:rFonts w:ascii="Calibri" w:eastAsia="Calibri" w:hAnsi="Calibri" w:cs="Times New Roman"/>
        </w:rPr>
        <w:t xml:space="preserve"> </w:t>
      </w:r>
      <w:r w:rsidRPr="003A6810">
        <w:rPr>
          <w:rFonts w:ascii="Calibri" w:eastAsia="Calibri" w:hAnsi="Calibri" w:cs="Times New Roman"/>
        </w:rPr>
        <w:t>corruption-related offenses</w:t>
      </w:r>
      <w:r w:rsidR="00E40610">
        <w:rPr>
          <w:rStyle w:val="FootnoteReference"/>
          <w:rFonts w:cstheme="minorHAnsi"/>
        </w:rPr>
        <w:footnoteReference w:id="6"/>
      </w:r>
      <w:r w:rsidRPr="003A6810">
        <w:rPr>
          <w:rFonts w:ascii="Calibri" w:eastAsia="Calibri" w:hAnsi="Calibri" w:cs="Times New Roman"/>
        </w:rPr>
        <w:t xml:space="preserve">. The DNA is headed by a Chief-Prosecutor and 2 deputies, nominated by the Minister of Justice and appointed by the President of Romania. The Chief-Prosecutor of the Directorate is subordinated to the General-Prosecutor of the Prosecutor's Office attached to the High Court of Cassation and Justice. The DNA has in recent years established an impressive track record in terms of solving high and medium level corruption cases. </w:t>
      </w:r>
    </w:p>
    <w:p w14:paraId="32E2E50B" w14:textId="77777777" w:rsidR="00703F9E" w:rsidRPr="003A6810" w:rsidRDefault="00703F9E" w:rsidP="00703F9E">
      <w:pPr>
        <w:pStyle w:val="ListParagraph"/>
        <w:rPr>
          <w:rFonts w:ascii="Calibri" w:eastAsia="Calibri" w:hAnsi="Calibri" w:cs="Times New Roman"/>
        </w:rPr>
      </w:pPr>
    </w:p>
    <w:p w14:paraId="45799D34" w14:textId="1F5C1FE0" w:rsidR="00703F9E" w:rsidRDefault="00703F9E" w:rsidP="00F73FDC">
      <w:pPr>
        <w:pStyle w:val="ListParagraph"/>
        <w:tabs>
          <w:tab w:val="left" w:pos="720"/>
        </w:tabs>
        <w:spacing w:after="0" w:line="240" w:lineRule="auto"/>
        <w:ind w:left="0"/>
        <w:jc w:val="both"/>
        <w:rPr>
          <w:rFonts w:ascii="Calibri" w:eastAsia="Calibri" w:hAnsi="Calibri" w:cs="Times New Roman"/>
        </w:rPr>
      </w:pPr>
      <w:r w:rsidRPr="003A6810">
        <w:rPr>
          <w:rFonts w:ascii="Calibri" w:eastAsia="Calibri" w:hAnsi="Calibri" w:cs="Times New Roman"/>
        </w:rPr>
        <w:t xml:space="preserve">The 2014 Anti-Corruption Report of the European Commission highlighted the Romanian DNA as one of 5 examples of good practices in anti-corruption agencies across the EU observing a notable track record of non-partisan investigations and prosecutions into allegations of corruption at the highest levels of politics, the judiciary and other sectors, including Health. </w:t>
      </w:r>
      <w:r w:rsidR="00E40610">
        <w:rPr>
          <w:rFonts w:cstheme="minorHAnsi"/>
          <w:lang w:val="en"/>
        </w:rPr>
        <w:t>Corruption in the health sector and public procurement is listed among the priorities of the DNA for 2019.</w:t>
      </w:r>
      <w:r w:rsidR="00E40610" w:rsidRPr="00E40610">
        <w:rPr>
          <w:rStyle w:val="FootnoteReference"/>
          <w:rFonts w:cstheme="minorHAnsi"/>
          <w:lang w:val="en"/>
        </w:rPr>
        <w:t xml:space="preserve"> </w:t>
      </w:r>
      <w:r w:rsidR="00E40610">
        <w:rPr>
          <w:rStyle w:val="FootnoteReference"/>
          <w:rFonts w:cstheme="minorHAnsi"/>
          <w:lang w:val="en"/>
        </w:rPr>
        <w:footnoteReference w:id="7"/>
      </w:r>
      <w:r w:rsidR="00E40610">
        <w:rPr>
          <w:rFonts w:cstheme="minorHAnsi"/>
          <w:lang w:val="en"/>
        </w:rPr>
        <w:t xml:space="preserve"> </w:t>
      </w:r>
      <w:r w:rsidR="00E40610">
        <w:rPr>
          <w:rFonts w:cstheme="minorHAnsi"/>
          <w:lang w:val="en"/>
        </w:rPr>
        <w:t xml:space="preserve"> </w:t>
      </w:r>
      <w:r w:rsidRPr="003A6810">
        <w:rPr>
          <w:rFonts w:ascii="Calibri" w:eastAsia="Calibri" w:hAnsi="Calibri" w:cs="Times New Roman"/>
        </w:rPr>
        <w:t>In the past seven years, DNA has indicted over 4,700 defendants. 90.25</w:t>
      </w:r>
      <w:r>
        <w:rPr>
          <w:rFonts w:ascii="Calibri" w:eastAsia="Calibri" w:hAnsi="Calibri" w:cs="Times New Roman"/>
        </w:rPr>
        <w:t xml:space="preserve"> percent</w:t>
      </w:r>
      <w:r w:rsidRPr="003A6810">
        <w:rPr>
          <w:rFonts w:ascii="Calibri" w:eastAsia="Calibri" w:hAnsi="Calibri" w:cs="Times New Roman"/>
        </w:rPr>
        <w:t xml:space="preserve"> of its indictments were confirmed through final court decisions. Nearly 1,500 defendants were convicted through final court decisions, almost half of them holding very high-level positions.  While recognizing important progress achieved in certain areas, the latest EC MCV report issued in November 2018 signals the substantial pressure exercised over the independence of judiciary, including on DNA, which may reverse the anticorruption reform. </w:t>
      </w:r>
    </w:p>
    <w:p w14:paraId="336C5699" w14:textId="77777777" w:rsidR="00F12060" w:rsidRPr="00AB36EF" w:rsidRDefault="00F12060" w:rsidP="00F12060">
      <w:pPr>
        <w:jc w:val="both"/>
        <w:rPr>
          <w:rFonts w:asciiTheme="minorHAnsi" w:hAnsiTheme="minorHAnsi" w:cstheme="minorHAnsi"/>
          <w:b/>
          <w:sz w:val="22"/>
        </w:rPr>
      </w:pPr>
    </w:p>
    <w:p w14:paraId="5E42FDA1" w14:textId="3A456256" w:rsidR="00F12060" w:rsidRDefault="00F12060" w:rsidP="00F12060">
      <w:pPr>
        <w:jc w:val="both"/>
        <w:rPr>
          <w:rFonts w:asciiTheme="minorHAnsi" w:hAnsiTheme="minorHAnsi" w:cstheme="minorHAnsi"/>
          <w:sz w:val="22"/>
        </w:rPr>
      </w:pPr>
      <w:r>
        <w:rPr>
          <w:rFonts w:asciiTheme="minorHAnsi" w:hAnsiTheme="minorHAnsi" w:cstheme="minorHAnsi"/>
          <w:sz w:val="22"/>
        </w:rPr>
        <w:t>Any activities</w:t>
      </w:r>
      <w:r w:rsidRPr="00405A1E">
        <w:rPr>
          <w:rFonts w:asciiTheme="minorHAnsi" w:hAnsiTheme="minorHAnsi" w:cstheme="minorHAnsi"/>
          <w:sz w:val="22"/>
        </w:rPr>
        <w:t xml:space="preserve"> financed by the E</w:t>
      </w:r>
      <w:r>
        <w:rPr>
          <w:rFonts w:asciiTheme="minorHAnsi" w:hAnsiTheme="minorHAnsi" w:cstheme="minorHAnsi"/>
          <w:sz w:val="22"/>
        </w:rPr>
        <w:t>U</w:t>
      </w:r>
      <w:r w:rsidRPr="00405A1E">
        <w:rPr>
          <w:rFonts w:asciiTheme="minorHAnsi" w:hAnsiTheme="minorHAnsi" w:cstheme="minorHAnsi"/>
          <w:sz w:val="22"/>
        </w:rPr>
        <w:t xml:space="preserve"> </w:t>
      </w:r>
      <w:r>
        <w:rPr>
          <w:rFonts w:asciiTheme="minorHAnsi" w:hAnsiTheme="minorHAnsi" w:cstheme="minorHAnsi"/>
          <w:sz w:val="22"/>
        </w:rPr>
        <w:t xml:space="preserve">to support achieving the Program results </w:t>
      </w:r>
      <w:r w:rsidRPr="00405A1E">
        <w:rPr>
          <w:rFonts w:asciiTheme="minorHAnsi" w:hAnsiTheme="minorHAnsi" w:cstheme="minorHAnsi"/>
          <w:sz w:val="22"/>
        </w:rPr>
        <w:t xml:space="preserve">will </w:t>
      </w:r>
      <w:r w:rsidR="00596E5F">
        <w:rPr>
          <w:rFonts w:asciiTheme="minorHAnsi" w:hAnsiTheme="minorHAnsi" w:cstheme="minorHAnsi"/>
          <w:sz w:val="22"/>
        </w:rPr>
        <w:t xml:space="preserve">also </w:t>
      </w:r>
      <w:r w:rsidRPr="00405A1E">
        <w:rPr>
          <w:rFonts w:asciiTheme="minorHAnsi" w:hAnsiTheme="minorHAnsi" w:cstheme="minorHAnsi"/>
          <w:sz w:val="22"/>
        </w:rPr>
        <w:t xml:space="preserve">be subject to the investigations of the European Anti-Fraud Office (OLAF). </w:t>
      </w:r>
      <w:r>
        <w:rPr>
          <w:rFonts w:asciiTheme="minorHAnsi" w:hAnsiTheme="minorHAnsi" w:cstheme="minorHAnsi"/>
          <w:sz w:val="22"/>
        </w:rPr>
        <w:t>In 2017, Romania ranked first in the member states subject to OLAF investigations. T</w:t>
      </w:r>
      <w:r w:rsidRPr="00194643">
        <w:rPr>
          <w:rFonts w:asciiTheme="minorHAnsi" w:hAnsiTheme="minorHAnsi" w:cstheme="minorHAnsi"/>
          <w:sz w:val="22"/>
        </w:rPr>
        <w:t xml:space="preserve">here were 11 OLAF investigations related to the management or spending of EU funds at regional or national level in Romania in 2017, </w:t>
      </w:r>
      <w:r>
        <w:rPr>
          <w:rFonts w:asciiTheme="minorHAnsi" w:hAnsiTheme="minorHAnsi" w:cstheme="minorHAnsi"/>
          <w:sz w:val="22"/>
        </w:rPr>
        <w:t xml:space="preserve">more notable on roads construction, </w:t>
      </w:r>
      <w:r w:rsidRPr="00194643">
        <w:rPr>
          <w:rFonts w:asciiTheme="minorHAnsi" w:hAnsiTheme="minorHAnsi" w:cstheme="minorHAnsi"/>
          <w:sz w:val="22"/>
        </w:rPr>
        <w:lastRenderedPageBreak/>
        <w:t xml:space="preserve">and recommendations were issued for </w:t>
      </w:r>
      <w:r w:rsidR="00596E5F">
        <w:rPr>
          <w:rFonts w:asciiTheme="minorHAnsi" w:hAnsiTheme="minorHAnsi" w:cstheme="minorHAnsi"/>
          <w:sz w:val="22"/>
        </w:rPr>
        <w:t>eight</w:t>
      </w:r>
      <w:r w:rsidRPr="00194643">
        <w:rPr>
          <w:rFonts w:asciiTheme="minorHAnsi" w:hAnsiTheme="minorHAnsi" w:cstheme="minorHAnsi"/>
          <w:sz w:val="22"/>
        </w:rPr>
        <w:t xml:space="preserve"> of the cases</w:t>
      </w:r>
      <w:r>
        <w:rPr>
          <w:rFonts w:asciiTheme="minorHAnsi" w:hAnsiTheme="minorHAnsi" w:cstheme="minorHAnsi"/>
          <w:sz w:val="22"/>
        </w:rPr>
        <w:t>, with a financial impact estimated to EUR 21 million that needs to be recovered and reimbursed to EU.</w:t>
      </w:r>
      <w:r>
        <w:rPr>
          <w:rStyle w:val="FootnoteReference"/>
          <w:rFonts w:asciiTheme="minorHAnsi" w:hAnsiTheme="minorHAnsi" w:cstheme="minorHAnsi"/>
          <w:sz w:val="22"/>
        </w:rPr>
        <w:footnoteReference w:id="8"/>
      </w:r>
    </w:p>
    <w:p w14:paraId="525412FF" w14:textId="77777777" w:rsidR="00F12060" w:rsidRPr="00164960" w:rsidRDefault="00F12060" w:rsidP="00F12060">
      <w:pPr>
        <w:jc w:val="both"/>
        <w:rPr>
          <w:rFonts w:asciiTheme="minorHAnsi" w:hAnsiTheme="minorHAnsi" w:cstheme="minorHAnsi"/>
          <w:sz w:val="22"/>
        </w:rPr>
      </w:pPr>
    </w:p>
    <w:p w14:paraId="38FBE796" w14:textId="3551894D" w:rsidR="00F12060" w:rsidRPr="00AB36EF" w:rsidRDefault="00F12060" w:rsidP="00F12060">
      <w:pPr>
        <w:jc w:val="both"/>
        <w:rPr>
          <w:rFonts w:asciiTheme="minorHAnsi" w:hAnsiTheme="minorHAnsi" w:cstheme="minorHAnsi"/>
          <w:sz w:val="22"/>
          <w:lang w:val="en"/>
        </w:rPr>
      </w:pPr>
      <w:r w:rsidRPr="00AB36EF">
        <w:rPr>
          <w:rFonts w:asciiTheme="minorHAnsi" w:hAnsiTheme="minorHAnsi" w:cstheme="minorHAnsi"/>
          <w:sz w:val="22"/>
          <w:lang w:val="en"/>
        </w:rPr>
        <w:t xml:space="preserve">The systems handling the risks of fraud and corruption </w:t>
      </w:r>
      <w:r w:rsidR="00596E5F">
        <w:rPr>
          <w:rFonts w:asciiTheme="minorHAnsi" w:hAnsiTheme="minorHAnsi" w:cstheme="minorHAnsi"/>
          <w:sz w:val="22"/>
          <w:lang w:val="en"/>
        </w:rPr>
        <w:t>during Program</w:t>
      </w:r>
      <w:r w:rsidRPr="00AB36EF">
        <w:rPr>
          <w:rFonts w:asciiTheme="minorHAnsi" w:hAnsiTheme="minorHAnsi" w:cstheme="minorHAnsi"/>
          <w:sz w:val="22"/>
          <w:lang w:val="en"/>
        </w:rPr>
        <w:t xml:space="preserve"> implementation are in place and functioning.</w:t>
      </w:r>
    </w:p>
    <w:p w14:paraId="360114F9" w14:textId="77777777" w:rsidR="00F55B08" w:rsidRPr="00AB36EF" w:rsidRDefault="00F55B08" w:rsidP="00F55B08">
      <w:pPr>
        <w:jc w:val="both"/>
        <w:rPr>
          <w:rFonts w:asciiTheme="minorHAnsi" w:hAnsiTheme="minorHAnsi" w:cstheme="minorHAnsi"/>
          <w:sz w:val="22"/>
        </w:rPr>
      </w:pPr>
    </w:p>
    <w:p w14:paraId="36011516" w14:textId="63B39CD7" w:rsidR="00F55B08" w:rsidRPr="00C62310" w:rsidRDefault="00F55B08" w:rsidP="00C62310">
      <w:pPr>
        <w:pStyle w:val="PforRStyle2"/>
        <w:jc w:val="both"/>
        <w:rPr>
          <w:rFonts w:ascii="Calibri" w:hAnsi="Calibri" w:cs="Calibri"/>
          <w:sz w:val="22"/>
          <w:szCs w:val="22"/>
        </w:rPr>
      </w:pPr>
      <w:bookmarkStart w:id="46" w:name="_Toc372640706"/>
      <w:bookmarkStart w:id="47" w:name="_Toc12467049"/>
      <w:r w:rsidRPr="00C62310">
        <w:rPr>
          <w:rFonts w:ascii="Calibri" w:hAnsi="Calibri" w:cs="Calibri"/>
          <w:sz w:val="22"/>
          <w:szCs w:val="22"/>
        </w:rPr>
        <w:t>Transparency, integrity and accountability in selection of the Program’s activities</w:t>
      </w:r>
      <w:bookmarkEnd w:id="46"/>
      <w:bookmarkEnd w:id="47"/>
    </w:p>
    <w:p w14:paraId="36011517" w14:textId="20047BE7" w:rsidR="00F55B08" w:rsidRPr="00AB36EF" w:rsidRDefault="00F55B08" w:rsidP="00F55B08">
      <w:pPr>
        <w:jc w:val="both"/>
        <w:rPr>
          <w:rFonts w:asciiTheme="minorHAnsi" w:hAnsiTheme="minorHAnsi" w:cstheme="minorHAnsi"/>
          <w:sz w:val="22"/>
        </w:rPr>
      </w:pPr>
      <w:r w:rsidRPr="00AB36EF">
        <w:rPr>
          <w:rFonts w:asciiTheme="minorHAnsi" w:hAnsiTheme="minorHAnsi" w:cstheme="minorHAnsi"/>
          <w:sz w:val="22"/>
        </w:rPr>
        <w:t>The first step in assuring transparency, integrity and accountability in</w:t>
      </w:r>
      <w:r w:rsidR="00596E5F">
        <w:rPr>
          <w:rFonts w:asciiTheme="minorHAnsi" w:hAnsiTheme="minorHAnsi" w:cstheme="minorHAnsi"/>
          <w:sz w:val="22"/>
        </w:rPr>
        <w:t xml:space="preserve"> the</w:t>
      </w:r>
      <w:r w:rsidRPr="00AB36EF">
        <w:rPr>
          <w:rFonts w:asciiTheme="minorHAnsi" w:hAnsiTheme="minorHAnsi" w:cstheme="minorHAnsi"/>
          <w:sz w:val="22"/>
        </w:rPr>
        <w:t xml:space="preserve"> selection of the activities included in the Program </w:t>
      </w:r>
      <w:r w:rsidR="00596E5F">
        <w:rPr>
          <w:rFonts w:asciiTheme="minorHAnsi" w:hAnsiTheme="minorHAnsi" w:cstheme="minorHAnsi"/>
          <w:sz w:val="22"/>
        </w:rPr>
        <w:t>focuse</w:t>
      </w:r>
      <w:r w:rsidR="004A3596">
        <w:rPr>
          <w:rFonts w:asciiTheme="minorHAnsi" w:hAnsiTheme="minorHAnsi" w:cstheme="minorHAnsi"/>
          <w:sz w:val="22"/>
        </w:rPr>
        <w:t>s</w:t>
      </w:r>
      <w:r w:rsidR="00596E5F">
        <w:rPr>
          <w:rFonts w:asciiTheme="minorHAnsi" w:hAnsiTheme="minorHAnsi" w:cstheme="minorHAnsi"/>
          <w:sz w:val="22"/>
        </w:rPr>
        <w:t xml:space="preserve"> on the</w:t>
      </w:r>
      <w:r w:rsidR="004E4FE0">
        <w:rPr>
          <w:rFonts w:asciiTheme="minorHAnsi" w:hAnsiTheme="minorHAnsi" w:cstheme="minorHAnsi"/>
          <w:sz w:val="22"/>
        </w:rPr>
        <w:t xml:space="preserve"> scope </w:t>
      </w:r>
      <w:r w:rsidRPr="00AB36EF">
        <w:rPr>
          <w:rFonts w:asciiTheme="minorHAnsi" w:hAnsiTheme="minorHAnsi" w:cstheme="minorHAnsi"/>
          <w:sz w:val="22"/>
        </w:rPr>
        <w:t>o</w:t>
      </w:r>
      <w:r w:rsidR="00596E5F">
        <w:rPr>
          <w:rFonts w:asciiTheme="minorHAnsi" w:hAnsiTheme="minorHAnsi" w:cstheme="minorHAnsi"/>
          <w:sz w:val="22"/>
        </w:rPr>
        <w:t>f</w:t>
      </w:r>
      <w:r w:rsidRPr="00AB36EF">
        <w:rPr>
          <w:rFonts w:asciiTheme="minorHAnsi" w:hAnsiTheme="minorHAnsi" w:cstheme="minorHAnsi"/>
          <w:sz w:val="22"/>
        </w:rPr>
        <w:t xml:space="preserve"> the strategic problems and priorities identified in </w:t>
      </w:r>
      <w:r w:rsidR="00743258" w:rsidRPr="00AB36EF">
        <w:rPr>
          <w:rFonts w:asciiTheme="minorHAnsi" w:hAnsiTheme="minorHAnsi" w:cstheme="minorHAnsi"/>
          <w:sz w:val="22"/>
        </w:rPr>
        <w:t xml:space="preserve">the </w:t>
      </w:r>
      <w:r w:rsidRPr="00AB36EF">
        <w:rPr>
          <w:rFonts w:asciiTheme="minorHAnsi" w:hAnsiTheme="minorHAnsi" w:cstheme="minorHAnsi"/>
          <w:sz w:val="22"/>
        </w:rPr>
        <w:t xml:space="preserve">adopted National Health Strategy </w:t>
      </w:r>
      <w:r w:rsidR="00743258" w:rsidRPr="00AB36EF">
        <w:rPr>
          <w:rFonts w:asciiTheme="minorHAnsi" w:hAnsiTheme="minorHAnsi" w:cstheme="minorHAnsi"/>
          <w:sz w:val="22"/>
        </w:rPr>
        <w:t xml:space="preserve">for </w:t>
      </w:r>
      <w:r w:rsidRPr="00AB36EF">
        <w:rPr>
          <w:rFonts w:asciiTheme="minorHAnsi" w:hAnsiTheme="minorHAnsi" w:cstheme="minorHAnsi"/>
          <w:sz w:val="22"/>
        </w:rPr>
        <w:t>201</w:t>
      </w:r>
      <w:r w:rsidR="00596E5F">
        <w:rPr>
          <w:rFonts w:asciiTheme="minorHAnsi" w:hAnsiTheme="minorHAnsi" w:cstheme="minorHAnsi"/>
          <w:sz w:val="22"/>
        </w:rPr>
        <w:t>4</w:t>
      </w:r>
      <w:r w:rsidRPr="00AB36EF">
        <w:rPr>
          <w:rFonts w:asciiTheme="minorHAnsi" w:hAnsiTheme="minorHAnsi" w:cstheme="minorHAnsi"/>
          <w:sz w:val="22"/>
        </w:rPr>
        <w:t xml:space="preserve">–2020, preparation of which included a wide consultation and a consensus building among all key stakeholders. </w:t>
      </w:r>
    </w:p>
    <w:p w14:paraId="3601151C" w14:textId="77777777" w:rsidR="00F55B08" w:rsidRPr="00AB36EF" w:rsidRDefault="00F55B08" w:rsidP="00F55B08">
      <w:pPr>
        <w:jc w:val="both"/>
        <w:rPr>
          <w:rFonts w:asciiTheme="minorHAnsi" w:hAnsiTheme="minorHAnsi" w:cstheme="minorHAnsi"/>
          <w:sz w:val="22"/>
        </w:rPr>
      </w:pPr>
      <w:r w:rsidRPr="00AB36EF">
        <w:rPr>
          <w:rFonts w:asciiTheme="minorHAnsi" w:hAnsiTheme="minorHAnsi" w:cstheme="minorHAnsi"/>
          <w:sz w:val="22"/>
        </w:rPr>
        <w:t xml:space="preserve">   </w:t>
      </w:r>
    </w:p>
    <w:p w14:paraId="36011530" w14:textId="03FF65C2" w:rsidR="00F55B08" w:rsidRPr="00C62310" w:rsidRDefault="00F55B08" w:rsidP="00C62310">
      <w:pPr>
        <w:pStyle w:val="PforRStyle2"/>
        <w:jc w:val="both"/>
        <w:rPr>
          <w:rFonts w:ascii="Calibri" w:hAnsi="Calibri" w:cs="Calibri"/>
          <w:sz w:val="22"/>
          <w:szCs w:val="22"/>
        </w:rPr>
      </w:pPr>
      <w:bookmarkStart w:id="48" w:name="_Toc372640708"/>
      <w:bookmarkStart w:id="49" w:name="_Toc12467050"/>
      <w:r w:rsidRPr="00C62310">
        <w:rPr>
          <w:rFonts w:ascii="Calibri" w:hAnsi="Calibri" w:cs="Calibri"/>
          <w:sz w:val="22"/>
          <w:szCs w:val="22"/>
        </w:rPr>
        <w:t>Integrity issues within the health sector</w:t>
      </w:r>
      <w:bookmarkEnd w:id="48"/>
      <w:bookmarkEnd w:id="49"/>
    </w:p>
    <w:p w14:paraId="297EE27B" w14:textId="77777777" w:rsidR="00812895" w:rsidRDefault="00E034B3" w:rsidP="00812895">
      <w:pPr>
        <w:jc w:val="both"/>
        <w:rPr>
          <w:rFonts w:asciiTheme="minorHAnsi" w:hAnsiTheme="minorHAnsi" w:cstheme="minorHAnsi"/>
          <w:sz w:val="22"/>
        </w:rPr>
      </w:pPr>
      <w:r w:rsidRPr="00812895">
        <w:rPr>
          <w:rFonts w:asciiTheme="minorHAnsi" w:hAnsiTheme="minorHAnsi" w:cstheme="minorHAnsi"/>
          <w:sz w:val="22"/>
        </w:rPr>
        <w:t>The health sector is perceived as being among the most corrupt sectors in the country</w:t>
      </w:r>
      <w:r w:rsidRPr="00812895">
        <w:rPr>
          <w:rFonts w:asciiTheme="minorHAnsi" w:hAnsiTheme="minorHAnsi" w:cstheme="minorHAnsi"/>
          <w:sz w:val="22"/>
          <w:vertAlign w:val="superscript"/>
        </w:rPr>
        <w:footnoteReference w:id="9"/>
      </w:r>
      <w:r w:rsidRPr="00812895">
        <w:rPr>
          <w:rFonts w:asciiTheme="minorHAnsi" w:hAnsiTheme="minorHAnsi" w:cstheme="minorHAnsi"/>
          <w:sz w:val="22"/>
          <w:vertAlign w:val="superscript"/>
        </w:rPr>
        <w:t>.</w:t>
      </w:r>
      <w:r w:rsidRPr="00812895">
        <w:rPr>
          <w:rFonts w:asciiTheme="minorHAnsi" w:hAnsiTheme="minorHAnsi" w:cstheme="minorHAnsi"/>
          <w:sz w:val="22"/>
        </w:rPr>
        <w:t xml:space="preserve"> </w:t>
      </w:r>
      <w:r w:rsidR="00812895" w:rsidRPr="00812895">
        <w:rPr>
          <w:rFonts w:asciiTheme="minorHAnsi" w:hAnsiTheme="minorHAnsi" w:cstheme="minorHAnsi"/>
          <w:sz w:val="22"/>
        </w:rPr>
        <w:t>According to an EC study</w:t>
      </w:r>
      <w:r w:rsidR="00812895" w:rsidRPr="00812895">
        <w:rPr>
          <w:rFonts w:asciiTheme="minorHAnsi" w:hAnsiTheme="minorHAnsi" w:cstheme="minorHAnsi"/>
          <w:sz w:val="22"/>
          <w:vertAlign w:val="superscript"/>
        </w:rPr>
        <w:footnoteReference w:id="10"/>
      </w:r>
      <w:r w:rsidR="00812895" w:rsidRPr="00812895">
        <w:rPr>
          <w:rFonts w:asciiTheme="minorHAnsi" w:hAnsiTheme="minorHAnsi" w:cstheme="minorHAnsi"/>
          <w:sz w:val="22"/>
        </w:rPr>
        <w:t>, corruption in healthcare occurs in Romania across all types of stakeholders in the sector, such as: the widespread practice of informal payments in order to get access to (better) medical treatment or to obtain false medical certificates providing entitlement to social benefits (between patients and healthcare providers), the occurrence of double practice (patients, healthcare professionals, and hospitals), procurement of medical devices (involvement of industry and payers), authorization and procurement of pharmaceuticals (also involvement of industry and payers)</w:t>
      </w:r>
      <w:r w:rsidR="00812895">
        <w:rPr>
          <w:rFonts w:asciiTheme="minorHAnsi" w:hAnsiTheme="minorHAnsi" w:cstheme="minorHAnsi"/>
          <w:sz w:val="22"/>
        </w:rPr>
        <w:t>.</w:t>
      </w:r>
      <w:r w:rsidR="00812895" w:rsidRPr="00AB36EF">
        <w:rPr>
          <w:rFonts w:asciiTheme="minorHAnsi" w:hAnsiTheme="minorHAnsi" w:cstheme="minorHAnsi"/>
          <w:sz w:val="22"/>
        </w:rPr>
        <w:t xml:space="preserve"> </w:t>
      </w:r>
    </w:p>
    <w:p w14:paraId="63831D47" w14:textId="77777777" w:rsidR="00812895" w:rsidRDefault="00812895" w:rsidP="00812895">
      <w:pPr>
        <w:jc w:val="both"/>
        <w:rPr>
          <w:rFonts w:asciiTheme="minorHAnsi" w:hAnsiTheme="minorHAnsi" w:cstheme="minorHAnsi"/>
          <w:sz w:val="22"/>
        </w:rPr>
      </w:pPr>
    </w:p>
    <w:p w14:paraId="7205A3A1" w14:textId="6711FE46" w:rsidR="00812895" w:rsidRDefault="00812895" w:rsidP="00812895">
      <w:pPr>
        <w:jc w:val="both"/>
        <w:rPr>
          <w:rFonts w:asciiTheme="minorHAnsi" w:hAnsiTheme="minorHAnsi" w:cstheme="minorHAnsi"/>
          <w:sz w:val="22"/>
        </w:rPr>
      </w:pPr>
      <w:r w:rsidRPr="00812895">
        <w:rPr>
          <w:rFonts w:asciiTheme="minorHAnsi" w:hAnsiTheme="minorHAnsi" w:cstheme="minorHAnsi"/>
          <w:sz w:val="22"/>
        </w:rPr>
        <w:t xml:space="preserve">Other forms of corruption in the healthcare system are, for example: illegal sponsorship (sponsorships are not illegal per se, but bribes and conflicts of interests are sometimes hidden in sponsorships) with several high-profile investigations relating to this practice, and parallel exports (doctors prescribing medicines to their patients without </w:t>
      </w:r>
      <w:r w:rsidR="004A3596">
        <w:rPr>
          <w:rFonts w:asciiTheme="minorHAnsi" w:hAnsiTheme="minorHAnsi" w:cstheme="minorHAnsi"/>
          <w:sz w:val="22"/>
        </w:rPr>
        <w:t xml:space="preserve">service </w:t>
      </w:r>
      <w:r w:rsidRPr="00812895">
        <w:rPr>
          <w:rFonts w:asciiTheme="minorHAnsi" w:hAnsiTheme="minorHAnsi" w:cstheme="minorHAnsi"/>
          <w:sz w:val="22"/>
        </w:rPr>
        <w:t>delivery; medicines are sold to other EU countrie</w:t>
      </w:r>
      <w:r w:rsidR="004A3596">
        <w:rPr>
          <w:rFonts w:asciiTheme="minorHAnsi" w:hAnsiTheme="minorHAnsi" w:cstheme="minorHAnsi"/>
          <w:sz w:val="22"/>
        </w:rPr>
        <w:t>s</w:t>
      </w:r>
      <w:r w:rsidRPr="00812895">
        <w:rPr>
          <w:rFonts w:asciiTheme="minorHAnsi" w:hAnsiTheme="minorHAnsi" w:cstheme="minorHAnsi"/>
          <w:sz w:val="22"/>
        </w:rPr>
        <w:t xml:space="preserve"> at higher prices). </w:t>
      </w:r>
    </w:p>
    <w:p w14:paraId="2CAF4169" w14:textId="5A6D227F" w:rsidR="00812895" w:rsidRDefault="00812895" w:rsidP="00812895">
      <w:pPr>
        <w:jc w:val="both"/>
        <w:rPr>
          <w:rFonts w:asciiTheme="minorHAnsi" w:hAnsiTheme="minorHAnsi" w:cstheme="minorHAnsi"/>
          <w:sz w:val="22"/>
        </w:rPr>
      </w:pPr>
    </w:p>
    <w:p w14:paraId="03FE6616" w14:textId="16170167" w:rsidR="00F30190" w:rsidRDefault="00812895" w:rsidP="0040216F">
      <w:pPr>
        <w:jc w:val="both"/>
        <w:rPr>
          <w:rFonts w:asciiTheme="minorHAnsi" w:hAnsiTheme="minorHAnsi" w:cstheme="minorHAnsi"/>
          <w:sz w:val="22"/>
        </w:rPr>
      </w:pPr>
      <w:r>
        <w:rPr>
          <w:rFonts w:asciiTheme="minorHAnsi" w:hAnsiTheme="minorHAnsi" w:cstheme="minorHAnsi"/>
          <w:sz w:val="22"/>
        </w:rPr>
        <w:t>K</w:t>
      </w:r>
      <w:r w:rsidRPr="00AB36EF">
        <w:rPr>
          <w:rFonts w:asciiTheme="minorHAnsi" w:hAnsiTheme="minorHAnsi" w:cstheme="minorHAnsi"/>
          <w:sz w:val="22"/>
        </w:rPr>
        <w:t xml:space="preserve">ey governance (including corruption) concerns </w:t>
      </w:r>
      <w:r w:rsidR="00F30190">
        <w:rPr>
          <w:rFonts w:asciiTheme="minorHAnsi" w:hAnsiTheme="minorHAnsi" w:cstheme="minorHAnsi"/>
          <w:sz w:val="22"/>
        </w:rPr>
        <w:t>related to</w:t>
      </w:r>
      <w:r w:rsidR="004A3596">
        <w:rPr>
          <w:rFonts w:asciiTheme="minorHAnsi" w:hAnsiTheme="minorHAnsi" w:cstheme="minorHAnsi"/>
          <w:sz w:val="22"/>
        </w:rPr>
        <w:t xml:space="preserve"> the</w:t>
      </w:r>
      <w:r w:rsidR="00F30190">
        <w:rPr>
          <w:rFonts w:asciiTheme="minorHAnsi" w:hAnsiTheme="minorHAnsi" w:cstheme="minorHAnsi"/>
          <w:sz w:val="22"/>
        </w:rPr>
        <w:t xml:space="preserve"> Program areas </w:t>
      </w:r>
      <w:r w:rsidRPr="00AB36EF">
        <w:rPr>
          <w:rFonts w:asciiTheme="minorHAnsi" w:hAnsiTheme="minorHAnsi" w:cstheme="minorHAnsi"/>
          <w:sz w:val="22"/>
        </w:rPr>
        <w:t>include the (i) value of goods procured – including both medical and non-medical goods;</w:t>
      </w:r>
      <w:r w:rsidR="00E31166">
        <w:rPr>
          <w:rFonts w:asciiTheme="minorHAnsi" w:hAnsiTheme="minorHAnsi" w:cstheme="minorHAnsi"/>
          <w:sz w:val="22"/>
        </w:rPr>
        <w:t xml:space="preserve"> </w:t>
      </w:r>
      <w:r>
        <w:rPr>
          <w:rFonts w:asciiTheme="minorHAnsi" w:hAnsiTheme="minorHAnsi" w:cstheme="minorHAnsi"/>
          <w:sz w:val="22"/>
        </w:rPr>
        <w:t xml:space="preserve">and (ii) </w:t>
      </w:r>
      <w:r w:rsidRPr="00AB36EF">
        <w:rPr>
          <w:rFonts w:asciiTheme="minorHAnsi" w:hAnsiTheme="minorHAnsi" w:cstheme="minorHAnsi"/>
          <w:sz w:val="22"/>
        </w:rPr>
        <w:t>inaccurate billing (incorrect or over-billing) for health services rendered and which qualify for reimbursements from the NHIF.</w:t>
      </w:r>
    </w:p>
    <w:p w14:paraId="13B5F113" w14:textId="77777777" w:rsidR="0040216F" w:rsidRPr="0040216F" w:rsidRDefault="0040216F" w:rsidP="0040216F">
      <w:pPr>
        <w:jc w:val="both"/>
        <w:rPr>
          <w:rFonts w:asciiTheme="minorHAnsi" w:hAnsiTheme="minorHAnsi" w:cstheme="minorHAnsi"/>
          <w:sz w:val="22"/>
        </w:rPr>
      </w:pPr>
    </w:p>
    <w:p w14:paraId="037CCF70" w14:textId="77777777" w:rsidR="00E034B3" w:rsidRPr="00113409" w:rsidRDefault="00E034B3" w:rsidP="00E034B3">
      <w:pPr>
        <w:pStyle w:val="ListParagraph"/>
        <w:tabs>
          <w:tab w:val="left" w:pos="720"/>
        </w:tabs>
        <w:autoSpaceDE w:val="0"/>
        <w:autoSpaceDN w:val="0"/>
        <w:adjustRightInd w:val="0"/>
        <w:spacing w:after="0" w:line="240" w:lineRule="auto"/>
        <w:ind w:left="0"/>
        <w:jc w:val="both"/>
        <w:rPr>
          <w:rFonts w:eastAsia="Calibri" w:cstheme="minorHAnsi"/>
          <w:color w:val="000000"/>
        </w:rPr>
      </w:pPr>
      <w:r w:rsidRPr="00113409">
        <w:rPr>
          <w:rFonts w:eastAsia="Calibri" w:cstheme="minorHAnsi"/>
        </w:rPr>
        <w:t>After the adoption of the National Anticorruption Strategy for 2016-2020, several actions have been endorsed specifically for the health sector (such as increasing efficiency and transparency of use of funding, strengthening accountability mechanisms, etc.) and measures have been taken to implement them, with uneven success.</w:t>
      </w:r>
    </w:p>
    <w:p w14:paraId="0FBF6C63" w14:textId="77777777" w:rsidR="00812895" w:rsidRDefault="00812895" w:rsidP="00164960">
      <w:pPr>
        <w:jc w:val="both"/>
        <w:rPr>
          <w:rFonts w:asciiTheme="minorHAnsi" w:hAnsiTheme="minorHAnsi" w:cstheme="minorHAnsi"/>
          <w:sz w:val="22"/>
        </w:rPr>
      </w:pPr>
    </w:p>
    <w:p w14:paraId="31AD3C7F" w14:textId="3854C009" w:rsidR="00164960" w:rsidRDefault="00164960" w:rsidP="00164960">
      <w:pPr>
        <w:jc w:val="both"/>
        <w:rPr>
          <w:rFonts w:asciiTheme="minorHAnsi" w:hAnsiTheme="minorHAnsi" w:cstheme="minorHAnsi"/>
          <w:sz w:val="22"/>
        </w:rPr>
      </w:pPr>
      <w:r w:rsidRPr="00164960">
        <w:rPr>
          <w:rFonts w:asciiTheme="minorHAnsi" w:hAnsiTheme="minorHAnsi" w:cstheme="minorHAnsi"/>
          <w:sz w:val="22"/>
        </w:rPr>
        <w:t xml:space="preserve">MoH and NHIF are central in the provision of healthcare in Romania, including the control of corruption and abuse, </w:t>
      </w:r>
      <w:r w:rsidR="004A3596">
        <w:rPr>
          <w:rFonts w:asciiTheme="minorHAnsi" w:hAnsiTheme="minorHAnsi" w:cstheme="minorHAnsi"/>
          <w:sz w:val="22"/>
        </w:rPr>
        <w:t xml:space="preserve">particularly in </w:t>
      </w:r>
      <w:r w:rsidRPr="00164960">
        <w:rPr>
          <w:rFonts w:asciiTheme="minorHAnsi" w:hAnsiTheme="minorHAnsi" w:cstheme="minorHAnsi"/>
          <w:sz w:val="22"/>
        </w:rPr>
        <w:t>direct relation to corruption in public procurement in hospitals and, for example, insurance fraud.</w:t>
      </w:r>
    </w:p>
    <w:p w14:paraId="7FF6BEC4" w14:textId="3801567F" w:rsidR="00350AA4" w:rsidRDefault="00350AA4" w:rsidP="00164960">
      <w:pPr>
        <w:jc w:val="both"/>
        <w:rPr>
          <w:rFonts w:asciiTheme="minorHAnsi" w:hAnsiTheme="minorHAnsi" w:cstheme="minorHAnsi"/>
          <w:sz w:val="22"/>
        </w:rPr>
      </w:pPr>
    </w:p>
    <w:p w14:paraId="5DF6A1B0" w14:textId="7B8833EB" w:rsidR="00164960" w:rsidRPr="006C054E" w:rsidRDefault="00164960">
      <w:pPr>
        <w:jc w:val="both"/>
        <w:rPr>
          <w:rFonts w:asciiTheme="minorHAnsi" w:hAnsiTheme="minorHAnsi"/>
          <w:sz w:val="22"/>
        </w:rPr>
      </w:pPr>
      <w:r w:rsidRPr="00A74A8F">
        <w:rPr>
          <w:rFonts w:asciiTheme="minorHAnsi" w:hAnsiTheme="minorHAnsi"/>
          <w:sz w:val="22"/>
        </w:rPr>
        <w:lastRenderedPageBreak/>
        <w:t xml:space="preserve">An Integrity Department was set-up in MoH in 2011. This department has the responsibility to develop and implement strategies to fight corrupt practices and counter corruption risks within the healthcare system. A thematic peer-review evaluation carried out in October 2017 pointed to </w:t>
      </w:r>
      <w:proofErr w:type="gramStart"/>
      <w:r w:rsidRPr="00A74A8F">
        <w:rPr>
          <w:rFonts w:asciiTheme="minorHAnsi" w:hAnsiTheme="minorHAnsi"/>
          <w:sz w:val="22"/>
        </w:rPr>
        <w:t>a number of</w:t>
      </w:r>
      <w:proofErr w:type="gramEnd"/>
      <w:r w:rsidRPr="00A74A8F">
        <w:rPr>
          <w:rFonts w:asciiTheme="minorHAnsi" w:hAnsiTheme="minorHAnsi"/>
          <w:sz w:val="22"/>
        </w:rPr>
        <w:t xml:space="preserve"> structural weaknesses in the implementation of the national anti-corruption strategy in the health sector, including</w:t>
      </w:r>
      <w:r w:rsidRPr="00D81831">
        <w:rPr>
          <w:rFonts w:asciiTheme="minorHAnsi" w:hAnsiTheme="minorHAnsi"/>
          <w:b/>
          <w:bCs/>
          <w:sz w:val="22"/>
        </w:rPr>
        <w:t xml:space="preserve"> </w:t>
      </w:r>
      <w:r w:rsidRPr="00BC1D0C">
        <w:rPr>
          <w:rFonts w:asciiTheme="minorHAnsi" w:hAnsiTheme="minorHAnsi"/>
          <w:sz w:val="22"/>
        </w:rPr>
        <w:t xml:space="preserve">a chronical lack of resources at the level of the control and integrity department of the MoH. Out of the </w:t>
      </w:r>
      <w:r w:rsidR="004A3596" w:rsidRPr="00BC1D0C">
        <w:rPr>
          <w:rFonts w:asciiTheme="minorHAnsi" w:hAnsiTheme="minorHAnsi"/>
          <w:sz w:val="22"/>
        </w:rPr>
        <w:t>nine</w:t>
      </w:r>
      <w:r w:rsidRPr="00BC1D0C">
        <w:rPr>
          <w:rFonts w:asciiTheme="minorHAnsi" w:hAnsiTheme="minorHAnsi"/>
          <w:sz w:val="22"/>
        </w:rPr>
        <w:t xml:space="preserve"> positions </w:t>
      </w:r>
      <w:r w:rsidR="004A3596" w:rsidRPr="00BC1D0C">
        <w:rPr>
          <w:rFonts w:asciiTheme="minorHAnsi" w:hAnsiTheme="minorHAnsi"/>
          <w:sz w:val="22"/>
        </w:rPr>
        <w:t xml:space="preserve">planned under this </w:t>
      </w:r>
      <w:r w:rsidRPr="00BC1D0C">
        <w:rPr>
          <w:rFonts w:asciiTheme="minorHAnsi" w:hAnsiTheme="minorHAnsi"/>
          <w:sz w:val="22"/>
        </w:rPr>
        <w:t xml:space="preserve">structure, only </w:t>
      </w:r>
      <w:r w:rsidR="004A3596" w:rsidRPr="00BC1D0C">
        <w:rPr>
          <w:rFonts w:asciiTheme="minorHAnsi" w:hAnsiTheme="minorHAnsi"/>
          <w:sz w:val="22"/>
        </w:rPr>
        <w:t>four</w:t>
      </w:r>
      <w:r w:rsidRPr="00BC1D0C">
        <w:rPr>
          <w:rFonts w:asciiTheme="minorHAnsi" w:hAnsiTheme="minorHAnsi"/>
          <w:sz w:val="22"/>
        </w:rPr>
        <w:t xml:space="preserve"> were </w:t>
      </w:r>
      <w:r w:rsidR="004A3596" w:rsidRPr="00BC1D0C">
        <w:rPr>
          <w:rFonts w:asciiTheme="minorHAnsi" w:hAnsiTheme="minorHAnsi"/>
          <w:sz w:val="22"/>
        </w:rPr>
        <w:t xml:space="preserve">filled </w:t>
      </w:r>
      <w:r w:rsidRPr="00BC1D0C">
        <w:rPr>
          <w:rFonts w:asciiTheme="minorHAnsi" w:hAnsiTheme="minorHAnsi"/>
          <w:sz w:val="22"/>
        </w:rPr>
        <w:t>in 2017 (</w:t>
      </w:r>
      <w:r w:rsidR="004A3596" w:rsidRPr="00BC1D0C">
        <w:rPr>
          <w:rFonts w:asciiTheme="minorHAnsi" w:hAnsiTheme="minorHAnsi"/>
          <w:sz w:val="22"/>
        </w:rPr>
        <w:t>one</w:t>
      </w:r>
      <w:r w:rsidRPr="00BC1D0C">
        <w:rPr>
          <w:rFonts w:asciiTheme="minorHAnsi" w:hAnsiTheme="minorHAnsi"/>
          <w:sz w:val="22"/>
        </w:rPr>
        <w:t xml:space="preserve"> staff</w:t>
      </w:r>
      <w:r w:rsidR="004A3596" w:rsidRPr="00BC1D0C">
        <w:rPr>
          <w:rFonts w:asciiTheme="minorHAnsi" w:hAnsiTheme="minorHAnsi"/>
          <w:sz w:val="22"/>
        </w:rPr>
        <w:t xml:space="preserve"> was</w:t>
      </w:r>
      <w:r w:rsidRPr="00BC1D0C">
        <w:rPr>
          <w:rFonts w:asciiTheme="minorHAnsi" w:hAnsiTheme="minorHAnsi"/>
          <w:sz w:val="22"/>
        </w:rPr>
        <w:t xml:space="preserve"> suspended at that time).</w:t>
      </w:r>
      <w:r w:rsidR="09C50C9B" w:rsidRPr="00BC1D0C">
        <w:rPr>
          <w:rFonts w:asciiTheme="minorHAnsi" w:hAnsiTheme="minorHAnsi"/>
          <w:sz w:val="22"/>
        </w:rPr>
        <w:t xml:space="preserve"> As </w:t>
      </w:r>
      <w:r w:rsidR="7D8AD28F" w:rsidRPr="00BC1D0C">
        <w:rPr>
          <w:rFonts w:asciiTheme="minorHAnsi" w:hAnsiTheme="minorHAnsi"/>
          <w:sz w:val="22"/>
        </w:rPr>
        <w:t xml:space="preserve">of 2019, the integrity function is still understaffed, while the control department </w:t>
      </w:r>
      <w:r w:rsidR="00D81831">
        <w:rPr>
          <w:rFonts w:asciiTheme="minorHAnsi" w:hAnsiTheme="minorHAnsi"/>
          <w:sz w:val="22"/>
        </w:rPr>
        <w:t>has a staffing</w:t>
      </w:r>
      <w:r w:rsidR="73B1314B" w:rsidRPr="00D81831">
        <w:rPr>
          <w:rFonts w:asciiTheme="minorHAnsi" w:hAnsiTheme="minorHAnsi"/>
          <w:sz w:val="22"/>
        </w:rPr>
        <w:t xml:space="preserve"> capacity of 12</w:t>
      </w:r>
      <w:r w:rsidR="1C4B8B75" w:rsidRPr="00D81831">
        <w:rPr>
          <w:rFonts w:asciiTheme="minorHAnsi" w:hAnsiTheme="minorHAnsi"/>
          <w:sz w:val="22"/>
        </w:rPr>
        <w:t>.</w:t>
      </w:r>
    </w:p>
    <w:p w14:paraId="2E453D41" w14:textId="314BB8E3" w:rsidR="00812895" w:rsidRDefault="00812895" w:rsidP="00164960">
      <w:pPr>
        <w:jc w:val="both"/>
        <w:rPr>
          <w:rFonts w:asciiTheme="minorHAnsi" w:hAnsiTheme="minorHAnsi" w:cstheme="minorHAnsi"/>
          <w:sz w:val="22"/>
        </w:rPr>
      </w:pPr>
    </w:p>
    <w:p w14:paraId="4100A0E0" w14:textId="51588B20" w:rsidR="00812895" w:rsidRPr="00164960" w:rsidRDefault="00812895" w:rsidP="00164960">
      <w:pPr>
        <w:jc w:val="both"/>
        <w:rPr>
          <w:rFonts w:asciiTheme="minorHAnsi" w:hAnsiTheme="minorHAnsi" w:cstheme="minorHAnsi"/>
          <w:sz w:val="22"/>
        </w:rPr>
      </w:pPr>
      <w:r>
        <w:rPr>
          <w:rFonts w:asciiTheme="minorHAnsi" w:hAnsiTheme="minorHAnsi" w:cstheme="minorHAnsi"/>
          <w:sz w:val="22"/>
        </w:rPr>
        <w:t>NHIH has a</w:t>
      </w:r>
      <w:r w:rsidR="00C86463">
        <w:rPr>
          <w:rFonts w:asciiTheme="minorHAnsi" w:hAnsiTheme="minorHAnsi" w:cstheme="minorHAnsi"/>
          <w:sz w:val="22"/>
        </w:rPr>
        <w:t xml:space="preserve">n action </w:t>
      </w:r>
      <w:r>
        <w:rPr>
          <w:rFonts w:asciiTheme="minorHAnsi" w:hAnsiTheme="minorHAnsi" w:cstheme="minorHAnsi"/>
          <w:sz w:val="22"/>
        </w:rPr>
        <w:t>plan to address the sectorial priorities of</w:t>
      </w:r>
      <w:r w:rsidR="00C86463">
        <w:rPr>
          <w:rFonts w:asciiTheme="minorHAnsi" w:hAnsiTheme="minorHAnsi" w:cstheme="minorHAnsi"/>
          <w:sz w:val="22"/>
        </w:rPr>
        <w:t xml:space="preserve"> the anticorruption agenda for 2017-2020 which includes</w:t>
      </w:r>
      <w:r w:rsidR="004A3596">
        <w:rPr>
          <w:rFonts w:asciiTheme="minorHAnsi" w:hAnsiTheme="minorHAnsi" w:cstheme="minorHAnsi"/>
          <w:sz w:val="22"/>
        </w:rPr>
        <w:t>,</w:t>
      </w:r>
      <w:r w:rsidR="00C86463">
        <w:rPr>
          <w:rFonts w:asciiTheme="minorHAnsi" w:hAnsiTheme="minorHAnsi" w:cstheme="minorHAnsi"/>
          <w:sz w:val="22"/>
        </w:rPr>
        <w:t xml:space="preserve"> inter alia</w:t>
      </w:r>
      <w:r w:rsidR="004A3596">
        <w:rPr>
          <w:rFonts w:asciiTheme="minorHAnsi" w:hAnsiTheme="minorHAnsi" w:cstheme="minorHAnsi"/>
          <w:sz w:val="22"/>
        </w:rPr>
        <w:t>,</w:t>
      </w:r>
      <w:r w:rsidR="00C86463">
        <w:rPr>
          <w:rFonts w:asciiTheme="minorHAnsi" w:hAnsiTheme="minorHAnsi" w:cstheme="minorHAnsi"/>
          <w:sz w:val="22"/>
        </w:rPr>
        <w:t xml:space="preserve"> measures such as (i) internal audit review of the system of preventing corruption; (ii) joint efforts NHIH-MoH to monitor and control the providers under the health insurance scheme, (iii) follow-up on the </w:t>
      </w:r>
      <w:r w:rsidR="00E31166">
        <w:rPr>
          <w:rFonts w:asciiTheme="minorHAnsi" w:hAnsiTheme="minorHAnsi" w:cstheme="minorHAnsi"/>
          <w:sz w:val="22"/>
        </w:rPr>
        <w:t>internal control and</w:t>
      </w:r>
      <w:r w:rsidR="004A3596">
        <w:rPr>
          <w:rFonts w:asciiTheme="minorHAnsi" w:hAnsiTheme="minorHAnsi" w:cstheme="minorHAnsi"/>
          <w:sz w:val="22"/>
        </w:rPr>
        <w:t xml:space="preserve"> on</w:t>
      </w:r>
      <w:r w:rsidR="00E31166">
        <w:rPr>
          <w:rFonts w:asciiTheme="minorHAnsi" w:hAnsiTheme="minorHAnsi" w:cstheme="minorHAnsi"/>
          <w:sz w:val="22"/>
        </w:rPr>
        <w:t xml:space="preserve"> </w:t>
      </w:r>
      <w:proofErr w:type="spellStart"/>
      <w:r w:rsidR="00C86463">
        <w:rPr>
          <w:rFonts w:asciiTheme="minorHAnsi" w:hAnsiTheme="minorHAnsi" w:cstheme="minorHAnsi"/>
          <w:sz w:val="22"/>
        </w:rPr>
        <w:t>RCoA</w:t>
      </w:r>
      <w:r w:rsidR="004A3596">
        <w:rPr>
          <w:rFonts w:asciiTheme="minorHAnsi" w:hAnsiTheme="minorHAnsi" w:cstheme="minorHAnsi"/>
          <w:sz w:val="22"/>
        </w:rPr>
        <w:t>’</w:t>
      </w:r>
      <w:r w:rsidR="00C86463">
        <w:rPr>
          <w:rFonts w:asciiTheme="minorHAnsi" w:hAnsiTheme="minorHAnsi" w:cstheme="minorHAnsi"/>
          <w:sz w:val="22"/>
        </w:rPr>
        <w:t>s</w:t>
      </w:r>
      <w:proofErr w:type="spellEnd"/>
      <w:r w:rsidR="00C86463">
        <w:rPr>
          <w:rFonts w:asciiTheme="minorHAnsi" w:hAnsiTheme="minorHAnsi" w:cstheme="minorHAnsi"/>
          <w:sz w:val="22"/>
        </w:rPr>
        <w:t xml:space="preserve"> findings (</w:t>
      </w:r>
      <w:r w:rsidR="00E31166">
        <w:rPr>
          <w:rFonts w:asciiTheme="minorHAnsi" w:hAnsiTheme="minorHAnsi" w:cstheme="minorHAnsi"/>
          <w:sz w:val="22"/>
        </w:rPr>
        <w:t>forwarding them to judiciary, as needed); and (iv) training of staff on ethics and anticorruption.</w:t>
      </w:r>
    </w:p>
    <w:p w14:paraId="10A70DC3" w14:textId="77777777" w:rsidR="00164960" w:rsidRDefault="00164960" w:rsidP="00164960">
      <w:pPr>
        <w:jc w:val="both"/>
        <w:rPr>
          <w:rFonts w:asciiTheme="minorHAnsi" w:hAnsiTheme="minorHAnsi" w:cstheme="minorHAnsi"/>
          <w:sz w:val="22"/>
        </w:rPr>
      </w:pPr>
    </w:p>
    <w:p w14:paraId="455EE218" w14:textId="333CC28C" w:rsidR="00164960" w:rsidRPr="006C054E" w:rsidRDefault="00164960">
      <w:pPr>
        <w:jc w:val="both"/>
        <w:rPr>
          <w:rFonts w:asciiTheme="minorHAnsi" w:hAnsiTheme="minorHAnsi"/>
          <w:sz w:val="22"/>
        </w:rPr>
      </w:pPr>
      <w:r w:rsidRPr="00A74A8F">
        <w:rPr>
          <w:rFonts w:asciiTheme="minorHAnsi" w:hAnsiTheme="minorHAnsi"/>
          <w:sz w:val="22"/>
        </w:rPr>
        <w:t>Starting with 2015, a mechanism for patients</w:t>
      </w:r>
      <w:r w:rsidR="004A3596" w:rsidRPr="00A74A8F">
        <w:rPr>
          <w:rFonts w:asciiTheme="minorHAnsi" w:hAnsiTheme="minorHAnsi"/>
          <w:sz w:val="22"/>
        </w:rPr>
        <w:t>’</w:t>
      </w:r>
      <w:r w:rsidRPr="00A74A8F">
        <w:rPr>
          <w:rFonts w:asciiTheme="minorHAnsi" w:hAnsiTheme="minorHAnsi"/>
          <w:sz w:val="22"/>
        </w:rPr>
        <w:t xml:space="preserve"> feedback which provides useful information for the evaluation of the quality of medical services</w:t>
      </w:r>
      <w:r w:rsidR="004A3596" w:rsidRPr="00A74A8F">
        <w:rPr>
          <w:rFonts w:asciiTheme="minorHAnsi" w:hAnsiTheme="minorHAnsi"/>
          <w:sz w:val="22"/>
        </w:rPr>
        <w:t xml:space="preserve"> </w:t>
      </w:r>
      <w:r w:rsidR="717C951A" w:rsidRPr="00A74A8F">
        <w:rPr>
          <w:rFonts w:asciiTheme="minorHAnsi" w:hAnsiTheme="minorHAnsi"/>
          <w:sz w:val="22"/>
        </w:rPr>
        <w:t>a</w:t>
      </w:r>
      <w:r w:rsidR="1849784E" w:rsidRPr="00A74A8F">
        <w:rPr>
          <w:rFonts w:asciiTheme="minorHAnsi" w:hAnsiTheme="minorHAnsi"/>
          <w:sz w:val="22"/>
        </w:rPr>
        <w:t xml:space="preserve">nd integrity of medical staff </w:t>
      </w:r>
      <w:r w:rsidR="00D81831">
        <w:rPr>
          <w:rFonts w:asciiTheme="minorHAnsi" w:hAnsiTheme="minorHAnsi"/>
          <w:sz w:val="22"/>
        </w:rPr>
        <w:t>has been</w:t>
      </w:r>
      <w:r w:rsidR="00D81831" w:rsidRPr="00A74A8F">
        <w:rPr>
          <w:rFonts w:asciiTheme="minorHAnsi" w:hAnsiTheme="minorHAnsi"/>
          <w:sz w:val="22"/>
        </w:rPr>
        <w:t xml:space="preserve"> </w:t>
      </w:r>
      <w:r w:rsidR="004A3596" w:rsidRPr="00A74A8F">
        <w:rPr>
          <w:rFonts w:asciiTheme="minorHAnsi" w:hAnsiTheme="minorHAnsi"/>
          <w:sz w:val="22"/>
        </w:rPr>
        <w:t>implemented</w:t>
      </w:r>
      <w:r w:rsidRPr="00A74A8F">
        <w:rPr>
          <w:rFonts w:asciiTheme="minorHAnsi" w:hAnsiTheme="minorHAnsi"/>
          <w:sz w:val="22"/>
        </w:rPr>
        <w:t>.</w:t>
      </w:r>
    </w:p>
    <w:p w14:paraId="1BAD05FE" w14:textId="77777777" w:rsidR="00164960" w:rsidRDefault="00164960" w:rsidP="00F55B08">
      <w:pPr>
        <w:jc w:val="both"/>
        <w:rPr>
          <w:rFonts w:asciiTheme="minorHAnsi" w:hAnsiTheme="minorHAnsi" w:cstheme="minorHAnsi"/>
          <w:sz w:val="22"/>
        </w:rPr>
      </w:pPr>
    </w:p>
    <w:p w14:paraId="36011539" w14:textId="3CB48CC3" w:rsidR="00F55B08" w:rsidRDefault="003533CB" w:rsidP="00F55B08">
      <w:pPr>
        <w:jc w:val="both"/>
        <w:rPr>
          <w:rFonts w:asciiTheme="minorHAnsi" w:hAnsiTheme="minorHAnsi" w:cstheme="minorHAnsi"/>
          <w:sz w:val="22"/>
        </w:rPr>
      </w:pPr>
      <w:r w:rsidRPr="00AB36EF">
        <w:rPr>
          <w:rFonts w:asciiTheme="minorHAnsi" w:hAnsiTheme="minorHAnsi" w:cstheme="minorHAnsi"/>
          <w:sz w:val="22"/>
        </w:rPr>
        <w:t>T</w:t>
      </w:r>
      <w:r w:rsidR="00F55B08" w:rsidRPr="00AB36EF">
        <w:rPr>
          <w:rFonts w:asciiTheme="minorHAnsi" w:hAnsiTheme="minorHAnsi" w:cstheme="minorHAnsi"/>
          <w:sz w:val="22"/>
        </w:rPr>
        <w:t xml:space="preserve">he Program </w:t>
      </w:r>
      <w:r w:rsidRPr="00AB36EF">
        <w:rPr>
          <w:rFonts w:asciiTheme="minorHAnsi" w:hAnsiTheme="minorHAnsi" w:cstheme="minorHAnsi"/>
          <w:sz w:val="22"/>
        </w:rPr>
        <w:t>focuses</w:t>
      </w:r>
      <w:r w:rsidR="004A3596">
        <w:rPr>
          <w:rFonts w:asciiTheme="minorHAnsi" w:hAnsiTheme="minorHAnsi" w:cstheme="minorHAnsi"/>
          <w:sz w:val="22"/>
        </w:rPr>
        <w:t>,</w:t>
      </w:r>
      <w:r w:rsidRPr="00AB36EF">
        <w:rPr>
          <w:rFonts w:asciiTheme="minorHAnsi" w:hAnsiTheme="minorHAnsi" w:cstheme="minorHAnsi"/>
          <w:sz w:val="22"/>
        </w:rPr>
        <w:t xml:space="preserve"> inter alia</w:t>
      </w:r>
      <w:r w:rsidR="004A3596">
        <w:rPr>
          <w:rFonts w:asciiTheme="minorHAnsi" w:hAnsiTheme="minorHAnsi" w:cstheme="minorHAnsi"/>
          <w:sz w:val="22"/>
        </w:rPr>
        <w:t>,</w:t>
      </w:r>
      <w:r w:rsidR="00F55B08" w:rsidRPr="00AB36EF">
        <w:rPr>
          <w:rFonts w:asciiTheme="minorHAnsi" w:hAnsiTheme="minorHAnsi" w:cstheme="minorHAnsi"/>
          <w:sz w:val="22"/>
        </w:rPr>
        <w:t xml:space="preserve"> on improving systems efficiency (through better </w:t>
      </w:r>
      <w:r w:rsidR="00164960">
        <w:rPr>
          <w:rFonts w:asciiTheme="minorHAnsi" w:hAnsiTheme="minorHAnsi" w:cstheme="minorHAnsi"/>
          <w:sz w:val="22"/>
        </w:rPr>
        <w:t>institutional coordination</w:t>
      </w:r>
      <w:r w:rsidR="00164960" w:rsidRPr="00AB36EF">
        <w:rPr>
          <w:rFonts w:asciiTheme="minorHAnsi" w:hAnsiTheme="minorHAnsi" w:cstheme="minorHAnsi"/>
          <w:sz w:val="22"/>
        </w:rPr>
        <w:t>, digitalization</w:t>
      </w:r>
      <w:r w:rsidRPr="00AB36EF">
        <w:rPr>
          <w:rFonts w:asciiTheme="minorHAnsi" w:hAnsiTheme="minorHAnsi" w:cstheme="minorHAnsi"/>
          <w:sz w:val="22"/>
        </w:rPr>
        <w:t xml:space="preserve">, </w:t>
      </w:r>
      <w:r w:rsidR="00F55B08" w:rsidRPr="00AB36EF">
        <w:rPr>
          <w:rFonts w:asciiTheme="minorHAnsi" w:hAnsiTheme="minorHAnsi" w:cstheme="minorHAnsi"/>
          <w:sz w:val="22"/>
        </w:rPr>
        <w:t>organization and control)</w:t>
      </w:r>
      <w:r w:rsidR="004A3596">
        <w:rPr>
          <w:rFonts w:asciiTheme="minorHAnsi" w:hAnsiTheme="minorHAnsi" w:cstheme="minorHAnsi"/>
          <w:sz w:val="22"/>
        </w:rPr>
        <w:t>,</w:t>
      </w:r>
      <w:r w:rsidRPr="00AB36EF">
        <w:rPr>
          <w:rFonts w:asciiTheme="minorHAnsi" w:hAnsiTheme="minorHAnsi" w:cstheme="minorHAnsi"/>
          <w:sz w:val="22"/>
        </w:rPr>
        <w:t xml:space="preserve"> which</w:t>
      </w:r>
      <w:r w:rsidR="00F55B08" w:rsidRPr="00AB36EF">
        <w:rPr>
          <w:rFonts w:asciiTheme="minorHAnsi" w:hAnsiTheme="minorHAnsi" w:cstheme="minorHAnsi"/>
          <w:sz w:val="22"/>
        </w:rPr>
        <w:t xml:space="preserve"> directly contributes to improving the operating environment </w:t>
      </w:r>
      <w:r w:rsidRPr="00AB36EF">
        <w:rPr>
          <w:rFonts w:asciiTheme="minorHAnsi" w:hAnsiTheme="minorHAnsi" w:cstheme="minorHAnsi"/>
          <w:sz w:val="22"/>
        </w:rPr>
        <w:t xml:space="preserve">as a deterrent for </w:t>
      </w:r>
      <w:r w:rsidR="00F55B08" w:rsidRPr="00AB36EF">
        <w:rPr>
          <w:rFonts w:asciiTheme="minorHAnsi" w:hAnsiTheme="minorHAnsi" w:cstheme="minorHAnsi"/>
          <w:sz w:val="22"/>
        </w:rPr>
        <w:t>corruptive behavior.</w:t>
      </w:r>
    </w:p>
    <w:p w14:paraId="0581D332" w14:textId="77777777" w:rsidR="00C62310" w:rsidRPr="00AB36EF" w:rsidRDefault="00C62310" w:rsidP="00F55B08">
      <w:pPr>
        <w:jc w:val="both"/>
        <w:rPr>
          <w:rFonts w:asciiTheme="minorHAnsi" w:hAnsiTheme="minorHAnsi" w:cstheme="minorHAnsi"/>
          <w:sz w:val="22"/>
        </w:rPr>
      </w:pPr>
    </w:p>
    <w:p w14:paraId="3601153F" w14:textId="7CBFE41E" w:rsidR="00FB7A77" w:rsidRPr="00AB36EF" w:rsidRDefault="004C3805" w:rsidP="00535C31">
      <w:pPr>
        <w:pStyle w:val="PforRStyle1"/>
        <w:rPr>
          <w:rFonts w:asciiTheme="minorHAnsi" w:hAnsiTheme="minorHAnsi" w:cstheme="minorHAnsi"/>
        </w:rPr>
      </w:pPr>
      <w:bookmarkStart w:id="50" w:name="_Toc12467051"/>
      <w:r w:rsidRPr="00AB36EF">
        <w:rPr>
          <w:rFonts w:asciiTheme="minorHAnsi" w:hAnsiTheme="minorHAnsi" w:cstheme="minorHAnsi"/>
        </w:rPr>
        <w:t>Implementation Support Plan</w:t>
      </w:r>
      <w:bookmarkEnd w:id="50"/>
    </w:p>
    <w:p w14:paraId="36011540" w14:textId="0087E0BE" w:rsidR="00F55B08" w:rsidRPr="00AB36EF" w:rsidRDefault="00F55B08" w:rsidP="005C702D">
      <w:pPr>
        <w:jc w:val="both"/>
        <w:rPr>
          <w:rFonts w:asciiTheme="minorHAnsi" w:hAnsiTheme="minorHAnsi" w:cstheme="minorHAnsi"/>
          <w:sz w:val="22"/>
        </w:rPr>
      </w:pPr>
      <w:r w:rsidRPr="00AB36EF">
        <w:rPr>
          <w:rFonts w:asciiTheme="minorHAnsi" w:hAnsiTheme="minorHAnsi" w:cstheme="minorHAnsi"/>
          <w:sz w:val="22"/>
        </w:rPr>
        <w:t>The Bank’s fiduciary team will regularly review the previously noted baseline indicators.  The team will p</w:t>
      </w:r>
      <w:r w:rsidR="00AB36EF">
        <w:rPr>
          <w:rFonts w:asciiTheme="minorHAnsi" w:hAnsiTheme="minorHAnsi" w:cstheme="minorHAnsi"/>
          <w:sz w:val="22"/>
        </w:rPr>
        <w:t xml:space="preserve">lace particular emphasis on areas such as </w:t>
      </w:r>
      <w:r w:rsidRPr="00AB36EF">
        <w:rPr>
          <w:rFonts w:asciiTheme="minorHAnsi" w:hAnsiTheme="minorHAnsi" w:cstheme="minorHAnsi"/>
          <w:sz w:val="22"/>
        </w:rPr>
        <w:t>(i) the</w:t>
      </w:r>
      <w:r w:rsidR="00AB36EF">
        <w:rPr>
          <w:rFonts w:asciiTheme="minorHAnsi" w:hAnsiTheme="minorHAnsi" w:cstheme="minorHAnsi"/>
          <w:sz w:val="22"/>
        </w:rPr>
        <w:t xml:space="preserve"> budgetary allocations to support the increased access </w:t>
      </w:r>
      <w:r w:rsidR="004E10AA">
        <w:rPr>
          <w:rFonts w:asciiTheme="minorHAnsi" w:hAnsiTheme="minorHAnsi" w:cstheme="minorHAnsi"/>
          <w:sz w:val="22"/>
        </w:rPr>
        <w:t xml:space="preserve">to </w:t>
      </w:r>
      <w:r w:rsidR="00AB36EF">
        <w:rPr>
          <w:rFonts w:asciiTheme="minorHAnsi" w:hAnsiTheme="minorHAnsi" w:cstheme="minorHAnsi"/>
          <w:sz w:val="22"/>
        </w:rPr>
        <w:t xml:space="preserve">and effectiveness of primary </w:t>
      </w:r>
      <w:r w:rsidR="00703F9E">
        <w:rPr>
          <w:rFonts w:asciiTheme="minorHAnsi" w:hAnsiTheme="minorHAnsi" w:cstheme="minorHAnsi"/>
          <w:sz w:val="22"/>
        </w:rPr>
        <w:t xml:space="preserve">and community </w:t>
      </w:r>
      <w:r w:rsidR="00AB36EF">
        <w:rPr>
          <w:rFonts w:asciiTheme="minorHAnsi" w:hAnsiTheme="minorHAnsi" w:cstheme="minorHAnsi"/>
          <w:sz w:val="22"/>
        </w:rPr>
        <w:t>care under the Program; (ii)</w:t>
      </w:r>
      <w:r w:rsidRPr="00AB36EF">
        <w:rPr>
          <w:rFonts w:asciiTheme="minorHAnsi" w:hAnsiTheme="minorHAnsi" w:cstheme="minorHAnsi"/>
          <w:sz w:val="22"/>
        </w:rPr>
        <w:t xml:space="preserve"> internal </w:t>
      </w:r>
      <w:r w:rsidR="00703F9E">
        <w:rPr>
          <w:rFonts w:asciiTheme="minorHAnsi" w:hAnsiTheme="minorHAnsi" w:cstheme="minorHAnsi"/>
          <w:sz w:val="22"/>
        </w:rPr>
        <w:t xml:space="preserve">control and </w:t>
      </w:r>
      <w:r w:rsidRPr="00AB36EF">
        <w:rPr>
          <w:rFonts w:asciiTheme="minorHAnsi" w:hAnsiTheme="minorHAnsi" w:cstheme="minorHAnsi"/>
          <w:sz w:val="22"/>
        </w:rPr>
        <w:t xml:space="preserve">audit </w:t>
      </w:r>
      <w:r w:rsidR="00AB36EF">
        <w:rPr>
          <w:rFonts w:asciiTheme="minorHAnsi" w:hAnsiTheme="minorHAnsi" w:cstheme="minorHAnsi"/>
          <w:sz w:val="22"/>
        </w:rPr>
        <w:t xml:space="preserve">capacity of the entities </w:t>
      </w:r>
      <w:r w:rsidRPr="00AB36EF">
        <w:rPr>
          <w:rFonts w:asciiTheme="minorHAnsi" w:hAnsiTheme="minorHAnsi" w:cstheme="minorHAnsi"/>
          <w:sz w:val="22"/>
        </w:rPr>
        <w:t>under the Program</w:t>
      </w:r>
      <w:r w:rsidR="00703F9E">
        <w:rPr>
          <w:rFonts w:asciiTheme="minorHAnsi" w:hAnsiTheme="minorHAnsi" w:cstheme="minorHAnsi"/>
          <w:sz w:val="22"/>
        </w:rPr>
        <w:t xml:space="preserve">, and particularly for riskier complex areas such as reimbursements under the primary care, </w:t>
      </w:r>
      <w:r w:rsidR="00703F9E">
        <w:rPr>
          <w:rFonts w:asciiTheme="minorHAnsi" w:hAnsiTheme="minorHAnsi" w:cstheme="minorHAnsi"/>
          <w:sz w:val="22"/>
        </w:rPr>
        <w:t xml:space="preserve">community care, </w:t>
      </w:r>
      <w:r w:rsidR="00703F9E">
        <w:rPr>
          <w:rFonts w:asciiTheme="minorHAnsi" w:hAnsiTheme="minorHAnsi" w:cstheme="minorHAnsi"/>
          <w:sz w:val="22"/>
        </w:rPr>
        <w:t xml:space="preserve">clawback tax calculation, </w:t>
      </w:r>
      <w:r w:rsidRPr="00AB36EF">
        <w:rPr>
          <w:rFonts w:asciiTheme="minorHAnsi" w:hAnsiTheme="minorHAnsi" w:cstheme="minorHAnsi"/>
          <w:sz w:val="22"/>
        </w:rPr>
        <w:t>, (ii</w:t>
      </w:r>
      <w:r w:rsidR="00AB36EF">
        <w:rPr>
          <w:rFonts w:asciiTheme="minorHAnsi" w:hAnsiTheme="minorHAnsi" w:cstheme="minorHAnsi"/>
          <w:sz w:val="22"/>
        </w:rPr>
        <w:t>i</w:t>
      </w:r>
      <w:r w:rsidRPr="00AB36EF">
        <w:rPr>
          <w:rFonts w:asciiTheme="minorHAnsi" w:hAnsiTheme="minorHAnsi" w:cstheme="minorHAnsi"/>
          <w:sz w:val="22"/>
        </w:rPr>
        <w:t xml:space="preserve">) the level of reimbursement payments from </w:t>
      </w:r>
      <w:r w:rsidR="00AB36EF">
        <w:rPr>
          <w:rFonts w:asciiTheme="minorHAnsi" w:hAnsiTheme="minorHAnsi" w:cstheme="minorHAnsi"/>
          <w:sz w:val="22"/>
        </w:rPr>
        <w:t>NHIH</w:t>
      </w:r>
      <w:r w:rsidRPr="00AB36EF">
        <w:rPr>
          <w:rFonts w:asciiTheme="minorHAnsi" w:hAnsiTheme="minorHAnsi" w:cstheme="minorHAnsi"/>
          <w:sz w:val="22"/>
        </w:rPr>
        <w:t xml:space="preserve"> to</w:t>
      </w:r>
      <w:r w:rsidR="00AB36EF">
        <w:rPr>
          <w:rFonts w:asciiTheme="minorHAnsi" w:hAnsiTheme="minorHAnsi" w:cstheme="minorHAnsi"/>
          <w:sz w:val="22"/>
        </w:rPr>
        <w:t xml:space="preserve"> health service providers</w:t>
      </w:r>
      <w:r w:rsidRPr="00AB36EF">
        <w:rPr>
          <w:rFonts w:asciiTheme="minorHAnsi" w:hAnsiTheme="minorHAnsi" w:cstheme="minorHAnsi"/>
          <w:sz w:val="22"/>
        </w:rPr>
        <w:t xml:space="preserve"> and </w:t>
      </w:r>
      <w:r w:rsidR="00CD09CE">
        <w:rPr>
          <w:rFonts w:asciiTheme="minorHAnsi" w:hAnsiTheme="minorHAnsi" w:cstheme="minorHAnsi"/>
          <w:sz w:val="22"/>
        </w:rPr>
        <w:t xml:space="preserve">hospitals and </w:t>
      </w:r>
      <w:r w:rsidRPr="00AB36EF">
        <w:rPr>
          <w:rFonts w:asciiTheme="minorHAnsi" w:hAnsiTheme="minorHAnsi" w:cstheme="minorHAnsi"/>
          <w:sz w:val="22"/>
        </w:rPr>
        <w:t>whether adjustments to reimbursements</w:t>
      </w:r>
      <w:r w:rsidR="00AB36EF">
        <w:rPr>
          <w:rFonts w:asciiTheme="minorHAnsi" w:hAnsiTheme="minorHAnsi" w:cstheme="minorHAnsi"/>
          <w:sz w:val="22"/>
        </w:rPr>
        <w:t xml:space="preserve"> based on the new performance model</w:t>
      </w:r>
      <w:r w:rsidRPr="00AB36EF">
        <w:rPr>
          <w:rFonts w:asciiTheme="minorHAnsi" w:hAnsiTheme="minorHAnsi" w:cstheme="minorHAnsi"/>
          <w:sz w:val="22"/>
        </w:rPr>
        <w:t xml:space="preserve"> have been shared in a timely manner with </w:t>
      </w:r>
      <w:r w:rsidR="00AB36EF">
        <w:rPr>
          <w:rFonts w:asciiTheme="minorHAnsi" w:hAnsiTheme="minorHAnsi" w:cstheme="minorHAnsi"/>
          <w:sz w:val="22"/>
        </w:rPr>
        <w:t>the providers</w:t>
      </w:r>
      <w:r w:rsidRPr="00AB36EF">
        <w:rPr>
          <w:rFonts w:asciiTheme="minorHAnsi" w:hAnsiTheme="minorHAnsi" w:cstheme="minorHAnsi"/>
          <w:sz w:val="22"/>
        </w:rPr>
        <w:t xml:space="preserve"> and if</w:t>
      </w:r>
      <w:r w:rsidR="00AB36EF">
        <w:rPr>
          <w:rFonts w:asciiTheme="minorHAnsi" w:hAnsiTheme="minorHAnsi" w:cstheme="minorHAnsi"/>
          <w:sz w:val="22"/>
        </w:rPr>
        <w:t xml:space="preserve"> these</w:t>
      </w:r>
      <w:r w:rsidRPr="00AB36EF">
        <w:rPr>
          <w:rFonts w:asciiTheme="minorHAnsi" w:hAnsiTheme="minorHAnsi" w:cstheme="minorHAnsi"/>
          <w:sz w:val="22"/>
        </w:rPr>
        <w:t xml:space="preserve"> have adjusted their budget and financial plans to account for these adjustments, (i</w:t>
      </w:r>
      <w:r w:rsidR="005C702D">
        <w:rPr>
          <w:rFonts w:asciiTheme="minorHAnsi" w:hAnsiTheme="minorHAnsi" w:cstheme="minorHAnsi"/>
          <w:sz w:val="22"/>
        </w:rPr>
        <w:t>v</w:t>
      </w:r>
      <w:r w:rsidRPr="00AB36EF">
        <w:rPr>
          <w:rFonts w:asciiTheme="minorHAnsi" w:hAnsiTheme="minorHAnsi" w:cstheme="minorHAnsi"/>
          <w:sz w:val="22"/>
        </w:rPr>
        <w:t xml:space="preserve">) the implementation of the regular control and supervision work plans of the </w:t>
      </w:r>
      <w:r w:rsidR="00703F9E">
        <w:rPr>
          <w:rFonts w:asciiTheme="minorHAnsi" w:hAnsiTheme="minorHAnsi" w:cstheme="minorHAnsi"/>
          <w:sz w:val="22"/>
        </w:rPr>
        <w:t xml:space="preserve">MoH`s and </w:t>
      </w:r>
      <w:r w:rsidR="00AB36EF">
        <w:rPr>
          <w:rFonts w:asciiTheme="minorHAnsi" w:hAnsiTheme="minorHAnsi" w:cstheme="minorHAnsi"/>
          <w:sz w:val="22"/>
        </w:rPr>
        <w:t>NHIH</w:t>
      </w:r>
      <w:r w:rsidRPr="00AB36EF">
        <w:rPr>
          <w:rFonts w:asciiTheme="minorHAnsi" w:hAnsiTheme="minorHAnsi" w:cstheme="minorHAnsi"/>
          <w:sz w:val="22"/>
        </w:rPr>
        <w:t>’s Control Directorate</w:t>
      </w:r>
      <w:r w:rsidR="00703F9E">
        <w:rPr>
          <w:rFonts w:asciiTheme="minorHAnsi" w:hAnsiTheme="minorHAnsi" w:cstheme="minorHAnsi"/>
          <w:sz w:val="22"/>
        </w:rPr>
        <w:t>s</w:t>
      </w:r>
      <w:r w:rsidRPr="00AB36EF">
        <w:rPr>
          <w:rFonts w:asciiTheme="minorHAnsi" w:hAnsiTheme="minorHAnsi" w:cstheme="minorHAnsi"/>
          <w:sz w:val="22"/>
        </w:rPr>
        <w:t xml:space="preserve">, </w:t>
      </w:r>
      <w:r w:rsidR="00AB36EF">
        <w:rPr>
          <w:rFonts w:asciiTheme="minorHAnsi" w:hAnsiTheme="minorHAnsi" w:cstheme="minorHAnsi"/>
          <w:sz w:val="22"/>
        </w:rPr>
        <w:t xml:space="preserve">and </w:t>
      </w:r>
      <w:r w:rsidRPr="00AB36EF">
        <w:rPr>
          <w:rFonts w:asciiTheme="minorHAnsi" w:hAnsiTheme="minorHAnsi" w:cstheme="minorHAnsi"/>
          <w:sz w:val="22"/>
        </w:rPr>
        <w:t>(v) the implementation of significant audit recommendations</w:t>
      </w:r>
      <w:r w:rsidR="00273C9B">
        <w:rPr>
          <w:rFonts w:asciiTheme="minorHAnsi" w:hAnsiTheme="minorHAnsi" w:cstheme="minorHAnsi"/>
          <w:sz w:val="22"/>
        </w:rPr>
        <w:t xml:space="preserve"> </w:t>
      </w:r>
      <w:r w:rsidRPr="00AB36EF">
        <w:rPr>
          <w:rFonts w:asciiTheme="minorHAnsi" w:hAnsiTheme="minorHAnsi" w:cstheme="minorHAnsi"/>
          <w:sz w:val="22"/>
        </w:rPr>
        <w:t xml:space="preserve">issued annually by the </w:t>
      </w:r>
      <w:r w:rsidR="00AB36EF">
        <w:rPr>
          <w:rFonts w:asciiTheme="minorHAnsi" w:hAnsiTheme="minorHAnsi" w:cstheme="minorHAnsi"/>
          <w:sz w:val="22"/>
        </w:rPr>
        <w:t>RCoA</w:t>
      </w:r>
      <w:r w:rsidR="00703F9E">
        <w:rPr>
          <w:rFonts w:asciiTheme="minorHAnsi" w:hAnsiTheme="minorHAnsi" w:cstheme="minorHAnsi"/>
          <w:sz w:val="22"/>
        </w:rPr>
        <w:t xml:space="preserve"> </w:t>
      </w:r>
      <w:r w:rsidR="00F316AC">
        <w:rPr>
          <w:rFonts w:asciiTheme="minorHAnsi" w:hAnsiTheme="minorHAnsi" w:cstheme="minorHAnsi"/>
          <w:sz w:val="22"/>
        </w:rPr>
        <w:t>to</w:t>
      </w:r>
      <w:r w:rsidR="00AB36EF">
        <w:rPr>
          <w:rFonts w:asciiTheme="minorHAnsi" w:hAnsiTheme="minorHAnsi" w:cstheme="minorHAnsi"/>
          <w:sz w:val="22"/>
        </w:rPr>
        <w:t xml:space="preserve"> </w:t>
      </w:r>
      <w:r w:rsidR="00F316AC" w:rsidRPr="00AB36EF">
        <w:rPr>
          <w:rFonts w:asciiTheme="minorHAnsi" w:hAnsiTheme="minorHAnsi" w:cstheme="minorHAnsi"/>
          <w:sz w:val="22"/>
        </w:rPr>
        <w:t>respective</w:t>
      </w:r>
      <w:r w:rsidR="00F316AC">
        <w:rPr>
          <w:rFonts w:asciiTheme="minorHAnsi" w:hAnsiTheme="minorHAnsi" w:cstheme="minorHAnsi"/>
          <w:sz w:val="22"/>
        </w:rPr>
        <w:t xml:space="preserve"> implementing entities</w:t>
      </w:r>
      <w:r w:rsidRPr="00AB36EF">
        <w:rPr>
          <w:rFonts w:asciiTheme="minorHAnsi" w:hAnsiTheme="minorHAnsi" w:cstheme="minorHAnsi"/>
          <w:sz w:val="22"/>
        </w:rPr>
        <w:t>.</w:t>
      </w:r>
    </w:p>
    <w:p w14:paraId="36011543" w14:textId="77777777" w:rsidR="00F55B08" w:rsidRPr="00AB36EF" w:rsidRDefault="00F55B08" w:rsidP="00F55B08">
      <w:pPr>
        <w:rPr>
          <w:rFonts w:asciiTheme="minorHAnsi" w:hAnsiTheme="minorHAnsi" w:cstheme="minorHAnsi"/>
          <w:sz w:val="22"/>
        </w:rPr>
      </w:pPr>
    </w:p>
    <w:p w14:paraId="36011544" w14:textId="77777777" w:rsidR="00F55B08" w:rsidRPr="00AB36EF" w:rsidRDefault="00F55B08" w:rsidP="00F55B08">
      <w:pPr>
        <w:pStyle w:val="ListParagraph"/>
        <w:spacing w:after="0" w:line="240" w:lineRule="auto"/>
        <w:ind w:left="0"/>
        <w:contextualSpacing w:val="0"/>
        <w:jc w:val="both"/>
        <w:rPr>
          <w:rFonts w:cstheme="minorHAnsi"/>
        </w:rPr>
      </w:pPr>
      <w:r w:rsidRPr="00AB36EF">
        <w:rPr>
          <w:rFonts w:cstheme="minorHAnsi"/>
        </w:rPr>
        <w:t>Although the experience with the joint procurement until now could be considered as quite positive, there are areas which need enhancement and further improvement related mainly with the long time for drafting and preparation of the technical specifications for medical equipment, consumables, materials and medications for hospitals, the lack of contract administration and monitoring system; further building and sustaining of capacity for procurement management, development and application of e-procurement, and drafting a program operational manual.</w:t>
      </w:r>
      <w:r w:rsidRPr="00AB36EF">
        <w:rPr>
          <w:rFonts w:cstheme="minorHAnsi"/>
          <w:color w:val="000000"/>
        </w:rPr>
        <w:t xml:space="preserve"> </w:t>
      </w:r>
    </w:p>
    <w:p w14:paraId="36011545" w14:textId="77777777" w:rsidR="00F55B08" w:rsidRPr="00AB36EF" w:rsidRDefault="00F55B08" w:rsidP="00F55B08">
      <w:pPr>
        <w:pStyle w:val="ListParagraph"/>
        <w:spacing w:after="0" w:line="240" w:lineRule="auto"/>
        <w:contextualSpacing w:val="0"/>
        <w:rPr>
          <w:rFonts w:cstheme="minorHAnsi"/>
          <w:color w:val="000000"/>
        </w:rPr>
      </w:pPr>
    </w:p>
    <w:p w14:paraId="36011546" w14:textId="77777777" w:rsidR="00F55B08" w:rsidRPr="00AB36EF" w:rsidRDefault="00F55B08" w:rsidP="00F55B08">
      <w:pPr>
        <w:pStyle w:val="ListParagraph"/>
        <w:spacing w:after="0" w:line="240" w:lineRule="auto"/>
        <w:ind w:left="0"/>
        <w:contextualSpacing w:val="0"/>
        <w:jc w:val="both"/>
        <w:rPr>
          <w:rFonts w:cstheme="minorHAnsi"/>
        </w:rPr>
      </w:pPr>
      <w:r w:rsidRPr="00AB36EF">
        <w:rPr>
          <w:rFonts w:cstheme="minorHAnsi"/>
          <w:color w:val="000000"/>
        </w:rPr>
        <w:t>In addition, t</w:t>
      </w:r>
      <w:r w:rsidRPr="00AB36EF">
        <w:rPr>
          <w:rFonts w:cstheme="minorHAnsi"/>
        </w:rPr>
        <w:t>he Bank fiduciary team will also work with the Borrower to monitor overall implementation progress and address areas which need improvement as identified above, as well as it will have a continued involvement as follows:</w:t>
      </w:r>
    </w:p>
    <w:p w14:paraId="36011547" w14:textId="77777777" w:rsidR="00F55B08" w:rsidRPr="00AB36EF" w:rsidRDefault="00F55B08" w:rsidP="00F55B08">
      <w:pPr>
        <w:pStyle w:val="ListParagraph"/>
        <w:spacing w:after="0" w:line="240" w:lineRule="auto"/>
        <w:ind w:left="0"/>
        <w:contextualSpacing w:val="0"/>
        <w:jc w:val="both"/>
        <w:rPr>
          <w:rFonts w:cstheme="minorHAnsi"/>
        </w:rPr>
      </w:pPr>
    </w:p>
    <w:p w14:paraId="36011548" w14:textId="25FC67BD" w:rsidR="00F55B08" w:rsidRPr="00AB36EF" w:rsidRDefault="00F55B08" w:rsidP="00C64612">
      <w:pPr>
        <w:pStyle w:val="ListParagraph"/>
        <w:numPr>
          <w:ilvl w:val="0"/>
          <w:numId w:val="3"/>
        </w:numPr>
        <w:spacing w:after="0" w:line="240" w:lineRule="auto"/>
        <w:contextualSpacing w:val="0"/>
        <w:jc w:val="both"/>
        <w:rPr>
          <w:rFonts w:cstheme="minorHAnsi"/>
        </w:rPr>
      </w:pPr>
      <w:r w:rsidRPr="00AB36EF">
        <w:rPr>
          <w:rFonts w:cstheme="minorHAnsi"/>
        </w:rPr>
        <w:lastRenderedPageBreak/>
        <w:t xml:space="preserve">Reviewing implementation progress and achievement of </w:t>
      </w:r>
      <w:r w:rsidR="00220EAD" w:rsidRPr="00AB36EF">
        <w:rPr>
          <w:rFonts w:cstheme="minorHAnsi"/>
        </w:rPr>
        <w:t>P</w:t>
      </w:r>
      <w:r w:rsidRPr="00AB36EF">
        <w:rPr>
          <w:rFonts w:cstheme="minorHAnsi"/>
        </w:rPr>
        <w:t xml:space="preserve">rogram results, including effectiveness and quality of procurement planning, timeliness and cost effectiveness of delivering of goods and services to end-users, competitiveness of the procurement processes, extent of the implementing agency’s compliance with the applicable rules </w:t>
      </w:r>
      <w:r w:rsidR="00EA14E3" w:rsidRPr="00AB36EF">
        <w:rPr>
          <w:rFonts w:cstheme="minorHAnsi"/>
        </w:rPr>
        <w:t>regarding</w:t>
      </w:r>
      <w:r w:rsidRPr="00AB36EF">
        <w:rPr>
          <w:rFonts w:cstheme="minorHAnsi"/>
        </w:rPr>
        <w:t xml:space="preserve"> use of different procurement methods, timeliness and efficiency of contracts’ implementation and payments. </w:t>
      </w:r>
    </w:p>
    <w:p w14:paraId="36011549" w14:textId="77777777" w:rsidR="00F55B08" w:rsidRPr="00AB36EF" w:rsidRDefault="00F55B08" w:rsidP="00C64612">
      <w:pPr>
        <w:pStyle w:val="ListParagraph"/>
        <w:numPr>
          <w:ilvl w:val="0"/>
          <w:numId w:val="3"/>
        </w:numPr>
        <w:spacing w:after="0" w:line="240" w:lineRule="auto"/>
        <w:contextualSpacing w:val="0"/>
        <w:jc w:val="both"/>
        <w:rPr>
          <w:rFonts w:cstheme="minorHAnsi"/>
        </w:rPr>
      </w:pPr>
      <w:r w:rsidRPr="00AB36EF">
        <w:rPr>
          <w:rFonts w:cstheme="minorHAnsi"/>
        </w:rPr>
        <w:t>Providing support for implementation issues and institutional capacity building, as relevant.</w:t>
      </w:r>
    </w:p>
    <w:p w14:paraId="1D1CC9D7" w14:textId="6D8140A4" w:rsidR="00EC3581" w:rsidRDefault="00F55B08" w:rsidP="00EC3581">
      <w:pPr>
        <w:pStyle w:val="ListParagraph"/>
        <w:numPr>
          <w:ilvl w:val="0"/>
          <w:numId w:val="3"/>
        </w:numPr>
        <w:spacing w:after="0" w:line="240" w:lineRule="auto"/>
        <w:contextualSpacing w:val="0"/>
        <w:jc w:val="both"/>
        <w:rPr>
          <w:rFonts w:cstheme="minorHAnsi"/>
        </w:rPr>
      </w:pPr>
      <w:r w:rsidRPr="00C62310">
        <w:rPr>
          <w:rFonts w:cstheme="minorHAnsi"/>
        </w:rPr>
        <w:t xml:space="preserve">Monitoring the performance of the fiduciary systems and audits, as well as compliance with fiduciary provisions and the </w:t>
      </w:r>
      <w:r w:rsidR="00220EAD" w:rsidRPr="00C62310">
        <w:rPr>
          <w:rFonts w:cstheme="minorHAnsi"/>
        </w:rPr>
        <w:t>P</w:t>
      </w:r>
      <w:r w:rsidR="00703F9E">
        <w:rPr>
          <w:rFonts w:cstheme="minorHAnsi"/>
        </w:rPr>
        <w:t>AP</w:t>
      </w:r>
      <w:r w:rsidRPr="00C62310">
        <w:rPr>
          <w:rFonts w:cstheme="minorHAnsi"/>
        </w:rPr>
        <w:t>.</w:t>
      </w:r>
    </w:p>
    <w:p w14:paraId="56CB35FF" w14:textId="77777777" w:rsidR="00EC3581" w:rsidRDefault="00EC3581" w:rsidP="00EC3581">
      <w:pPr>
        <w:ind w:left="360"/>
        <w:jc w:val="both"/>
        <w:rPr>
          <w:b/>
        </w:rPr>
      </w:pPr>
    </w:p>
    <w:p w14:paraId="1C264177" w14:textId="77777777" w:rsidR="00307228" w:rsidRDefault="00307228">
      <w:pPr>
        <w:spacing w:after="200" w:line="276" w:lineRule="auto"/>
        <w:rPr>
          <w:b/>
        </w:rPr>
      </w:pPr>
      <w:r>
        <w:rPr>
          <w:b/>
        </w:rPr>
        <w:br w:type="page"/>
      </w:r>
    </w:p>
    <w:p w14:paraId="1A04DA8C" w14:textId="77777777" w:rsidR="00153A99" w:rsidRDefault="00153A99" w:rsidP="00307228">
      <w:pPr>
        <w:ind w:left="360"/>
        <w:jc w:val="both"/>
        <w:rPr>
          <w:rFonts w:asciiTheme="minorHAnsi" w:hAnsiTheme="minorHAnsi" w:cstheme="minorHAnsi"/>
          <w:b/>
          <w:sz w:val="22"/>
        </w:rPr>
        <w:sectPr w:rsidR="00153A99" w:rsidSect="00C62310">
          <w:pgSz w:w="12240" w:h="15840"/>
          <w:pgMar w:top="1440" w:right="1440" w:bottom="1440" w:left="1440" w:header="720" w:footer="720" w:gutter="0"/>
          <w:cols w:space="720"/>
          <w:docGrid w:linePitch="360"/>
        </w:sectPr>
      </w:pPr>
    </w:p>
    <w:p w14:paraId="39DCE914" w14:textId="0231F82C" w:rsidR="00454EEE" w:rsidRDefault="00ED4204" w:rsidP="006C054E">
      <w:pPr>
        <w:ind w:left="360"/>
        <w:jc w:val="right"/>
        <w:rPr>
          <w:rFonts w:asciiTheme="minorHAnsi" w:hAnsiTheme="minorHAnsi" w:cstheme="minorHAnsi"/>
          <w:b/>
          <w:sz w:val="22"/>
        </w:rPr>
      </w:pPr>
      <w:r w:rsidRPr="00307228">
        <w:rPr>
          <w:rFonts w:asciiTheme="minorHAnsi" w:hAnsiTheme="minorHAnsi" w:cstheme="minorHAnsi"/>
          <w:b/>
          <w:sz w:val="22"/>
        </w:rPr>
        <w:lastRenderedPageBreak/>
        <w:t>ANNEX 1</w:t>
      </w:r>
    </w:p>
    <w:p w14:paraId="21F08E86" w14:textId="49F7F437" w:rsidR="00EC3581" w:rsidRDefault="00EC3581" w:rsidP="00307228">
      <w:pPr>
        <w:ind w:left="360"/>
        <w:jc w:val="both"/>
        <w:rPr>
          <w:rFonts w:asciiTheme="minorHAnsi" w:hAnsiTheme="minorHAnsi" w:cstheme="minorHAnsi"/>
          <w:b/>
          <w:sz w:val="22"/>
        </w:rPr>
      </w:pPr>
      <w:r w:rsidRPr="00307228">
        <w:rPr>
          <w:rFonts w:asciiTheme="minorHAnsi" w:hAnsiTheme="minorHAnsi" w:cstheme="minorHAnsi"/>
          <w:b/>
          <w:sz w:val="22"/>
        </w:rPr>
        <w:t xml:space="preserve">List </w:t>
      </w:r>
      <w:r w:rsidR="003E4A0A">
        <w:rPr>
          <w:rFonts w:asciiTheme="minorHAnsi" w:hAnsiTheme="minorHAnsi" w:cstheme="minorHAnsi"/>
          <w:b/>
          <w:sz w:val="22"/>
        </w:rPr>
        <w:t xml:space="preserve">and estimated cost </w:t>
      </w:r>
      <w:r w:rsidRPr="00307228">
        <w:rPr>
          <w:rFonts w:asciiTheme="minorHAnsi" w:hAnsiTheme="minorHAnsi" w:cstheme="minorHAnsi"/>
          <w:b/>
          <w:sz w:val="22"/>
        </w:rPr>
        <w:t xml:space="preserve">of </w:t>
      </w:r>
      <w:r w:rsidR="00F316AC">
        <w:rPr>
          <w:rFonts w:asciiTheme="minorHAnsi" w:hAnsiTheme="minorHAnsi" w:cstheme="minorHAnsi"/>
          <w:b/>
          <w:sz w:val="22"/>
        </w:rPr>
        <w:t>a</w:t>
      </w:r>
      <w:r w:rsidRPr="00307228">
        <w:rPr>
          <w:rFonts w:asciiTheme="minorHAnsi" w:hAnsiTheme="minorHAnsi" w:cstheme="minorHAnsi"/>
          <w:b/>
          <w:sz w:val="22"/>
        </w:rPr>
        <w:t xml:space="preserve">ctivities </w:t>
      </w:r>
      <w:r w:rsidR="00F316AC">
        <w:rPr>
          <w:rFonts w:asciiTheme="minorHAnsi" w:hAnsiTheme="minorHAnsi" w:cstheme="minorHAnsi"/>
          <w:b/>
          <w:sz w:val="22"/>
        </w:rPr>
        <w:t>r</w:t>
      </w:r>
      <w:r w:rsidR="00F316AC" w:rsidRPr="00307228">
        <w:rPr>
          <w:rFonts w:asciiTheme="minorHAnsi" w:hAnsiTheme="minorHAnsi" w:cstheme="minorHAnsi"/>
          <w:b/>
          <w:sz w:val="22"/>
        </w:rPr>
        <w:t xml:space="preserve">equired </w:t>
      </w:r>
      <w:r w:rsidRPr="00307228">
        <w:rPr>
          <w:rFonts w:asciiTheme="minorHAnsi" w:hAnsiTheme="minorHAnsi" w:cstheme="minorHAnsi"/>
          <w:b/>
          <w:sz w:val="22"/>
        </w:rPr>
        <w:t xml:space="preserve">to </w:t>
      </w:r>
      <w:r w:rsidR="00F316AC">
        <w:rPr>
          <w:rFonts w:asciiTheme="minorHAnsi" w:hAnsiTheme="minorHAnsi" w:cstheme="minorHAnsi"/>
          <w:b/>
          <w:sz w:val="22"/>
        </w:rPr>
        <w:t>support the achievement of</w:t>
      </w:r>
      <w:r w:rsidRPr="00307228">
        <w:rPr>
          <w:rFonts w:asciiTheme="minorHAnsi" w:hAnsiTheme="minorHAnsi" w:cstheme="minorHAnsi"/>
          <w:b/>
          <w:sz w:val="22"/>
        </w:rPr>
        <w:t xml:space="preserve"> DLIs (in USD)</w:t>
      </w:r>
    </w:p>
    <w:p w14:paraId="3972FFA7" w14:textId="5EE95859" w:rsidR="00307228" w:rsidRDefault="00307228" w:rsidP="00307228">
      <w:pPr>
        <w:ind w:left="360"/>
        <w:jc w:val="both"/>
        <w:rPr>
          <w:rFonts w:asciiTheme="minorHAnsi" w:hAnsiTheme="minorHAnsi" w:cstheme="minorHAnsi"/>
          <w:sz w:val="20"/>
          <w:szCs w:val="20"/>
        </w:rPr>
      </w:pPr>
    </w:p>
    <w:tbl>
      <w:tblPr>
        <w:tblW w:w="12955" w:type="dxa"/>
        <w:tblLayout w:type="fixed"/>
        <w:tblLook w:val="04A0" w:firstRow="1" w:lastRow="0" w:firstColumn="1" w:lastColumn="0" w:noHBand="0" w:noVBand="1"/>
      </w:tblPr>
      <w:tblGrid>
        <w:gridCol w:w="5575"/>
        <w:gridCol w:w="1230"/>
        <w:gridCol w:w="1230"/>
        <w:gridCol w:w="1230"/>
        <w:gridCol w:w="1230"/>
        <w:gridCol w:w="1230"/>
        <w:gridCol w:w="1230"/>
      </w:tblGrid>
      <w:tr w:rsidR="007F48B9" w:rsidRPr="006C054E" w14:paraId="118114D1" w14:textId="77777777" w:rsidTr="00F84426">
        <w:trPr>
          <w:trHeight w:val="755"/>
        </w:trPr>
        <w:tc>
          <w:tcPr>
            <w:tcW w:w="5575" w:type="dxa"/>
            <w:tcBorders>
              <w:top w:val="single" w:sz="4" w:space="0" w:color="auto"/>
              <w:left w:val="single" w:sz="4" w:space="0" w:color="auto"/>
              <w:bottom w:val="single" w:sz="4" w:space="0" w:color="auto"/>
              <w:right w:val="single" w:sz="4" w:space="0" w:color="auto"/>
            </w:tcBorders>
            <w:shd w:val="clear" w:color="000000" w:fill="DDEBF7"/>
            <w:noWrap/>
            <w:vAlign w:val="center"/>
            <w:hideMark/>
          </w:tcPr>
          <w:p w14:paraId="67FEA7E2" w14:textId="3C732421" w:rsidR="007F48B9" w:rsidRPr="006C054E" w:rsidRDefault="00375915" w:rsidP="002242AE">
            <w:pPr>
              <w:jc w:val="center"/>
              <w:rPr>
                <w:rFonts w:asciiTheme="minorHAnsi" w:eastAsia="Times New Roman" w:hAnsiTheme="minorHAnsi" w:cstheme="minorHAnsi"/>
                <w:b/>
                <w:bCs/>
                <w:color w:val="000000"/>
                <w:sz w:val="20"/>
                <w:szCs w:val="20"/>
              </w:rPr>
            </w:pPr>
            <w:r>
              <w:rPr>
                <w:rFonts w:asciiTheme="minorHAnsi" w:eastAsia="Times New Roman" w:hAnsiTheme="minorHAnsi" w:cstheme="minorHAnsi"/>
                <w:b/>
                <w:bCs/>
                <w:color w:val="000000"/>
                <w:sz w:val="20"/>
                <w:szCs w:val="20"/>
              </w:rPr>
              <w:t>Activity Description</w:t>
            </w:r>
          </w:p>
        </w:tc>
        <w:tc>
          <w:tcPr>
            <w:tcW w:w="1230" w:type="dxa"/>
            <w:tcBorders>
              <w:top w:val="single" w:sz="4" w:space="0" w:color="auto"/>
              <w:left w:val="nil"/>
              <w:bottom w:val="single" w:sz="4" w:space="0" w:color="auto"/>
              <w:right w:val="single" w:sz="4" w:space="0" w:color="auto"/>
            </w:tcBorders>
            <w:shd w:val="clear" w:color="000000" w:fill="DDEBF7"/>
            <w:noWrap/>
            <w:vAlign w:val="center"/>
            <w:hideMark/>
          </w:tcPr>
          <w:p w14:paraId="2F7B7141" w14:textId="77777777" w:rsidR="007F48B9" w:rsidRPr="006C054E" w:rsidRDefault="007F48B9" w:rsidP="002242AE">
            <w:pPr>
              <w:jc w:val="center"/>
              <w:rPr>
                <w:rFonts w:asciiTheme="minorHAnsi" w:eastAsia="Times New Roman" w:hAnsiTheme="minorHAnsi" w:cstheme="minorHAnsi"/>
                <w:b/>
                <w:bCs/>
                <w:color w:val="000000"/>
                <w:sz w:val="20"/>
                <w:szCs w:val="20"/>
              </w:rPr>
            </w:pPr>
            <w:r w:rsidRPr="006C054E">
              <w:rPr>
                <w:rFonts w:asciiTheme="minorHAnsi" w:eastAsia="Times New Roman" w:hAnsiTheme="minorHAnsi" w:cstheme="minorHAnsi"/>
                <w:b/>
                <w:bCs/>
                <w:color w:val="000000"/>
                <w:sz w:val="20"/>
                <w:szCs w:val="20"/>
              </w:rPr>
              <w:t>Type</w:t>
            </w:r>
          </w:p>
        </w:tc>
        <w:tc>
          <w:tcPr>
            <w:tcW w:w="1230" w:type="dxa"/>
            <w:tcBorders>
              <w:top w:val="single" w:sz="4" w:space="0" w:color="auto"/>
              <w:left w:val="nil"/>
              <w:bottom w:val="single" w:sz="4" w:space="0" w:color="auto"/>
              <w:right w:val="single" w:sz="4" w:space="0" w:color="auto"/>
            </w:tcBorders>
            <w:shd w:val="clear" w:color="000000" w:fill="DDEBF7"/>
            <w:vAlign w:val="center"/>
          </w:tcPr>
          <w:p w14:paraId="03192A38" w14:textId="77777777" w:rsidR="007F48B9" w:rsidRPr="006C054E" w:rsidRDefault="007F48B9" w:rsidP="00213863">
            <w:pPr>
              <w:jc w:val="center"/>
              <w:rPr>
                <w:rFonts w:asciiTheme="minorHAnsi" w:eastAsia="Times New Roman" w:hAnsiTheme="minorHAnsi" w:cstheme="minorHAnsi"/>
                <w:b/>
                <w:bCs/>
                <w:color w:val="000000"/>
                <w:sz w:val="20"/>
                <w:szCs w:val="20"/>
              </w:rPr>
            </w:pPr>
            <w:r w:rsidRPr="006C054E">
              <w:rPr>
                <w:rFonts w:asciiTheme="minorHAnsi" w:eastAsia="Times New Roman" w:hAnsiTheme="minorHAnsi" w:cstheme="minorHAnsi"/>
                <w:b/>
                <w:bCs/>
                <w:color w:val="000000"/>
                <w:sz w:val="20"/>
                <w:szCs w:val="20"/>
              </w:rPr>
              <w:t>2019</w:t>
            </w:r>
          </w:p>
        </w:tc>
        <w:tc>
          <w:tcPr>
            <w:tcW w:w="1230" w:type="dxa"/>
            <w:tcBorders>
              <w:top w:val="single" w:sz="4" w:space="0" w:color="auto"/>
              <w:left w:val="single" w:sz="4" w:space="0" w:color="auto"/>
              <w:bottom w:val="single" w:sz="4" w:space="0" w:color="auto"/>
              <w:right w:val="single" w:sz="4" w:space="0" w:color="auto"/>
            </w:tcBorders>
            <w:shd w:val="clear" w:color="000000" w:fill="DDEBF7"/>
            <w:noWrap/>
            <w:vAlign w:val="center"/>
            <w:hideMark/>
          </w:tcPr>
          <w:p w14:paraId="77754908" w14:textId="77777777" w:rsidR="007F48B9" w:rsidRPr="006C054E" w:rsidRDefault="007F48B9" w:rsidP="002242AE">
            <w:pPr>
              <w:jc w:val="center"/>
              <w:rPr>
                <w:rFonts w:asciiTheme="minorHAnsi" w:eastAsia="Times New Roman" w:hAnsiTheme="minorHAnsi" w:cstheme="minorHAnsi"/>
                <w:b/>
                <w:bCs/>
                <w:color w:val="000000"/>
                <w:sz w:val="20"/>
                <w:szCs w:val="20"/>
              </w:rPr>
            </w:pPr>
            <w:r w:rsidRPr="006C054E">
              <w:rPr>
                <w:rFonts w:asciiTheme="minorHAnsi" w:eastAsia="Times New Roman" w:hAnsiTheme="minorHAnsi" w:cstheme="minorHAnsi"/>
                <w:b/>
                <w:bCs/>
                <w:color w:val="000000"/>
                <w:sz w:val="20"/>
                <w:szCs w:val="20"/>
              </w:rPr>
              <w:t>2020</w:t>
            </w:r>
          </w:p>
        </w:tc>
        <w:tc>
          <w:tcPr>
            <w:tcW w:w="1230" w:type="dxa"/>
            <w:tcBorders>
              <w:top w:val="single" w:sz="4" w:space="0" w:color="auto"/>
              <w:left w:val="nil"/>
              <w:bottom w:val="single" w:sz="4" w:space="0" w:color="auto"/>
              <w:right w:val="single" w:sz="4" w:space="0" w:color="auto"/>
            </w:tcBorders>
            <w:shd w:val="clear" w:color="000000" w:fill="DDEBF7"/>
            <w:noWrap/>
            <w:vAlign w:val="center"/>
            <w:hideMark/>
          </w:tcPr>
          <w:p w14:paraId="697FBBEE" w14:textId="77777777" w:rsidR="007F48B9" w:rsidRPr="006C054E" w:rsidRDefault="007F48B9" w:rsidP="002242AE">
            <w:pPr>
              <w:jc w:val="center"/>
              <w:rPr>
                <w:rFonts w:asciiTheme="minorHAnsi" w:eastAsia="Times New Roman" w:hAnsiTheme="minorHAnsi" w:cstheme="minorHAnsi"/>
                <w:b/>
                <w:bCs/>
                <w:color w:val="000000"/>
                <w:sz w:val="20"/>
                <w:szCs w:val="20"/>
              </w:rPr>
            </w:pPr>
            <w:r w:rsidRPr="006C054E">
              <w:rPr>
                <w:rFonts w:asciiTheme="minorHAnsi" w:eastAsia="Times New Roman" w:hAnsiTheme="minorHAnsi" w:cstheme="minorHAnsi"/>
                <w:b/>
                <w:bCs/>
                <w:color w:val="000000"/>
                <w:sz w:val="20"/>
                <w:szCs w:val="20"/>
              </w:rPr>
              <w:t>2021</w:t>
            </w:r>
          </w:p>
        </w:tc>
        <w:tc>
          <w:tcPr>
            <w:tcW w:w="1230" w:type="dxa"/>
            <w:tcBorders>
              <w:top w:val="single" w:sz="4" w:space="0" w:color="auto"/>
              <w:left w:val="nil"/>
              <w:bottom w:val="single" w:sz="4" w:space="0" w:color="auto"/>
              <w:right w:val="single" w:sz="4" w:space="0" w:color="auto"/>
            </w:tcBorders>
            <w:shd w:val="clear" w:color="000000" w:fill="DDEBF7"/>
            <w:noWrap/>
            <w:vAlign w:val="center"/>
            <w:hideMark/>
          </w:tcPr>
          <w:p w14:paraId="64598C53" w14:textId="77777777" w:rsidR="007F48B9" w:rsidRPr="006C054E" w:rsidRDefault="007F48B9" w:rsidP="002242AE">
            <w:pPr>
              <w:jc w:val="center"/>
              <w:rPr>
                <w:rFonts w:asciiTheme="minorHAnsi" w:eastAsia="Times New Roman" w:hAnsiTheme="minorHAnsi" w:cstheme="minorHAnsi"/>
                <w:b/>
                <w:bCs/>
                <w:color w:val="000000"/>
                <w:sz w:val="20"/>
                <w:szCs w:val="20"/>
              </w:rPr>
            </w:pPr>
            <w:r w:rsidRPr="006C054E">
              <w:rPr>
                <w:rFonts w:asciiTheme="minorHAnsi" w:eastAsia="Times New Roman" w:hAnsiTheme="minorHAnsi" w:cstheme="minorHAnsi"/>
                <w:b/>
                <w:bCs/>
                <w:color w:val="000000"/>
                <w:sz w:val="20"/>
                <w:szCs w:val="20"/>
              </w:rPr>
              <w:t>2022</w:t>
            </w:r>
          </w:p>
        </w:tc>
        <w:tc>
          <w:tcPr>
            <w:tcW w:w="1230" w:type="dxa"/>
            <w:tcBorders>
              <w:top w:val="single" w:sz="4" w:space="0" w:color="auto"/>
              <w:left w:val="nil"/>
              <w:bottom w:val="single" w:sz="4" w:space="0" w:color="auto"/>
              <w:right w:val="single" w:sz="4" w:space="0" w:color="auto"/>
            </w:tcBorders>
            <w:shd w:val="clear" w:color="000000" w:fill="DDEBF7"/>
            <w:noWrap/>
            <w:vAlign w:val="center"/>
            <w:hideMark/>
          </w:tcPr>
          <w:p w14:paraId="5A693773" w14:textId="77777777" w:rsidR="007F48B9" w:rsidRPr="006C054E" w:rsidRDefault="007F48B9" w:rsidP="002242AE">
            <w:pPr>
              <w:jc w:val="center"/>
              <w:rPr>
                <w:rFonts w:asciiTheme="minorHAnsi" w:eastAsia="Times New Roman" w:hAnsiTheme="minorHAnsi" w:cstheme="minorHAnsi"/>
                <w:b/>
                <w:bCs/>
                <w:color w:val="000000"/>
                <w:sz w:val="20"/>
                <w:szCs w:val="20"/>
              </w:rPr>
            </w:pPr>
            <w:r w:rsidRPr="006C054E">
              <w:rPr>
                <w:rFonts w:asciiTheme="minorHAnsi" w:eastAsia="Times New Roman" w:hAnsiTheme="minorHAnsi" w:cstheme="minorHAnsi"/>
                <w:b/>
                <w:bCs/>
                <w:color w:val="000000"/>
                <w:sz w:val="20"/>
                <w:szCs w:val="20"/>
              </w:rPr>
              <w:t>2023</w:t>
            </w:r>
          </w:p>
        </w:tc>
      </w:tr>
      <w:tr w:rsidR="007F48B9" w:rsidRPr="006C054E" w14:paraId="7008A040" w14:textId="77777777" w:rsidTr="00213863">
        <w:trPr>
          <w:trHeight w:val="290"/>
        </w:trPr>
        <w:tc>
          <w:tcPr>
            <w:tcW w:w="5575" w:type="dxa"/>
            <w:tcBorders>
              <w:top w:val="nil"/>
              <w:left w:val="single" w:sz="4" w:space="0" w:color="auto"/>
              <w:bottom w:val="single" w:sz="4" w:space="0" w:color="auto"/>
              <w:right w:val="single" w:sz="4" w:space="0" w:color="auto"/>
            </w:tcBorders>
            <w:shd w:val="clear" w:color="auto" w:fill="auto"/>
            <w:noWrap/>
            <w:hideMark/>
          </w:tcPr>
          <w:p w14:paraId="200847D5" w14:textId="6C2F045F" w:rsidR="007F48B9" w:rsidRPr="006C054E" w:rsidRDefault="00F5120E" w:rsidP="002242AE">
            <w:pPr>
              <w:rPr>
                <w:rFonts w:asciiTheme="minorHAnsi" w:hAnsiTheme="minorHAnsi" w:cstheme="minorHAnsi"/>
                <w:sz w:val="20"/>
                <w:szCs w:val="20"/>
              </w:rPr>
            </w:pPr>
            <w:r w:rsidRPr="00F5120E">
              <w:rPr>
                <w:rFonts w:asciiTheme="minorHAnsi" w:hAnsiTheme="minorHAnsi" w:cstheme="minorHAnsi"/>
                <w:sz w:val="20"/>
                <w:szCs w:val="20"/>
              </w:rPr>
              <w:t>Technical assistance for the revision, costing, and expenditure projections for the updated basic benefit package, and towards the revision of legislation and regulations to reflect the updated package</w:t>
            </w:r>
          </w:p>
        </w:tc>
        <w:tc>
          <w:tcPr>
            <w:tcW w:w="1230" w:type="dxa"/>
            <w:tcBorders>
              <w:top w:val="nil"/>
              <w:left w:val="nil"/>
              <w:bottom w:val="single" w:sz="4" w:space="0" w:color="auto"/>
              <w:right w:val="single" w:sz="4" w:space="0" w:color="auto"/>
            </w:tcBorders>
            <w:shd w:val="clear" w:color="auto" w:fill="auto"/>
            <w:noWrap/>
            <w:vAlign w:val="center"/>
            <w:hideMark/>
          </w:tcPr>
          <w:p w14:paraId="78B868CD" w14:textId="77777777" w:rsidR="007F48B9" w:rsidRPr="006C054E" w:rsidRDefault="007F48B9" w:rsidP="002242AE">
            <w:pPr>
              <w:jc w:val="center"/>
              <w:rPr>
                <w:rFonts w:asciiTheme="minorHAnsi" w:eastAsia="Times New Roman" w:hAnsiTheme="minorHAnsi" w:cstheme="minorHAnsi"/>
                <w:color w:val="000000"/>
                <w:sz w:val="20"/>
                <w:szCs w:val="20"/>
              </w:rPr>
            </w:pPr>
            <w:r w:rsidRPr="006C054E">
              <w:rPr>
                <w:rFonts w:asciiTheme="minorHAnsi" w:eastAsia="Times New Roman" w:hAnsiTheme="minorHAnsi" w:cstheme="minorHAnsi"/>
                <w:color w:val="000000"/>
                <w:sz w:val="20"/>
                <w:szCs w:val="20"/>
              </w:rPr>
              <w:t>CS</w:t>
            </w:r>
          </w:p>
        </w:tc>
        <w:tc>
          <w:tcPr>
            <w:tcW w:w="1230" w:type="dxa"/>
            <w:tcBorders>
              <w:top w:val="nil"/>
              <w:left w:val="nil"/>
              <w:bottom w:val="single" w:sz="4" w:space="0" w:color="auto"/>
              <w:right w:val="single" w:sz="4" w:space="0" w:color="auto"/>
            </w:tcBorders>
            <w:vAlign w:val="center"/>
          </w:tcPr>
          <w:p w14:paraId="55998A0A" w14:textId="5DAF11D9" w:rsidR="007F48B9" w:rsidRPr="006C054E" w:rsidRDefault="00F5120E" w:rsidP="009908AE">
            <w:pPr>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150,000</w:t>
            </w:r>
          </w:p>
        </w:tc>
        <w:tc>
          <w:tcPr>
            <w:tcW w:w="1230" w:type="dxa"/>
            <w:tcBorders>
              <w:top w:val="nil"/>
              <w:left w:val="single" w:sz="4" w:space="0" w:color="auto"/>
              <w:bottom w:val="single" w:sz="4" w:space="0" w:color="auto"/>
              <w:right w:val="single" w:sz="4" w:space="0" w:color="auto"/>
            </w:tcBorders>
            <w:shd w:val="clear" w:color="auto" w:fill="auto"/>
            <w:noWrap/>
            <w:vAlign w:val="center"/>
            <w:hideMark/>
          </w:tcPr>
          <w:p w14:paraId="7E518E5A" w14:textId="2B5F9BD2" w:rsidR="007F48B9" w:rsidRPr="006C054E" w:rsidRDefault="007F48B9" w:rsidP="009908AE">
            <w:pPr>
              <w:jc w:val="center"/>
              <w:rPr>
                <w:rFonts w:asciiTheme="minorHAnsi" w:eastAsia="Times New Roman" w:hAnsiTheme="minorHAnsi" w:cstheme="minorHAnsi"/>
                <w:color w:val="000000"/>
                <w:sz w:val="20"/>
                <w:szCs w:val="20"/>
              </w:rPr>
            </w:pPr>
          </w:p>
        </w:tc>
        <w:tc>
          <w:tcPr>
            <w:tcW w:w="1230" w:type="dxa"/>
            <w:tcBorders>
              <w:top w:val="nil"/>
              <w:left w:val="nil"/>
              <w:bottom w:val="single" w:sz="4" w:space="0" w:color="auto"/>
              <w:right w:val="single" w:sz="4" w:space="0" w:color="auto"/>
            </w:tcBorders>
            <w:shd w:val="clear" w:color="auto" w:fill="auto"/>
            <w:noWrap/>
            <w:vAlign w:val="center"/>
            <w:hideMark/>
          </w:tcPr>
          <w:p w14:paraId="19CF020B" w14:textId="77777777" w:rsidR="007F48B9" w:rsidRPr="006C054E" w:rsidRDefault="007F48B9" w:rsidP="009908AE">
            <w:pPr>
              <w:jc w:val="center"/>
              <w:rPr>
                <w:rFonts w:asciiTheme="minorHAnsi" w:eastAsia="Times New Roman" w:hAnsiTheme="minorHAnsi" w:cstheme="minorHAnsi"/>
                <w:color w:val="000000"/>
                <w:sz w:val="20"/>
                <w:szCs w:val="20"/>
              </w:rPr>
            </w:pPr>
          </w:p>
        </w:tc>
        <w:tc>
          <w:tcPr>
            <w:tcW w:w="1230" w:type="dxa"/>
            <w:tcBorders>
              <w:top w:val="nil"/>
              <w:left w:val="nil"/>
              <w:bottom w:val="single" w:sz="4" w:space="0" w:color="auto"/>
              <w:right w:val="single" w:sz="4" w:space="0" w:color="auto"/>
            </w:tcBorders>
            <w:shd w:val="clear" w:color="auto" w:fill="auto"/>
            <w:noWrap/>
            <w:vAlign w:val="center"/>
            <w:hideMark/>
          </w:tcPr>
          <w:p w14:paraId="358E107A" w14:textId="77777777" w:rsidR="007F48B9" w:rsidRPr="006C054E" w:rsidRDefault="007F48B9" w:rsidP="009908AE">
            <w:pPr>
              <w:jc w:val="center"/>
              <w:rPr>
                <w:rFonts w:asciiTheme="minorHAnsi" w:eastAsia="Times New Roman" w:hAnsiTheme="minorHAnsi" w:cstheme="minorHAnsi"/>
                <w:color w:val="000000"/>
                <w:sz w:val="20"/>
                <w:szCs w:val="20"/>
              </w:rPr>
            </w:pPr>
          </w:p>
        </w:tc>
        <w:tc>
          <w:tcPr>
            <w:tcW w:w="1230" w:type="dxa"/>
            <w:tcBorders>
              <w:top w:val="nil"/>
              <w:left w:val="nil"/>
              <w:bottom w:val="single" w:sz="4" w:space="0" w:color="auto"/>
              <w:right w:val="single" w:sz="4" w:space="0" w:color="auto"/>
            </w:tcBorders>
            <w:shd w:val="clear" w:color="auto" w:fill="auto"/>
            <w:noWrap/>
            <w:vAlign w:val="bottom"/>
            <w:hideMark/>
          </w:tcPr>
          <w:p w14:paraId="261ADFCE" w14:textId="77777777" w:rsidR="007F48B9" w:rsidRPr="006C054E" w:rsidRDefault="007F48B9" w:rsidP="002242AE">
            <w:pPr>
              <w:jc w:val="right"/>
              <w:rPr>
                <w:rFonts w:asciiTheme="minorHAnsi" w:eastAsia="Times New Roman" w:hAnsiTheme="minorHAnsi" w:cstheme="minorHAnsi"/>
                <w:color w:val="000000"/>
                <w:sz w:val="20"/>
                <w:szCs w:val="20"/>
              </w:rPr>
            </w:pPr>
          </w:p>
        </w:tc>
      </w:tr>
      <w:tr w:rsidR="007F48B9" w:rsidRPr="006C054E" w14:paraId="2FCAF8FA" w14:textId="77777777" w:rsidTr="00213863">
        <w:trPr>
          <w:trHeight w:val="290"/>
        </w:trPr>
        <w:tc>
          <w:tcPr>
            <w:tcW w:w="5575" w:type="dxa"/>
            <w:tcBorders>
              <w:top w:val="nil"/>
              <w:left w:val="single" w:sz="4" w:space="0" w:color="auto"/>
              <w:bottom w:val="single" w:sz="4" w:space="0" w:color="auto"/>
              <w:right w:val="single" w:sz="4" w:space="0" w:color="auto"/>
            </w:tcBorders>
            <w:shd w:val="clear" w:color="auto" w:fill="auto"/>
          </w:tcPr>
          <w:p w14:paraId="15F89CDB" w14:textId="1A03F5C2" w:rsidR="007F48B9" w:rsidRPr="006C054E" w:rsidRDefault="00E86E2B" w:rsidP="002242AE">
            <w:pPr>
              <w:rPr>
                <w:rFonts w:asciiTheme="minorHAnsi" w:hAnsiTheme="minorHAnsi" w:cstheme="minorHAnsi"/>
                <w:sz w:val="20"/>
                <w:szCs w:val="20"/>
              </w:rPr>
            </w:pPr>
            <w:r w:rsidRPr="00E86E2B">
              <w:rPr>
                <w:rFonts w:asciiTheme="minorHAnsi" w:hAnsiTheme="minorHAnsi" w:cstheme="minorHAnsi"/>
                <w:sz w:val="20"/>
                <w:szCs w:val="20"/>
              </w:rPr>
              <w:t>Technical assistance to develop protocols for community health service delivery, integration of community and primary care, supervision of integrated community and primary health care, and the conduct of community needs assessment.</w:t>
            </w:r>
          </w:p>
        </w:tc>
        <w:tc>
          <w:tcPr>
            <w:tcW w:w="1230" w:type="dxa"/>
            <w:tcBorders>
              <w:top w:val="nil"/>
              <w:left w:val="nil"/>
              <w:bottom w:val="single" w:sz="4" w:space="0" w:color="auto"/>
              <w:right w:val="single" w:sz="4" w:space="0" w:color="auto"/>
            </w:tcBorders>
            <w:shd w:val="clear" w:color="auto" w:fill="auto"/>
            <w:noWrap/>
            <w:vAlign w:val="center"/>
            <w:hideMark/>
          </w:tcPr>
          <w:p w14:paraId="7DA63CB8" w14:textId="77777777" w:rsidR="007F48B9" w:rsidRPr="006C054E" w:rsidRDefault="007F48B9" w:rsidP="002242AE">
            <w:pPr>
              <w:jc w:val="center"/>
              <w:rPr>
                <w:rFonts w:asciiTheme="minorHAnsi" w:eastAsia="Times New Roman" w:hAnsiTheme="minorHAnsi" w:cstheme="minorHAnsi"/>
                <w:color w:val="000000"/>
                <w:sz w:val="20"/>
                <w:szCs w:val="20"/>
              </w:rPr>
            </w:pPr>
            <w:r w:rsidRPr="006C054E">
              <w:rPr>
                <w:rFonts w:asciiTheme="minorHAnsi" w:eastAsia="Times New Roman" w:hAnsiTheme="minorHAnsi" w:cstheme="minorHAnsi"/>
                <w:color w:val="000000"/>
                <w:sz w:val="20"/>
                <w:szCs w:val="20"/>
              </w:rPr>
              <w:t>CS</w:t>
            </w:r>
          </w:p>
        </w:tc>
        <w:tc>
          <w:tcPr>
            <w:tcW w:w="1230" w:type="dxa"/>
            <w:tcBorders>
              <w:top w:val="nil"/>
              <w:left w:val="nil"/>
              <w:bottom w:val="single" w:sz="4" w:space="0" w:color="auto"/>
              <w:right w:val="single" w:sz="4" w:space="0" w:color="auto"/>
            </w:tcBorders>
            <w:vAlign w:val="center"/>
          </w:tcPr>
          <w:p w14:paraId="6D7463C4" w14:textId="77777777" w:rsidR="007F48B9" w:rsidRPr="006C054E" w:rsidRDefault="007F48B9" w:rsidP="009908AE">
            <w:pPr>
              <w:jc w:val="center"/>
              <w:rPr>
                <w:rFonts w:asciiTheme="minorHAnsi" w:eastAsia="Times New Roman" w:hAnsiTheme="minorHAnsi" w:cstheme="minorHAnsi"/>
                <w:color w:val="000000"/>
                <w:sz w:val="20"/>
                <w:szCs w:val="20"/>
              </w:rPr>
            </w:pPr>
          </w:p>
        </w:tc>
        <w:tc>
          <w:tcPr>
            <w:tcW w:w="1230" w:type="dxa"/>
            <w:tcBorders>
              <w:top w:val="nil"/>
              <w:left w:val="single" w:sz="4" w:space="0" w:color="auto"/>
              <w:bottom w:val="single" w:sz="4" w:space="0" w:color="auto"/>
              <w:right w:val="single" w:sz="4" w:space="0" w:color="auto"/>
            </w:tcBorders>
            <w:shd w:val="clear" w:color="auto" w:fill="auto"/>
            <w:noWrap/>
            <w:vAlign w:val="center"/>
            <w:hideMark/>
          </w:tcPr>
          <w:p w14:paraId="25243909" w14:textId="77777777" w:rsidR="007F48B9" w:rsidRPr="006C054E" w:rsidRDefault="007F48B9" w:rsidP="009908AE">
            <w:pPr>
              <w:jc w:val="center"/>
              <w:rPr>
                <w:rFonts w:asciiTheme="minorHAnsi" w:eastAsia="Times New Roman" w:hAnsiTheme="minorHAnsi" w:cstheme="minorHAnsi"/>
                <w:color w:val="000000"/>
                <w:sz w:val="20"/>
                <w:szCs w:val="20"/>
              </w:rPr>
            </w:pPr>
            <w:r w:rsidRPr="006C054E">
              <w:rPr>
                <w:rFonts w:asciiTheme="minorHAnsi" w:eastAsia="Times New Roman" w:hAnsiTheme="minorHAnsi" w:cstheme="minorHAnsi"/>
                <w:color w:val="000000"/>
                <w:sz w:val="20"/>
                <w:szCs w:val="20"/>
              </w:rPr>
              <w:t>100,000</w:t>
            </w:r>
          </w:p>
        </w:tc>
        <w:tc>
          <w:tcPr>
            <w:tcW w:w="1230" w:type="dxa"/>
            <w:tcBorders>
              <w:top w:val="nil"/>
              <w:left w:val="nil"/>
              <w:bottom w:val="single" w:sz="4" w:space="0" w:color="auto"/>
              <w:right w:val="single" w:sz="4" w:space="0" w:color="auto"/>
            </w:tcBorders>
            <w:shd w:val="clear" w:color="auto" w:fill="auto"/>
            <w:noWrap/>
            <w:vAlign w:val="center"/>
          </w:tcPr>
          <w:p w14:paraId="79ACD838" w14:textId="77777777" w:rsidR="007F48B9" w:rsidRPr="006C054E" w:rsidRDefault="007F48B9" w:rsidP="009908AE">
            <w:pPr>
              <w:jc w:val="center"/>
              <w:rPr>
                <w:rFonts w:asciiTheme="minorHAnsi" w:eastAsia="Times New Roman" w:hAnsiTheme="minorHAnsi" w:cstheme="minorHAnsi"/>
                <w:color w:val="000000"/>
                <w:sz w:val="20"/>
                <w:szCs w:val="20"/>
              </w:rPr>
            </w:pPr>
          </w:p>
        </w:tc>
        <w:tc>
          <w:tcPr>
            <w:tcW w:w="1230" w:type="dxa"/>
            <w:tcBorders>
              <w:top w:val="nil"/>
              <w:left w:val="nil"/>
              <w:bottom w:val="single" w:sz="4" w:space="0" w:color="auto"/>
              <w:right w:val="single" w:sz="4" w:space="0" w:color="auto"/>
            </w:tcBorders>
            <w:shd w:val="clear" w:color="auto" w:fill="auto"/>
            <w:noWrap/>
            <w:vAlign w:val="center"/>
          </w:tcPr>
          <w:p w14:paraId="76EFE742" w14:textId="77777777" w:rsidR="007F48B9" w:rsidRPr="006C054E" w:rsidRDefault="007F48B9" w:rsidP="009908AE">
            <w:pPr>
              <w:jc w:val="center"/>
              <w:rPr>
                <w:rFonts w:asciiTheme="minorHAnsi" w:eastAsia="Times New Roman" w:hAnsiTheme="minorHAnsi" w:cstheme="minorHAnsi"/>
                <w:color w:val="000000"/>
                <w:sz w:val="20"/>
                <w:szCs w:val="20"/>
              </w:rPr>
            </w:pPr>
          </w:p>
        </w:tc>
        <w:tc>
          <w:tcPr>
            <w:tcW w:w="1230" w:type="dxa"/>
            <w:tcBorders>
              <w:top w:val="nil"/>
              <w:left w:val="nil"/>
              <w:bottom w:val="single" w:sz="4" w:space="0" w:color="auto"/>
              <w:right w:val="single" w:sz="4" w:space="0" w:color="auto"/>
            </w:tcBorders>
            <w:shd w:val="clear" w:color="auto" w:fill="auto"/>
            <w:noWrap/>
            <w:vAlign w:val="bottom"/>
          </w:tcPr>
          <w:p w14:paraId="6C87C62F" w14:textId="77777777" w:rsidR="007F48B9" w:rsidRPr="006C054E" w:rsidRDefault="007F48B9" w:rsidP="002242AE">
            <w:pPr>
              <w:jc w:val="right"/>
              <w:rPr>
                <w:rFonts w:asciiTheme="minorHAnsi" w:eastAsia="Times New Roman" w:hAnsiTheme="minorHAnsi" w:cstheme="minorHAnsi"/>
                <w:color w:val="000000"/>
                <w:sz w:val="20"/>
                <w:szCs w:val="20"/>
              </w:rPr>
            </w:pPr>
          </w:p>
        </w:tc>
      </w:tr>
      <w:tr w:rsidR="007F48B9" w:rsidRPr="006C054E" w14:paraId="29C1843E" w14:textId="77777777" w:rsidTr="00213863">
        <w:trPr>
          <w:trHeight w:val="290"/>
        </w:trPr>
        <w:tc>
          <w:tcPr>
            <w:tcW w:w="5575" w:type="dxa"/>
            <w:tcBorders>
              <w:top w:val="nil"/>
              <w:left w:val="single" w:sz="4" w:space="0" w:color="auto"/>
              <w:bottom w:val="single" w:sz="4" w:space="0" w:color="auto"/>
              <w:right w:val="single" w:sz="4" w:space="0" w:color="auto"/>
            </w:tcBorders>
            <w:shd w:val="clear" w:color="auto" w:fill="auto"/>
          </w:tcPr>
          <w:p w14:paraId="18BE6B0F" w14:textId="00B99E6B" w:rsidR="007F48B9" w:rsidRPr="006C054E" w:rsidRDefault="00D535DD" w:rsidP="002242AE">
            <w:pPr>
              <w:rPr>
                <w:rFonts w:asciiTheme="minorHAnsi" w:hAnsiTheme="minorHAnsi" w:cstheme="minorHAnsi"/>
                <w:sz w:val="20"/>
                <w:szCs w:val="20"/>
              </w:rPr>
            </w:pPr>
            <w:r w:rsidRPr="00D535DD">
              <w:rPr>
                <w:rFonts w:asciiTheme="minorHAnsi" w:hAnsiTheme="minorHAnsi" w:cstheme="minorHAnsi"/>
                <w:sz w:val="20"/>
                <w:szCs w:val="20"/>
              </w:rPr>
              <w:t>Technical assistance to develop operational details for the set</w:t>
            </w:r>
            <w:r>
              <w:rPr>
                <w:rFonts w:asciiTheme="minorHAnsi" w:hAnsiTheme="minorHAnsi" w:cstheme="minorHAnsi"/>
                <w:sz w:val="20"/>
                <w:szCs w:val="20"/>
              </w:rPr>
              <w:t>-</w:t>
            </w:r>
            <w:r w:rsidRPr="00D535DD">
              <w:rPr>
                <w:rFonts w:asciiTheme="minorHAnsi" w:hAnsiTheme="minorHAnsi" w:cstheme="minorHAnsi"/>
                <w:sz w:val="20"/>
                <w:szCs w:val="20"/>
              </w:rPr>
              <w:t>up of new unit in the Ministry of Health for oversight of integrated primary and community health care and towards management training of key personnel</w:t>
            </w:r>
          </w:p>
        </w:tc>
        <w:tc>
          <w:tcPr>
            <w:tcW w:w="1230" w:type="dxa"/>
            <w:tcBorders>
              <w:top w:val="nil"/>
              <w:left w:val="nil"/>
              <w:bottom w:val="single" w:sz="4" w:space="0" w:color="auto"/>
              <w:right w:val="single" w:sz="4" w:space="0" w:color="auto"/>
            </w:tcBorders>
            <w:shd w:val="clear" w:color="auto" w:fill="auto"/>
            <w:noWrap/>
            <w:vAlign w:val="center"/>
            <w:hideMark/>
          </w:tcPr>
          <w:p w14:paraId="5C1DE8ED" w14:textId="77777777" w:rsidR="007F48B9" w:rsidRPr="006C054E" w:rsidRDefault="007F48B9" w:rsidP="002242AE">
            <w:pPr>
              <w:jc w:val="center"/>
              <w:rPr>
                <w:rFonts w:asciiTheme="minorHAnsi" w:eastAsia="Times New Roman" w:hAnsiTheme="minorHAnsi" w:cstheme="minorHAnsi"/>
                <w:color w:val="000000"/>
                <w:sz w:val="20"/>
                <w:szCs w:val="20"/>
              </w:rPr>
            </w:pPr>
            <w:r w:rsidRPr="006C054E">
              <w:rPr>
                <w:rFonts w:asciiTheme="minorHAnsi" w:eastAsia="Times New Roman" w:hAnsiTheme="minorHAnsi" w:cstheme="minorHAnsi"/>
                <w:color w:val="000000"/>
                <w:sz w:val="20"/>
                <w:szCs w:val="20"/>
              </w:rPr>
              <w:t>CS</w:t>
            </w:r>
          </w:p>
        </w:tc>
        <w:tc>
          <w:tcPr>
            <w:tcW w:w="1230" w:type="dxa"/>
            <w:tcBorders>
              <w:top w:val="nil"/>
              <w:left w:val="nil"/>
              <w:bottom w:val="single" w:sz="4" w:space="0" w:color="auto"/>
              <w:right w:val="single" w:sz="4" w:space="0" w:color="auto"/>
            </w:tcBorders>
            <w:vAlign w:val="center"/>
          </w:tcPr>
          <w:p w14:paraId="027DBB12" w14:textId="00505802" w:rsidR="007F48B9" w:rsidRPr="006C054E" w:rsidRDefault="00D535DD" w:rsidP="009908AE">
            <w:pPr>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200,000</w:t>
            </w:r>
          </w:p>
        </w:tc>
        <w:tc>
          <w:tcPr>
            <w:tcW w:w="1230" w:type="dxa"/>
            <w:tcBorders>
              <w:top w:val="nil"/>
              <w:left w:val="single" w:sz="4" w:space="0" w:color="auto"/>
              <w:bottom w:val="single" w:sz="4" w:space="0" w:color="auto"/>
              <w:right w:val="single" w:sz="4" w:space="0" w:color="auto"/>
            </w:tcBorders>
            <w:shd w:val="clear" w:color="auto" w:fill="auto"/>
            <w:noWrap/>
            <w:vAlign w:val="center"/>
          </w:tcPr>
          <w:p w14:paraId="2C7E5564" w14:textId="02DE5D31" w:rsidR="007F48B9" w:rsidRPr="006C054E" w:rsidRDefault="007F48B9" w:rsidP="009908AE">
            <w:pPr>
              <w:jc w:val="center"/>
              <w:rPr>
                <w:rFonts w:asciiTheme="minorHAnsi" w:eastAsia="Times New Roman" w:hAnsiTheme="minorHAnsi" w:cstheme="minorHAnsi"/>
                <w:color w:val="000000"/>
                <w:sz w:val="20"/>
                <w:szCs w:val="20"/>
              </w:rPr>
            </w:pPr>
          </w:p>
        </w:tc>
        <w:tc>
          <w:tcPr>
            <w:tcW w:w="1230" w:type="dxa"/>
            <w:tcBorders>
              <w:top w:val="nil"/>
              <w:left w:val="nil"/>
              <w:bottom w:val="single" w:sz="4" w:space="0" w:color="auto"/>
              <w:right w:val="single" w:sz="4" w:space="0" w:color="auto"/>
            </w:tcBorders>
            <w:shd w:val="clear" w:color="auto" w:fill="auto"/>
            <w:noWrap/>
            <w:vAlign w:val="center"/>
          </w:tcPr>
          <w:p w14:paraId="059EAB7C" w14:textId="781CC5D4" w:rsidR="007F48B9" w:rsidRPr="006C054E" w:rsidRDefault="007F48B9" w:rsidP="009908AE">
            <w:pPr>
              <w:jc w:val="center"/>
              <w:rPr>
                <w:rFonts w:asciiTheme="minorHAnsi" w:eastAsia="Times New Roman" w:hAnsiTheme="minorHAnsi" w:cstheme="minorHAnsi"/>
                <w:color w:val="000000"/>
                <w:sz w:val="20"/>
                <w:szCs w:val="20"/>
              </w:rPr>
            </w:pPr>
          </w:p>
        </w:tc>
        <w:tc>
          <w:tcPr>
            <w:tcW w:w="1230" w:type="dxa"/>
            <w:tcBorders>
              <w:top w:val="nil"/>
              <w:left w:val="nil"/>
              <w:bottom w:val="single" w:sz="4" w:space="0" w:color="auto"/>
              <w:right w:val="single" w:sz="4" w:space="0" w:color="auto"/>
            </w:tcBorders>
            <w:shd w:val="clear" w:color="auto" w:fill="auto"/>
            <w:noWrap/>
            <w:vAlign w:val="center"/>
          </w:tcPr>
          <w:p w14:paraId="33256979" w14:textId="524D3CA7" w:rsidR="007F48B9" w:rsidRPr="006C054E" w:rsidRDefault="007F48B9" w:rsidP="009908AE">
            <w:pPr>
              <w:jc w:val="center"/>
              <w:rPr>
                <w:rFonts w:asciiTheme="minorHAnsi" w:eastAsia="Times New Roman" w:hAnsiTheme="minorHAnsi" w:cstheme="minorHAnsi"/>
                <w:color w:val="000000"/>
                <w:sz w:val="20"/>
                <w:szCs w:val="20"/>
              </w:rPr>
            </w:pPr>
          </w:p>
        </w:tc>
        <w:tc>
          <w:tcPr>
            <w:tcW w:w="1230" w:type="dxa"/>
            <w:tcBorders>
              <w:top w:val="nil"/>
              <w:left w:val="nil"/>
              <w:bottom w:val="single" w:sz="4" w:space="0" w:color="auto"/>
              <w:right w:val="single" w:sz="4" w:space="0" w:color="auto"/>
            </w:tcBorders>
            <w:shd w:val="clear" w:color="auto" w:fill="auto"/>
            <w:noWrap/>
            <w:vAlign w:val="bottom"/>
          </w:tcPr>
          <w:p w14:paraId="3D4C0DFD" w14:textId="24F7D258" w:rsidR="007F48B9" w:rsidRPr="006C054E" w:rsidRDefault="007F48B9" w:rsidP="002242AE">
            <w:pPr>
              <w:jc w:val="right"/>
              <w:rPr>
                <w:rFonts w:asciiTheme="minorHAnsi" w:eastAsia="Times New Roman" w:hAnsiTheme="minorHAnsi" w:cstheme="minorHAnsi"/>
                <w:color w:val="000000"/>
                <w:sz w:val="20"/>
                <w:szCs w:val="20"/>
              </w:rPr>
            </w:pPr>
          </w:p>
        </w:tc>
      </w:tr>
      <w:tr w:rsidR="007F48B9" w:rsidRPr="006C054E" w14:paraId="6951C4A0" w14:textId="77777777" w:rsidTr="00213863">
        <w:trPr>
          <w:trHeight w:val="290"/>
        </w:trPr>
        <w:tc>
          <w:tcPr>
            <w:tcW w:w="5575" w:type="dxa"/>
            <w:tcBorders>
              <w:top w:val="single" w:sz="4" w:space="0" w:color="auto"/>
              <w:left w:val="single" w:sz="4" w:space="0" w:color="auto"/>
              <w:bottom w:val="single" w:sz="4" w:space="0" w:color="auto"/>
              <w:right w:val="single" w:sz="4" w:space="0" w:color="auto"/>
            </w:tcBorders>
            <w:shd w:val="clear" w:color="auto" w:fill="auto"/>
          </w:tcPr>
          <w:p w14:paraId="7FFB167C" w14:textId="538450C0" w:rsidR="007F48B9" w:rsidRPr="006C054E" w:rsidRDefault="00195481" w:rsidP="002242AE">
            <w:pPr>
              <w:rPr>
                <w:rFonts w:asciiTheme="minorHAnsi" w:hAnsiTheme="minorHAnsi" w:cstheme="minorHAnsi"/>
                <w:sz w:val="20"/>
                <w:szCs w:val="20"/>
              </w:rPr>
            </w:pPr>
            <w:r w:rsidRPr="00195481">
              <w:rPr>
                <w:rFonts w:asciiTheme="minorHAnsi" w:hAnsiTheme="minorHAnsi" w:cstheme="minorHAnsi"/>
                <w:sz w:val="20"/>
                <w:szCs w:val="20"/>
              </w:rPr>
              <w:t>Computers, furniture, and other supplies for set up of new unit in the Ministry of Health for oversight of integrated prim</w:t>
            </w:r>
            <w:r>
              <w:rPr>
                <w:rFonts w:asciiTheme="minorHAnsi" w:hAnsiTheme="minorHAnsi" w:cstheme="minorHAnsi"/>
                <w:sz w:val="20"/>
                <w:szCs w:val="20"/>
              </w:rPr>
              <w:t>ary</w:t>
            </w:r>
            <w:r w:rsidRPr="00195481">
              <w:rPr>
                <w:rFonts w:asciiTheme="minorHAnsi" w:hAnsiTheme="minorHAnsi" w:cstheme="minorHAnsi"/>
                <w:sz w:val="20"/>
                <w:szCs w:val="20"/>
              </w:rPr>
              <w:t xml:space="preserve"> and community health care</w:t>
            </w:r>
          </w:p>
        </w:tc>
        <w:tc>
          <w:tcPr>
            <w:tcW w:w="1230" w:type="dxa"/>
            <w:tcBorders>
              <w:top w:val="single" w:sz="4" w:space="0" w:color="auto"/>
              <w:left w:val="nil"/>
              <w:bottom w:val="single" w:sz="4" w:space="0" w:color="auto"/>
              <w:right w:val="single" w:sz="4" w:space="0" w:color="auto"/>
            </w:tcBorders>
            <w:shd w:val="clear" w:color="auto" w:fill="auto"/>
            <w:noWrap/>
            <w:vAlign w:val="center"/>
          </w:tcPr>
          <w:p w14:paraId="5E9A9CB0" w14:textId="6CEB0A94" w:rsidR="007F48B9" w:rsidRPr="006C054E" w:rsidRDefault="00195481" w:rsidP="002242AE">
            <w:pPr>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G</w:t>
            </w:r>
          </w:p>
        </w:tc>
        <w:tc>
          <w:tcPr>
            <w:tcW w:w="1230" w:type="dxa"/>
            <w:tcBorders>
              <w:top w:val="single" w:sz="4" w:space="0" w:color="auto"/>
              <w:left w:val="nil"/>
              <w:bottom w:val="single" w:sz="4" w:space="0" w:color="auto"/>
              <w:right w:val="single" w:sz="4" w:space="0" w:color="auto"/>
            </w:tcBorders>
            <w:vAlign w:val="center"/>
          </w:tcPr>
          <w:p w14:paraId="5C3B96A5" w14:textId="5902E49E" w:rsidR="007F48B9" w:rsidRPr="006C054E" w:rsidRDefault="00195481" w:rsidP="009908AE">
            <w:pPr>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50,000</w:t>
            </w:r>
          </w:p>
        </w:tc>
        <w:tc>
          <w:tcPr>
            <w:tcW w:w="12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0F0CD5" w14:textId="77777777" w:rsidR="007F48B9" w:rsidRPr="006C054E" w:rsidRDefault="007F48B9" w:rsidP="009908AE">
            <w:pPr>
              <w:jc w:val="center"/>
              <w:rPr>
                <w:rFonts w:asciiTheme="minorHAnsi" w:eastAsia="Times New Roman" w:hAnsiTheme="minorHAnsi" w:cstheme="minorHAnsi"/>
                <w:color w:val="000000"/>
                <w:sz w:val="20"/>
                <w:szCs w:val="20"/>
              </w:rPr>
            </w:pPr>
          </w:p>
        </w:tc>
        <w:tc>
          <w:tcPr>
            <w:tcW w:w="1230" w:type="dxa"/>
            <w:tcBorders>
              <w:top w:val="single" w:sz="4" w:space="0" w:color="auto"/>
              <w:left w:val="nil"/>
              <w:bottom w:val="single" w:sz="4" w:space="0" w:color="auto"/>
              <w:right w:val="single" w:sz="4" w:space="0" w:color="auto"/>
            </w:tcBorders>
            <w:shd w:val="clear" w:color="auto" w:fill="auto"/>
            <w:noWrap/>
            <w:vAlign w:val="center"/>
          </w:tcPr>
          <w:p w14:paraId="5D6C3FDD" w14:textId="77777777" w:rsidR="007F48B9" w:rsidRPr="006C054E" w:rsidRDefault="007F48B9" w:rsidP="009908AE">
            <w:pPr>
              <w:jc w:val="center"/>
              <w:rPr>
                <w:rFonts w:asciiTheme="minorHAnsi" w:eastAsia="Times New Roman" w:hAnsiTheme="minorHAnsi" w:cstheme="minorHAnsi"/>
                <w:color w:val="000000"/>
                <w:sz w:val="20"/>
                <w:szCs w:val="20"/>
              </w:rPr>
            </w:pPr>
          </w:p>
        </w:tc>
        <w:tc>
          <w:tcPr>
            <w:tcW w:w="1230" w:type="dxa"/>
            <w:tcBorders>
              <w:top w:val="single" w:sz="4" w:space="0" w:color="auto"/>
              <w:left w:val="nil"/>
              <w:bottom w:val="single" w:sz="4" w:space="0" w:color="auto"/>
              <w:right w:val="single" w:sz="4" w:space="0" w:color="auto"/>
            </w:tcBorders>
            <w:shd w:val="clear" w:color="auto" w:fill="auto"/>
            <w:noWrap/>
            <w:vAlign w:val="center"/>
          </w:tcPr>
          <w:p w14:paraId="1CDADE20" w14:textId="77777777" w:rsidR="007F48B9" w:rsidRPr="006C054E" w:rsidRDefault="007F48B9" w:rsidP="009908AE">
            <w:pPr>
              <w:jc w:val="center"/>
              <w:rPr>
                <w:rFonts w:asciiTheme="minorHAnsi" w:eastAsia="Times New Roman" w:hAnsiTheme="minorHAnsi" w:cstheme="minorHAnsi"/>
                <w:color w:val="000000"/>
                <w:sz w:val="20"/>
                <w:szCs w:val="20"/>
              </w:rPr>
            </w:pPr>
          </w:p>
        </w:tc>
        <w:tc>
          <w:tcPr>
            <w:tcW w:w="1230" w:type="dxa"/>
            <w:tcBorders>
              <w:top w:val="single" w:sz="4" w:space="0" w:color="auto"/>
              <w:left w:val="nil"/>
              <w:bottom w:val="single" w:sz="4" w:space="0" w:color="auto"/>
              <w:right w:val="single" w:sz="4" w:space="0" w:color="auto"/>
            </w:tcBorders>
            <w:shd w:val="clear" w:color="auto" w:fill="auto"/>
            <w:noWrap/>
            <w:vAlign w:val="bottom"/>
          </w:tcPr>
          <w:p w14:paraId="13882720" w14:textId="77777777" w:rsidR="007F48B9" w:rsidRPr="006C054E" w:rsidRDefault="007F48B9" w:rsidP="002242AE">
            <w:pPr>
              <w:jc w:val="right"/>
              <w:rPr>
                <w:rFonts w:asciiTheme="minorHAnsi" w:eastAsia="Times New Roman" w:hAnsiTheme="minorHAnsi" w:cstheme="minorHAnsi"/>
                <w:color w:val="000000"/>
                <w:sz w:val="20"/>
                <w:szCs w:val="20"/>
              </w:rPr>
            </w:pPr>
          </w:p>
        </w:tc>
      </w:tr>
      <w:tr w:rsidR="007F48B9" w:rsidRPr="006C054E" w14:paraId="1FAA9BDB" w14:textId="77777777" w:rsidTr="00213863">
        <w:trPr>
          <w:trHeight w:val="290"/>
        </w:trPr>
        <w:tc>
          <w:tcPr>
            <w:tcW w:w="5575" w:type="dxa"/>
            <w:tcBorders>
              <w:top w:val="single" w:sz="4" w:space="0" w:color="auto"/>
              <w:left w:val="single" w:sz="4" w:space="0" w:color="auto"/>
              <w:bottom w:val="single" w:sz="4" w:space="0" w:color="auto"/>
              <w:right w:val="single" w:sz="4" w:space="0" w:color="auto"/>
            </w:tcBorders>
            <w:shd w:val="clear" w:color="auto" w:fill="auto"/>
          </w:tcPr>
          <w:p w14:paraId="00F10B57" w14:textId="3FD1B44A" w:rsidR="007F48B9" w:rsidRPr="006C054E" w:rsidRDefault="0088072A" w:rsidP="002242AE">
            <w:pPr>
              <w:rPr>
                <w:rFonts w:asciiTheme="minorHAnsi" w:hAnsiTheme="minorHAnsi" w:cstheme="minorHAnsi"/>
                <w:sz w:val="20"/>
                <w:szCs w:val="20"/>
              </w:rPr>
            </w:pPr>
            <w:r w:rsidRPr="0088072A">
              <w:rPr>
                <w:rFonts w:asciiTheme="minorHAnsi" w:hAnsiTheme="minorHAnsi" w:cstheme="minorHAnsi"/>
                <w:sz w:val="20"/>
                <w:szCs w:val="20"/>
              </w:rPr>
              <w:t>Technical assistance to support the revision of clinical guidelines and the Framework Contract to expand the scope and supply of primary health care services, and to develop expenditure projections for the revised service profile</w:t>
            </w:r>
          </w:p>
        </w:tc>
        <w:tc>
          <w:tcPr>
            <w:tcW w:w="1230" w:type="dxa"/>
            <w:tcBorders>
              <w:top w:val="single" w:sz="4" w:space="0" w:color="auto"/>
              <w:left w:val="nil"/>
              <w:bottom w:val="single" w:sz="4" w:space="0" w:color="auto"/>
              <w:right w:val="single" w:sz="4" w:space="0" w:color="auto"/>
            </w:tcBorders>
            <w:shd w:val="clear" w:color="auto" w:fill="auto"/>
            <w:noWrap/>
            <w:vAlign w:val="center"/>
          </w:tcPr>
          <w:p w14:paraId="3A4CBA95" w14:textId="77777777" w:rsidR="007F48B9" w:rsidRPr="006C054E" w:rsidRDefault="007F48B9" w:rsidP="002242AE">
            <w:pPr>
              <w:jc w:val="center"/>
              <w:rPr>
                <w:rFonts w:asciiTheme="minorHAnsi" w:eastAsia="Times New Roman" w:hAnsiTheme="minorHAnsi" w:cstheme="minorHAnsi"/>
                <w:color w:val="000000"/>
                <w:sz w:val="20"/>
                <w:szCs w:val="20"/>
              </w:rPr>
            </w:pPr>
            <w:r w:rsidRPr="006C054E">
              <w:rPr>
                <w:rFonts w:asciiTheme="minorHAnsi" w:eastAsia="Times New Roman" w:hAnsiTheme="minorHAnsi" w:cstheme="minorHAnsi"/>
                <w:color w:val="000000"/>
                <w:sz w:val="20"/>
                <w:szCs w:val="20"/>
              </w:rPr>
              <w:t>CS</w:t>
            </w:r>
          </w:p>
        </w:tc>
        <w:tc>
          <w:tcPr>
            <w:tcW w:w="1230" w:type="dxa"/>
            <w:tcBorders>
              <w:top w:val="single" w:sz="4" w:space="0" w:color="auto"/>
              <w:left w:val="nil"/>
              <w:bottom w:val="single" w:sz="4" w:space="0" w:color="auto"/>
              <w:right w:val="single" w:sz="4" w:space="0" w:color="auto"/>
            </w:tcBorders>
            <w:vAlign w:val="center"/>
          </w:tcPr>
          <w:p w14:paraId="2C9EC5E4" w14:textId="77777777" w:rsidR="007F48B9" w:rsidRPr="006C054E" w:rsidRDefault="007F48B9" w:rsidP="009908AE">
            <w:pPr>
              <w:jc w:val="center"/>
              <w:rPr>
                <w:rFonts w:asciiTheme="minorHAnsi" w:eastAsia="Times New Roman" w:hAnsiTheme="minorHAnsi" w:cstheme="minorHAnsi"/>
                <w:color w:val="000000"/>
                <w:sz w:val="20"/>
                <w:szCs w:val="20"/>
              </w:rPr>
            </w:pPr>
          </w:p>
          <w:p w14:paraId="621A8003" w14:textId="011983CA" w:rsidR="007F48B9" w:rsidRPr="006C054E" w:rsidRDefault="007F48B9" w:rsidP="009908AE">
            <w:pPr>
              <w:jc w:val="center"/>
              <w:rPr>
                <w:rFonts w:asciiTheme="minorHAnsi" w:eastAsia="Times New Roman" w:hAnsiTheme="minorHAnsi" w:cstheme="minorHAnsi"/>
                <w:color w:val="000000"/>
                <w:sz w:val="20"/>
                <w:szCs w:val="20"/>
              </w:rPr>
            </w:pPr>
          </w:p>
        </w:tc>
        <w:tc>
          <w:tcPr>
            <w:tcW w:w="12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ADD82B" w14:textId="71A937E6" w:rsidR="007F48B9" w:rsidRPr="006C054E" w:rsidRDefault="0088072A" w:rsidP="009908AE">
            <w:pPr>
              <w:jc w:val="center"/>
              <w:rPr>
                <w:rFonts w:asciiTheme="minorHAnsi" w:eastAsia="Times New Roman" w:hAnsiTheme="minorHAnsi" w:cstheme="minorHAnsi"/>
                <w:color w:val="000000"/>
                <w:sz w:val="20"/>
                <w:szCs w:val="20"/>
              </w:rPr>
            </w:pPr>
            <w:r w:rsidRPr="006C054E">
              <w:rPr>
                <w:rFonts w:asciiTheme="minorHAnsi" w:eastAsia="Times New Roman" w:hAnsiTheme="minorHAnsi" w:cstheme="minorHAnsi"/>
                <w:color w:val="000000"/>
                <w:sz w:val="20"/>
                <w:szCs w:val="20"/>
              </w:rPr>
              <w:t>150,000</w:t>
            </w:r>
          </w:p>
        </w:tc>
        <w:tc>
          <w:tcPr>
            <w:tcW w:w="1230" w:type="dxa"/>
            <w:tcBorders>
              <w:top w:val="single" w:sz="4" w:space="0" w:color="auto"/>
              <w:left w:val="nil"/>
              <w:bottom w:val="single" w:sz="4" w:space="0" w:color="auto"/>
              <w:right w:val="single" w:sz="4" w:space="0" w:color="auto"/>
            </w:tcBorders>
            <w:shd w:val="clear" w:color="auto" w:fill="auto"/>
            <w:noWrap/>
            <w:vAlign w:val="center"/>
          </w:tcPr>
          <w:p w14:paraId="014AC4BD" w14:textId="77777777" w:rsidR="007F48B9" w:rsidRPr="006C054E" w:rsidRDefault="007F48B9" w:rsidP="009908AE">
            <w:pPr>
              <w:jc w:val="center"/>
              <w:rPr>
                <w:rFonts w:asciiTheme="minorHAnsi" w:eastAsia="Times New Roman" w:hAnsiTheme="minorHAnsi" w:cstheme="minorHAnsi"/>
                <w:color w:val="000000"/>
                <w:sz w:val="20"/>
                <w:szCs w:val="20"/>
              </w:rPr>
            </w:pPr>
          </w:p>
        </w:tc>
        <w:tc>
          <w:tcPr>
            <w:tcW w:w="1230" w:type="dxa"/>
            <w:tcBorders>
              <w:top w:val="single" w:sz="4" w:space="0" w:color="auto"/>
              <w:left w:val="nil"/>
              <w:bottom w:val="single" w:sz="4" w:space="0" w:color="auto"/>
              <w:right w:val="single" w:sz="4" w:space="0" w:color="auto"/>
            </w:tcBorders>
            <w:shd w:val="clear" w:color="auto" w:fill="auto"/>
            <w:noWrap/>
            <w:vAlign w:val="center"/>
          </w:tcPr>
          <w:p w14:paraId="2C6A3558" w14:textId="77777777" w:rsidR="007F48B9" w:rsidRPr="006C054E" w:rsidRDefault="007F48B9" w:rsidP="009908AE">
            <w:pPr>
              <w:jc w:val="center"/>
              <w:rPr>
                <w:rFonts w:asciiTheme="minorHAnsi" w:eastAsia="Times New Roman" w:hAnsiTheme="minorHAnsi" w:cstheme="minorHAnsi"/>
                <w:color w:val="000000"/>
                <w:sz w:val="20"/>
                <w:szCs w:val="20"/>
              </w:rPr>
            </w:pPr>
          </w:p>
        </w:tc>
        <w:tc>
          <w:tcPr>
            <w:tcW w:w="1230" w:type="dxa"/>
            <w:tcBorders>
              <w:top w:val="single" w:sz="4" w:space="0" w:color="auto"/>
              <w:left w:val="nil"/>
              <w:bottom w:val="single" w:sz="4" w:space="0" w:color="auto"/>
              <w:right w:val="single" w:sz="4" w:space="0" w:color="auto"/>
            </w:tcBorders>
            <w:shd w:val="clear" w:color="auto" w:fill="auto"/>
            <w:noWrap/>
            <w:vAlign w:val="bottom"/>
          </w:tcPr>
          <w:p w14:paraId="018D2AAB" w14:textId="77777777" w:rsidR="007F48B9" w:rsidRPr="006C054E" w:rsidRDefault="007F48B9" w:rsidP="002242AE">
            <w:pPr>
              <w:jc w:val="right"/>
              <w:rPr>
                <w:rFonts w:asciiTheme="minorHAnsi" w:eastAsia="Times New Roman" w:hAnsiTheme="minorHAnsi" w:cstheme="minorHAnsi"/>
                <w:color w:val="000000"/>
                <w:sz w:val="20"/>
                <w:szCs w:val="20"/>
              </w:rPr>
            </w:pPr>
          </w:p>
        </w:tc>
      </w:tr>
      <w:tr w:rsidR="007F48B9" w:rsidRPr="006C054E" w14:paraId="1FC7A34A" w14:textId="77777777" w:rsidTr="00213863">
        <w:trPr>
          <w:trHeight w:val="290"/>
        </w:trPr>
        <w:tc>
          <w:tcPr>
            <w:tcW w:w="5575" w:type="dxa"/>
            <w:tcBorders>
              <w:top w:val="single" w:sz="4" w:space="0" w:color="auto"/>
              <w:left w:val="single" w:sz="4" w:space="0" w:color="auto"/>
              <w:bottom w:val="single" w:sz="4" w:space="0" w:color="auto"/>
              <w:right w:val="single" w:sz="4" w:space="0" w:color="auto"/>
            </w:tcBorders>
            <w:shd w:val="clear" w:color="auto" w:fill="auto"/>
          </w:tcPr>
          <w:p w14:paraId="6F29E574" w14:textId="20F99132" w:rsidR="007F48B9" w:rsidRPr="006C054E" w:rsidRDefault="00391D91" w:rsidP="002242AE">
            <w:pPr>
              <w:rPr>
                <w:rFonts w:asciiTheme="minorHAnsi" w:hAnsiTheme="minorHAnsi" w:cstheme="minorHAnsi"/>
                <w:sz w:val="20"/>
                <w:szCs w:val="20"/>
              </w:rPr>
            </w:pPr>
            <w:r w:rsidRPr="00391D91">
              <w:rPr>
                <w:rFonts w:asciiTheme="minorHAnsi" w:hAnsiTheme="minorHAnsi" w:cstheme="minorHAnsi"/>
                <w:sz w:val="20"/>
                <w:szCs w:val="20"/>
              </w:rPr>
              <w:t>Technical assistance for the primary health care needs assessment and development of legislation, regulation, and operational guidelines for the state aid scheme to fund capital investments in family medicine</w:t>
            </w:r>
          </w:p>
        </w:tc>
        <w:tc>
          <w:tcPr>
            <w:tcW w:w="1230" w:type="dxa"/>
            <w:tcBorders>
              <w:top w:val="single" w:sz="4" w:space="0" w:color="auto"/>
              <w:left w:val="nil"/>
              <w:bottom w:val="single" w:sz="4" w:space="0" w:color="auto"/>
              <w:right w:val="single" w:sz="4" w:space="0" w:color="auto"/>
            </w:tcBorders>
            <w:shd w:val="clear" w:color="auto" w:fill="auto"/>
            <w:noWrap/>
            <w:vAlign w:val="center"/>
          </w:tcPr>
          <w:p w14:paraId="35548C60" w14:textId="77777777" w:rsidR="007F48B9" w:rsidRPr="006C054E" w:rsidRDefault="007F48B9" w:rsidP="002242AE">
            <w:pPr>
              <w:jc w:val="center"/>
              <w:rPr>
                <w:rFonts w:asciiTheme="minorHAnsi" w:hAnsiTheme="minorHAnsi" w:cstheme="minorHAnsi"/>
                <w:sz w:val="20"/>
                <w:szCs w:val="20"/>
              </w:rPr>
            </w:pPr>
            <w:r w:rsidRPr="006C054E">
              <w:rPr>
                <w:rFonts w:asciiTheme="minorHAnsi" w:hAnsiTheme="minorHAnsi" w:cstheme="minorHAnsi"/>
                <w:sz w:val="20"/>
                <w:szCs w:val="20"/>
              </w:rPr>
              <w:t>CS</w:t>
            </w:r>
          </w:p>
        </w:tc>
        <w:tc>
          <w:tcPr>
            <w:tcW w:w="1230" w:type="dxa"/>
            <w:tcBorders>
              <w:top w:val="single" w:sz="4" w:space="0" w:color="auto"/>
              <w:left w:val="nil"/>
              <w:bottom w:val="single" w:sz="4" w:space="0" w:color="auto"/>
              <w:right w:val="single" w:sz="4" w:space="0" w:color="auto"/>
            </w:tcBorders>
            <w:vAlign w:val="center"/>
          </w:tcPr>
          <w:p w14:paraId="079A14D2" w14:textId="77777777" w:rsidR="007F48B9" w:rsidRPr="006C054E" w:rsidRDefault="007F48B9" w:rsidP="009908AE">
            <w:pPr>
              <w:jc w:val="center"/>
              <w:rPr>
                <w:rFonts w:asciiTheme="minorHAnsi" w:eastAsia="Times New Roman" w:hAnsiTheme="minorHAnsi" w:cstheme="minorHAnsi"/>
                <w:color w:val="000000"/>
                <w:sz w:val="20"/>
                <w:szCs w:val="20"/>
              </w:rPr>
            </w:pPr>
          </w:p>
        </w:tc>
        <w:tc>
          <w:tcPr>
            <w:tcW w:w="12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BFE80E" w14:textId="77777777" w:rsidR="005A53D8" w:rsidRDefault="005A53D8" w:rsidP="009908AE">
            <w:pPr>
              <w:jc w:val="center"/>
              <w:rPr>
                <w:rFonts w:asciiTheme="minorHAnsi" w:eastAsia="Times New Roman" w:hAnsiTheme="minorHAnsi" w:cstheme="minorHAnsi"/>
                <w:color w:val="000000"/>
                <w:sz w:val="20"/>
                <w:szCs w:val="20"/>
              </w:rPr>
            </w:pPr>
          </w:p>
          <w:p w14:paraId="36ED4C8E" w14:textId="4D028BF4" w:rsidR="007F48B9" w:rsidRDefault="00391D91" w:rsidP="009908AE">
            <w:pPr>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200,000</w:t>
            </w:r>
          </w:p>
          <w:p w14:paraId="3D1D7CE1" w14:textId="4B7A892C" w:rsidR="00391D91" w:rsidRPr="006C054E" w:rsidRDefault="00391D91" w:rsidP="009908AE">
            <w:pPr>
              <w:jc w:val="center"/>
              <w:rPr>
                <w:rFonts w:asciiTheme="minorHAnsi" w:eastAsia="Times New Roman" w:hAnsiTheme="minorHAnsi" w:cstheme="minorHAnsi"/>
                <w:color w:val="000000"/>
                <w:sz w:val="20"/>
                <w:szCs w:val="20"/>
              </w:rPr>
            </w:pPr>
          </w:p>
        </w:tc>
        <w:tc>
          <w:tcPr>
            <w:tcW w:w="1230" w:type="dxa"/>
            <w:tcBorders>
              <w:top w:val="single" w:sz="4" w:space="0" w:color="auto"/>
              <w:left w:val="nil"/>
              <w:bottom w:val="single" w:sz="4" w:space="0" w:color="auto"/>
              <w:right w:val="single" w:sz="4" w:space="0" w:color="auto"/>
            </w:tcBorders>
            <w:shd w:val="clear" w:color="auto" w:fill="auto"/>
            <w:noWrap/>
            <w:vAlign w:val="center"/>
          </w:tcPr>
          <w:p w14:paraId="2F4C8D3F" w14:textId="11A4F442" w:rsidR="007F48B9" w:rsidRPr="006C054E" w:rsidRDefault="007F48B9" w:rsidP="009908AE">
            <w:pPr>
              <w:jc w:val="center"/>
              <w:rPr>
                <w:rFonts w:asciiTheme="minorHAnsi" w:eastAsia="Times New Roman" w:hAnsiTheme="minorHAnsi" w:cstheme="minorHAnsi"/>
                <w:color w:val="000000"/>
                <w:sz w:val="20"/>
                <w:szCs w:val="20"/>
              </w:rPr>
            </w:pPr>
          </w:p>
        </w:tc>
        <w:tc>
          <w:tcPr>
            <w:tcW w:w="1230" w:type="dxa"/>
            <w:tcBorders>
              <w:top w:val="single" w:sz="4" w:space="0" w:color="auto"/>
              <w:left w:val="nil"/>
              <w:bottom w:val="single" w:sz="4" w:space="0" w:color="auto"/>
              <w:right w:val="single" w:sz="4" w:space="0" w:color="auto"/>
            </w:tcBorders>
            <w:shd w:val="clear" w:color="auto" w:fill="auto"/>
            <w:noWrap/>
            <w:vAlign w:val="center"/>
          </w:tcPr>
          <w:p w14:paraId="26D364A2" w14:textId="3C07C889" w:rsidR="007F48B9" w:rsidRPr="006C054E" w:rsidRDefault="007F48B9" w:rsidP="009908AE">
            <w:pPr>
              <w:jc w:val="center"/>
              <w:rPr>
                <w:rFonts w:asciiTheme="minorHAnsi" w:eastAsia="Times New Roman" w:hAnsiTheme="minorHAnsi" w:cstheme="minorHAnsi"/>
                <w:color w:val="000000"/>
                <w:sz w:val="20"/>
                <w:szCs w:val="20"/>
              </w:rPr>
            </w:pPr>
          </w:p>
        </w:tc>
        <w:tc>
          <w:tcPr>
            <w:tcW w:w="1230" w:type="dxa"/>
            <w:tcBorders>
              <w:top w:val="single" w:sz="4" w:space="0" w:color="auto"/>
              <w:left w:val="nil"/>
              <w:bottom w:val="single" w:sz="4" w:space="0" w:color="auto"/>
              <w:right w:val="single" w:sz="4" w:space="0" w:color="auto"/>
            </w:tcBorders>
            <w:shd w:val="clear" w:color="auto" w:fill="auto"/>
            <w:noWrap/>
            <w:vAlign w:val="bottom"/>
          </w:tcPr>
          <w:p w14:paraId="16C85DEA" w14:textId="03D2760F" w:rsidR="007F48B9" w:rsidRPr="006C054E" w:rsidRDefault="007F48B9" w:rsidP="002242AE">
            <w:pPr>
              <w:jc w:val="right"/>
              <w:rPr>
                <w:rFonts w:asciiTheme="minorHAnsi" w:eastAsia="Times New Roman" w:hAnsiTheme="minorHAnsi" w:cstheme="minorHAnsi"/>
                <w:color w:val="000000"/>
                <w:sz w:val="20"/>
                <w:szCs w:val="20"/>
              </w:rPr>
            </w:pPr>
          </w:p>
        </w:tc>
      </w:tr>
      <w:tr w:rsidR="007F48B9" w:rsidRPr="006C054E" w14:paraId="12CE41BB" w14:textId="77777777" w:rsidTr="00213863">
        <w:trPr>
          <w:trHeight w:val="290"/>
        </w:trPr>
        <w:tc>
          <w:tcPr>
            <w:tcW w:w="5575" w:type="dxa"/>
            <w:tcBorders>
              <w:top w:val="single" w:sz="4" w:space="0" w:color="auto"/>
              <w:left w:val="single" w:sz="4" w:space="0" w:color="auto"/>
              <w:bottom w:val="single" w:sz="4" w:space="0" w:color="auto"/>
              <w:right w:val="single" w:sz="4" w:space="0" w:color="auto"/>
            </w:tcBorders>
            <w:shd w:val="clear" w:color="auto" w:fill="auto"/>
          </w:tcPr>
          <w:p w14:paraId="48D01A16" w14:textId="4BBC83ED" w:rsidR="007F48B9" w:rsidRPr="006C054E" w:rsidRDefault="00904F9A" w:rsidP="002242AE">
            <w:pPr>
              <w:rPr>
                <w:rFonts w:asciiTheme="minorHAnsi" w:hAnsiTheme="minorHAnsi" w:cstheme="minorHAnsi"/>
                <w:sz w:val="20"/>
                <w:szCs w:val="20"/>
              </w:rPr>
            </w:pPr>
            <w:r w:rsidRPr="00904F9A">
              <w:rPr>
                <w:rFonts w:asciiTheme="minorHAnsi" w:hAnsiTheme="minorHAnsi" w:cstheme="minorHAnsi"/>
                <w:sz w:val="20"/>
                <w:szCs w:val="20"/>
              </w:rPr>
              <w:t>Training of 100 professionals in cytology and quality assurance for cervical screening, including domestic travel, per diem allowances, training materials and facilitation, and other costs</w:t>
            </w:r>
          </w:p>
        </w:tc>
        <w:tc>
          <w:tcPr>
            <w:tcW w:w="1230" w:type="dxa"/>
            <w:tcBorders>
              <w:top w:val="single" w:sz="4" w:space="0" w:color="auto"/>
              <w:left w:val="nil"/>
              <w:bottom w:val="single" w:sz="4" w:space="0" w:color="auto"/>
              <w:right w:val="single" w:sz="4" w:space="0" w:color="auto"/>
            </w:tcBorders>
            <w:shd w:val="clear" w:color="auto" w:fill="auto"/>
            <w:noWrap/>
            <w:vAlign w:val="center"/>
          </w:tcPr>
          <w:p w14:paraId="72858D6A" w14:textId="13B1D754" w:rsidR="007F48B9" w:rsidRPr="006C054E" w:rsidRDefault="00904F9A" w:rsidP="00BB4592">
            <w:pPr>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N</w:t>
            </w:r>
            <w:r w:rsidR="007F48B9" w:rsidRPr="006C054E">
              <w:rPr>
                <w:rFonts w:asciiTheme="minorHAnsi" w:eastAsia="Times New Roman" w:hAnsiTheme="minorHAnsi" w:cstheme="minorHAnsi"/>
                <w:color w:val="000000"/>
                <w:sz w:val="20"/>
                <w:szCs w:val="20"/>
              </w:rPr>
              <w:t>CS</w:t>
            </w:r>
          </w:p>
        </w:tc>
        <w:tc>
          <w:tcPr>
            <w:tcW w:w="1230" w:type="dxa"/>
            <w:tcBorders>
              <w:top w:val="single" w:sz="4" w:space="0" w:color="auto"/>
              <w:left w:val="nil"/>
              <w:bottom w:val="single" w:sz="4" w:space="0" w:color="auto"/>
              <w:right w:val="single" w:sz="4" w:space="0" w:color="auto"/>
            </w:tcBorders>
            <w:vAlign w:val="center"/>
          </w:tcPr>
          <w:p w14:paraId="088F0A08" w14:textId="77777777" w:rsidR="007F48B9" w:rsidRPr="006C054E" w:rsidRDefault="007F48B9" w:rsidP="009908AE">
            <w:pPr>
              <w:jc w:val="center"/>
              <w:rPr>
                <w:rFonts w:asciiTheme="minorHAnsi" w:eastAsia="Times New Roman" w:hAnsiTheme="minorHAnsi" w:cstheme="minorHAnsi"/>
                <w:color w:val="000000"/>
                <w:sz w:val="20"/>
                <w:szCs w:val="20"/>
              </w:rPr>
            </w:pPr>
          </w:p>
        </w:tc>
        <w:tc>
          <w:tcPr>
            <w:tcW w:w="12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808562" w14:textId="77777777" w:rsidR="007F48B9" w:rsidRPr="006C054E" w:rsidRDefault="007F48B9" w:rsidP="009908AE">
            <w:pPr>
              <w:jc w:val="center"/>
              <w:rPr>
                <w:rFonts w:asciiTheme="minorHAnsi" w:eastAsia="Times New Roman" w:hAnsiTheme="minorHAnsi" w:cstheme="minorHAnsi"/>
                <w:color w:val="000000"/>
                <w:sz w:val="20"/>
                <w:szCs w:val="20"/>
              </w:rPr>
            </w:pPr>
          </w:p>
        </w:tc>
        <w:tc>
          <w:tcPr>
            <w:tcW w:w="1230" w:type="dxa"/>
            <w:tcBorders>
              <w:top w:val="single" w:sz="4" w:space="0" w:color="auto"/>
              <w:left w:val="nil"/>
              <w:bottom w:val="single" w:sz="4" w:space="0" w:color="auto"/>
              <w:right w:val="single" w:sz="4" w:space="0" w:color="auto"/>
            </w:tcBorders>
            <w:shd w:val="clear" w:color="auto" w:fill="auto"/>
            <w:noWrap/>
            <w:vAlign w:val="center"/>
          </w:tcPr>
          <w:p w14:paraId="4789EE72" w14:textId="2D8701DD" w:rsidR="007F48B9" w:rsidRPr="006C054E" w:rsidRDefault="007F48B9" w:rsidP="009908AE">
            <w:pPr>
              <w:jc w:val="center"/>
              <w:rPr>
                <w:rFonts w:asciiTheme="minorHAnsi" w:eastAsia="Times New Roman" w:hAnsiTheme="minorHAnsi" w:cstheme="minorHAnsi"/>
                <w:color w:val="000000"/>
                <w:sz w:val="20"/>
                <w:szCs w:val="20"/>
              </w:rPr>
            </w:pPr>
          </w:p>
        </w:tc>
        <w:tc>
          <w:tcPr>
            <w:tcW w:w="1230" w:type="dxa"/>
            <w:tcBorders>
              <w:top w:val="single" w:sz="4" w:space="0" w:color="auto"/>
              <w:left w:val="nil"/>
              <w:bottom w:val="single" w:sz="4" w:space="0" w:color="auto"/>
              <w:right w:val="single" w:sz="4" w:space="0" w:color="auto"/>
            </w:tcBorders>
            <w:shd w:val="clear" w:color="auto" w:fill="auto"/>
            <w:noWrap/>
            <w:vAlign w:val="center"/>
          </w:tcPr>
          <w:p w14:paraId="118D7058" w14:textId="44B52DF7" w:rsidR="007F48B9" w:rsidRPr="006C054E" w:rsidRDefault="00904F9A" w:rsidP="009908AE">
            <w:pPr>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150,000</w:t>
            </w:r>
          </w:p>
        </w:tc>
        <w:tc>
          <w:tcPr>
            <w:tcW w:w="1230" w:type="dxa"/>
            <w:tcBorders>
              <w:top w:val="single" w:sz="4" w:space="0" w:color="auto"/>
              <w:left w:val="nil"/>
              <w:bottom w:val="single" w:sz="4" w:space="0" w:color="auto"/>
              <w:right w:val="single" w:sz="4" w:space="0" w:color="auto"/>
            </w:tcBorders>
            <w:shd w:val="clear" w:color="auto" w:fill="auto"/>
            <w:noWrap/>
            <w:vAlign w:val="bottom"/>
          </w:tcPr>
          <w:p w14:paraId="7A1BAD24" w14:textId="7B816184" w:rsidR="007F48B9" w:rsidRPr="006C054E" w:rsidRDefault="007F48B9" w:rsidP="002242AE">
            <w:pPr>
              <w:jc w:val="right"/>
              <w:rPr>
                <w:rFonts w:asciiTheme="minorHAnsi" w:eastAsia="Times New Roman" w:hAnsiTheme="minorHAnsi" w:cstheme="minorHAnsi"/>
                <w:color w:val="000000"/>
                <w:sz w:val="20"/>
                <w:szCs w:val="20"/>
              </w:rPr>
            </w:pPr>
          </w:p>
        </w:tc>
      </w:tr>
    </w:tbl>
    <w:p w14:paraId="38EF31FD" w14:textId="4D21AD7F" w:rsidR="007F48B9" w:rsidRDefault="007F48B9" w:rsidP="00307228">
      <w:pPr>
        <w:ind w:left="360"/>
        <w:jc w:val="both"/>
        <w:rPr>
          <w:rFonts w:asciiTheme="minorHAnsi" w:hAnsiTheme="minorHAnsi" w:cstheme="minorHAnsi"/>
          <w:sz w:val="20"/>
          <w:szCs w:val="20"/>
        </w:rPr>
      </w:pPr>
    </w:p>
    <w:p w14:paraId="2009D0EF" w14:textId="1834AF21" w:rsidR="003E3C9A" w:rsidRDefault="003E3C9A" w:rsidP="00307228">
      <w:pPr>
        <w:ind w:left="360"/>
        <w:jc w:val="both"/>
        <w:rPr>
          <w:rFonts w:asciiTheme="minorHAnsi" w:hAnsiTheme="minorHAnsi" w:cstheme="minorHAnsi"/>
          <w:sz w:val="20"/>
          <w:szCs w:val="20"/>
        </w:rPr>
      </w:pPr>
    </w:p>
    <w:p w14:paraId="382F4BCC" w14:textId="097B9D8A" w:rsidR="009908AE" w:rsidRDefault="009908AE" w:rsidP="00307228">
      <w:pPr>
        <w:ind w:left="360"/>
        <w:jc w:val="both"/>
        <w:rPr>
          <w:rFonts w:asciiTheme="minorHAnsi" w:hAnsiTheme="minorHAnsi" w:cstheme="minorHAnsi"/>
          <w:sz w:val="20"/>
          <w:szCs w:val="20"/>
        </w:rPr>
      </w:pPr>
    </w:p>
    <w:p w14:paraId="66577519" w14:textId="77777777" w:rsidR="009908AE" w:rsidRDefault="009908AE" w:rsidP="00767A4F">
      <w:pPr>
        <w:jc w:val="both"/>
        <w:rPr>
          <w:rFonts w:asciiTheme="minorHAnsi" w:hAnsiTheme="minorHAnsi" w:cstheme="minorHAnsi"/>
          <w:sz w:val="20"/>
          <w:szCs w:val="20"/>
        </w:rPr>
      </w:pPr>
    </w:p>
    <w:tbl>
      <w:tblPr>
        <w:tblW w:w="12955" w:type="dxa"/>
        <w:tblLayout w:type="fixed"/>
        <w:tblLook w:val="04A0" w:firstRow="1" w:lastRow="0" w:firstColumn="1" w:lastColumn="0" w:noHBand="0" w:noVBand="1"/>
      </w:tblPr>
      <w:tblGrid>
        <w:gridCol w:w="5575"/>
        <w:gridCol w:w="1230"/>
        <w:gridCol w:w="1230"/>
        <w:gridCol w:w="1230"/>
        <w:gridCol w:w="1230"/>
        <w:gridCol w:w="1230"/>
        <w:gridCol w:w="1230"/>
      </w:tblGrid>
      <w:tr w:rsidR="007F48B9" w:rsidRPr="006C054E" w14:paraId="629B00A6" w14:textId="77777777" w:rsidTr="00BC52A9">
        <w:trPr>
          <w:trHeight w:val="580"/>
        </w:trPr>
        <w:tc>
          <w:tcPr>
            <w:tcW w:w="5575" w:type="dxa"/>
            <w:tcBorders>
              <w:top w:val="single" w:sz="4" w:space="0" w:color="auto"/>
              <w:left w:val="single" w:sz="4" w:space="0" w:color="auto"/>
              <w:bottom w:val="single" w:sz="4" w:space="0" w:color="auto"/>
              <w:right w:val="single" w:sz="4" w:space="0" w:color="auto"/>
            </w:tcBorders>
            <w:shd w:val="clear" w:color="auto" w:fill="DDEBF7"/>
            <w:noWrap/>
            <w:vAlign w:val="center"/>
            <w:hideMark/>
          </w:tcPr>
          <w:p w14:paraId="32DC3F9D" w14:textId="283DEAD8" w:rsidR="007F48B9" w:rsidRPr="006C054E" w:rsidRDefault="00375915" w:rsidP="002242AE">
            <w:pPr>
              <w:jc w:val="center"/>
              <w:rPr>
                <w:rFonts w:asciiTheme="minorHAnsi" w:eastAsia="Times New Roman" w:hAnsiTheme="minorHAnsi" w:cstheme="minorHAnsi"/>
                <w:b/>
                <w:bCs/>
                <w:color w:val="000000"/>
                <w:sz w:val="20"/>
                <w:szCs w:val="20"/>
              </w:rPr>
            </w:pPr>
            <w:r>
              <w:rPr>
                <w:rFonts w:asciiTheme="minorHAnsi" w:eastAsia="Times New Roman" w:hAnsiTheme="minorHAnsi" w:cstheme="minorHAnsi"/>
                <w:b/>
                <w:bCs/>
                <w:color w:val="000000"/>
                <w:sz w:val="20"/>
                <w:szCs w:val="20"/>
              </w:rPr>
              <w:lastRenderedPageBreak/>
              <w:t>A</w:t>
            </w:r>
            <w:r>
              <w:rPr>
                <w:rFonts w:asciiTheme="minorHAnsi" w:eastAsia="Times New Roman" w:hAnsiTheme="minorHAnsi" w:cstheme="minorHAnsi"/>
                <w:b/>
                <w:bCs/>
                <w:color w:val="000000"/>
                <w:sz w:val="20"/>
                <w:szCs w:val="20"/>
              </w:rPr>
              <w:t>ctivity Description</w:t>
            </w:r>
          </w:p>
        </w:tc>
        <w:tc>
          <w:tcPr>
            <w:tcW w:w="1230" w:type="dxa"/>
            <w:tcBorders>
              <w:top w:val="single" w:sz="4" w:space="0" w:color="auto"/>
              <w:left w:val="nil"/>
              <w:bottom w:val="single" w:sz="4" w:space="0" w:color="auto"/>
              <w:right w:val="single" w:sz="4" w:space="0" w:color="auto"/>
            </w:tcBorders>
            <w:shd w:val="clear" w:color="auto" w:fill="DDEBF7"/>
            <w:vAlign w:val="center"/>
          </w:tcPr>
          <w:p w14:paraId="46813FD4" w14:textId="10B5A8F7" w:rsidR="007F48B9" w:rsidRPr="006C054E" w:rsidRDefault="007F48B9" w:rsidP="000150D2">
            <w:pPr>
              <w:jc w:val="center"/>
              <w:rPr>
                <w:rFonts w:asciiTheme="minorHAnsi" w:eastAsia="Times New Roman" w:hAnsiTheme="minorHAnsi" w:cstheme="minorHAnsi"/>
                <w:b/>
                <w:bCs/>
                <w:color w:val="000000"/>
                <w:sz w:val="20"/>
                <w:szCs w:val="20"/>
              </w:rPr>
            </w:pPr>
            <w:r w:rsidRPr="006C054E">
              <w:rPr>
                <w:rFonts w:asciiTheme="minorHAnsi" w:eastAsia="Times New Roman" w:hAnsiTheme="minorHAnsi" w:cstheme="minorHAnsi"/>
                <w:b/>
                <w:bCs/>
                <w:color w:val="000000"/>
                <w:sz w:val="20"/>
                <w:szCs w:val="20"/>
              </w:rPr>
              <w:t>Type</w:t>
            </w:r>
          </w:p>
        </w:tc>
        <w:tc>
          <w:tcPr>
            <w:tcW w:w="1230" w:type="dxa"/>
            <w:tcBorders>
              <w:top w:val="single" w:sz="4" w:space="0" w:color="auto"/>
              <w:left w:val="nil"/>
              <w:bottom w:val="single" w:sz="4" w:space="0" w:color="auto"/>
              <w:right w:val="single" w:sz="4" w:space="0" w:color="auto"/>
            </w:tcBorders>
            <w:shd w:val="clear" w:color="auto" w:fill="DDEBF7"/>
            <w:noWrap/>
            <w:vAlign w:val="center"/>
            <w:hideMark/>
          </w:tcPr>
          <w:p w14:paraId="677A8107" w14:textId="6A6726AD" w:rsidR="007F48B9" w:rsidRPr="006C054E" w:rsidRDefault="007F48B9" w:rsidP="002242AE">
            <w:pPr>
              <w:jc w:val="center"/>
              <w:rPr>
                <w:rFonts w:asciiTheme="minorHAnsi" w:eastAsia="Times New Roman" w:hAnsiTheme="minorHAnsi" w:cstheme="minorHAnsi"/>
                <w:b/>
                <w:bCs/>
                <w:color w:val="000000"/>
                <w:sz w:val="20"/>
                <w:szCs w:val="20"/>
              </w:rPr>
            </w:pPr>
            <w:r w:rsidRPr="006C054E">
              <w:rPr>
                <w:rFonts w:asciiTheme="minorHAnsi" w:eastAsia="Times New Roman" w:hAnsiTheme="minorHAnsi" w:cstheme="minorHAnsi"/>
                <w:b/>
                <w:bCs/>
                <w:color w:val="000000"/>
                <w:sz w:val="20"/>
                <w:szCs w:val="20"/>
              </w:rPr>
              <w:t>20</w:t>
            </w:r>
            <w:r w:rsidR="00A171E3">
              <w:rPr>
                <w:rFonts w:asciiTheme="minorHAnsi" w:eastAsia="Times New Roman" w:hAnsiTheme="minorHAnsi" w:cstheme="minorHAnsi"/>
                <w:b/>
                <w:bCs/>
                <w:color w:val="000000"/>
                <w:sz w:val="20"/>
                <w:szCs w:val="20"/>
              </w:rPr>
              <w:t>19</w:t>
            </w:r>
          </w:p>
        </w:tc>
        <w:tc>
          <w:tcPr>
            <w:tcW w:w="1230" w:type="dxa"/>
            <w:tcBorders>
              <w:top w:val="single" w:sz="4" w:space="0" w:color="auto"/>
              <w:left w:val="nil"/>
              <w:bottom w:val="single" w:sz="4" w:space="0" w:color="auto"/>
              <w:right w:val="single" w:sz="4" w:space="0" w:color="auto"/>
            </w:tcBorders>
            <w:shd w:val="clear" w:color="auto" w:fill="DDEBF7"/>
            <w:noWrap/>
            <w:vAlign w:val="center"/>
            <w:hideMark/>
          </w:tcPr>
          <w:p w14:paraId="61B4E1A7" w14:textId="12439C42" w:rsidR="007F48B9" w:rsidRPr="006C054E" w:rsidRDefault="007F48B9" w:rsidP="002242AE">
            <w:pPr>
              <w:jc w:val="center"/>
              <w:rPr>
                <w:rFonts w:asciiTheme="minorHAnsi" w:eastAsia="Times New Roman" w:hAnsiTheme="minorHAnsi" w:cstheme="minorHAnsi"/>
                <w:b/>
                <w:bCs/>
                <w:color w:val="000000"/>
                <w:sz w:val="20"/>
                <w:szCs w:val="20"/>
              </w:rPr>
            </w:pPr>
            <w:r w:rsidRPr="006C054E">
              <w:rPr>
                <w:rFonts w:asciiTheme="minorHAnsi" w:eastAsia="Times New Roman" w:hAnsiTheme="minorHAnsi" w:cstheme="minorHAnsi"/>
                <w:b/>
                <w:bCs/>
                <w:color w:val="000000"/>
                <w:sz w:val="20"/>
                <w:szCs w:val="20"/>
              </w:rPr>
              <w:t>202</w:t>
            </w:r>
            <w:r w:rsidR="00A171E3">
              <w:rPr>
                <w:rFonts w:asciiTheme="minorHAnsi" w:eastAsia="Times New Roman" w:hAnsiTheme="minorHAnsi" w:cstheme="minorHAnsi"/>
                <w:b/>
                <w:bCs/>
                <w:color w:val="000000"/>
                <w:sz w:val="20"/>
                <w:szCs w:val="20"/>
              </w:rPr>
              <w:t>0</w:t>
            </w:r>
          </w:p>
        </w:tc>
        <w:tc>
          <w:tcPr>
            <w:tcW w:w="1230" w:type="dxa"/>
            <w:tcBorders>
              <w:top w:val="single" w:sz="4" w:space="0" w:color="auto"/>
              <w:left w:val="nil"/>
              <w:bottom w:val="single" w:sz="4" w:space="0" w:color="auto"/>
              <w:right w:val="single" w:sz="4" w:space="0" w:color="auto"/>
            </w:tcBorders>
            <w:shd w:val="clear" w:color="auto" w:fill="DDEBF7"/>
            <w:noWrap/>
            <w:vAlign w:val="center"/>
            <w:hideMark/>
          </w:tcPr>
          <w:p w14:paraId="7341A406" w14:textId="46CE488C" w:rsidR="007F48B9" w:rsidRPr="00A171E3" w:rsidRDefault="007F48B9" w:rsidP="002242AE">
            <w:pPr>
              <w:jc w:val="center"/>
              <w:rPr>
                <w:rFonts w:asciiTheme="minorHAnsi" w:eastAsia="Times New Roman" w:hAnsiTheme="minorHAnsi" w:cstheme="minorHAnsi"/>
                <w:b/>
                <w:bCs/>
                <w:color w:val="000000"/>
                <w:sz w:val="20"/>
                <w:szCs w:val="20"/>
              </w:rPr>
            </w:pPr>
            <w:r w:rsidRPr="00A171E3">
              <w:rPr>
                <w:rFonts w:asciiTheme="minorHAnsi" w:eastAsia="Times New Roman" w:hAnsiTheme="minorHAnsi" w:cstheme="minorHAnsi"/>
                <w:b/>
                <w:bCs/>
                <w:color w:val="000000"/>
                <w:sz w:val="20"/>
                <w:szCs w:val="20"/>
              </w:rPr>
              <w:t>202</w:t>
            </w:r>
            <w:r w:rsidR="00A171E3">
              <w:rPr>
                <w:rFonts w:asciiTheme="minorHAnsi" w:eastAsia="Times New Roman" w:hAnsiTheme="minorHAnsi" w:cstheme="minorHAnsi"/>
                <w:b/>
                <w:bCs/>
                <w:color w:val="000000"/>
                <w:sz w:val="20"/>
                <w:szCs w:val="20"/>
              </w:rPr>
              <w:t>1</w:t>
            </w:r>
          </w:p>
        </w:tc>
        <w:tc>
          <w:tcPr>
            <w:tcW w:w="1230" w:type="dxa"/>
            <w:tcBorders>
              <w:top w:val="single" w:sz="4" w:space="0" w:color="auto"/>
              <w:left w:val="nil"/>
              <w:bottom w:val="single" w:sz="4" w:space="0" w:color="auto"/>
              <w:right w:val="single" w:sz="4" w:space="0" w:color="auto"/>
            </w:tcBorders>
            <w:shd w:val="clear" w:color="auto" w:fill="DDEBF7"/>
            <w:noWrap/>
            <w:vAlign w:val="center"/>
            <w:hideMark/>
          </w:tcPr>
          <w:p w14:paraId="383E6AA6" w14:textId="72C20204" w:rsidR="007F48B9" w:rsidRPr="006C054E" w:rsidRDefault="007F48B9" w:rsidP="002242AE">
            <w:pPr>
              <w:jc w:val="center"/>
              <w:rPr>
                <w:rFonts w:asciiTheme="minorHAnsi" w:eastAsia="Times New Roman" w:hAnsiTheme="minorHAnsi" w:cstheme="minorHAnsi"/>
                <w:b/>
                <w:bCs/>
                <w:color w:val="000000"/>
                <w:sz w:val="20"/>
                <w:szCs w:val="20"/>
              </w:rPr>
            </w:pPr>
            <w:r w:rsidRPr="006C054E">
              <w:rPr>
                <w:rFonts w:asciiTheme="minorHAnsi" w:eastAsia="Times New Roman" w:hAnsiTheme="minorHAnsi" w:cstheme="minorHAnsi"/>
                <w:b/>
                <w:bCs/>
                <w:color w:val="000000"/>
                <w:sz w:val="20"/>
                <w:szCs w:val="20"/>
              </w:rPr>
              <w:t>202</w:t>
            </w:r>
            <w:r w:rsidR="00A171E3">
              <w:rPr>
                <w:rFonts w:asciiTheme="minorHAnsi" w:eastAsia="Times New Roman" w:hAnsiTheme="minorHAnsi" w:cstheme="minorHAnsi"/>
                <w:b/>
                <w:bCs/>
                <w:color w:val="000000"/>
                <w:sz w:val="20"/>
                <w:szCs w:val="20"/>
              </w:rPr>
              <w:t>2</w:t>
            </w:r>
          </w:p>
        </w:tc>
        <w:tc>
          <w:tcPr>
            <w:tcW w:w="1230" w:type="dxa"/>
            <w:tcBorders>
              <w:top w:val="single" w:sz="4" w:space="0" w:color="auto"/>
              <w:left w:val="nil"/>
              <w:bottom w:val="single" w:sz="4" w:space="0" w:color="auto"/>
              <w:right w:val="single" w:sz="4" w:space="0" w:color="auto"/>
            </w:tcBorders>
            <w:shd w:val="clear" w:color="auto" w:fill="DDEBF7"/>
            <w:noWrap/>
            <w:vAlign w:val="center"/>
          </w:tcPr>
          <w:p w14:paraId="4D8E2E82" w14:textId="2FB5411E" w:rsidR="007F48B9" w:rsidRPr="006C054E" w:rsidRDefault="00A171E3" w:rsidP="002242AE">
            <w:pPr>
              <w:jc w:val="center"/>
              <w:rPr>
                <w:rFonts w:asciiTheme="minorHAnsi" w:eastAsia="Times New Roman" w:hAnsiTheme="minorHAnsi" w:cstheme="minorHAnsi"/>
                <w:b/>
                <w:bCs/>
                <w:color w:val="000000"/>
                <w:sz w:val="20"/>
                <w:szCs w:val="20"/>
              </w:rPr>
            </w:pPr>
            <w:r>
              <w:rPr>
                <w:rFonts w:asciiTheme="minorHAnsi" w:eastAsia="Times New Roman" w:hAnsiTheme="minorHAnsi" w:cstheme="minorHAnsi"/>
                <w:b/>
                <w:bCs/>
                <w:color w:val="000000"/>
                <w:sz w:val="20"/>
                <w:szCs w:val="20"/>
              </w:rPr>
              <w:t>2023</w:t>
            </w:r>
          </w:p>
        </w:tc>
      </w:tr>
      <w:tr w:rsidR="006B6F4C" w:rsidRPr="006C054E" w14:paraId="64557D2E" w14:textId="77777777" w:rsidTr="00BC52A9">
        <w:trPr>
          <w:trHeight w:val="290"/>
        </w:trPr>
        <w:tc>
          <w:tcPr>
            <w:tcW w:w="5575" w:type="dxa"/>
            <w:tcBorders>
              <w:top w:val="nil"/>
              <w:left w:val="single" w:sz="4" w:space="0" w:color="auto"/>
              <w:bottom w:val="single" w:sz="4" w:space="0" w:color="auto"/>
              <w:right w:val="single" w:sz="4" w:space="0" w:color="auto"/>
            </w:tcBorders>
            <w:shd w:val="clear" w:color="auto" w:fill="auto"/>
            <w:vAlign w:val="bottom"/>
            <w:hideMark/>
          </w:tcPr>
          <w:p w14:paraId="6F74CED2" w14:textId="77777777" w:rsidR="006B6F4C" w:rsidRPr="00F316AC" w:rsidRDefault="006B6F4C" w:rsidP="006B6F4C">
            <w:pPr>
              <w:rPr>
                <w:rFonts w:asciiTheme="minorHAnsi" w:eastAsia="Times New Roman" w:hAnsiTheme="minorHAnsi" w:cstheme="minorHAnsi"/>
                <w:color w:val="000000"/>
                <w:sz w:val="20"/>
                <w:szCs w:val="20"/>
              </w:rPr>
            </w:pPr>
            <w:r w:rsidRPr="00F316AC">
              <w:rPr>
                <w:rFonts w:asciiTheme="minorHAnsi" w:eastAsia="Times New Roman" w:hAnsiTheme="minorHAnsi" w:cstheme="minorHAnsi"/>
                <w:color w:val="000000"/>
                <w:sz w:val="20"/>
                <w:szCs w:val="20"/>
              </w:rPr>
              <w:t>Strategy and Regulations Development</w:t>
            </w:r>
          </w:p>
        </w:tc>
        <w:tc>
          <w:tcPr>
            <w:tcW w:w="1230" w:type="dxa"/>
            <w:tcBorders>
              <w:top w:val="nil"/>
              <w:left w:val="nil"/>
              <w:bottom w:val="single" w:sz="4" w:space="0" w:color="auto"/>
              <w:right w:val="single" w:sz="4" w:space="0" w:color="auto"/>
            </w:tcBorders>
            <w:vAlign w:val="center"/>
          </w:tcPr>
          <w:p w14:paraId="6F2F4B6B" w14:textId="77777777" w:rsidR="006B6F4C" w:rsidRPr="00767A4F" w:rsidRDefault="006B6F4C" w:rsidP="000150D2">
            <w:pPr>
              <w:jc w:val="center"/>
              <w:rPr>
                <w:rFonts w:asciiTheme="minorHAnsi" w:eastAsia="Times New Roman" w:hAnsiTheme="minorHAnsi" w:cstheme="minorHAnsi"/>
                <w:color w:val="000000"/>
                <w:sz w:val="20"/>
                <w:szCs w:val="20"/>
              </w:rPr>
            </w:pPr>
            <w:r w:rsidRPr="00767A4F">
              <w:rPr>
                <w:rFonts w:asciiTheme="minorHAnsi" w:eastAsia="Times New Roman" w:hAnsiTheme="minorHAnsi" w:cstheme="minorHAnsi"/>
                <w:color w:val="000000"/>
                <w:sz w:val="20"/>
                <w:szCs w:val="20"/>
              </w:rPr>
              <w:t>CS</w:t>
            </w:r>
          </w:p>
        </w:tc>
        <w:tc>
          <w:tcPr>
            <w:tcW w:w="1230" w:type="dxa"/>
            <w:tcBorders>
              <w:top w:val="nil"/>
              <w:left w:val="nil"/>
              <w:bottom w:val="single" w:sz="4" w:space="0" w:color="auto"/>
              <w:right w:val="single" w:sz="4" w:space="0" w:color="auto"/>
            </w:tcBorders>
            <w:shd w:val="clear" w:color="auto" w:fill="auto"/>
            <w:noWrap/>
            <w:vAlign w:val="center"/>
          </w:tcPr>
          <w:p w14:paraId="046D2EE7" w14:textId="17D44785" w:rsidR="006B6F4C" w:rsidRPr="00767A4F" w:rsidRDefault="006B6F4C" w:rsidP="00BC52A9">
            <w:pPr>
              <w:jc w:val="center"/>
              <w:rPr>
                <w:rFonts w:asciiTheme="minorHAnsi" w:eastAsia="Times New Roman" w:hAnsiTheme="minorHAnsi" w:cstheme="minorHAnsi"/>
                <w:color w:val="000000"/>
                <w:sz w:val="20"/>
                <w:szCs w:val="20"/>
              </w:rPr>
            </w:pPr>
          </w:p>
        </w:tc>
        <w:tc>
          <w:tcPr>
            <w:tcW w:w="1230" w:type="dxa"/>
            <w:tcBorders>
              <w:top w:val="nil"/>
              <w:left w:val="nil"/>
              <w:bottom w:val="single" w:sz="4" w:space="0" w:color="auto"/>
              <w:right w:val="single" w:sz="4" w:space="0" w:color="auto"/>
            </w:tcBorders>
            <w:shd w:val="clear" w:color="auto" w:fill="auto"/>
            <w:noWrap/>
            <w:vAlign w:val="center"/>
          </w:tcPr>
          <w:p w14:paraId="6BACFE1A" w14:textId="45C87ABB" w:rsidR="006B6F4C" w:rsidRPr="00767A4F" w:rsidRDefault="006B6F4C" w:rsidP="00BC52A9">
            <w:pPr>
              <w:jc w:val="center"/>
              <w:rPr>
                <w:rFonts w:asciiTheme="minorHAnsi" w:eastAsia="Times New Roman" w:hAnsiTheme="minorHAnsi" w:cstheme="minorHAnsi"/>
                <w:color w:val="000000"/>
                <w:sz w:val="20"/>
                <w:szCs w:val="20"/>
              </w:rPr>
            </w:pPr>
            <w:r w:rsidRPr="00767A4F">
              <w:rPr>
                <w:rFonts w:asciiTheme="minorHAnsi" w:eastAsia="Times New Roman" w:hAnsiTheme="minorHAnsi" w:cstheme="minorHAnsi"/>
                <w:color w:val="000000"/>
                <w:sz w:val="20"/>
                <w:szCs w:val="20"/>
              </w:rPr>
              <w:t xml:space="preserve">100.000 </w:t>
            </w:r>
          </w:p>
        </w:tc>
        <w:tc>
          <w:tcPr>
            <w:tcW w:w="1230" w:type="dxa"/>
            <w:tcBorders>
              <w:top w:val="nil"/>
              <w:left w:val="nil"/>
              <w:bottom w:val="single" w:sz="4" w:space="0" w:color="auto"/>
              <w:right w:val="single" w:sz="4" w:space="0" w:color="auto"/>
            </w:tcBorders>
            <w:shd w:val="clear" w:color="auto" w:fill="auto"/>
            <w:noWrap/>
            <w:vAlign w:val="center"/>
            <w:hideMark/>
          </w:tcPr>
          <w:p w14:paraId="669D0F66" w14:textId="0431B629" w:rsidR="006B6F4C" w:rsidRPr="00767A4F" w:rsidRDefault="006B6F4C" w:rsidP="00BC52A9">
            <w:pPr>
              <w:jc w:val="center"/>
              <w:rPr>
                <w:rFonts w:asciiTheme="minorHAnsi" w:eastAsia="Times New Roman" w:hAnsiTheme="minorHAnsi" w:cstheme="minorHAnsi"/>
                <w:color w:val="000000"/>
                <w:sz w:val="20"/>
                <w:szCs w:val="20"/>
              </w:rPr>
            </w:pPr>
            <w:r w:rsidRPr="00767A4F">
              <w:rPr>
                <w:rFonts w:asciiTheme="minorHAnsi" w:eastAsia="Times New Roman" w:hAnsiTheme="minorHAnsi" w:cstheme="minorHAnsi"/>
                <w:color w:val="000000"/>
                <w:sz w:val="20"/>
                <w:szCs w:val="20"/>
              </w:rPr>
              <w:t>200.000</w:t>
            </w:r>
          </w:p>
        </w:tc>
        <w:tc>
          <w:tcPr>
            <w:tcW w:w="1230" w:type="dxa"/>
            <w:tcBorders>
              <w:top w:val="nil"/>
              <w:left w:val="nil"/>
              <w:bottom w:val="single" w:sz="4" w:space="0" w:color="auto"/>
              <w:right w:val="single" w:sz="4" w:space="0" w:color="auto"/>
            </w:tcBorders>
            <w:shd w:val="clear" w:color="auto" w:fill="auto"/>
            <w:noWrap/>
            <w:vAlign w:val="center"/>
            <w:hideMark/>
          </w:tcPr>
          <w:p w14:paraId="3264A1E2" w14:textId="0226050F" w:rsidR="006B6F4C" w:rsidRPr="00767A4F" w:rsidRDefault="006B6F4C" w:rsidP="00BC52A9">
            <w:pPr>
              <w:jc w:val="center"/>
              <w:rPr>
                <w:rFonts w:asciiTheme="minorHAnsi" w:eastAsia="Times New Roman" w:hAnsiTheme="minorHAnsi" w:cstheme="minorHAnsi"/>
                <w:color w:val="000000"/>
                <w:sz w:val="20"/>
                <w:szCs w:val="20"/>
              </w:rPr>
            </w:pPr>
          </w:p>
        </w:tc>
        <w:tc>
          <w:tcPr>
            <w:tcW w:w="1230" w:type="dxa"/>
            <w:tcBorders>
              <w:top w:val="nil"/>
              <w:left w:val="nil"/>
              <w:bottom w:val="single" w:sz="4" w:space="0" w:color="auto"/>
              <w:right w:val="single" w:sz="4" w:space="0" w:color="auto"/>
            </w:tcBorders>
            <w:shd w:val="clear" w:color="auto" w:fill="auto"/>
            <w:noWrap/>
            <w:vAlign w:val="center"/>
          </w:tcPr>
          <w:p w14:paraId="59A32F2B" w14:textId="505E59AB" w:rsidR="006B6F4C" w:rsidRPr="00767A4F" w:rsidRDefault="006B6F4C" w:rsidP="00BC52A9">
            <w:pPr>
              <w:jc w:val="center"/>
              <w:rPr>
                <w:rFonts w:asciiTheme="minorHAnsi" w:eastAsia="Times New Roman" w:hAnsiTheme="minorHAnsi" w:cstheme="minorHAnsi"/>
                <w:color w:val="000000"/>
                <w:sz w:val="20"/>
                <w:szCs w:val="20"/>
              </w:rPr>
            </w:pPr>
          </w:p>
        </w:tc>
      </w:tr>
      <w:tr w:rsidR="006B6F4C" w:rsidRPr="006C054E" w14:paraId="353CC5BF" w14:textId="77777777" w:rsidTr="00BC52A9">
        <w:trPr>
          <w:trHeight w:val="290"/>
        </w:trPr>
        <w:tc>
          <w:tcPr>
            <w:tcW w:w="5575" w:type="dxa"/>
            <w:tcBorders>
              <w:top w:val="nil"/>
              <w:left w:val="single" w:sz="4" w:space="0" w:color="auto"/>
              <w:bottom w:val="single" w:sz="4" w:space="0" w:color="auto"/>
              <w:right w:val="single" w:sz="4" w:space="0" w:color="auto"/>
            </w:tcBorders>
            <w:shd w:val="clear" w:color="auto" w:fill="auto"/>
            <w:vAlign w:val="bottom"/>
            <w:hideMark/>
          </w:tcPr>
          <w:p w14:paraId="3EB03184" w14:textId="77777777" w:rsidR="006B6F4C" w:rsidRPr="00F316AC" w:rsidRDefault="006B6F4C" w:rsidP="006B6F4C">
            <w:pPr>
              <w:rPr>
                <w:rFonts w:asciiTheme="minorHAnsi" w:eastAsia="Times New Roman" w:hAnsiTheme="minorHAnsi" w:cstheme="minorHAnsi"/>
                <w:color w:val="000000"/>
                <w:sz w:val="20"/>
                <w:szCs w:val="20"/>
              </w:rPr>
            </w:pPr>
            <w:r w:rsidRPr="00F316AC">
              <w:rPr>
                <w:rFonts w:asciiTheme="minorHAnsi" w:eastAsia="Times New Roman" w:hAnsiTheme="minorHAnsi" w:cstheme="minorHAnsi"/>
                <w:color w:val="000000"/>
                <w:sz w:val="20"/>
                <w:szCs w:val="20"/>
              </w:rPr>
              <w:t>Main implementation body - equipping</w:t>
            </w:r>
          </w:p>
        </w:tc>
        <w:tc>
          <w:tcPr>
            <w:tcW w:w="1230" w:type="dxa"/>
            <w:tcBorders>
              <w:top w:val="nil"/>
              <w:left w:val="nil"/>
              <w:bottom w:val="single" w:sz="4" w:space="0" w:color="auto"/>
              <w:right w:val="single" w:sz="4" w:space="0" w:color="auto"/>
            </w:tcBorders>
            <w:vAlign w:val="center"/>
          </w:tcPr>
          <w:p w14:paraId="08686CB3" w14:textId="77777777" w:rsidR="006B6F4C" w:rsidRPr="00767A4F" w:rsidRDefault="006B6F4C" w:rsidP="000150D2">
            <w:pPr>
              <w:jc w:val="center"/>
              <w:rPr>
                <w:rFonts w:asciiTheme="minorHAnsi" w:eastAsia="Times New Roman" w:hAnsiTheme="minorHAnsi" w:cstheme="minorHAnsi"/>
                <w:color w:val="000000"/>
                <w:sz w:val="20"/>
                <w:szCs w:val="20"/>
              </w:rPr>
            </w:pPr>
            <w:r w:rsidRPr="00767A4F">
              <w:rPr>
                <w:rFonts w:asciiTheme="minorHAnsi" w:eastAsia="Times New Roman" w:hAnsiTheme="minorHAnsi" w:cstheme="minorHAnsi"/>
                <w:color w:val="000000"/>
                <w:sz w:val="20"/>
                <w:szCs w:val="20"/>
              </w:rPr>
              <w:t>G</w:t>
            </w:r>
          </w:p>
        </w:tc>
        <w:tc>
          <w:tcPr>
            <w:tcW w:w="1230" w:type="dxa"/>
            <w:tcBorders>
              <w:top w:val="nil"/>
              <w:left w:val="nil"/>
              <w:bottom w:val="single" w:sz="4" w:space="0" w:color="auto"/>
              <w:right w:val="single" w:sz="4" w:space="0" w:color="auto"/>
            </w:tcBorders>
            <w:shd w:val="clear" w:color="auto" w:fill="auto"/>
            <w:noWrap/>
            <w:vAlign w:val="center"/>
          </w:tcPr>
          <w:p w14:paraId="291EB70A" w14:textId="079CD2D7" w:rsidR="006B6F4C" w:rsidRPr="00767A4F" w:rsidRDefault="006B6F4C" w:rsidP="00BC52A9">
            <w:pPr>
              <w:jc w:val="center"/>
              <w:rPr>
                <w:rFonts w:asciiTheme="minorHAnsi" w:eastAsia="Times New Roman" w:hAnsiTheme="minorHAnsi" w:cstheme="minorHAnsi"/>
                <w:color w:val="000000"/>
                <w:sz w:val="20"/>
                <w:szCs w:val="20"/>
              </w:rPr>
            </w:pPr>
          </w:p>
        </w:tc>
        <w:tc>
          <w:tcPr>
            <w:tcW w:w="1230" w:type="dxa"/>
            <w:tcBorders>
              <w:top w:val="nil"/>
              <w:left w:val="nil"/>
              <w:bottom w:val="single" w:sz="4" w:space="0" w:color="auto"/>
              <w:right w:val="single" w:sz="4" w:space="0" w:color="auto"/>
            </w:tcBorders>
            <w:shd w:val="clear" w:color="auto" w:fill="auto"/>
            <w:noWrap/>
            <w:vAlign w:val="center"/>
          </w:tcPr>
          <w:p w14:paraId="1A60D453" w14:textId="3719215D" w:rsidR="006B6F4C" w:rsidRPr="00767A4F" w:rsidRDefault="006B6F4C" w:rsidP="00BC52A9">
            <w:pPr>
              <w:jc w:val="center"/>
              <w:rPr>
                <w:rFonts w:asciiTheme="minorHAnsi" w:eastAsia="Times New Roman" w:hAnsiTheme="minorHAnsi" w:cstheme="minorHAnsi"/>
                <w:color w:val="000000"/>
                <w:sz w:val="20"/>
                <w:szCs w:val="20"/>
              </w:rPr>
            </w:pPr>
          </w:p>
        </w:tc>
        <w:tc>
          <w:tcPr>
            <w:tcW w:w="1230" w:type="dxa"/>
            <w:tcBorders>
              <w:top w:val="nil"/>
              <w:left w:val="nil"/>
              <w:bottom w:val="single" w:sz="4" w:space="0" w:color="auto"/>
              <w:right w:val="single" w:sz="4" w:space="0" w:color="auto"/>
            </w:tcBorders>
            <w:shd w:val="clear" w:color="auto" w:fill="auto"/>
            <w:noWrap/>
            <w:vAlign w:val="center"/>
            <w:hideMark/>
          </w:tcPr>
          <w:p w14:paraId="0FBE37E4" w14:textId="2169ABE7" w:rsidR="006B6F4C" w:rsidRPr="00767A4F" w:rsidRDefault="006B6F4C" w:rsidP="00BC52A9">
            <w:pPr>
              <w:jc w:val="center"/>
              <w:rPr>
                <w:rFonts w:asciiTheme="minorHAnsi" w:eastAsia="Times New Roman" w:hAnsiTheme="minorHAnsi" w:cstheme="minorHAnsi"/>
                <w:color w:val="000000"/>
                <w:sz w:val="20"/>
                <w:szCs w:val="20"/>
              </w:rPr>
            </w:pPr>
            <w:r w:rsidRPr="00767A4F">
              <w:rPr>
                <w:rFonts w:asciiTheme="minorHAnsi" w:eastAsia="Times New Roman" w:hAnsiTheme="minorHAnsi" w:cstheme="minorHAnsi"/>
                <w:color w:val="000000"/>
                <w:sz w:val="20"/>
                <w:szCs w:val="20"/>
              </w:rPr>
              <w:t>300.000</w:t>
            </w:r>
          </w:p>
        </w:tc>
        <w:tc>
          <w:tcPr>
            <w:tcW w:w="1230" w:type="dxa"/>
            <w:tcBorders>
              <w:top w:val="nil"/>
              <w:left w:val="nil"/>
              <w:bottom w:val="single" w:sz="4" w:space="0" w:color="auto"/>
              <w:right w:val="single" w:sz="4" w:space="0" w:color="auto"/>
            </w:tcBorders>
            <w:shd w:val="clear" w:color="auto" w:fill="auto"/>
            <w:noWrap/>
            <w:vAlign w:val="center"/>
            <w:hideMark/>
          </w:tcPr>
          <w:p w14:paraId="0F72E11A" w14:textId="6DF493CB" w:rsidR="006B6F4C" w:rsidRPr="00767A4F" w:rsidRDefault="006B6F4C" w:rsidP="00BC52A9">
            <w:pPr>
              <w:jc w:val="center"/>
              <w:rPr>
                <w:rFonts w:asciiTheme="minorHAnsi" w:eastAsia="Times New Roman" w:hAnsiTheme="minorHAnsi" w:cstheme="minorHAnsi"/>
                <w:color w:val="000000"/>
                <w:sz w:val="20"/>
                <w:szCs w:val="20"/>
              </w:rPr>
            </w:pPr>
          </w:p>
        </w:tc>
        <w:tc>
          <w:tcPr>
            <w:tcW w:w="1230" w:type="dxa"/>
            <w:tcBorders>
              <w:top w:val="nil"/>
              <w:left w:val="nil"/>
              <w:bottom w:val="single" w:sz="4" w:space="0" w:color="auto"/>
              <w:right w:val="single" w:sz="4" w:space="0" w:color="auto"/>
            </w:tcBorders>
            <w:shd w:val="clear" w:color="auto" w:fill="auto"/>
            <w:noWrap/>
            <w:vAlign w:val="center"/>
          </w:tcPr>
          <w:p w14:paraId="4532498F" w14:textId="4EA2D3AE" w:rsidR="006B6F4C" w:rsidRPr="00767A4F" w:rsidRDefault="006B6F4C" w:rsidP="00BC52A9">
            <w:pPr>
              <w:jc w:val="center"/>
              <w:rPr>
                <w:rFonts w:asciiTheme="minorHAnsi" w:eastAsia="Times New Roman" w:hAnsiTheme="minorHAnsi" w:cstheme="minorHAnsi"/>
                <w:color w:val="000000"/>
                <w:sz w:val="20"/>
                <w:szCs w:val="20"/>
              </w:rPr>
            </w:pPr>
          </w:p>
        </w:tc>
      </w:tr>
      <w:tr w:rsidR="006B6F4C" w:rsidRPr="006C054E" w14:paraId="3B2E81DB" w14:textId="77777777" w:rsidTr="00BC52A9">
        <w:trPr>
          <w:trHeight w:val="290"/>
        </w:trPr>
        <w:tc>
          <w:tcPr>
            <w:tcW w:w="5575" w:type="dxa"/>
            <w:tcBorders>
              <w:top w:val="nil"/>
              <w:left w:val="single" w:sz="4" w:space="0" w:color="auto"/>
              <w:bottom w:val="single" w:sz="4" w:space="0" w:color="auto"/>
              <w:right w:val="single" w:sz="4" w:space="0" w:color="auto"/>
            </w:tcBorders>
            <w:shd w:val="clear" w:color="auto" w:fill="auto"/>
            <w:vAlign w:val="bottom"/>
            <w:hideMark/>
          </w:tcPr>
          <w:p w14:paraId="777AFF35" w14:textId="77777777" w:rsidR="006B6F4C" w:rsidRPr="00F316AC" w:rsidRDefault="006B6F4C" w:rsidP="006B6F4C">
            <w:pPr>
              <w:rPr>
                <w:rFonts w:asciiTheme="minorHAnsi" w:eastAsia="Times New Roman" w:hAnsiTheme="minorHAnsi" w:cstheme="minorHAnsi"/>
                <w:color w:val="000000"/>
                <w:sz w:val="20"/>
                <w:szCs w:val="20"/>
              </w:rPr>
            </w:pPr>
            <w:r w:rsidRPr="00F316AC">
              <w:rPr>
                <w:rFonts w:asciiTheme="minorHAnsi" w:eastAsia="Times New Roman" w:hAnsiTheme="minorHAnsi" w:cstheme="minorHAnsi"/>
                <w:color w:val="000000"/>
                <w:sz w:val="20"/>
                <w:szCs w:val="20"/>
              </w:rPr>
              <w:t>Fundamental registries upgrade</w:t>
            </w:r>
          </w:p>
        </w:tc>
        <w:tc>
          <w:tcPr>
            <w:tcW w:w="1230" w:type="dxa"/>
            <w:tcBorders>
              <w:top w:val="nil"/>
              <w:left w:val="nil"/>
              <w:bottom w:val="single" w:sz="4" w:space="0" w:color="auto"/>
              <w:right w:val="single" w:sz="4" w:space="0" w:color="auto"/>
            </w:tcBorders>
            <w:vAlign w:val="center"/>
          </w:tcPr>
          <w:p w14:paraId="449D97C1" w14:textId="77777777" w:rsidR="006B6F4C" w:rsidRPr="00767A4F" w:rsidRDefault="006B6F4C" w:rsidP="000150D2">
            <w:pPr>
              <w:jc w:val="center"/>
              <w:rPr>
                <w:rFonts w:asciiTheme="minorHAnsi" w:eastAsia="Times New Roman" w:hAnsiTheme="minorHAnsi" w:cstheme="minorHAnsi"/>
                <w:color w:val="000000"/>
                <w:sz w:val="20"/>
                <w:szCs w:val="20"/>
              </w:rPr>
            </w:pPr>
            <w:r w:rsidRPr="00767A4F">
              <w:rPr>
                <w:rFonts w:asciiTheme="minorHAnsi" w:eastAsia="Times New Roman" w:hAnsiTheme="minorHAnsi" w:cstheme="minorHAnsi"/>
                <w:color w:val="000000"/>
                <w:sz w:val="20"/>
                <w:szCs w:val="20"/>
              </w:rPr>
              <w:t>G</w:t>
            </w:r>
          </w:p>
        </w:tc>
        <w:tc>
          <w:tcPr>
            <w:tcW w:w="1230" w:type="dxa"/>
            <w:tcBorders>
              <w:top w:val="nil"/>
              <w:left w:val="nil"/>
              <w:bottom w:val="single" w:sz="4" w:space="0" w:color="auto"/>
              <w:right w:val="single" w:sz="4" w:space="0" w:color="auto"/>
            </w:tcBorders>
            <w:shd w:val="clear" w:color="auto" w:fill="auto"/>
            <w:noWrap/>
            <w:vAlign w:val="center"/>
          </w:tcPr>
          <w:p w14:paraId="6CD3988F" w14:textId="5AD6D741" w:rsidR="006B6F4C" w:rsidRPr="00767A4F" w:rsidRDefault="006B6F4C" w:rsidP="00BC52A9">
            <w:pPr>
              <w:jc w:val="center"/>
              <w:rPr>
                <w:rFonts w:asciiTheme="minorHAnsi" w:eastAsia="Times New Roman" w:hAnsiTheme="minorHAnsi" w:cstheme="minorHAnsi"/>
                <w:color w:val="000000"/>
                <w:sz w:val="20"/>
                <w:szCs w:val="20"/>
              </w:rPr>
            </w:pPr>
          </w:p>
        </w:tc>
        <w:tc>
          <w:tcPr>
            <w:tcW w:w="1230" w:type="dxa"/>
            <w:tcBorders>
              <w:top w:val="nil"/>
              <w:left w:val="nil"/>
              <w:bottom w:val="single" w:sz="4" w:space="0" w:color="auto"/>
              <w:right w:val="single" w:sz="4" w:space="0" w:color="auto"/>
            </w:tcBorders>
            <w:shd w:val="clear" w:color="auto" w:fill="auto"/>
            <w:noWrap/>
            <w:vAlign w:val="center"/>
          </w:tcPr>
          <w:p w14:paraId="0C9090CD" w14:textId="5A21C6EC" w:rsidR="006B6F4C" w:rsidRPr="00767A4F" w:rsidRDefault="006B6F4C" w:rsidP="00BC52A9">
            <w:pPr>
              <w:jc w:val="center"/>
              <w:rPr>
                <w:rFonts w:asciiTheme="minorHAnsi" w:eastAsia="Times New Roman" w:hAnsiTheme="minorHAnsi" w:cstheme="minorHAnsi"/>
                <w:color w:val="000000"/>
                <w:sz w:val="20"/>
                <w:szCs w:val="20"/>
              </w:rPr>
            </w:pPr>
          </w:p>
        </w:tc>
        <w:tc>
          <w:tcPr>
            <w:tcW w:w="1230" w:type="dxa"/>
            <w:tcBorders>
              <w:top w:val="nil"/>
              <w:left w:val="nil"/>
              <w:bottom w:val="single" w:sz="4" w:space="0" w:color="auto"/>
              <w:right w:val="single" w:sz="4" w:space="0" w:color="auto"/>
            </w:tcBorders>
            <w:shd w:val="clear" w:color="auto" w:fill="auto"/>
            <w:noWrap/>
            <w:vAlign w:val="center"/>
            <w:hideMark/>
          </w:tcPr>
          <w:p w14:paraId="210FBCDA" w14:textId="5683D4FD" w:rsidR="006B6F4C" w:rsidRPr="00767A4F" w:rsidRDefault="006B6F4C" w:rsidP="00BC52A9">
            <w:pPr>
              <w:jc w:val="center"/>
              <w:rPr>
                <w:rFonts w:asciiTheme="minorHAnsi" w:eastAsia="Times New Roman" w:hAnsiTheme="minorHAnsi" w:cstheme="minorHAnsi"/>
                <w:color w:val="000000"/>
                <w:sz w:val="20"/>
                <w:szCs w:val="20"/>
              </w:rPr>
            </w:pPr>
            <w:r w:rsidRPr="00767A4F">
              <w:rPr>
                <w:rFonts w:asciiTheme="minorHAnsi" w:eastAsia="Times New Roman" w:hAnsiTheme="minorHAnsi" w:cstheme="minorHAnsi"/>
                <w:color w:val="000000"/>
                <w:sz w:val="20"/>
                <w:szCs w:val="20"/>
              </w:rPr>
              <w:t>500.000</w:t>
            </w:r>
          </w:p>
        </w:tc>
        <w:tc>
          <w:tcPr>
            <w:tcW w:w="1230" w:type="dxa"/>
            <w:tcBorders>
              <w:top w:val="nil"/>
              <w:left w:val="nil"/>
              <w:bottom w:val="single" w:sz="4" w:space="0" w:color="auto"/>
              <w:right w:val="single" w:sz="4" w:space="0" w:color="auto"/>
            </w:tcBorders>
            <w:shd w:val="clear" w:color="auto" w:fill="auto"/>
            <w:noWrap/>
            <w:vAlign w:val="center"/>
            <w:hideMark/>
          </w:tcPr>
          <w:p w14:paraId="73CCA965" w14:textId="1A8EE3DA" w:rsidR="006B6F4C" w:rsidRPr="00767A4F" w:rsidRDefault="006B6F4C" w:rsidP="00BC52A9">
            <w:pPr>
              <w:jc w:val="center"/>
              <w:rPr>
                <w:rFonts w:asciiTheme="minorHAnsi" w:eastAsia="Times New Roman" w:hAnsiTheme="minorHAnsi" w:cstheme="minorHAnsi"/>
                <w:color w:val="000000"/>
                <w:sz w:val="20"/>
                <w:szCs w:val="20"/>
              </w:rPr>
            </w:pPr>
          </w:p>
        </w:tc>
        <w:tc>
          <w:tcPr>
            <w:tcW w:w="1230" w:type="dxa"/>
            <w:tcBorders>
              <w:top w:val="nil"/>
              <w:left w:val="nil"/>
              <w:bottom w:val="single" w:sz="4" w:space="0" w:color="auto"/>
              <w:right w:val="single" w:sz="4" w:space="0" w:color="auto"/>
            </w:tcBorders>
            <w:shd w:val="clear" w:color="auto" w:fill="auto"/>
            <w:noWrap/>
            <w:vAlign w:val="center"/>
          </w:tcPr>
          <w:p w14:paraId="0D8B7C5C" w14:textId="579F9CE4" w:rsidR="006B6F4C" w:rsidRPr="00767A4F" w:rsidRDefault="006B6F4C" w:rsidP="00BC52A9">
            <w:pPr>
              <w:jc w:val="center"/>
              <w:rPr>
                <w:rFonts w:asciiTheme="minorHAnsi" w:eastAsia="Times New Roman" w:hAnsiTheme="minorHAnsi" w:cstheme="minorHAnsi"/>
                <w:color w:val="000000"/>
                <w:sz w:val="20"/>
                <w:szCs w:val="20"/>
              </w:rPr>
            </w:pPr>
          </w:p>
        </w:tc>
      </w:tr>
      <w:tr w:rsidR="006B6F4C" w:rsidRPr="006C054E" w14:paraId="5C8CD25B" w14:textId="77777777" w:rsidTr="00BC52A9">
        <w:trPr>
          <w:trHeight w:val="580"/>
        </w:trPr>
        <w:tc>
          <w:tcPr>
            <w:tcW w:w="5575" w:type="dxa"/>
            <w:tcBorders>
              <w:top w:val="nil"/>
              <w:left w:val="single" w:sz="4" w:space="0" w:color="auto"/>
              <w:bottom w:val="single" w:sz="4" w:space="0" w:color="auto"/>
              <w:right w:val="single" w:sz="4" w:space="0" w:color="auto"/>
            </w:tcBorders>
            <w:shd w:val="clear" w:color="auto" w:fill="auto"/>
            <w:vAlign w:val="bottom"/>
            <w:hideMark/>
          </w:tcPr>
          <w:p w14:paraId="02387D63" w14:textId="77777777" w:rsidR="006B6F4C" w:rsidRPr="00F316AC" w:rsidRDefault="006B6F4C" w:rsidP="006B6F4C">
            <w:pPr>
              <w:rPr>
                <w:rFonts w:asciiTheme="minorHAnsi" w:eastAsia="Times New Roman" w:hAnsiTheme="minorHAnsi" w:cstheme="minorHAnsi"/>
                <w:color w:val="000000"/>
                <w:sz w:val="20"/>
                <w:szCs w:val="20"/>
              </w:rPr>
            </w:pPr>
            <w:r w:rsidRPr="00F316AC">
              <w:rPr>
                <w:rFonts w:asciiTheme="minorHAnsi" w:eastAsia="Times New Roman" w:hAnsiTheme="minorHAnsi" w:cstheme="minorHAnsi"/>
                <w:color w:val="000000"/>
                <w:sz w:val="20"/>
                <w:szCs w:val="20"/>
              </w:rPr>
              <w:t>NHIH systems upgrade with error &amp; fraud detection tools</w:t>
            </w:r>
          </w:p>
        </w:tc>
        <w:tc>
          <w:tcPr>
            <w:tcW w:w="1230" w:type="dxa"/>
            <w:tcBorders>
              <w:top w:val="nil"/>
              <w:left w:val="nil"/>
              <w:bottom w:val="single" w:sz="4" w:space="0" w:color="auto"/>
              <w:right w:val="single" w:sz="4" w:space="0" w:color="auto"/>
            </w:tcBorders>
            <w:vAlign w:val="center"/>
          </w:tcPr>
          <w:p w14:paraId="4C2EF5BD" w14:textId="77777777" w:rsidR="006B6F4C" w:rsidRPr="00767A4F" w:rsidRDefault="006B6F4C" w:rsidP="000150D2">
            <w:pPr>
              <w:jc w:val="center"/>
              <w:rPr>
                <w:rFonts w:asciiTheme="minorHAnsi" w:eastAsia="Times New Roman" w:hAnsiTheme="minorHAnsi" w:cstheme="minorHAnsi"/>
                <w:color w:val="000000"/>
                <w:sz w:val="20"/>
                <w:szCs w:val="20"/>
              </w:rPr>
            </w:pPr>
            <w:r w:rsidRPr="00767A4F">
              <w:rPr>
                <w:rFonts w:asciiTheme="minorHAnsi" w:eastAsia="Times New Roman" w:hAnsiTheme="minorHAnsi" w:cstheme="minorHAnsi"/>
                <w:color w:val="000000"/>
                <w:sz w:val="20"/>
                <w:szCs w:val="20"/>
              </w:rPr>
              <w:t>G</w:t>
            </w:r>
          </w:p>
        </w:tc>
        <w:tc>
          <w:tcPr>
            <w:tcW w:w="1230" w:type="dxa"/>
            <w:tcBorders>
              <w:top w:val="nil"/>
              <w:left w:val="nil"/>
              <w:bottom w:val="single" w:sz="4" w:space="0" w:color="auto"/>
              <w:right w:val="single" w:sz="4" w:space="0" w:color="auto"/>
            </w:tcBorders>
            <w:shd w:val="clear" w:color="auto" w:fill="auto"/>
            <w:noWrap/>
            <w:vAlign w:val="center"/>
          </w:tcPr>
          <w:p w14:paraId="40962509" w14:textId="5CD93947" w:rsidR="006B6F4C" w:rsidRPr="00767A4F" w:rsidRDefault="006B6F4C" w:rsidP="00BC52A9">
            <w:pPr>
              <w:jc w:val="center"/>
              <w:rPr>
                <w:rFonts w:asciiTheme="minorHAnsi" w:eastAsia="Times New Roman" w:hAnsiTheme="minorHAnsi" w:cstheme="minorHAnsi"/>
                <w:color w:val="000000"/>
                <w:sz w:val="20"/>
                <w:szCs w:val="20"/>
              </w:rPr>
            </w:pPr>
          </w:p>
        </w:tc>
        <w:tc>
          <w:tcPr>
            <w:tcW w:w="1230" w:type="dxa"/>
            <w:tcBorders>
              <w:top w:val="nil"/>
              <w:left w:val="nil"/>
              <w:bottom w:val="single" w:sz="4" w:space="0" w:color="auto"/>
              <w:right w:val="single" w:sz="4" w:space="0" w:color="auto"/>
            </w:tcBorders>
            <w:shd w:val="clear" w:color="auto" w:fill="auto"/>
            <w:noWrap/>
            <w:vAlign w:val="center"/>
          </w:tcPr>
          <w:p w14:paraId="5B179ECA" w14:textId="14774811" w:rsidR="006B6F4C" w:rsidRPr="00767A4F" w:rsidRDefault="006B6F4C" w:rsidP="00BC52A9">
            <w:pPr>
              <w:jc w:val="center"/>
              <w:rPr>
                <w:rFonts w:asciiTheme="minorHAnsi" w:eastAsia="Times New Roman" w:hAnsiTheme="minorHAnsi" w:cstheme="minorHAnsi"/>
                <w:color w:val="000000"/>
                <w:sz w:val="20"/>
                <w:szCs w:val="20"/>
              </w:rPr>
            </w:pPr>
            <w:r w:rsidRPr="00767A4F">
              <w:rPr>
                <w:rFonts w:asciiTheme="minorHAnsi" w:eastAsia="Times New Roman" w:hAnsiTheme="minorHAnsi" w:cstheme="minorHAnsi"/>
                <w:color w:val="000000"/>
                <w:sz w:val="20"/>
                <w:szCs w:val="20"/>
              </w:rPr>
              <w:t xml:space="preserve">500.000 </w:t>
            </w:r>
          </w:p>
        </w:tc>
        <w:tc>
          <w:tcPr>
            <w:tcW w:w="1230" w:type="dxa"/>
            <w:tcBorders>
              <w:top w:val="nil"/>
              <w:left w:val="nil"/>
              <w:bottom w:val="single" w:sz="4" w:space="0" w:color="auto"/>
              <w:right w:val="single" w:sz="4" w:space="0" w:color="auto"/>
            </w:tcBorders>
            <w:shd w:val="clear" w:color="auto" w:fill="auto"/>
            <w:noWrap/>
            <w:vAlign w:val="center"/>
            <w:hideMark/>
          </w:tcPr>
          <w:p w14:paraId="34338107" w14:textId="5F0E9E63" w:rsidR="006B6F4C" w:rsidRPr="00767A4F" w:rsidRDefault="006B6F4C" w:rsidP="00BC52A9">
            <w:pPr>
              <w:jc w:val="center"/>
              <w:rPr>
                <w:rFonts w:asciiTheme="minorHAnsi" w:eastAsia="Times New Roman" w:hAnsiTheme="minorHAnsi" w:cstheme="minorHAnsi"/>
                <w:color w:val="000000"/>
                <w:sz w:val="20"/>
                <w:szCs w:val="20"/>
              </w:rPr>
            </w:pPr>
            <w:r w:rsidRPr="00767A4F">
              <w:rPr>
                <w:rFonts w:asciiTheme="minorHAnsi" w:eastAsia="Times New Roman" w:hAnsiTheme="minorHAnsi" w:cstheme="minorHAnsi"/>
                <w:color w:val="000000"/>
                <w:sz w:val="20"/>
                <w:szCs w:val="20"/>
              </w:rPr>
              <w:t>1.000.000</w:t>
            </w:r>
          </w:p>
        </w:tc>
        <w:tc>
          <w:tcPr>
            <w:tcW w:w="1230" w:type="dxa"/>
            <w:tcBorders>
              <w:top w:val="nil"/>
              <w:left w:val="nil"/>
              <w:bottom w:val="single" w:sz="4" w:space="0" w:color="auto"/>
              <w:right w:val="single" w:sz="4" w:space="0" w:color="auto"/>
            </w:tcBorders>
            <w:shd w:val="clear" w:color="auto" w:fill="auto"/>
            <w:noWrap/>
            <w:vAlign w:val="center"/>
            <w:hideMark/>
          </w:tcPr>
          <w:p w14:paraId="36E9B49F" w14:textId="4EDF1DE5" w:rsidR="006B6F4C" w:rsidRPr="00767A4F" w:rsidRDefault="006B6F4C" w:rsidP="00BC52A9">
            <w:pPr>
              <w:jc w:val="center"/>
              <w:rPr>
                <w:rFonts w:asciiTheme="minorHAnsi" w:eastAsia="Times New Roman" w:hAnsiTheme="minorHAnsi" w:cstheme="minorHAnsi"/>
                <w:color w:val="000000"/>
                <w:sz w:val="20"/>
                <w:szCs w:val="20"/>
              </w:rPr>
            </w:pPr>
          </w:p>
        </w:tc>
        <w:tc>
          <w:tcPr>
            <w:tcW w:w="1230" w:type="dxa"/>
            <w:tcBorders>
              <w:top w:val="nil"/>
              <w:left w:val="nil"/>
              <w:bottom w:val="single" w:sz="4" w:space="0" w:color="auto"/>
              <w:right w:val="single" w:sz="4" w:space="0" w:color="auto"/>
            </w:tcBorders>
            <w:shd w:val="clear" w:color="auto" w:fill="auto"/>
            <w:noWrap/>
            <w:vAlign w:val="center"/>
          </w:tcPr>
          <w:p w14:paraId="3EC311C0" w14:textId="2152B923" w:rsidR="006B6F4C" w:rsidRPr="00767A4F" w:rsidRDefault="006B6F4C" w:rsidP="00BC52A9">
            <w:pPr>
              <w:jc w:val="center"/>
              <w:rPr>
                <w:rFonts w:asciiTheme="minorHAnsi" w:eastAsia="Times New Roman" w:hAnsiTheme="minorHAnsi" w:cstheme="minorHAnsi"/>
                <w:color w:val="000000"/>
                <w:sz w:val="20"/>
                <w:szCs w:val="20"/>
              </w:rPr>
            </w:pPr>
          </w:p>
        </w:tc>
      </w:tr>
      <w:tr w:rsidR="006B6F4C" w:rsidRPr="006C054E" w14:paraId="2CA6F5D3" w14:textId="77777777" w:rsidTr="00BC52A9">
        <w:trPr>
          <w:trHeight w:val="290"/>
        </w:trPr>
        <w:tc>
          <w:tcPr>
            <w:tcW w:w="5575" w:type="dxa"/>
            <w:tcBorders>
              <w:top w:val="nil"/>
              <w:left w:val="single" w:sz="4" w:space="0" w:color="auto"/>
              <w:bottom w:val="single" w:sz="4" w:space="0" w:color="auto"/>
              <w:right w:val="single" w:sz="4" w:space="0" w:color="auto"/>
            </w:tcBorders>
            <w:shd w:val="clear" w:color="auto" w:fill="auto"/>
            <w:vAlign w:val="bottom"/>
            <w:hideMark/>
          </w:tcPr>
          <w:p w14:paraId="216EE492" w14:textId="77777777" w:rsidR="006B6F4C" w:rsidRPr="00F316AC" w:rsidRDefault="006B6F4C" w:rsidP="006B6F4C">
            <w:pPr>
              <w:rPr>
                <w:rFonts w:asciiTheme="minorHAnsi" w:eastAsia="Times New Roman" w:hAnsiTheme="minorHAnsi" w:cstheme="minorHAnsi"/>
                <w:color w:val="000000"/>
                <w:sz w:val="20"/>
                <w:szCs w:val="20"/>
              </w:rPr>
            </w:pPr>
            <w:r w:rsidRPr="00F316AC">
              <w:rPr>
                <w:rFonts w:asciiTheme="minorHAnsi" w:eastAsia="Times New Roman" w:hAnsiTheme="minorHAnsi" w:cstheme="minorHAnsi"/>
                <w:color w:val="000000"/>
                <w:sz w:val="20"/>
                <w:szCs w:val="20"/>
              </w:rPr>
              <w:t>Upgrade of EHR to National EHR</w:t>
            </w:r>
          </w:p>
        </w:tc>
        <w:tc>
          <w:tcPr>
            <w:tcW w:w="1230" w:type="dxa"/>
            <w:tcBorders>
              <w:top w:val="nil"/>
              <w:left w:val="nil"/>
              <w:bottom w:val="single" w:sz="4" w:space="0" w:color="auto"/>
              <w:right w:val="single" w:sz="4" w:space="0" w:color="auto"/>
            </w:tcBorders>
            <w:vAlign w:val="center"/>
          </w:tcPr>
          <w:p w14:paraId="36438404" w14:textId="77777777" w:rsidR="006B6F4C" w:rsidRPr="00767A4F" w:rsidRDefault="006B6F4C" w:rsidP="000150D2">
            <w:pPr>
              <w:jc w:val="center"/>
              <w:rPr>
                <w:rFonts w:asciiTheme="minorHAnsi" w:eastAsia="Times New Roman" w:hAnsiTheme="minorHAnsi" w:cstheme="minorHAnsi"/>
                <w:color w:val="000000"/>
                <w:sz w:val="20"/>
                <w:szCs w:val="20"/>
              </w:rPr>
            </w:pPr>
            <w:r w:rsidRPr="00767A4F">
              <w:rPr>
                <w:rFonts w:asciiTheme="minorHAnsi" w:eastAsia="Times New Roman" w:hAnsiTheme="minorHAnsi" w:cstheme="minorHAnsi"/>
                <w:color w:val="000000"/>
                <w:sz w:val="20"/>
                <w:szCs w:val="20"/>
              </w:rPr>
              <w:t>G</w:t>
            </w:r>
          </w:p>
        </w:tc>
        <w:tc>
          <w:tcPr>
            <w:tcW w:w="1230" w:type="dxa"/>
            <w:tcBorders>
              <w:top w:val="nil"/>
              <w:left w:val="nil"/>
              <w:bottom w:val="single" w:sz="4" w:space="0" w:color="auto"/>
              <w:right w:val="single" w:sz="4" w:space="0" w:color="auto"/>
            </w:tcBorders>
            <w:shd w:val="clear" w:color="auto" w:fill="auto"/>
            <w:noWrap/>
            <w:vAlign w:val="center"/>
          </w:tcPr>
          <w:p w14:paraId="572C5229" w14:textId="608AC38A" w:rsidR="006B6F4C" w:rsidRPr="00767A4F" w:rsidRDefault="006B6F4C" w:rsidP="00BC52A9">
            <w:pPr>
              <w:jc w:val="center"/>
              <w:rPr>
                <w:rFonts w:asciiTheme="minorHAnsi" w:eastAsia="Times New Roman" w:hAnsiTheme="minorHAnsi" w:cstheme="minorHAnsi"/>
                <w:color w:val="000000"/>
                <w:sz w:val="20"/>
                <w:szCs w:val="20"/>
              </w:rPr>
            </w:pPr>
          </w:p>
        </w:tc>
        <w:tc>
          <w:tcPr>
            <w:tcW w:w="1230" w:type="dxa"/>
            <w:tcBorders>
              <w:top w:val="nil"/>
              <w:left w:val="nil"/>
              <w:bottom w:val="single" w:sz="4" w:space="0" w:color="auto"/>
              <w:right w:val="single" w:sz="4" w:space="0" w:color="auto"/>
            </w:tcBorders>
            <w:shd w:val="clear" w:color="auto" w:fill="auto"/>
            <w:noWrap/>
            <w:vAlign w:val="center"/>
          </w:tcPr>
          <w:p w14:paraId="5A58DE63" w14:textId="3F145D89" w:rsidR="006B6F4C" w:rsidRPr="00767A4F" w:rsidRDefault="006B6F4C" w:rsidP="00BC52A9">
            <w:pPr>
              <w:jc w:val="center"/>
              <w:rPr>
                <w:rFonts w:asciiTheme="minorHAnsi" w:eastAsia="Times New Roman" w:hAnsiTheme="minorHAnsi" w:cstheme="minorHAnsi"/>
                <w:color w:val="000000"/>
                <w:sz w:val="20"/>
                <w:szCs w:val="20"/>
              </w:rPr>
            </w:pPr>
          </w:p>
        </w:tc>
        <w:tc>
          <w:tcPr>
            <w:tcW w:w="1230" w:type="dxa"/>
            <w:tcBorders>
              <w:top w:val="nil"/>
              <w:left w:val="nil"/>
              <w:bottom w:val="single" w:sz="4" w:space="0" w:color="auto"/>
              <w:right w:val="single" w:sz="4" w:space="0" w:color="auto"/>
            </w:tcBorders>
            <w:shd w:val="clear" w:color="auto" w:fill="auto"/>
            <w:noWrap/>
            <w:vAlign w:val="center"/>
          </w:tcPr>
          <w:p w14:paraId="1E586099" w14:textId="0B5534CD" w:rsidR="006B6F4C" w:rsidRPr="00767A4F" w:rsidRDefault="006B6F4C" w:rsidP="00BC52A9">
            <w:pPr>
              <w:jc w:val="center"/>
              <w:rPr>
                <w:rFonts w:asciiTheme="minorHAnsi" w:eastAsia="Times New Roman" w:hAnsiTheme="minorHAnsi" w:cstheme="minorHAnsi"/>
                <w:color w:val="000000"/>
                <w:sz w:val="20"/>
                <w:szCs w:val="20"/>
              </w:rPr>
            </w:pPr>
            <w:r w:rsidRPr="00767A4F">
              <w:rPr>
                <w:rFonts w:asciiTheme="minorHAnsi" w:eastAsia="Times New Roman" w:hAnsiTheme="minorHAnsi" w:cstheme="minorHAnsi"/>
                <w:color w:val="000000"/>
                <w:sz w:val="20"/>
                <w:szCs w:val="20"/>
              </w:rPr>
              <w:t xml:space="preserve">500.000 </w:t>
            </w:r>
          </w:p>
        </w:tc>
        <w:tc>
          <w:tcPr>
            <w:tcW w:w="1230" w:type="dxa"/>
            <w:tcBorders>
              <w:top w:val="nil"/>
              <w:left w:val="nil"/>
              <w:bottom w:val="single" w:sz="4" w:space="0" w:color="auto"/>
              <w:right w:val="single" w:sz="4" w:space="0" w:color="auto"/>
            </w:tcBorders>
            <w:shd w:val="clear" w:color="auto" w:fill="auto"/>
            <w:noWrap/>
            <w:vAlign w:val="center"/>
            <w:hideMark/>
          </w:tcPr>
          <w:p w14:paraId="3F7E7EE3" w14:textId="610EA69C" w:rsidR="006B6F4C" w:rsidRPr="00767A4F" w:rsidRDefault="006B6F4C" w:rsidP="00BC52A9">
            <w:pPr>
              <w:jc w:val="center"/>
              <w:rPr>
                <w:rFonts w:asciiTheme="minorHAnsi" w:eastAsia="Times New Roman" w:hAnsiTheme="minorHAnsi" w:cstheme="minorHAnsi"/>
                <w:color w:val="000000"/>
                <w:sz w:val="20"/>
                <w:szCs w:val="20"/>
              </w:rPr>
            </w:pPr>
            <w:r w:rsidRPr="00767A4F">
              <w:rPr>
                <w:rFonts w:asciiTheme="minorHAnsi" w:eastAsia="Times New Roman" w:hAnsiTheme="minorHAnsi" w:cstheme="minorHAnsi"/>
                <w:color w:val="000000"/>
                <w:sz w:val="20"/>
                <w:szCs w:val="20"/>
              </w:rPr>
              <w:t>4.500.000</w:t>
            </w:r>
          </w:p>
        </w:tc>
        <w:tc>
          <w:tcPr>
            <w:tcW w:w="1230" w:type="dxa"/>
            <w:tcBorders>
              <w:top w:val="nil"/>
              <w:left w:val="nil"/>
              <w:bottom w:val="single" w:sz="4" w:space="0" w:color="auto"/>
              <w:right w:val="single" w:sz="4" w:space="0" w:color="auto"/>
            </w:tcBorders>
            <w:shd w:val="clear" w:color="auto" w:fill="auto"/>
            <w:noWrap/>
            <w:vAlign w:val="center"/>
          </w:tcPr>
          <w:p w14:paraId="72D691DE" w14:textId="7D95332D" w:rsidR="006B6F4C" w:rsidRPr="00767A4F" w:rsidRDefault="006B6F4C" w:rsidP="00BC52A9">
            <w:pPr>
              <w:jc w:val="center"/>
              <w:rPr>
                <w:rFonts w:asciiTheme="minorHAnsi" w:eastAsia="Times New Roman" w:hAnsiTheme="minorHAnsi" w:cstheme="minorHAnsi"/>
                <w:color w:val="000000"/>
                <w:sz w:val="20"/>
                <w:szCs w:val="20"/>
              </w:rPr>
            </w:pPr>
          </w:p>
        </w:tc>
      </w:tr>
      <w:tr w:rsidR="006B6F4C" w:rsidRPr="006C054E" w14:paraId="651E61CF" w14:textId="77777777" w:rsidTr="00BC52A9">
        <w:trPr>
          <w:trHeight w:val="290"/>
        </w:trPr>
        <w:tc>
          <w:tcPr>
            <w:tcW w:w="5575" w:type="dxa"/>
            <w:tcBorders>
              <w:top w:val="nil"/>
              <w:left w:val="single" w:sz="4" w:space="0" w:color="auto"/>
              <w:bottom w:val="single" w:sz="4" w:space="0" w:color="auto"/>
              <w:right w:val="single" w:sz="4" w:space="0" w:color="auto"/>
            </w:tcBorders>
            <w:shd w:val="clear" w:color="auto" w:fill="auto"/>
            <w:vAlign w:val="bottom"/>
            <w:hideMark/>
          </w:tcPr>
          <w:p w14:paraId="1C316304" w14:textId="77777777" w:rsidR="006B6F4C" w:rsidRPr="00F316AC" w:rsidRDefault="006B6F4C" w:rsidP="006B6F4C">
            <w:pPr>
              <w:rPr>
                <w:rFonts w:asciiTheme="minorHAnsi" w:eastAsia="Times New Roman" w:hAnsiTheme="minorHAnsi" w:cstheme="minorHAnsi"/>
                <w:color w:val="000000"/>
                <w:sz w:val="20"/>
                <w:szCs w:val="20"/>
              </w:rPr>
            </w:pPr>
            <w:r w:rsidRPr="00F316AC">
              <w:rPr>
                <w:rFonts w:asciiTheme="minorHAnsi" w:eastAsia="Times New Roman" w:hAnsiTheme="minorHAnsi" w:cstheme="minorHAnsi"/>
                <w:color w:val="000000"/>
                <w:sz w:val="20"/>
                <w:szCs w:val="20"/>
              </w:rPr>
              <w:t>Upgrade of system platform (HW)</w:t>
            </w:r>
          </w:p>
        </w:tc>
        <w:tc>
          <w:tcPr>
            <w:tcW w:w="1230" w:type="dxa"/>
            <w:tcBorders>
              <w:top w:val="nil"/>
              <w:left w:val="nil"/>
              <w:bottom w:val="single" w:sz="4" w:space="0" w:color="auto"/>
              <w:right w:val="single" w:sz="4" w:space="0" w:color="auto"/>
            </w:tcBorders>
            <w:vAlign w:val="center"/>
          </w:tcPr>
          <w:p w14:paraId="2DB04F3F" w14:textId="77777777" w:rsidR="006B6F4C" w:rsidRPr="00767A4F" w:rsidRDefault="006B6F4C" w:rsidP="000150D2">
            <w:pPr>
              <w:jc w:val="center"/>
              <w:rPr>
                <w:rFonts w:asciiTheme="minorHAnsi" w:eastAsia="Times New Roman" w:hAnsiTheme="minorHAnsi" w:cstheme="minorHAnsi"/>
                <w:color w:val="000000"/>
                <w:sz w:val="20"/>
                <w:szCs w:val="20"/>
              </w:rPr>
            </w:pPr>
            <w:r w:rsidRPr="00767A4F">
              <w:rPr>
                <w:rFonts w:asciiTheme="minorHAnsi" w:eastAsia="Times New Roman" w:hAnsiTheme="minorHAnsi" w:cstheme="minorHAnsi"/>
                <w:color w:val="000000"/>
                <w:sz w:val="20"/>
                <w:szCs w:val="20"/>
              </w:rPr>
              <w:t>G</w:t>
            </w:r>
          </w:p>
        </w:tc>
        <w:tc>
          <w:tcPr>
            <w:tcW w:w="1230" w:type="dxa"/>
            <w:tcBorders>
              <w:top w:val="nil"/>
              <w:left w:val="nil"/>
              <w:bottom w:val="single" w:sz="4" w:space="0" w:color="auto"/>
              <w:right w:val="single" w:sz="4" w:space="0" w:color="auto"/>
            </w:tcBorders>
            <w:shd w:val="clear" w:color="auto" w:fill="auto"/>
            <w:noWrap/>
            <w:vAlign w:val="center"/>
          </w:tcPr>
          <w:p w14:paraId="5FDCDF9A" w14:textId="0A1A9A0D" w:rsidR="006B6F4C" w:rsidRPr="00767A4F" w:rsidRDefault="006B6F4C" w:rsidP="00BC52A9">
            <w:pPr>
              <w:jc w:val="center"/>
              <w:rPr>
                <w:rFonts w:asciiTheme="minorHAnsi" w:eastAsia="Times New Roman" w:hAnsiTheme="minorHAnsi" w:cstheme="minorHAnsi"/>
                <w:color w:val="000000"/>
                <w:sz w:val="20"/>
                <w:szCs w:val="20"/>
              </w:rPr>
            </w:pPr>
          </w:p>
        </w:tc>
        <w:tc>
          <w:tcPr>
            <w:tcW w:w="1230" w:type="dxa"/>
            <w:tcBorders>
              <w:top w:val="nil"/>
              <w:left w:val="nil"/>
              <w:bottom w:val="single" w:sz="4" w:space="0" w:color="auto"/>
              <w:right w:val="single" w:sz="4" w:space="0" w:color="auto"/>
            </w:tcBorders>
            <w:shd w:val="clear" w:color="auto" w:fill="auto"/>
            <w:noWrap/>
            <w:vAlign w:val="center"/>
          </w:tcPr>
          <w:p w14:paraId="377B0E3B" w14:textId="39949401" w:rsidR="006B6F4C" w:rsidRPr="00767A4F" w:rsidRDefault="006B6F4C" w:rsidP="00BC52A9">
            <w:pPr>
              <w:jc w:val="center"/>
              <w:rPr>
                <w:rFonts w:asciiTheme="minorHAnsi" w:eastAsia="Times New Roman" w:hAnsiTheme="minorHAnsi" w:cstheme="minorHAnsi"/>
                <w:color w:val="000000"/>
                <w:sz w:val="20"/>
                <w:szCs w:val="20"/>
              </w:rPr>
            </w:pPr>
          </w:p>
        </w:tc>
        <w:tc>
          <w:tcPr>
            <w:tcW w:w="1230" w:type="dxa"/>
            <w:tcBorders>
              <w:top w:val="nil"/>
              <w:left w:val="nil"/>
              <w:bottom w:val="single" w:sz="4" w:space="0" w:color="auto"/>
              <w:right w:val="single" w:sz="4" w:space="0" w:color="auto"/>
            </w:tcBorders>
            <w:shd w:val="clear" w:color="auto" w:fill="auto"/>
            <w:noWrap/>
            <w:vAlign w:val="center"/>
          </w:tcPr>
          <w:p w14:paraId="06DDCDDF" w14:textId="5ED762C1" w:rsidR="006B6F4C" w:rsidRPr="00767A4F" w:rsidRDefault="006B6F4C" w:rsidP="00BC52A9">
            <w:pPr>
              <w:jc w:val="center"/>
              <w:rPr>
                <w:rFonts w:asciiTheme="minorHAnsi" w:eastAsia="Times New Roman" w:hAnsiTheme="minorHAnsi" w:cstheme="minorHAnsi"/>
                <w:color w:val="000000"/>
                <w:sz w:val="20"/>
                <w:szCs w:val="20"/>
              </w:rPr>
            </w:pPr>
          </w:p>
        </w:tc>
        <w:tc>
          <w:tcPr>
            <w:tcW w:w="1230" w:type="dxa"/>
            <w:tcBorders>
              <w:top w:val="nil"/>
              <w:left w:val="nil"/>
              <w:bottom w:val="single" w:sz="4" w:space="0" w:color="auto"/>
              <w:right w:val="single" w:sz="4" w:space="0" w:color="auto"/>
            </w:tcBorders>
            <w:shd w:val="clear" w:color="auto" w:fill="auto"/>
            <w:noWrap/>
            <w:vAlign w:val="center"/>
            <w:hideMark/>
          </w:tcPr>
          <w:p w14:paraId="062F8EBA" w14:textId="2A53813E" w:rsidR="006B6F4C" w:rsidRPr="00767A4F" w:rsidRDefault="006B6F4C" w:rsidP="00BC52A9">
            <w:pPr>
              <w:jc w:val="center"/>
              <w:rPr>
                <w:rFonts w:asciiTheme="minorHAnsi" w:eastAsia="Times New Roman" w:hAnsiTheme="minorHAnsi" w:cstheme="minorHAnsi"/>
                <w:color w:val="000000"/>
                <w:sz w:val="20"/>
                <w:szCs w:val="20"/>
              </w:rPr>
            </w:pPr>
            <w:r w:rsidRPr="00767A4F">
              <w:rPr>
                <w:rFonts w:asciiTheme="minorHAnsi" w:eastAsia="Times New Roman" w:hAnsiTheme="minorHAnsi" w:cstheme="minorHAnsi"/>
                <w:color w:val="000000"/>
                <w:sz w:val="20"/>
                <w:szCs w:val="20"/>
              </w:rPr>
              <w:t>8.000.000</w:t>
            </w:r>
          </w:p>
        </w:tc>
        <w:tc>
          <w:tcPr>
            <w:tcW w:w="1230" w:type="dxa"/>
            <w:tcBorders>
              <w:top w:val="nil"/>
              <w:left w:val="nil"/>
              <w:bottom w:val="single" w:sz="4" w:space="0" w:color="auto"/>
              <w:right w:val="single" w:sz="4" w:space="0" w:color="auto"/>
            </w:tcBorders>
            <w:shd w:val="clear" w:color="auto" w:fill="auto"/>
            <w:noWrap/>
            <w:vAlign w:val="center"/>
          </w:tcPr>
          <w:p w14:paraId="69831736" w14:textId="5FD93FC7" w:rsidR="006B6F4C" w:rsidRPr="00767A4F" w:rsidRDefault="006B6F4C" w:rsidP="00BC52A9">
            <w:pPr>
              <w:jc w:val="center"/>
              <w:rPr>
                <w:rFonts w:asciiTheme="minorHAnsi" w:eastAsia="Times New Roman" w:hAnsiTheme="minorHAnsi" w:cstheme="minorHAnsi"/>
                <w:color w:val="000000"/>
                <w:sz w:val="20"/>
                <w:szCs w:val="20"/>
              </w:rPr>
            </w:pPr>
          </w:p>
        </w:tc>
      </w:tr>
      <w:tr w:rsidR="006B6F4C" w:rsidRPr="006C054E" w14:paraId="776D8B88" w14:textId="77777777" w:rsidTr="00BC52A9">
        <w:trPr>
          <w:trHeight w:val="290"/>
        </w:trPr>
        <w:tc>
          <w:tcPr>
            <w:tcW w:w="5575" w:type="dxa"/>
            <w:tcBorders>
              <w:top w:val="nil"/>
              <w:left w:val="single" w:sz="4" w:space="0" w:color="auto"/>
              <w:bottom w:val="single" w:sz="4" w:space="0" w:color="auto"/>
              <w:right w:val="single" w:sz="4" w:space="0" w:color="auto"/>
            </w:tcBorders>
            <w:shd w:val="clear" w:color="auto" w:fill="auto"/>
            <w:vAlign w:val="bottom"/>
            <w:hideMark/>
          </w:tcPr>
          <w:p w14:paraId="599B3151" w14:textId="77777777" w:rsidR="006B6F4C" w:rsidRPr="00F316AC" w:rsidRDefault="006B6F4C" w:rsidP="006B6F4C">
            <w:pPr>
              <w:rPr>
                <w:rFonts w:asciiTheme="minorHAnsi" w:eastAsia="Times New Roman" w:hAnsiTheme="minorHAnsi" w:cstheme="minorHAnsi"/>
                <w:color w:val="000000"/>
                <w:sz w:val="20"/>
                <w:szCs w:val="20"/>
              </w:rPr>
            </w:pPr>
            <w:r w:rsidRPr="00F316AC">
              <w:rPr>
                <w:rFonts w:asciiTheme="minorHAnsi" w:eastAsia="Times New Roman" w:hAnsiTheme="minorHAnsi" w:cstheme="minorHAnsi"/>
                <w:color w:val="000000"/>
                <w:sz w:val="20"/>
                <w:szCs w:val="20"/>
              </w:rPr>
              <w:t>Community care IS upgrade</w:t>
            </w:r>
          </w:p>
        </w:tc>
        <w:tc>
          <w:tcPr>
            <w:tcW w:w="1230" w:type="dxa"/>
            <w:tcBorders>
              <w:top w:val="nil"/>
              <w:left w:val="nil"/>
              <w:bottom w:val="single" w:sz="4" w:space="0" w:color="auto"/>
              <w:right w:val="single" w:sz="4" w:space="0" w:color="auto"/>
            </w:tcBorders>
            <w:vAlign w:val="center"/>
          </w:tcPr>
          <w:p w14:paraId="31BFD894" w14:textId="77777777" w:rsidR="006B6F4C" w:rsidRPr="00767A4F" w:rsidRDefault="006B6F4C" w:rsidP="000150D2">
            <w:pPr>
              <w:jc w:val="center"/>
              <w:rPr>
                <w:rFonts w:asciiTheme="minorHAnsi" w:eastAsia="Times New Roman" w:hAnsiTheme="minorHAnsi" w:cstheme="minorHAnsi"/>
                <w:color w:val="000000"/>
                <w:sz w:val="20"/>
                <w:szCs w:val="20"/>
              </w:rPr>
            </w:pPr>
            <w:r w:rsidRPr="00767A4F">
              <w:rPr>
                <w:rFonts w:asciiTheme="minorHAnsi" w:eastAsia="Times New Roman" w:hAnsiTheme="minorHAnsi" w:cstheme="minorHAnsi"/>
                <w:color w:val="000000"/>
                <w:sz w:val="20"/>
                <w:szCs w:val="20"/>
              </w:rPr>
              <w:t>G</w:t>
            </w:r>
          </w:p>
        </w:tc>
        <w:tc>
          <w:tcPr>
            <w:tcW w:w="1230" w:type="dxa"/>
            <w:tcBorders>
              <w:top w:val="nil"/>
              <w:left w:val="nil"/>
              <w:bottom w:val="single" w:sz="4" w:space="0" w:color="auto"/>
              <w:right w:val="single" w:sz="4" w:space="0" w:color="auto"/>
            </w:tcBorders>
            <w:shd w:val="clear" w:color="auto" w:fill="auto"/>
            <w:noWrap/>
            <w:vAlign w:val="center"/>
          </w:tcPr>
          <w:p w14:paraId="27E46BAD" w14:textId="6091F8AB" w:rsidR="006B6F4C" w:rsidRPr="00767A4F" w:rsidRDefault="006B6F4C" w:rsidP="00BC52A9">
            <w:pPr>
              <w:jc w:val="center"/>
              <w:rPr>
                <w:rFonts w:asciiTheme="minorHAnsi" w:eastAsia="Times New Roman" w:hAnsiTheme="minorHAnsi" w:cstheme="minorHAnsi"/>
                <w:color w:val="000000"/>
                <w:sz w:val="20"/>
                <w:szCs w:val="20"/>
              </w:rPr>
            </w:pPr>
          </w:p>
        </w:tc>
        <w:tc>
          <w:tcPr>
            <w:tcW w:w="1230" w:type="dxa"/>
            <w:tcBorders>
              <w:top w:val="nil"/>
              <w:left w:val="nil"/>
              <w:bottom w:val="single" w:sz="4" w:space="0" w:color="auto"/>
              <w:right w:val="single" w:sz="4" w:space="0" w:color="auto"/>
            </w:tcBorders>
            <w:shd w:val="clear" w:color="auto" w:fill="auto"/>
            <w:noWrap/>
            <w:vAlign w:val="center"/>
          </w:tcPr>
          <w:p w14:paraId="01039163" w14:textId="07F46E7E" w:rsidR="006B6F4C" w:rsidRPr="00767A4F" w:rsidRDefault="006B6F4C" w:rsidP="00BC52A9">
            <w:pPr>
              <w:jc w:val="center"/>
              <w:rPr>
                <w:rFonts w:asciiTheme="minorHAnsi" w:eastAsia="Times New Roman" w:hAnsiTheme="minorHAnsi" w:cstheme="minorHAnsi"/>
                <w:color w:val="000000"/>
                <w:sz w:val="20"/>
                <w:szCs w:val="20"/>
              </w:rPr>
            </w:pPr>
          </w:p>
        </w:tc>
        <w:tc>
          <w:tcPr>
            <w:tcW w:w="1230" w:type="dxa"/>
            <w:tcBorders>
              <w:top w:val="nil"/>
              <w:left w:val="nil"/>
              <w:bottom w:val="single" w:sz="4" w:space="0" w:color="auto"/>
              <w:right w:val="single" w:sz="4" w:space="0" w:color="auto"/>
            </w:tcBorders>
            <w:shd w:val="clear" w:color="auto" w:fill="auto"/>
            <w:noWrap/>
            <w:vAlign w:val="center"/>
          </w:tcPr>
          <w:p w14:paraId="00ED25A9" w14:textId="473F8C39" w:rsidR="006B6F4C" w:rsidRPr="00767A4F" w:rsidRDefault="006B6F4C" w:rsidP="00BC52A9">
            <w:pPr>
              <w:jc w:val="center"/>
              <w:rPr>
                <w:rFonts w:asciiTheme="minorHAnsi" w:eastAsia="Times New Roman" w:hAnsiTheme="minorHAnsi" w:cstheme="minorHAnsi"/>
                <w:color w:val="000000"/>
                <w:sz w:val="20"/>
                <w:szCs w:val="20"/>
              </w:rPr>
            </w:pPr>
            <w:r w:rsidRPr="00767A4F">
              <w:rPr>
                <w:rFonts w:asciiTheme="minorHAnsi" w:eastAsia="Times New Roman" w:hAnsiTheme="minorHAnsi" w:cstheme="minorHAnsi"/>
                <w:color w:val="000000"/>
                <w:sz w:val="20"/>
                <w:szCs w:val="20"/>
              </w:rPr>
              <w:t xml:space="preserve">300.000 </w:t>
            </w:r>
          </w:p>
        </w:tc>
        <w:tc>
          <w:tcPr>
            <w:tcW w:w="1230" w:type="dxa"/>
            <w:tcBorders>
              <w:top w:val="nil"/>
              <w:left w:val="nil"/>
              <w:bottom w:val="single" w:sz="4" w:space="0" w:color="auto"/>
              <w:right w:val="single" w:sz="4" w:space="0" w:color="auto"/>
            </w:tcBorders>
            <w:shd w:val="clear" w:color="auto" w:fill="auto"/>
            <w:noWrap/>
            <w:vAlign w:val="center"/>
            <w:hideMark/>
          </w:tcPr>
          <w:p w14:paraId="24CA7BB2" w14:textId="47523FD2" w:rsidR="006B6F4C" w:rsidRPr="00767A4F" w:rsidRDefault="006B6F4C" w:rsidP="00BC52A9">
            <w:pPr>
              <w:jc w:val="center"/>
              <w:rPr>
                <w:rFonts w:asciiTheme="minorHAnsi" w:eastAsia="Times New Roman" w:hAnsiTheme="minorHAnsi" w:cstheme="minorHAnsi"/>
                <w:color w:val="000000"/>
                <w:sz w:val="20"/>
                <w:szCs w:val="20"/>
              </w:rPr>
            </w:pPr>
            <w:r w:rsidRPr="00767A4F">
              <w:rPr>
                <w:rFonts w:asciiTheme="minorHAnsi" w:eastAsia="Times New Roman" w:hAnsiTheme="minorHAnsi" w:cstheme="minorHAnsi"/>
                <w:color w:val="000000"/>
                <w:sz w:val="20"/>
                <w:szCs w:val="20"/>
              </w:rPr>
              <w:t>500.000</w:t>
            </w:r>
          </w:p>
        </w:tc>
        <w:tc>
          <w:tcPr>
            <w:tcW w:w="1230" w:type="dxa"/>
            <w:tcBorders>
              <w:top w:val="nil"/>
              <w:left w:val="nil"/>
              <w:bottom w:val="single" w:sz="4" w:space="0" w:color="auto"/>
              <w:right w:val="single" w:sz="4" w:space="0" w:color="auto"/>
            </w:tcBorders>
            <w:shd w:val="clear" w:color="auto" w:fill="auto"/>
            <w:noWrap/>
            <w:vAlign w:val="center"/>
          </w:tcPr>
          <w:p w14:paraId="06F81C97" w14:textId="2C70AE01" w:rsidR="006B6F4C" w:rsidRPr="00767A4F" w:rsidRDefault="006B6F4C" w:rsidP="00BC52A9">
            <w:pPr>
              <w:jc w:val="center"/>
              <w:rPr>
                <w:rFonts w:asciiTheme="minorHAnsi" w:eastAsia="Times New Roman" w:hAnsiTheme="minorHAnsi" w:cstheme="minorHAnsi"/>
                <w:color w:val="000000"/>
                <w:sz w:val="20"/>
                <w:szCs w:val="20"/>
              </w:rPr>
            </w:pPr>
          </w:p>
        </w:tc>
      </w:tr>
      <w:tr w:rsidR="006B6F4C" w:rsidRPr="006C054E" w14:paraId="4E87C4BC" w14:textId="77777777" w:rsidTr="00BC52A9">
        <w:trPr>
          <w:trHeight w:val="290"/>
        </w:trPr>
        <w:tc>
          <w:tcPr>
            <w:tcW w:w="5575" w:type="dxa"/>
            <w:tcBorders>
              <w:top w:val="nil"/>
              <w:left w:val="single" w:sz="4" w:space="0" w:color="auto"/>
              <w:bottom w:val="single" w:sz="4" w:space="0" w:color="auto"/>
              <w:right w:val="single" w:sz="4" w:space="0" w:color="auto"/>
            </w:tcBorders>
            <w:shd w:val="clear" w:color="auto" w:fill="auto"/>
            <w:vAlign w:val="bottom"/>
            <w:hideMark/>
          </w:tcPr>
          <w:p w14:paraId="408ECB38" w14:textId="77777777" w:rsidR="006B6F4C" w:rsidRPr="00F316AC" w:rsidRDefault="006B6F4C" w:rsidP="006B6F4C">
            <w:pPr>
              <w:rPr>
                <w:rFonts w:asciiTheme="minorHAnsi" w:eastAsia="Times New Roman" w:hAnsiTheme="minorHAnsi" w:cstheme="minorHAnsi"/>
                <w:color w:val="000000"/>
                <w:sz w:val="20"/>
                <w:szCs w:val="20"/>
              </w:rPr>
            </w:pPr>
            <w:r w:rsidRPr="00F316AC">
              <w:rPr>
                <w:rFonts w:asciiTheme="minorHAnsi" w:eastAsia="Times New Roman" w:hAnsiTheme="minorHAnsi" w:cstheme="minorHAnsi"/>
                <w:color w:val="000000"/>
                <w:sz w:val="20"/>
                <w:szCs w:val="20"/>
              </w:rPr>
              <w:t>NHIH systems integration to EHR</w:t>
            </w:r>
          </w:p>
        </w:tc>
        <w:tc>
          <w:tcPr>
            <w:tcW w:w="1230" w:type="dxa"/>
            <w:tcBorders>
              <w:top w:val="nil"/>
              <w:left w:val="nil"/>
              <w:bottom w:val="single" w:sz="4" w:space="0" w:color="auto"/>
              <w:right w:val="single" w:sz="4" w:space="0" w:color="auto"/>
            </w:tcBorders>
            <w:vAlign w:val="center"/>
          </w:tcPr>
          <w:p w14:paraId="4116E74E" w14:textId="77777777" w:rsidR="006B6F4C" w:rsidRPr="00767A4F" w:rsidRDefault="006B6F4C" w:rsidP="000150D2">
            <w:pPr>
              <w:jc w:val="center"/>
              <w:rPr>
                <w:rFonts w:asciiTheme="minorHAnsi" w:eastAsia="Times New Roman" w:hAnsiTheme="minorHAnsi" w:cstheme="minorHAnsi"/>
                <w:color w:val="000000"/>
                <w:sz w:val="20"/>
                <w:szCs w:val="20"/>
              </w:rPr>
            </w:pPr>
            <w:r w:rsidRPr="00767A4F">
              <w:rPr>
                <w:rFonts w:asciiTheme="minorHAnsi" w:eastAsia="Times New Roman" w:hAnsiTheme="minorHAnsi" w:cstheme="minorHAnsi"/>
                <w:color w:val="000000"/>
                <w:sz w:val="20"/>
                <w:szCs w:val="20"/>
              </w:rPr>
              <w:t>G</w:t>
            </w:r>
          </w:p>
        </w:tc>
        <w:tc>
          <w:tcPr>
            <w:tcW w:w="1230" w:type="dxa"/>
            <w:tcBorders>
              <w:top w:val="nil"/>
              <w:left w:val="nil"/>
              <w:bottom w:val="single" w:sz="4" w:space="0" w:color="auto"/>
              <w:right w:val="single" w:sz="4" w:space="0" w:color="auto"/>
            </w:tcBorders>
            <w:shd w:val="clear" w:color="auto" w:fill="auto"/>
            <w:noWrap/>
            <w:vAlign w:val="center"/>
          </w:tcPr>
          <w:p w14:paraId="26B46B83" w14:textId="396732F5" w:rsidR="006B6F4C" w:rsidRPr="00767A4F" w:rsidRDefault="006B6F4C" w:rsidP="00BC52A9">
            <w:pPr>
              <w:jc w:val="center"/>
              <w:rPr>
                <w:rFonts w:asciiTheme="minorHAnsi" w:eastAsia="Times New Roman" w:hAnsiTheme="minorHAnsi" w:cstheme="minorHAnsi"/>
                <w:color w:val="000000"/>
                <w:sz w:val="20"/>
                <w:szCs w:val="20"/>
              </w:rPr>
            </w:pPr>
          </w:p>
        </w:tc>
        <w:tc>
          <w:tcPr>
            <w:tcW w:w="1230" w:type="dxa"/>
            <w:tcBorders>
              <w:top w:val="nil"/>
              <w:left w:val="nil"/>
              <w:bottom w:val="single" w:sz="4" w:space="0" w:color="auto"/>
              <w:right w:val="single" w:sz="4" w:space="0" w:color="auto"/>
            </w:tcBorders>
            <w:shd w:val="clear" w:color="auto" w:fill="auto"/>
            <w:noWrap/>
            <w:vAlign w:val="center"/>
          </w:tcPr>
          <w:p w14:paraId="728D41B3" w14:textId="471AA869" w:rsidR="006B6F4C" w:rsidRPr="00767A4F" w:rsidRDefault="006B6F4C" w:rsidP="00BC52A9">
            <w:pPr>
              <w:jc w:val="center"/>
              <w:rPr>
                <w:rFonts w:asciiTheme="minorHAnsi" w:eastAsia="Times New Roman" w:hAnsiTheme="minorHAnsi" w:cstheme="minorHAnsi"/>
                <w:color w:val="000000"/>
                <w:sz w:val="20"/>
                <w:szCs w:val="20"/>
              </w:rPr>
            </w:pPr>
          </w:p>
        </w:tc>
        <w:tc>
          <w:tcPr>
            <w:tcW w:w="1230" w:type="dxa"/>
            <w:tcBorders>
              <w:top w:val="nil"/>
              <w:left w:val="nil"/>
              <w:bottom w:val="single" w:sz="4" w:space="0" w:color="auto"/>
              <w:right w:val="single" w:sz="4" w:space="0" w:color="auto"/>
            </w:tcBorders>
            <w:shd w:val="clear" w:color="auto" w:fill="auto"/>
            <w:noWrap/>
            <w:vAlign w:val="center"/>
          </w:tcPr>
          <w:p w14:paraId="301E6A50" w14:textId="6BF3463D" w:rsidR="006B6F4C" w:rsidRPr="00767A4F" w:rsidRDefault="006B6F4C" w:rsidP="00BC52A9">
            <w:pPr>
              <w:jc w:val="center"/>
              <w:rPr>
                <w:rFonts w:asciiTheme="minorHAnsi" w:eastAsia="Times New Roman" w:hAnsiTheme="minorHAnsi" w:cstheme="minorHAnsi"/>
                <w:color w:val="000000"/>
                <w:sz w:val="20"/>
                <w:szCs w:val="20"/>
              </w:rPr>
            </w:pPr>
          </w:p>
        </w:tc>
        <w:tc>
          <w:tcPr>
            <w:tcW w:w="1230" w:type="dxa"/>
            <w:tcBorders>
              <w:top w:val="nil"/>
              <w:left w:val="nil"/>
              <w:bottom w:val="single" w:sz="4" w:space="0" w:color="auto"/>
              <w:right w:val="single" w:sz="4" w:space="0" w:color="auto"/>
            </w:tcBorders>
            <w:shd w:val="clear" w:color="auto" w:fill="auto"/>
            <w:noWrap/>
            <w:vAlign w:val="center"/>
          </w:tcPr>
          <w:p w14:paraId="19E14353" w14:textId="6EDA82B3" w:rsidR="006B6F4C" w:rsidRPr="00767A4F" w:rsidRDefault="006B6F4C" w:rsidP="00BC52A9">
            <w:pPr>
              <w:jc w:val="center"/>
              <w:rPr>
                <w:rFonts w:asciiTheme="minorHAnsi" w:eastAsia="Times New Roman" w:hAnsiTheme="minorHAnsi" w:cstheme="minorHAnsi"/>
                <w:color w:val="000000"/>
                <w:sz w:val="20"/>
                <w:szCs w:val="20"/>
              </w:rPr>
            </w:pPr>
            <w:r w:rsidRPr="00767A4F">
              <w:rPr>
                <w:rFonts w:asciiTheme="minorHAnsi" w:eastAsia="Times New Roman" w:hAnsiTheme="minorHAnsi" w:cstheme="minorHAnsi"/>
                <w:color w:val="000000"/>
                <w:sz w:val="20"/>
                <w:szCs w:val="20"/>
              </w:rPr>
              <w:t xml:space="preserve">500.000 </w:t>
            </w:r>
          </w:p>
        </w:tc>
        <w:tc>
          <w:tcPr>
            <w:tcW w:w="1230" w:type="dxa"/>
            <w:tcBorders>
              <w:top w:val="nil"/>
              <w:left w:val="nil"/>
              <w:bottom w:val="single" w:sz="4" w:space="0" w:color="auto"/>
              <w:right w:val="single" w:sz="4" w:space="0" w:color="auto"/>
            </w:tcBorders>
            <w:shd w:val="clear" w:color="auto" w:fill="auto"/>
            <w:noWrap/>
            <w:vAlign w:val="center"/>
          </w:tcPr>
          <w:p w14:paraId="71E08CD5" w14:textId="16C4CC45" w:rsidR="006B6F4C" w:rsidRPr="00767A4F" w:rsidRDefault="006B6F4C" w:rsidP="00BC52A9">
            <w:pPr>
              <w:jc w:val="center"/>
              <w:rPr>
                <w:rFonts w:asciiTheme="minorHAnsi" w:eastAsia="Times New Roman" w:hAnsiTheme="minorHAnsi" w:cstheme="minorHAnsi"/>
                <w:color w:val="000000"/>
                <w:sz w:val="20"/>
                <w:szCs w:val="20"/>
              </w:rPr>
            </w:pPr>
            <w:r w:rsidRPr="00767A4F">
              <w:rPr>
                <w:rFonts w:asciiTheme="minorHAnsi" w:eastAsia="Times New Roman" w:hAnsiTheme="minorHAnsi" w:cstheme="minorHAnsi"/>
                <w:color w:val="000000"/>
                <w:sz w:val="20"/>
                <w:szCs w:val="20"/>
              </w:rPr>
              <w:t>500.000</w:t>
            </w:r>
          </w:p>
        </w:tc>
      </w:tr>
      <w:tr w:rsidR="006B6F4C" w:rsidRPr="006C054E" w14:paraId="7CE791BC" w14:textId="77777777" w:rsidTr="00BC52A9">
        <w:trPr>
          <w:trHeight w:val="553"/>
        </w:trPr>
        <w:tc>
          <w:tcPr>
            <w:tcW w:w="5575" w:type="dxa"/>
            <w:tcBorders>
              <w:top w:val="nil"/>
              <w:left w:val="single" w:sz="4" w:space="0" w:color="auto"/>
              <w:bottom w:val="single" w:sz="4" w:space="0" w:color="auto"/>
              <w:right w:val="single" w:sz="4" w:space="0" w:color="auto"/>
            </w:tcBorders>
            <w:shd w:val="clear" w:color="auto" w:fill="auto"/>
            <w:vAlign w:val="bottom"/>
            <w:hideMark/>
          </w:tcPr>
          <w:p w14:paraId="499335CA" w14:textId="77777777" w:rsidR="006B6F4C" w:rsidRPr="00F316AC" w:rsidRDefault="006B6F4C" w:rsidP="006B6F4C">
            <w:pPr>
              <w:rPr>
                <w:rFonts w:asciiTheme="minorHAnsi" w:eastAsia="Times New Roman" w:hAnsiTheme="minorHAnsi" w:cstheme="minorHAnsi"/>
                <w:color w:val="000000"/>
                <w:sz w:val="20"/>
                <w:szCs w:val="20"/>
              </w:rPr>
            </w:pPr>
            <w:r w:rsidRPr="00F316AC">
              <w:rPr>
                <w:rFonts w:asciiTheme="minorHAnsi" w:eastAsia="Times New Roman" w:hAnsiTheme="minorHAnsi" w:cstheme="minorHAnsi"/>
                <w:color w:val="000000"/>
                <w:sz w:val="20"/>
                <w:szCs w:val="20"/>
              </w:rPr>
              <w:t>Upgrade/development of central systems (</w:t>
            </w:r>
            <w:proofErr w:type="spellStart"/>
            <w:r w:rsidRPr="00F316AC">
              <w:rPr>
                <w:rFonts w:asciiTheme="minorHAnsi" w:eastAsia="Times New Roman" w:hAnsiTheme="minorHAnsi" w:cstheme="minorHAnsi"/>
                <w:color w:val="000000"/>
                <w:sz w:val="20"/>
                <w:szCs w:val="20"/>
              </w:rPr>
              <w:t>ePrescription</w:t>
            </w:r>
            <w:proofErr w:type="spellEnd"/>
            <w:r w:rsidRPr="00F316AC">
              <w:rPr>
                <w:rFonts w:asciiTheme="minorHAnsi" w:eastAsia="Times New Roman" w:hAnsiTheme="minorHAnsi" w:cstheme="minorHAnsi"/>
                <w:color w:val="000000"/>
                <w:sz w:val="20"/>
                <w:szCs w:val="20"/>
              </w:rPr>
              <w:t xml:space="preserve">, </w:t>
            </w:r>
            <w:proofErr w:type="spellStart"/>
            <w:r w:rsidRPr="00F316AC">
              <w:rPr>
                <w:rFonts w:asciiTheme="minorHAnsi" w:eastAsia="Times New Roman" w:hAnsiTheme="minorHAnsi" w:cstheme="minorHAnsi"/>
                <w:color w:val="000000"/>
                <w:sz w:val="20"/>
                <w:szCs w:val="20"/>
              </w:rPr>
              <w:t>eReferral</w:t>
            </w:r>
            <w:proofErr w:type="spellEnd"/>
            <w:r w:rsidRPr="00F316AC">
              <w:rPr>
                <w:rFonts w:asciiTheme="minorHAnsi" w:eastAsia="Times New Roman" w:hAnsiTheme="minorHAnsi" w:cstheme="minorHAnsi"/>
                <w:color w:val="000000"/>
                <w:sz w:val="20"/>
                <w:szCs w:val="20"/>
              </w:rPr>
              <w:t>, blood bank)</w:t>
            </w:r>
          </w:p>
        </w:tc>
        <w:tc>
          <w:tcPr>
            <w:tcW w:w="1230" w:type="dxa"/>
            <w:tcBorders>
              <w:top w:val="nil"/>
              <w:left w:val="nil"/>
              <w:bottom w:val="single" w:sz="4" w:space="0" w:color="auto"/>
              <w:right w:val="single" w:sz="4" w:space="0" w:color="auto"/>
            </w:tcBorders>
            <w:vAlign w:val="center"/>
          </w:tcPr>
          <w:p w14:paraId="2F8369E4" w14:textId="77777777" w:rsidR="006B6F4C" w:rsidRPr="00767A4F" w:rsidRDefault="006B6F4C" w:rsidP="000150D2">
            <w:pPr>
              <w:jc w:val="center"/>
              <w:rPr>
                <w:rFonts w:asciiTheme="minorHAnsi" w:eastAsia="Times New Roman" w:hAnsiTheme="minorHAnsi" w:cstheme="minorHAnsi"/>
                <w:color w:val="000000"/>
                <w:sz w:val="20"/>
                <w:szCs w:val="20"/>
              </w:rPr>
            </w:pPr>
            <w:r w:rsidRPr="00767A4F">
              <w:rPr>
                <w:rFonts w:asciiTheme="minorHAnsi" w:eastAsia="Times New Roman" w:hAnsiTheme="minorHAnsi" w:cstheme="minorHAnsi"/>
                <w:color w:val="000000"/>
                <w:sz w:val="20"/>
                <w:szCs w:val="20"/>
              </w:rPr>
              <w:t>G</w:t>
            </w:r>
          </w:p>
        </w:tc>
        <w:tc>
          <w:tcPr>
            <w:tcW w:w="1230" w:type="dxa"/>
            <w:tcBorders>
              <w:top w:val="nil"/>
              <w:left w:val="nil"/>
              <w:bottom w:val="single" w:sz="4" w:space="0" w:color="auto"/>
              <w:right w:val="single" w:sz="4" w:space="0" w:color="auto"/>
            </w:tcBorders>
            <w:shd w:val="clear" w:color="auto" w:fill="auto"/>
            <w:noWrap/>
            <w:vAlign w:val="center"/>
          </w:tcPr>
          <w:p w14:paraId="5F820BB2" w14:textId="16DD43FE" w:rsidR="006B6F4C" w:rsidRPr="00767A4F" w:rsidRDefault="006B6F4C" w:rsidP="00BC52A9">
            <w:pPr>
              <w:jc w:val="center"/>
              <w:rPr>
                <w:rFonts w:asciiTheme="minorHAnsi" w:eastAsia="Times New Roman" w:hAnsiTheme="minorHAnsi" w:cstheme="minorHAnsi"/>
                <w:color w:val="000000"/>
                <w:sz w:val="20"/>
                <w:szCs w:val="20"/>
              </w:rPr>
            </w:pPr>
          </w:p>
        </w:tc>
        <w:tc>
          <w:tcPr>
            <w:tcW w:w="1230" w:type="dxa"/>
            <w:tcBorders>
              <w:top w:val="nil"/>
              <w:left w:val="nil"/>
              <w:bottom w:val="single" w:sz="4" w:space="0" w:color="auto"/>
              <w:right w:val="single" w:sz="4" w:space="0" w:color="auto"/>
            </w:tcBorders>
            <w:shd w:val="clear" w:color="auto" w:fill="auto"/>
            <w:noWrap/>
            <w:vAlign w:val="center"/>
          </w:tcPr>
          <w:p w14:paraId="1B078A87" w14:textId="4FD506A3" w:rsidR="006B6F4C" w:rsidRPr="00767A4F" w:rsidRDefault="006B6F4C" w:rsidP="00BC52A9">
            <w:pPr>
              <w:jc w:val="center"/>
              <w:rPr>
                <w:rFonts w:asciiTheme="minorHAnsi" w:eastAsia="Times New Roman" w:hAnsiTheme="minorHAnsi" w:cstheme="minorHAnsi"/>
                <w:color w:val="000000"/>
                <w:sz w:val="20"/>
                <w:szCs w:val="20"/>
              </w:rPr>
            </w:pPr>
          </w:p>
        </w:tc>
        <w:tc>
          <w:tcPr>
            <w:tcW w:w="1230" w:type="dxa"/>
            <w:tcBorders>
              <w:top w:val="nil"/>
              <w:left w:val="nil"/>
              <w:bottom w:val="single" w:sz="4" w:space="0" w:color="auto"/>
              <w:right w:val="single" w:sz="4" w:space="0" w:color="auto"/>
            </w:tcBorders>
            <w:shd w:val="clear" w:color="auto" w:fill="auto"/>
            <w:noWrap/>
            <w:vAlign w:val="center"/>
          </w:tcPr>
          <w:p w14:paraId="0B5A0EE0" w14:textId="3A6C6D90" w:rsidR="006B6F4C" w:rsidRPr="00767A4F" w:rsidRDefault="006B6F4C" w:rsidP="00BC52A9">
            <w:pPr>
              <w:jc w:val="center"/>
              <w:rPr>
                <w:rFonts w:asciiTheme="minorHAnsi" w:eastAsia="Times New Roman" w:hAnsiTheme="minorHAnsi" w:cstheme="minorHAnsi"/>
                <w:color w:val="000000"/>
                <w:sz w:val="20"/>
                <w:szCs w:val="20"/>
              </w:rPr>
            </w:pPr>
            <w:r w:rsidRPr="00767A4F">
              <w:rPr>
                <w:rFonts w:asciiTheme="minorHAnsi" w:eastAsia="Times New Roman" w:hAnsiTheme="minorHAnsi" w:cstheme="minorHAnsi"/>
                <w:color w:val="000000"/>
                <w:sz w:val="20"/>
                <w:szCs w:val="20"/>
              </w:rPr>
              <w:t xml:space="preserve">1.000.000 </w:t>
            </w:r>
          </w:p>
        </w:tc>
        <w:tc>
          <w:tcPr>
            <w:tcW w:w="1230" w:type="dxa"/>
            <w:tcBorders>
              <w:top w:val="nil"/>
              <w:left w:val="nil"/>
              <w:bottom w:val="single" w:sz="4" w:space="0" w:color="auto"/>
              <w:right w:val="single" w:sz="4" w:space="0" w:color="auto"/>
            </w:tcBorders>
            <w:shd w:val="clear" w:color="auto" w:fill="auto"/>
            <w:noWrap/>
            <w:vAlign w:val="center"/>
          </w:tcPr>
          <w:p w14:paraId="18F952D6" w14:textId="112D5332" w:rsidR="006B6F4C" w:rsidRPr="00767A4F" w:rsidRDefault="006B6F4C" w:rsidP="00BC52A9">
            <w:pPr>
              <w:jc w:val="center"/>
              <w:rPr>
                <w:rFonts w:asciiTheme="minorHAnsi" w:eastAsia="Times New Roman" w:hAnsiTheme="minorHAnsi" w:cstheme="minorHAnsi"/>
                <w:color w:val="000000"/>
                <w:sz w:val="20"/>
                <w:szCs w:val="20"/>
              </w:rPr>
            </w:pPr>
            <w:r w:rsidRPr="00767A4F">
              <w:rPr>
                <w:rFonts w:asciiTheme="minorHAnsi" w:eastAsia="Times New Roman" w:hAnsiTheme="minorHAnsi" w:cstheme="minorHAnsi"/>
                <w:color w:val="000000"/>
                <w:sz w:val="20"/>
                <w:szCs w:val="20"/>
              </w:rPr>
              <w:t>2.000.000</w:t>
            </w:r>
          </w:p>
        </w:tc>
        <w:tc>
          <w:tcPr>
            <w:tcW w:w="1230" w:type="dxa"/>
            <w:tcBorders>
              <w:top w:val="nil"/>
              <w:left w:val="nil"/>
              <w:bottom w:val="single" w:sz="4" w:space="0" w:color="auto"/>
              <w:right w:val="single" w:sz="4" w:space="0" w:color="auto"/>
            </w:tcBorders>
            <w:shd w:val="clear" w:color="auto" w:fill="auto"/>
            <w:noWrap/>
            <w:vAlign w:val="center"/>
          </w:tcPr>
          <w:p w14:paraId="2FEB9CB5" w14:textId="12DD6DEC" w:rsidR="006B6F4C" w:rsidRPr="00767A4F" w:rsidRDefault="006B6F4C" w:rsidP="00BC52A9">
            <w:pPr>
              <w:jc w:val="center"/>
              <w:rPr>
                <w:rFonts w:asciiTheme="minorHAnsi" w:eastAsia="Times New Roman" w:hAnsiTheme="minorHAnsi" w:cstheme="minorHAnsi"/>
                <w:color w:val="000000"/>
                <w:sz w:val="20"/>
                <w:szCs w:val="20"/>
              </w:rPr>
            </w:pPr>
          </w:p>
        </w:tc>
      </w:tr>
      <w:tr w:rsidR="006B6F4C" w:rsidRPr="006C054E" w14:paraId="2F8158F4" w14:textId="77777777" w:rsidTr="00BC52A9">
        <w:trPr>
          <w:trHeight w:val="580"/>
        </w:trPr>
        <w:tc>
          <w:tcPr>
            <w:tcW w:w="5575" w:type="dxa"/>
            <w:tcBorders>
              <w:top w:val="nil"/>
              <w:left w:val="single" w:sz="4" w:space="0" w:color="auto"/>
              <w:bottom w:val="single" w:sz="4" w:space="0" w:color="auto"/>
              <w:right w:val="single" w:sz="4" w:space="0" w:color="auto"/>
            </w:tcBorders>
            <w:shd w:val="clear" w:color="auto" w:fill="auto"/>
            <w:vAlign w:val="bottom"/>
            <w:hideMark/>
          </w:tcPr>
          <w:p w14:paraId="5ACECC29" w14:textId="77777777" w:rsidR="006B6F4C" w:rsidRPr="00F316AC" w:rsidRDefault="006B6F4C" w:rsidP="006B6F4C">
            <w:pPr>
              <w:rPr>
                <w:rFonts w:asciiTheme="minorHAnsi" w:eastAsia="Times New Roman" w:hAnsiTheme="minorHAnsi" w:cstheme="minorHAnsi"/>
                <w:color w:val="000000"/>
                <w:sz w:val="20"/>
                <w:szCs w:val="20"/>
              </w:rPr>
            </w:pPr>
            <w:r w:rsidRPr="00F316AC">
              <w:rPr>
                <w:rFonts w:asciiTheme="minorHAnsi" w:eastAsia="Times New Roman" w:hAnsiTheme="minorHAnsi" w:cstheme="minorHAnsi"/>
                <w:color w:val="000000"/>
                <w:sz w:val="20"/>
                <w:szCs w:val="20"/>
              </w:rPr>
              <w:t>HMIS (resources and financial analytics incl. error and fraud detection modules)</w:t>
            </w:r>
          </w:p>
        </w:tc>
        <w:tc>
          <w:tcPr>
            <w:tcW w:w="1230" w:type="dxa"/>
            <w:tcBorders>
              <w:top w:val="nil"/>
              <w:left w:val="nil"/>
              <w:bottom w:val="single" w:sz="4" w:space="0" w:color="auto"/>
              <w:right w:val="single" w:sz="4" w:space="0" w:color="auto"/>
            </w:tcBorders>
            <w:vAlign w:val="center"/>
          </w:tcPr>
          <w:p w14:paraId="4A7B2C44" w14:textId="77777777" w:rsidR="006B6F4C" w:rsidRPr="00767A4F" w:rsidRDefault="006B6F4C" w:rsidP="000150D2">
            <w:pPr>
              <w:jc w:val="center"/>
              <w:rPr>
                <w:rFonts w:asciiTheme="minorHAnsi" w:eastAsia="Times New Roman" w:hAnsiTheme="minorHAnsi" w:cstheme="minorHAnsi"/>
                <w:color w:val="000000"/>
                <w:sz w:val="20"/>
                <w:szCs w:val="20"/>
              </w:rPr>
            </w:pPr>
            <w:r w:rsidRPr="00767A4F">
              <w:rPr>
                <w:rFonts w:asciiTheme="minorHAnsi" w:eastAsia="Times New Roman" w:hAnsiTheme="minorHAnsi" w:cstheme="minorHAnsi"/>
                <w:color w:val="000000"/>
                <w:sz w:val="20"/>
                <w:szCs w:val="20"/>
              </w:rPr>
              <w:t>G</w:t>
            </w:r>
          </w:p>
        </w:tc>
        <w:tc>
          <w:tcPr>
            <w:tcW w:w="1230" w:type="dxa"/>
            <w:tcBorders>
              <w:top w:val="nil"/>
              <w:left w:val="nil"/>
              <w:bottom w:val="single" w:sz="4" w:space="0" w:color="auto"/>
              <w:right w:val="single" w:sz="4" w:space="0" w:color="auto"/>
            </w:tcBorders>
            <w:shd w:val="clear" w:color="auto" w:fill="auto"/>
            <w:noWrap/>
            <w:vAlign w:val="center"/>
          </w:tcPr>
          <w:p w14:paraId="725E11B4" w14:textId="53CEB885" w:rsidR="006B6F4C" w:rsidRPr="00767A4F" w:rsidRDefault="006B6F4C" w:rsidP="00BC52A9">
            <w:pPr>
              <w:jc w:val="center"/>
              <w:rPr>
                <w:rFonts w:asciiTheme="minorHAnsi" w:eastAsia="Times New Roman" w:hAnsiTheme="minorHAnsi" w:cstheme="minorHAnsi"/>
                <w:color w:val="000000"/>
                <w:sz w:val="20"/>
                <w:szCs w:val="20"/>
              </w:rPr>
            </w:pPr>
          </w:p>
        </w:tc>
        <w:tc>
          <w:tcPr>
            <w:tcW w:w="1230" w:type="dxa"/>
            <w:tcBorders>
              <w:top w:val="nil"/>
              <w:left w:val="nil"/>
              <w:bottom w:val="single" w:sz="4" w:space="0" w:color="auto"/>
              <w:right w:val="single" w:sz="4" w:space="0" w:color="auto"/>
            </w:tcBorders>
            <w:shd w:val="clear" w:color="auto" w:fill="auto"/>
            <w:noWrap/>
            <w:vAlign w:val="center"/>
          </w:tcPr>
          <w:p w14:paraId="1DDA20E7" w14:textId="3C89B297" w:rsidR="006B6F4C" w:rsidRPr="00767A4F" w:rsidRDefault="006B6F4C" w:rsidP="00BC52A9">
            <w:pPr>
              <w:jc w:val="center"/>
              <w:rPr>
                <w:rFonts w:asciiTheme="minorHAnsi" w:eastAsia="Times New Roman" w:hAnsiTheme="minorHAnsi" w:cstheme="minorHAnsi"/>
                <w:color w:val="000000"/>
                <w:sz w:val="20"/>
                <w:szCs w:val="20"/>
              </w:rPr>
            </w:pPr>
          </w:p>
        </w:tc>
        <w:tc>
          <w:tcPr>
            <w:tcW w:w="1230" w:type="dxa"/>
            <w:tcBorders>
              <w:top w:val="nil"/>
              <w:left w:val="nil"/>
              <w:bottom w:val="single" w:sz="4" w:space="0" w:color="auto"/>
              <w:right w:val="single" w:sz="4" w:space="0" w:color="auto"/>
            </w:tcBorders>
            <w:shd w:val="clear" w:color="auto" w:fill="auto"/>
            <w:noWrap/>
            <w:vAlign w:val="center"/>
          </w:tcPr>
          <w:p w14:paraId="542CF0CB" w14:textId="6CB3F8B0" w:rsidR="006B6F4C" w:rsidRPr="00767A4F" w:rsidRDefault="006B6F4C" w:rsidP="00BC52A9">
            <w:pPr>
              <w:jc w:val="center"/>
              <w:rPr>
                <w:rFonts w:asciiTheme="minorHAnsi" w:eastAsia="Times New Roman" w:hAnsiTheme="minorHAnsi" w:cstheme="minorHAnsi"/>
                <w:color w:val="000000"/>
                <w:sz w:val="20"/>
                <w:szCs w:val="20"/>
              </w:rPr>
            </w:pPr>
          </w:p>
        </w:tc>
        <w:tc>
          <w:tcPr>
            <w:tcW w:w="1230" w:type="dxa"/>
            <w:tcBorders>
              <w:top w:val="nil"/>
              <w:left w:val="nil"/>
              <w:bottom w:val="single" w:sz="4" w:space="0" w:color="auto"/>
              <w:right w:val="single" w:sz="4" w:space="0" w:color="auto"/>
            </w:tcBorders>
            <w:shd w:val="clear" w:color="auto" w:fill="auto"/>
            <w:noWrap/>
            <w:vAlign w:val="center"/>
          </w:tcPr>
          <w:p w14:paraId="5B1E8266" w14:textId="4F586DCD" w:rsidR="006B6F4C" w:rsidRPr="00767A4F" w:rsidRDefault="006B6F4C" w:rsidP="00BC52A9">
            <w:pPr>
              <w:jc w:val="center"/>
              <w:rPr>
                <w:rFonts w:asciiTheme="minorHAnsi" w:eastAsia="Times New Roman" w:hAnsiTheme="minorHAnsi" w:cstheme="minorHAnsi"/>
                <w:color w:val="000000"/>
                <w:sz w:val="20"/>
                <w:szCs w:val="20"/>
              </w:rPr>
            </w:pPr>
            <w:r w:rsidRPr="00767A4F">
              <w:rPr>
                <w:rFonts w:asciiTheme="minorHAnsi" w:eastAsia="Times New Roman" w:hAnsiTheme="minorHAnsi" w:cstheme="minorHAnsi"/>
                <w:color w:val="000000"/>
                <w:sz w:val="20"/>
                <w:szCs w:val="20"/>
              </w:rPr>
              <w:t xml:space="preserve">1.000.000 </w:t>
            </w:r>
          </w:p>
        </w:tc>
        <w:tc>
          <w:tcPr>
            <w:tcW w:w="1230" w:type="dxa"/>
            <w:tcBorders>
              <w:top w:val="nil"/>
              <w:left w:val="nil"/>
              <w:bottom w:val="single" w:sz="4" w:space="0" w:color="auto"/>
              <w:right w:val="single" w:sz="4" w:space="0" w:color="auto"/>
            </w:tcBorders>
            <w:shd w:val="clear" w:color="auto" w:fill="auto"/>
            <w:noWrap/>
            <w:vAlign w:val="center"/>
          </w:tcPr>
          <w:p w14:paraId="3C7D570D" w14:textId="23AF1C21" w:rsidR="006B6F4C" w:rsidRPr="00767A4F" w:rsidRDefault="006B6F4C" w:rsidP="00BC52A9">
            <w:pPr>
              <w:jc w:val="center"/>
              <w:rPr>
                <w:rFonts w:asciiTheme="minorHAnsi" w:eastAsia="Times New Roman" w:hAnsiTheme="minorHAnsi" w:cstheme="minorHAnsi"/>
                <w:color w:val="000000"/>
                <w:sz w:val="20"/>
                <w:szCs w:val="20"/>
              </w:rPr>
            </w:pPr>
            <w:r w:rsidRPr="00767A4F">
              <w:rPr>
                <w:rFonts w:asciiTheme="minorHAnsi" w:eastAsia="Times New Roman" w:hAnsiTheme="minorHAnsi" w:cstheme="minorHAnsi"/>
                <w:color w:val="000000"/>
                <w:sz w:val="20"/>
                <w:szCs w:val="20"/>
              </w:rPr>
              <w:t>4.000.000</w:t>
            </w:r>
          </w:p>
        </w:tc>
      </w:tr>
      <w:tr w:rsidR="006B6F4C" w:rsidRPr="006C054E" w14:paraId="601B5B69" w14:textId="77777777" w:rsidTr="00BC52A9">
        <w:trPr>
          <w:trHeight w:val="580"/>
        </w:trPr>
        <w:tc>
          <w:tcPr>
            <w:tcW w:w="5575" w:type="dxa"/>
            <w:tcBorders>
              <w:top w:val="nil"/>
              <w:left w:val="single" w:sz="4" w:space="0" w:color="auto"/>
              <w:bottom w:val="single" w:sz="4" w:space="0" w:color="auto"/>
              <w:right w:val="single" w:sz="4" w:space="0" w:color="auto"/>
            </w:tcBorders>
            <w:shd w:val="clear" w:color="auto" w:fill="auto"/>
            <w:vAlign w:val="bottom"/>
            <w:hideMark/>
          </w:tcPr>
          <w:p w14:paraId="103E4A35" w14:textId="77777777" w:rsidR="006B6F4C" w:rsidRPr="00F316AC" w:rsidRDefault="006B6F4C" w:rsidP="006B6F4C">
            <w:pPr>
              <w:rPr>
                <w:rFonts w:asciiTheme="minorHAnsi" w:eastAsia="Times New Roman" w:hAnsiTheme="minorHAnsi" w:cstheme="minorHAnsi"/>
                <w:color w:val="000000"/>
                <w:sz w:val="20"/>
                <w:szCs w:val="20"/>
              </w:rPr>
            </w:pPr>
            <w:r w:rsidRPr="00F316AC">
              <w:rPr>
                <w:rFonts w:asciiTheme="minorHAnsi" w:eastAsia="Times New Roman" w:hAnsiTheme="minorHAnsi" w:cstheme="minorHAnsi"/>
                <w:color w:val="000000"/>
                <w:sz w:val="20"/>
                <w:szCs w:val="20"/>
              </w:rPr>
              <w:t>Data Observatory (health statistics and indicators)</w:t>
            </w:r>
          </w:p>
        </w:tc>
        <w:tc>
          <w:tcPr>
            <w:tcW w:w="1230" w:type="dxa"/>
            <w:tcBorders>
              <w:top w:val="nil"/>
              <w:left w:val="nil"/>
              <w:bottom w:val="single" w:sz="4" w:space="0" w:color="auto"/>
              <w:right w:val="single" w:sz="4" w:space="0" w:color="auto"/>
            </w:tcBorders>
            <w:vAlign w:val="center"/>
          </w:tcPr>
          <w:p w14:paraId="40B18442" w14:textId="77777777" w:rsidR="006B6F4C" w:rsidRPr="00767A4F" w:rsidRDefault="006B6F4C" w:rsidP="000150D2">
            <w:pPr>
              <w:jc w:val="center"/>
              <w:rPr>
                <w:rFonts w:asciiTheme="minorHAnsi" w:eastAsia="Times New Roman" w:hAnsiTheme="minorHAnsi" w:cstheme="minorHAnsi"/>
                <w:color w:val="000000"/>
                <w:sz w:val="20"/>
                <w:szCs w:val="20"/>
              </w:rPr>
            </w:pPr>
            <w:r w:rsidRPr="00767A4F">
              <w:rPr>
                <w:rFonts w:asciiTheme="minorHAnsi" w:eastAsia="Times New Roman" w:hAnsiTheme="minorHAnsi" w:cstheme="minorHAnsi"/>
                <w:color w:val="000000"/>
                <w:sz w:val="20"/>
                <w:szCs w:val="20"/>
              </w:rPr>
              <w:t>G</w:t>
            </w:r>
          </w:p>
        </w:tc>
        <w:tc>
          <w:tcPr>
            <w:tcW w:w="1230" w:type="dxa"/>
            <w:tcBorders>
              <w:top w:val="nil"/>
              <w:left w:val="nil"/>
              <w:bottom w:val="single" w:sz="4" w:space="0" w:color="auto"/>
              <w:right w:val="single" w:sz="4" w:space="0" w:color="auto"/>
            </w:tcBorders>
            <w:shd w:val="clear" w:color="auto" w:fill="auto"/>
            <w:noWrap/>
            <w:vAlign w:val="center"/>
          </w:tcPr>
          <w:p w14:paraId="752BA9DF" w14:textId="0FD6E506" w:rsidR="006B6F4C" w:rsidRPr="00767A4F" w:rsidRDefault="006B6F4C" w:rsidP="00BC52A9">
            <w:pPr>
              <w:jc w:val="center"/>
              <w:rPr>
                <w:rFonts w:asciiTheme="minorHAnsi" w:eastAsia="Times New Roman" w:hAnsiTheme="minorHAnsi" w:cstheme="minorHAnsi"/>
                <w:color w:val="000000"/>
                <w:sz w:val="20"/>
                <w:szCs w:val="20"/>
              </w:rPr>
            </w:pPr>
          </w:p>
        </w:tc>
        <w:tc>
          <w:tcPr>
            <w:tcW w:w="1230" w:type="dxa"/>
            <w:tcBorders>
              <w:top w:val="nil"/>
              <w:left w:val="nil"/>
              <w:bottom w:val="single" w:sz="4" w:space="0" w:color="auto"/>
              <w:right w:val="single" w:sz="4" w:space="0" w:color="auto"/>
            </w:tcBorders>
            <w:shd w:val="clear" w:color="auto" w:fill="auto"/>
            <w:noWrap/>
            <w:vAlign w:val="center"/>
          </w:tcPr>
          <w:p w14:paraId="2720BE4F" w14:textId="421CD226" w:rsidR="006B6F4C" w:rsidRPr="00767A4F" w:rsidRDefault="006B6F4C" w:rsidP="00BC52A9">
            <w:pPr>
              <w:jc w:val="center"/>
              <w:rPr>
                <w:rFonts w:asciiTheme="minorHAnsi" w:eastAsia="Times New Roman" w:hAnsiTheme="minorHAnsi" w:cstheme="minorHAnsi"/>
                <w:color w:val="000000"/>
                <w:sz w:val="20"/>
                <w:szCs w:val="20"/>
              </w:rPr>
            </w:pPr>
          </w:p>
        </w:tc>
        <w:tc>
          <w:tcPr>
            <w:tcW w:w="1230" w:type="dxa"/>
            <w:tcBorders>
              <w:top w:val="nil"/>
              <w:left w:val="nil"/>
              <w:bottom w:val="single" w:sz="4" w:space="0" w:color="auto"/>
              <w:right w:val="single" w:sz="4" w:space="0" w:color="auto"/>
            </w:tcBorders>
            <w:shd w:val="clear" w:color="auto" w:fill="auto"/>
            <w:noWrap/>
            <w:vAlign w:val="center"/>
          </w:tcPr>
          <w:p w14:paraId="2E319E90" w14:textId="0E7920AD" w:rsidR="006B6F4C" w:rsidRPr="00767A4F" w:rsidRDefault="006B6F4C" w:rsidP="00BC52A9">
            <w:pPr>
              <w:jc w:val="center"/>
              <w:rPr>
                <w:rFonts w:asciiTheme="minorHAnsi" w:eastAsia="Times New Roman" w:hAnsiTheme="minorHAnsi" w:cstheme="minorHAnsi"/>
                <w:color w:val="000000"/>
                <w:sz w:val="20"/>
                <w:szCs w:val="20"/>
              </w:rPr>
            </w:pPr>
          </w:p>
        </w:tc>
        <w:tc>
          <w:tcPr>
            <w:tcW w:w="1230" w:type="dxa"/>
            <w:tcBorders>
              <w:top w:val="nil"/>
              <w:left w:val="nil"/>
              <w:bottom w:val="single" w:sz="4" w:space="0" w:color="auto"/>
              <w:right w:val="single" w:sz="4" w:space="0" w:color="auto"/>
            </w:tcBorders>
            <w:shd w:val="clear" w:color="auto" w:fill="auto"/>
            <w:noWrap/>
            <w:vAlign w:val="center"/>
          </w:tcPr>
          <w:p w14:paraId="409CC730" w14:textId="57E74019" w:rsidR="006B6F4C" w:rsidRPr="00767A4F" w:rsidRDefault="006B6F4C" w:rsidP="00BC52A9">
            <w:pPr>
              <w:jc w:val="center"/>
              <w:rPr>
                <w:rFonts w:asciiTheme="minorHAnsi" w:eastAsia="Times New Roman" w:hAnsiTheme="minorHAnsi" w:cstheme="minorHAnsi"/>
                <w:color w:val="000000"/>
                <w:sz w:val="20"/>
                <w:szCs w:val="20"/>
              </w:rPr>
            </w:pPr>
            <w:r w:rsidRPr="00767A4F">
              <w:rPr>
                <w:rFonts w:asciiTheme="minorHAnsi" w:eastAsia="Times New Roman" w:hAnsiTheme="minorHAnsi" w:cstheme="minorHAnsi"/>
                <w:color w:val="000000"/>
                <w:sz w:val="20"/>
                <w:szCs w:val="20"/>
              </w:rPr>
              <w:t xml:space="preserve">1.000.000 </w:t>
            </w:r>
          </w:p>
        </w:tc>
        <w:tc>
          <w:tcPr>
            <w:tcW w:w="1230" w:type="dxa"/>
            <w:tcBorders>
              <w:top w:val="nil"/>
              <w:left w:val="nil"/>
              <w:bottom w:val="single" w:sz="4" w:space="0" w:color="auto"/>
              <w:right w:val="single" w:sz="4" w:space="0" w:color="auto"/>
            </w:tcBorders>
            <w:shd w:val="clear" w:color="auto" w:fill="auto"/>
            <w:noWrap/>
            <w:vAlign w:val="center"/>
          </w:tcPr>
          <w:p w14:paraId="59926436" w14:textId="2F337AC1" w:rsidR="006B6F4C" w:rsidRPr="00767A4F" w:rsidRDefault="006B6F4C" w:rsidP="00BC52A9">
            <w:pPr>
              <w:jc w:val="center"/>
              <w:rPr>
                <w:rFonts w:asciiTheme="minorHAnsi" w:eastAsia="Times New Roman" w:hAnsiTheme="minorHAnsi" w:cstheme="minorHAnsi"/>
                <w:color w:val="000000"/>
                <w:sz w:val="20"/>
                <w:szCs w:val="20"/>
              </w:rPr>
            </w:pPr>
            <w:r w:rsidRPr="00767A4F">
              <w:rPr>
                <w:rFonts w:asciiTheme="minorHAnsi" w:eastAsia="Times New Roman" w:hAnsiTheme="minorHAnsi" w:cstheme="minorHAnsi"/>
                <w:color w:val="000000"/>
                <w:sz w:val="20"/>
                <w:szCs w:val="20"/>
              </w:rPr>
              <w:t>3.000.000</w:t>
            </w:r>
          </w:p>
        </w:tc>
      </w:tr>
      <w:tr w:rsidR="006B6F4C" w:rsidRPr="006C054E" w14:paraId="14CC2DC6" w14:textId="77777777" w:rsidTr="00BC52A9">
        <w:trPr>
          <w:trHeight w:val="900"/>
        </w:trPr>
        <w:tc>
          <w:tcPr>
            <w:tcW w:w="5575" w:type="dxa"/>
            <w:tcBorders>
              <w:top w:val="nil"/>
              <w:left w:val="single" w:sz="4" w:space="0" w:color="auto"/>
              <w:bottom w:val="single" w:sz="4" w:space="0" w:color="auto"/>
              <w:right w:val="single" w:sz="4" w:space="0" w:color="auto"/>
            </w:tcBorders>
            <w:shd w:val="clear" w:color="auto" w:fill="auto"/>
            <w:vAlign w:val="bottom"/>
            <w:hideMark/>
          </w:tcPr>
          <w:p w14:paraId="148EA549" w14:textId="77777777" w:rsidR="006B6F4C" w:rsidRPr="00F316AC" w:rsidRDefault="006B6F4C" w:rsidP="006B6F4C">
            <w:pPr>
              <w:rPr>
                <w:rFonts w:asciiTheme="minorHAnsi" w:eastAsia="Times New Roman" w:hAnsiTheme="minorHAnsi" w:cstheme="minorHAnsi"/>
                <w:color w:val="000000"/>
                <w:sz w:val="20"/>
                <w:szCs w:val="20"/>
              </w:rPr>
            </w:pPr>
            <w:r w:rsidRPr="00F316AC">
              <w:rPr>
                <w:rFonts w:asciiTheme="minorHAnsi" w:eastAsia="Times New Roman" w:hAnsiTheme="minorHAnsi" w:cstheme="minorHAnsi"/>
                <w:color w:val="000000"/>
                <w:sz w:val="20"/>
                <w:szCs w:val="20"/>
              </w:rPr>
              <w:t>Various consulting services (requirements assessment, technical specifications, technical monitoring, etc.)</w:t>
            </w:r>
          </w:p>
        </w:tc>
        <w:tc>
          <w:tcPr>
            <w:tcW w:w="1230" w:type="dxa"/>
            <w:tcBorders>
              <w:top w:val="nil"/>
              <w:left w:val="nil"/>
              <w:bottom w:val="single" w:sz="4" w:space="0" w:color="auto"/>
              <w:right w:val="single" w:sz="4" w:space="0" w:color="auto"/>
            </w:tcBorders>
            <w:vAlign w:val="center"/>
          </w:tcPr>
          <w:p w14:paraId="3F67A8B4" w14:textId="77777777" w:rsidR="006B6F4C" w:rsidRPr="00767A4F" w:rsidRDefault="006B6F4C" w:rsidP="000150D2">
            <w:pPr>
              <w:jc w:val="center"/>
              <w:rPr>
                <w:rFonts w:asciiTheme="minorHAnsi" w:eastAsia="Times New Roman" w:hAnsiTheme="minorHAnsi" w:cstheme="minorHAnsi"/>
                <w:color w:val="000000"/>
                <w:sz w:val="20"/>
                <w:szCs w:val="20"/>
              </w:rPr>
            </w:pPr>
            <w:r w:rsidRPr="00767A4F">
              <w:rPr>
                <w:rFonts w:asciiTheme="minorHAnsi" w:eastAsia="Times New Roman" w:hAnsiTheme="minorHAnsi" w:cstheme="minorHAnsi"/>
                <w:color w:val="000000"/>
                <w:sz w:val="20"/>
                <w:szCs w:val="20"/>
              </w:rPr>
              <w:t>CS</w:t>
            </w:r>
          </w:p>
        </w:tc>
        <w:tc>
          <w:tcPr>
            <w:tcW w:w="1230" w:type="dxa"/>
            <w:tcBorders>
              <w:top w:val="nil"/>
              <w:left w:val="nil"/>
              <w:bottom w:val="single" w:sz="4" w:space="0" w:color="auto"/>
              <w:right w:val="single" w:sz="4" w:space="0" w:color="auto"/>
            </w:tcBorders>
            <w:shd w:val="clear" w:color="auto" w:fill="auto"/>
            <w:noWrap/>
            <w:vAlign w:val="center"/>
          </w:tcPr>
          <w:p w14:paraId="06BFCA4D" w14:textId="5D92E236" w:rsidR="006B6F4C" w:rsidRPr="00767A4F" w:rsidRDefault="006B6F4C" w:rsidP="00BC52A9">
            <w:pPr>
              <w:jc w:val="center"/>
              <w:rPr>
                <w:rFonts w:asciiTheme="minorHAnsi" w:eastAsia="Times New Roman" w:hAnsiTheme="minorHAnsi" w:cstheme="minorHAnsi"/>
                <w:color w:val="000000"/>
                <w:sz w:val="20"/>
                <w:szCs w:val="20"/>
              </w:rPr>
            </w:pPr>
          </w:p>
        </w:tc>
        <w:tc>
          <w:tcPr>
            <w:tcW w:w="1230" w:type="dxa"/>
            <w:tcBorders>
              <w:top w:val="nil"/>
              <w:left w:val="nil"/>
              <w:bottom w:val="single" w:sz="4" w:space="0" w:color="auto"/>
              <w:right w:val="single" w:sz="4" w:space="0" w:color="auto"/>
            </w:tcBorders>
            <w:shd w:val="clear" w:color="auto" w:fill="auto"/>
            <w:noWrap/>
            <w:vAlign w:val="center"/>
          </w:tcPr>
          <w:p w14:paraId="06C09556" w14:textId="66FD175E" w:rsidR="006B6F4C" w:rsidRPr="00767A4F" w:rsidRDefault="006B6F4C" w:rsidP="00BC52A9">
            <w:pPr>
              <w:jc w:val="center"/>
              <w:rPr>
                <w:rFonts w:asciiTheme="minorHAnsi" w:eastAsia="Times New Roman" w:hAnsiTheme="minorHAnsi" w:cstheme="minorHAnsi"/>
                <w:color w:val="000000"/>
                <w:sz w:val="20"/>
                <w:szCs w:val="20"/>
              </w:rPr>
            </w:pPr>
            <w:r w:rsidRPr="00767A4F">
              <w:rPr>
                <w:rFonts w:asciiTheme="minorHAnsi" w:eastAsia="Times New Roman" w:hAnsiTheme="minorHAnsi" w:cstheme="minorHAnsi"/>
                <w:color w:val="000000"/>
                <w:sz w:val="20"/>
                <w:szCs w:val="20"/>
              </w:rPr>
              <w:t xml:space="preserve">400.000 </w:t>
            </w:r>
          </w:p>
        </w:tc>
        <w:tc>
          <w:tcPr>
            <w:tcW w:w="1230" w:type="dxa"/>
            <w:tcBorders>
              <w:top w:val="nil"/>
              <w:left w:val="nil"/>
              <w:bottom w:val="single" w:sz="4" w:space="0" w:color="auto"/>
              <w:right w:val="single" w:sz="4" w:space="0" w:color="auto"/>
            </w:tcBorders>
            <w:shd w:val="clear" w:color="auto" w:fill="auto"/>
            <w:noWrap/>
            <w:vAlign w:val="center"/>
          </w:tcPr>
          <w:p w14:paraId="252DC1E9" w14:textId="1676649E" w:rsidR="006B6F4C" w:rsidRPr="00767A4F" w:rsidRDefault="006B6F4C" w:rsidP="00BC52A9">
            <w:pPr>
              <w:jc w:val="center"/>
              <w:rPr>
                <w:rFonts w:asciiTheme="minorHAnsi" w:eastAsia="Times New Roman" w:hAnsiTheme="minorHAnsi" w:cstheme="minorHAnsi"/>
                <w:color w:val="000000"/>
                <w:sz w:val="20"/>
                <w:szCs w:val="20"/>
              </w:rPr>
            </w:pPr>
            <w:r w:rsidRPr="00767A4F">
              <w:rPr>
                <w:rFonts w:asciiTheme="minorHAnsi" w:eastAsia="Times New Roman" w:hAnsiTheme="minorHAnsi" w:cstheme="minorHAnsi"/>
                <w:color w:val="000000"/>
                <w:sz w:val="20"/>
                <w:szCs w:val="20"/>
              </w:rPr>
              <w:t xml:space="preserve">400.000 </w:t>
            </w:r>
          </w:p>
        </w:tc>
        <w:tc>
          <w:tcPr>
            <w:tcW w:w="1230" w:type="dxa"/>
            <w:tcBorders>
              <w:top w:val="nil"/>
              <w:left w:val="nil"/>
              <w:bottom w:val="single" w:sz="4" w:space="0" w:color="auto"/>
              <w:right w:val="single" w:sz="4" w:space="0" w:color="auto"/>
            </w:tcBorders>
            <w:shd w:val="clear" w:color="auto" w:fill="auto"/>
            <w:noWrap/>
            <w:vAlign w:val="center"/>
          </w:tcPr>
          <w:p w14:paraId="6774CDED" w14:textId="03E6AD21" w:rsidR="006B6F4C" w:rsidRPr="00767A4F" w:rsidRDefault="006B6F4C" w:rsidP="00BC52A9">
            <w:pPr>
              <w:jc w:val="center"/>
              <w:rPr>
                <w:rFonts w:asciiTheme="minorHAnsi" w:eastAsia="Times New Roman" w:hAnsiTheme="minorHAnsi" w:cstheme="minorHAnsi"/>
                <w:color w:val="000000"/>
                <w:sz w:val="20"/>
                <w:szCs w:val="20"/>
              </w:rPr>
            </w:pPr>
            <w:r w:rsidRPr="00767A4F">
              <w:rPr>
                <w:rFonts w:asciiTheme="minorHAnsi" w:eastAsia="Times New Roman" w:hAnsiTheme="minorHAnsi" w:cstheme="minorHAnsi"/>
                <w:color w:val="000000"/>
                <w:sz w:val="20"/>
                <w:szCs w:val="20"/>
              </w:rPr>
              <w:t xml:space="preserve">400.000 </w:t>
            </w:r>
          </w:p>
        </w:tc>
        <w:tc>
          <w:tcPr>
            <w:tcW w:w="1230" w:type="dxa"/>
            <w:tcBorders>
              <w:top w:val="nil"/>
              <w:left w:val="nil"/>
              <w:bottom w:val="single" w:sz="4" w:space="0" w:color="auto"/>
              <w:right w:val="single" w:sz="4" w:space="0" w:color="auto"/>
            </w:tcBorders>
            <w:shd w:val="clear" w:color="auto" w:fill="auto"/>
            <w:noWrap/>
            <w:vAlign w:val="center"/>
          </w:tcPr>
          <w:p w14:paraId="070CE57A" w14:textId="2B94E840" w:rsidR="006B6F4C" w:rsidRPr="00767A4F" w:rsidRDefault="006B6F4C" w:rsidP="00BC52A9">
            <w:pPr>
              <w:jc w:val="center"/>
              <w:rPr>
                <w:rFonts w:asciiTheme="minorHAnsi" w:eastAsia="Times New Roman" w:hAnsiTheme="minorHAnsi" w:cstheme="minorHAnsi"/>
                <w:color w:val="000000"/>
                <w:sz w:val="20"/>
                <w:szCs w:val="20"/>
              </w:rPr>
            </w:pPr>
            <w:r w:rsidRPr="00767A4F">
              <w:rPr>
                <w:rFonts w:asciiTheme="minorHAnsi" w:eastAsia="Times New Roman" w:hAnsiTheme="minorHAnsi" w:cstheme="minorHAnsi"/>
                <w:color w:val="000000"/>
                <w:sz w:val="20"/>
                <w:szCs w:val="20"/>
              </w:rPr>
              <w:t>400.000</w:t>
            </w:r>
          </w:p>
        </w:tc>
      </w:tr>
    </w:tbl>
    <w:p w14:paraId="696D84D5" w14:textId="2673917A" w:rsidR="007F48B9" w:rsidRDefault="007F48B9" w:rsidP="00307228">
      <w:pPr>
        <w:ind w:left="360"/>
        <w:jc w:val="both"/>
        <w:rPr>
          <w:rFonts w:asciiTheme="minorHAnsi" w:hAnsiTheme="minorHAnsi" w:cstheme="minorHAnsi"/>
          <w:sz w:val="20"/>
          <w:szCs w:val="20"/>
        </w:rPr>
      </w:pPr>
    </w:p>
    <w:p w14:paraId="3AA0B8E9" w14:textId="42E286FB" w:rsidR="007F48B9" w:rsidRDefault="007F48B9" w:rsidP="00307228">
      <w:pPr>
        <w:ind w:left="360"/>
        <w:jc w:val="both"/>
        <w:rPr>
          <w:rFonts w:asciiTheme="minorHAnsi" w:hAnsiTheme="minorHAnsi" w:cstheme="minorHAnsi"/>
          <w:sz w:val="20"/>
          <w:szCs w:val="20"/>
        </w:rPr>
      </w:pPr>
    </w:p>
    <w:p w14:paraId="076117D7" w14:textId="230546C2" w:rsidR="00F316AC" w:rsidRDefault="00F316AC">
      <w:pPr>
        <w:spacing w:after="200" w:line="276" w:lineRule="auto"/>
        <w:rPr>
          <w:rFonts w:asciiTheme="minorHAnsi" w:hAnsiTheme="minorHAnsi" w:cstheme="minorHAnsi"/>
          <w:sz w:val="20"/>
          <w:szCs w:val="20"/>
        </w:rPr>
      </w:pPr>
      <w:r>
        <w:rPr>
          <w:rFonts w:asciiTheme="minorHAnsi" w:hAnsiTheme="minorHAnsi" w:cstheme="minorHAnsi"/>
          <w:sz w:val="20"/>
          <w:szCs w:val="20"/>
        </w:rPr>
        <w:br w:type="page"/>
      </w:r>
    </w:p>
    <w:p w14:paraId="401B0795" w14:textId="77777777" w:rsidR="007F48B9" w:rsidRPr="006C054E" w:rsidRDefault="007F48B9" w:rsidP="00307228">
      <w:pPr>
        <w:ind w:left="360"/>
        <w:jc w:val="both"/>
        <w:rPr>
          <w:rFonts w:asciiTheme="minorHAnsi" w:hAnsiTheme="minorHAnsi" w:cstheme="minorHAnsi"/>
          <w:sz w:val="20"/>
          <w:szCs w:val="20"/>
        </w:rPr>
      </w:pPr>
    </w:p>
    <w:tbl>
      <w:tblPr>
        <w:tblW w:w="12955" w:type="dxa"/>
        <w:tblLayout w:type="fixed"/>
        <w:tblLook w:val="04A0" w:firstRow="1" w:lastRow="0" w:firstColumn="1" w:lastColumn="0" w:noHBand="0" w:noVBand="1"/>
      </w:tblPr>
      <w:tblGrid>
        <w:gridCol w:w="5575"/>
        <w:gridCol w:w="1230"/>
        <w:gridCol w:w="1230"/>
        <w:gridCol w:w="1230"/>
        <w:gridCol w:w="1230"/>
        <w:gridCol w:w="1230"/>
        <w:gridCol w:w="1230"/>
      </w:tblGrid>
      <w:tr w:rsidR="00EC3581" w:rsidRPr="006C054E" w14:paraId="7CDAECC8" w14:textId="77777777" w:rsidTr="00BF0776">
        <w:trPr>
          <w:trHeight w:val="818"/>
        </w:trPr>
        <w:tc>
          <w:tcPr>
            <w:tcW w:w="5575" w:type="dxa"/>
            <w:tcBorders>
              <w:top w:val="single" w:sz="4" w:space="0" w:color="auto"/>
              <w:left w:val="single" w:sz="4" w:space="0" w:color="auto"/>
              <w:bottom w:val="single" w:sz="4" w:space="0" w:color="auto"/>
              <w:right w:val="single" w:sz="4" w:space="0" w:color="auto"/>
            </w:tcBorders>
            <w:shd w:val="clear" w:color="000000" w:fill="DDEBF7"/>
            <w:noWrap/>
            <w:vAlign w:val="center"/>
            <w:hideMark/>
          </w:tcPr>
          <w:p w14:paraId="24985E15" w14:textId="79779FC6" w:rsidR="00EC3581" w:rsidRPr="006C054E" w:rsidRDefault="00EC3581" w:rsidP="00DA0196">
            <w:pPr>
              <w:jc w:val="center"/>
              <w:rPr>
                <w:rFonts w:asciiTheme="minorHAnsi" w:eastAsia="Times New Roman" w:hAnsiTheme="minorHAnsi" w:cstheme="minorHAnsi"/>
                <w:b/>
                <w:bCs/>
                <w:color w:val="000000"/>
                <w:sz w:val="20"/>
                <w:szCs w:val="20"/>
              </w:rPr>
            </w:pPr>
            <w:r w:rsidRPr="006C054E">
              <w:rPr>
                <w:rFonts w:asciiTheme="minorHAnsi" w:eastAsia="Times New Roman" w:hAnsiTheme="minorHAnsi" w:cstheme="minorHAnsi"/>
                <w:b/>
                <w:bCs/>
                <w:color w:val="000000"/>
                <w:sz w:val="20"/>
                <w:szCs w:val="20"/>
              </w:rPr>
              <w:t xml:space="preserve">Activities </w:t>
            </w:r>
            <w:r w:rsidR="00375915">
              <w:rPr>
                <w:rFonts w:asciiTheme="minorHAnsi" w:eastAsia="Times New Roman" w:hAnsiTheme="minorHAnsi" w:cstheme="minorHAnsi"/>
                <w:b/>
                <w:bCs/>
                <w:color w:val="000000"/>
                <w:sz w:val="20"/>
                <w:szCs w:val="20"/>
              </w:rPr>
              <w:t>Description</w:t>
            </w:r>
          </w:p>
        </w:tc>
        <w:tc>
          <w:tcPr>
            <w:tcW w:w="1230" w:type="dxa"/>
            <w:tcBorders>
              <w:top w:val="single" w:sz="4" w:space="0" w:color="auto"/>
              <w:left w:val="nil"/>
              <w:bottom w:val="single" w:sz="4" w:space="0" w:color="auto"/>
              <w:right w:val="single" w:sz="4" w:space="0" w:color="auto"/>
            </w:tcBorders>
            <w:shd w:val="clear" w:color="000000" w:fill="DDEBF7"/>
            <w:noWrap/>
            <w:vAlign w:val="center"/>
            <w:hideMark/>
          </w:tcPr>
          <w:p w14:paraId="045E1656" w14:textId="77777777" w:rsidR="00EC3581" w:rsidRPr="006C054E" w:rsidRDefault="00EC3581" w:rsidP="00DA0196">
            <w:pPr>
              <w:jc w:val="center"/>
              <w:rPr>
                <w:rFonts w:asciiTheme="minorHAnsi" w:eastAsia="Times New Roman" w:hAnsiTheme="minorHAnsi" w:cstheme="minorHAnsi"/>
                <w:b/>
                <w:bCs/>
                <w:color w:val="000000"/>
                <w:sz w:val="20"/>
                <w:szCs w:val="20"/>
              </w:rPr>
            </w:pPr>
            <w:r w:rsidRPr="006C054E">
              <w:rPr>
                <w:rFonts w:asciiTheme="minorHAnsi" w:eastAsia="Times New Roman" w:hAnsiTheme="minorHAnsi" w:cstheme="minorHAnsi"/>
                <w:b/>
                <w:bCs/>
                <w:color w:val="000000"/>
                <w:sz w:val="20"/>
                <w:szCs w:val="20"/>
              </w:rPr>
              <w:t>Type</w:t>
            </w:r>
          </w:p>
        </w:tc>
        <w:tc>
          <w:tcPr>
            <w:tcW w:w="1230" w:type="dxa"/>
            <w:tcBorders>
              <w:top w:val="single" w:sz="4" w:space="0" w:color="auto"/>
              <w:left w:val="nil"/>
              <w:bottom w:val="single" w:sz="4" w:space="0" w:color="auto"/>
              <w:right w:val="single" w:sz="4" w:space="0" w:color="auto"/>
            </w:tcBorders>
            <w:shd w:val="clear" w:color="000000" w:fill="DDEBF7"/>
            <w:vAlign w:val="center"/>
          </w:tcPr>
          <w:p w14:paraId="0E62022F" w14:textId="0C51E462" w:rsidR="00EC3581" w:rsidRPr="006C054E" w:rsidRDefault="00EC3581" w:rsidP="00DA0196">
            <w:pPr>
              <w:jc w:val="center"/>
              <w:rPr>
                <w:rFonts w:asciiTheme="minorHAnsi" w:eastAsia="Times New Roman" w:hAnsiTheme="minorHAnsi" w:cstheme="minorHAnsi"/>
                <w:b/>
                <w:bCs/>
                <w:color w:val="000000"/>
                <w:sz w:val="20"/>
                <w:szCs w:val="20"/>
              </w:rPr>
            </w:pPr>
            <w:r w:rsidRPr="006C054E">
              <w:rPr>
                <w:rFonts w:asciiTheme="minorHAnsi" w:eastAsia="Times New Roman" w:hAnsiTheme="minorHAnsi" w:cstheme="minorHAnsi"/>
                <w:b/>
                <w:bCs/>
                <w:color w:val="000000"/>
                <w:sz w:val="20"/>
                <w:szCs w:val="20"/>
              </w:rPr>
              <w:t>2019</w:t>
            </w:r>
          </w:p>
        </w:tc>
        <w:tc>
          <w:tcPr>
            <w:tcW w:w="1230" w:type="dxa"/>
            <w:tcBorders>
              <w:top w:val="single" w:sz="4" w:space="0" w:color="auto"/>
              <w:left w:val="single" w:sz="4" w:space="0" w:color="auto"/>
              <w:bottom w:val="single" w:sz="4" w:space="0" w:color="auto"/>
              <w:right w:val="single" w:sz="4" w:space="0" w:color="auto"/>
            </w:tcBorders>
            <w:shd w:val="clear" w:color="000000" w:fill="DDEBF7"/>
            <w:noWrap/>
            <w:vAlign w:val="center"/>
            <w:hideMark/>
          </w:tcPr>
          <w:p w14:paraId="60FA6DFC" w14:textId="77777777" w:rsidR="00EC3581" w:rsidRPr="006C054E" w:rsidRDefault="00EC3581" w:rsidP="00DA0196">
            <w:pPr>
              <w:jc w:val="center"/>
              <w:rPr>
                <w:rFonts w:asciiTheme="minorHAnsi" w:eastAsia="Times New Roman" w:hAnsiTheme="minorHAnsi" w:cstheme="minorHAnsi"/>
                <w:b/>
                <w:bCs/>
                <w:color w:val="000000"/>
                <w:sz w:val="20"/>
                <w:szCs w:val="20"/>
              </w:rPr>
            </w:pPr>
            <w:r w:rsidRPr="006C054E">
              <w:rPr>
                <w:rFonts w:asciiTheme="minorHAnsi" w:eastAsia="Times New Roman" w:hAnsiTheme="minorHAnsi" w:cstheme="minorHAnsi"/>
                <w:b/>
                <w:bCs/>
                <w:color w:val="000000"/>
                <w:sz w:val="20"/>
                <w:szCs w:val="20"/>
              </w:rPr>
              <w:t>2020</w:t>
            </w:r>
          </w:p>
        </w:tc>
        <w:tc>
          <w:tcPr>
            <w:tcW w:w="1230" w:type="dxa"/>
            <w:tcBorders>
              <w:top w:val="single" w:sz="4" w:space="0" w:color="auto"/>
              <w:left w:val="nil"/>
              <w:bottom w:val="single" w:sz="4" w:space="0" w:color="auto"/>
              <w:right w:val="single" w:sz="4" w:space="0" w:color="auto"/>
            </w:tcBorders>
            <w:shd w:val="clear" w:color="000000" w:fill="DDEBF7"/>
            <w:noWrap/>
            <w:vAlign w:val="center"/>
            <w:hideMark/>
          </w:tcPr>
          <w:p w14:paraId="025A3D22" w14:textId="77777777" w:rsidR="00EC3581" w:rsidRPr="006C054E" w:rsidRDefault="00EC3581" w:rsidP="00DA0196">
            <w:pPr>
              <w:jc w:val="center"/>
              <w:rPr>
                <w:rFonts w:asciiTheme="minorHAnsi" w:eastAsia="Times New Roman" w:hAnsiTheme="minorHAnsi" w:cstheme="minorHAnsi"/>
                <w:b/>
                <w:bCs/>
                <w:color w:val="000000"/>
                <w:sz w:val="20"/>
                <w:szCs w:val="20"/>
              </w:rPr>
            </w:pPr>
            <w:r w:rsidRPr="006C054E">
              <w:rPr>
                <w:rFonts w:asciiTheme="minorHAnsi" w:eastAsia="Times New Roman" w:hAnsiTheme="minorHAnsi" w:cstheme="minorHAnsi"/>
                <w:b/>
                <w:bCs/>
                <w:color w:val="000000"/>
                <w:sz w:val="20"/>
                <w:szCs w:val="20"/>
              </w:rPr>
              <w:t>2021</w:t>
            </w:r>
          </w:p>
        </w:tc>
        <w:tc>
          <w:tcPr>
            <w:tcW w:w="1230" w:type="dxa"/>
            <w:tcBorders>
              <w:top w:val="single" w:sz="4" w:space="0" w:color="auto"/>
              <w:left w:val="nil"/>
              <w:bottom w:val="single" w:sz="4" w:space="0" w:color="auto"/>
              <w:right w:val="single" w:sz="4" w:space="0" w:color="auto"/>
            </w:tcBorders>
            <w:shd w:val="clear" w:color="000000" w:fill="DDEBF7"/>
            <w:noWrap/>
            <w:vAlign w:val="center"/>
            <w:hideMark/>
          </w:tcPr>
          <w:p w14:paraId="5AE7F9FF" w14:textId="77777777" w:rsidR="00EC3581" w:rsidRPr="006C054E" w:rsidRDefault="00EC3581" w:rsidP="00DA0196">
            <w:pPr>
              <w:jc w:val="center"/>
              <w:rPr>
                <w:rFonts w:asciiTheme="minorHAnsi" w:eastAsia="Times New Roman" w:hAnsiTheme="minorHAnsi" w:cstheme="minorHAnsi"/>
                <w:b/>
                <w:bCs/>
                <w:color w:val="000000"/>
                <w:sz w:val="20"/>
                <w:szCs w:val="20"/>
              </w:rPr>
            </w:pPr>
            <w:r w:rsidRPr="006C054E">
              <w:rPr>
                <w:rFonts w:asciiTheme="minorHAnsi" w:eastAsia="Times New Roman" w:hAnsiTheme="minorHAnsi" w:cstheme="minorHAnsi"/>
                <w:b/>
                <w:bCs/>
                <w:color w:val="000000"/>
                <w:sz w:val="20"/>
                <w:szCs w:val="20"/>
              </w:rPr>
              <w:t>2022</w:t>
            </w:r>
          </w:p>
        </w:tc>
        <w:tc>
          <w:tcPr>
            <w:tcW w:w="1230" w:type="dxa"/>
            <w:tcBorders>
              <w:top w:val="single" w:sz="4" w:space="0" w:color="auto"/>
              <w:left w:val="nil"/>
              <w:bottom w:val="single" w:sz="4" w:space="0" w:color="auto"/>
              <w:right w:val="single" w:sz="4" w:space="0" w:color="auto"/>
            </w:tcBorders>
            <w:shd w:val="clear" w:color="000000" w:fill="DDEBF7"/>
            <w:noWrap/>
            <w:vAlign w:val="center"/>
            <w:hideMark/>
          </w:tcPr>
          <w:p w14:paraId="106E91C5" w14:textId="77777777" w:rsidR="00EC3581" w:rsidRPr="006C054E" w:rsidRDefault="00EC3581" w:rsidP="0098728E">
            <w:pPr>
              <w:jc w:val="center"/>
              <w:rPr>
                <w:rFonts w:asciiTheme="minorHAnsi" w:eastAsia="Times New Roman" w:hAnsiTheme="minorHAnsi" w:cstheme="minorHAnsi"/>
                <w:b/>
                <w:bCs/>
                <w:color w:val="000000"/>
                <w:sz w:val="20"/>
                <w:szCs w:val="20"/>
              </w:rPr>
            </w:pPr>
            <w:r w:rsidRPr="006C054E">
              <w:rPr>
                <w:rFonts w:asciiTheme="minorHAnsi" w:eastAsia="Times New Roman" w:hAnsiTheme="minorHAnsi" w:cstheme="minorHAnsi"/>
                <w:b/>
                <w:bCs/>
                <w:color w:val="000000"/>
                <w:sz w:val="20"/>
                <w:szCs w:val="20"/>
              </w:rPr>
              <w:t>2023</w:t>
            </w:r>
          </w:p>
        </w:tc>
      </w:tr>
      <w:tr w:rsidR="00EC3581" w:rsidRPr="006C054E" w14:paraId="4DB0C60E" w14:textId="77777777" w:rsidTr="00BF0776">
        <w:trPr>
          <w:trHeight w:val="290"/>
        </w:trPr>
        <w:tc>
          <w:tcPr>
            <w:tcW w:w="5575" w:type="dxa"/>
            <w:tcBorders>
              <w:top w:val="nil"/>
              <w:left w:val="single" w:sz="4" w:space="0" w:color="auto"/>
              <w:bottom w:val="single" w:sz="4" w:space="0" w:color="auto"/>
              <w:right w:val="single" w:sz="4" w:space="0" w:color="auto"/>
            </w:tcBorders>
            <w:shd w:val="clear" w:color="auto" w:fill="auto"/>
            <w:noWrap/>
            <w:hideMark/>
          </w:tcPr>
          <w:p w14:paraId="75BABA07" w14:textId="77777777" w:rsidR="00EC3581" w:rsidRPr="006C054E" w:rsidRDefault="00EC3581" w:rsidP="00A74A8F">
            <w:pPr>
              <w:rPr>
                <w:rFonts w:asciiTheme="minorHAnsi" w:hAnsiTheme="minorHAnsi" w:cstheme="minorHAnsi"/>
                <w:sz w:val="20"/>
                <w:szCs w:val="20"/>
              </w:rPr>
            </w:pPr>
            <w:r w:rsidRPr="006C054E">
              <w:rPr>
                <w:rFonts w:asciiTheme="minorHAnsi" w:hAnsiTheme="minorHAnsi" w:cstheme="minorHAnsi"/>
                <w:sz w:val="20"/>
                <w:szCs w:val="20"/>
              </w:rPr>
              <w:t>Technical assistance to ONAC to assume centralized procurement of standardized products for hospitals without existing framework contracts (including consultancy services and training)</w:t>
            </w:r>
          </w:p>
        </w:tc>
        <w:tc>
          <w:tcPr>
            <w:tcW w:w="1230" w:type="dxa"/>
            <w:tcBorders>
              <w:top w:val="nil"/>
              <w:left w:val="nil"/>
              <w:bottom w:val="single" w:sz="4" w:space="0" w:color="auto"/>
              <w:right w:val="single" w:sz="4" w:space="0" w:color="auto"/>
            </w:tcBorders>
            <w:shd w:val="clear" w:color="auto" w:fill="auto"/>
            <w:noWrap/>
            <w:vAlign w:val="center"/>
            <w:hideMark/>
          </w:tcPr>
          <w:p w14:paraId="177F84AC" w14:textId="77777777" w:rsidR="00EC3581" w:rsidRPr="006C054E" w:rsidRDefault="00EC3581" w:rsidP="00BF0776">
            <w:pPr>
              <w:jc w:val="center"/>
              <w:rPr>
                <w:rFonts w:asciiTheme="minorHAnsi" w:eastAsia="Times New Roman" w:hAnsiTheme="minorHAnsi" w:cstheme="minorHAnsi"/>
                <w:color w:val="000000"/>
                <w:sz w:val="20"/>
                <w:szCs w:val="20"/>
              </w:rPr>
            </w:pPr>
            <w:r w:rsidRPr="006C054E">
              <w:rPr>
                <w:rFonts w:asciiTheme="minorHAnsi" w:eastAsia="Times New Roman" w:hAnsiTheme="minorHAnsi" w:cstheme="minorHAnsi"/>
                <w:color w:val="000000"/>
                <w:sz w:val="20"/>
                <w:szCs w:val="20"/>
              </w:rPr>
              <w:t>CS</w:t>
            </w:r>
          </w:p>
        </w:tc>
        <w:tc>
          <w:tcPr>
            <w:tcW w:w="1230" w:type="dxa"/>
            <w:tcBorders>
              <w:top w:val="nil"/>
              <w:left w:val="nil"/>
              <w:bottom w:val="single" w:sz="4" w:space="0" w:color="auto"/>
              <w:right w:val="single" w:sz="4" w:space="0" w:color="auto"/>
            </w:tcBorders>
            <w:vAlign w:val="center"/>
          </w:tcPr>
          <w:p w14:paraId="12118424" w14:textId="77777777" w:rsidR="00EC3581" w:rsidRPr="006C054E" w:rsidRDefault="00EC3581" w:rsidP="00BF0776">
            <w:pPr>
              <w:jc w:val="center"/>
              <w:rPr>
                <w:rFonts w:asciiTheme="minorHAnsi" w:eastAsia="Times New Roman" w:hAnsiTheme="minorHAnsi" w:cstheme="minorHAnsi"/>
                <w:color w:val="000000"/>
                <w:sz w:val="20"/>
                <w:szCs w:val="20"/>
              </w:rPr>
            </w:pPr>
          </w:p>
        </w:tc>
        <w:tc>
          <w:tcPr>
            <w:tcW w:w="1230" w:type="dxa"/>
            <w:tcBorders>
              <w:top w:val="nil"/>
              <w:left w:val="single" w:sz="4" w:space="0" w:color="auto"/>
              <w:bottom w:val="single" w:sz="4" w:space="0" w:color="auto"/>
              <w:right w:val="single" w:sz="4" w:space="0" w:color="auto"/>
            </w:tcBorders>
            <w:shd w:val="clear" w:color="auto" w:fill="auto"/>
            <w:noWrap/>
            <w:vAlign w:val="center"/>
            <w:hideMark/>
          </w:tcPr>
          <w:p w14:paraId="450721C2" w14:textId="77777777" w:rsidR="00EC3581" w:rsidRPr="006C054E" w:rsidRDefault="00EC3581" w:rsidP="00BF0776">
            <w:pPr>
              <w:jc w:val="center"/>
              <w:rPr>
                <w:rFonts w:asciiTheme="minorHAnsi" w:eastAsia="Times New Roman" w:hAnsiTheme="minorHAnsi" w:cstheme="minorHAnsi"/>
                <w:color w:val="000000"/>
                <w:sz w:val="20"/>
                <w:szCs w:val="20"/>
              </w:rPr>
            </w:pPr>
            <w:r w:rsidRPr="006C054E">
              <w:rPr>
                <w:rFonts w:asciiTheme="minorHAnsi" w:eastAsia="Times New Roman" w:hAnsiTheme="minorHAnsi" w:cstheme="minorHAnsi"/>
                <w:color w:val="000000"/>
                <w:sz w:val="20"/>
                <w:szCs w:val="20"/>
              </w:rPr>
              <w:t>150,000</w:t>
            </w:r>
          </w:p>
        </w:tc>
        <w:tc>
          <w:tcPr>
            <w:tcW w:w="1230" w:type="dxa"/>
            <w:tcBorders>
              <w:top w:val="nil"/>
              <w:left w:val="nil"/>
              <w:bottom w:val="single" w:sz="4" w:space="0" w:color="auto"/>
              <w:right w:val="single" w:sz="4" w:space="0" w:color="auto"/>
            </w:tcBorders>
            <w:shd w:val="clear" w:color="auto" w:fill="auto"/>
            <w:noWrap/>
            <w:vAlign w:val="center"/>
            <w:hideMark/>
          </w:tcPr>
          <w:p w14:paraId="3DA6F0A9" w14:textId="77777777" w:rsidR="00EC3581" w:rsidRPr="006C054E" w:rsidRDefault="00EC3581" w:rsidP="00BF0776">
            <w:pPr>
              <w:jc w:val="center"/>
              <w:rPr>
                <w:rFonts w:asciiTheme="minorHAnsi" w:eastAsia="Times New Roman" w:hAnsiTheme="minorHAnsi" w:cstheme="minorHAnsi"/>
                <w:color w:val="000000"/>
                <w:sz w:val="20"/>
                <w:szCs w:val="20"/>
              </w:rPr>
            </w:pPr>
          </w:p>
        </w:tc>
        <w:tc>
          <w:tcPr>
            <w:tcW w:w="1230" w:type="dxa"/>
            <w:tcBorders>
              <w:top w:val="nil"/>
              <w:left w:val="nil"/>
              <w:bottom w:val="single" w:sz="4" w:space="0" w:color="auto"/>
              <w:right w:val="single" w:sz="4" w:space="0" w:color="auto"/>
            </w:tcBorders>
            <w:shd w:val="clear" w:color="auto" w:fill="auto"/>
            <w:noWrap/>
            <w:vAlign w:val="center"/>
            <w:hideMark/>
          </w:tcPr>
          <w:p w14:paraId="486B4D6C" w14:textId="77777777" w:rsidR="00EC3581" w:rsidRPr="006C054E" w:rsidRDefault="00EC3581" w:rsidP="00BF0776">
            <w:pPr>
              <w:jc w:val="center"/>
              <w:rPr>
                <w:rFonts w:asciiTheme="minorHAnsi" w:eastAsia="Times New Roman" w:hAnsiTheme="minorHAnsi" w:cstheme="minorHAnsi"/>
                <w:color w:val="000000"/>
                <w:sz w:val="20"/>
                <w:szCs w:val="20"/>
              </w:rPr>
            </w:pPr>
          </w:p>
        </w:tc>
        <w:tc>
          <w:tcPr>
            <w:tcW w:w="1230" w:type="dxa"/>
            <w:tcBorders>
              <w:top w:val="nil"/>
              <w:left w:val="nil"/>
              <w:bottom w:val="single" w:sz="4" w:space="0" w:color="auto"/>
              <w:right w:val="single" w:sz="4" w:space="0" w:color="auto"/>
            </w:tcBorders>
            <w:shd w:val="clear" w:color="auto" w:fill="auto"/>
            <w:noWrap/>
            <w:vAlign w:val="center"/>
            <w:hideMark/>
          </w:tcPr>
          <w:p w14:paraId="578613C1" w14:textId="77777777" w:rsidR="00EC3581" w:rsidRPr="006C054E" w:rsidRDefault="00EC3581" w:rsidP="00BF0776">
            <w:pPr>
              <w:jc w:val="center"/>
              <w:rPr>
                <w:rFonts w:asciiTheme="minorHAnsi" w:eastAsia="Times New Roman" w:hAnsiTheme="minorHAnsi" w:cstheme="minorHAnsi"/>
                <w:color w:val="000000"/>
                <w:sz w:val="20"/>
                <w:szCs w:val="20"/>
              </w:rPr>
            </w:pPr>
          </w:p>
        </w:tc>
      </w:tr>
      <w:tr w:rsidR="00EC3581" w:rsidRPr="006C054E" w14:paraId="6A7A2026" w14:textId="77777777" w:rsidTr="00BF0776">
        <w:trPr>
          <w:trHeight w:val="290"/>
        </w:trPr>
        <w:tc>
          <w:tcPr>
            <w:tcW w:w="5575" w:type="dxa"/>
            <w:tcBorders>
              <w:top w:val="nil"/>
              <w:left w:val="single" w:sz="4" w:space="0" w:color="auto"/>
              <w:bottom w:val="single" w:sz="4" w:space="0" w:color="auto"/>
              <w:right w:val="single" w:sz="4" w:space="0" w:color="auto"/>
            </w:tcBorders>
            <w:shd w:val="clear" w:color="auto" w:fill="auto"/>
          </w:tcPr>
          <w:p w14:paraId="11AAD2FE" w14:textId="77777777" w:rsidR="00EC3581" w:rsidRPr="006C054E" w:rsidRDefault="00EC3581" w:rsidP="00A74A8F">
            <w:pPr>
              <w:rPr>
                <w:rFonts w:asciiTheme="minorHAnsi" w:hAnsiTheme="minorHAnsi" w:cstheme="minorHAnsi"/>
                <w:sz w:val="20"/>
                <w:szCs w:val="20"/>
              </w:rPr>
            </w:pPr>
            <w:r w:rsidRPr="006C054E">
              <w:rPr>
                <w:rFonts w:asciiTheme="minorHAnsi" w:hAnsiTheme="minorHAnsi" w:cstheme="minorHAnsi"/>
                <w:sz w:val="20"/>
                <w:szCs w:val="20"/>
              </w:rPr>
              <w:t>Technical assistance to ONAC to complete centralized procurement (including signing framework contracts) of medical supplies and devices for emergency medical services (including consultancy service and training)</w:t>
            </w:r>
          </w:p>
        </w:tc>
        <w:tc>
          <w:tcPr>
            <w:tcW w:w="1230" w:type="dxa"/>
            <w:tcBorders>
              <w:top w:val="nil"/>
              <w:left w:val="nil"/>
              <w:bottom w:val="single" w:sz="4" w:space="0" w:color="auto"/>
              <w:right w:val="single" w:sz="4" w:space="0" w:color="auto"/>
            </w:tcBorders>
            <w:shd w:val="clear" w:color="auto" w:fill="auto"/>
            <w:noWrap/>
            <w:vAlign w:val="center"/>
            <w:hideMark/>
          </w:tcPr>
          <w:p w14:paraId="616D0DD3" w14:textId="77777777" w:rsidR="00EC3581" w:rsidRPr="006C054E" w:rsidRDefault="00EC3581" w:rsidP="00BF0776">
            <w:pPr>
              <w:jc w:val="center"/>
              <w:rPr>
                <w:rFonts w:asciiTheme="minorHAnsi" w:eastAsia="Times New Roman" w:hAnsiTheme="minorHAnsi" w:cstheme="minorHAnsi"/>
                <w:color w:val="000000"/>
                <w:sz w:val="20"/>
                <w:szCs w:val="20"/>
              </w:rPr>
            </w:pPr>
            <w:r w:rsidRPr="006C054E">
              <w:rPr>
                <w:rFonts w:asciiTheme="minorHAnsi" w:eastAsia="Times New Roman" w:hAnsiTheme="minorHAnsi" w:cstheme="minorHAnsi"/>
                <w:color w:val="000000"/>
                <w:sz w:val="20"/>
                <w:szCs w:val="20"/>
              </w:rPr>
              <w:t>CS</w:t>
            </w:r>
          </w:p>
        </w:tc>
        <w:tc>
          <w:tcPr>
            <w:tcW w:w="1230" w:type="dxa"/>
            <w:tcBorders>
              <w:top w:val="nil"/>
              <w:left w:val="nil"/>
              <w:bottom w:val="single" w:sz="4" w:space="0" w:color="auto"/>
              <w:right w:val="single" w:sz="4" w:space="0" w:color="auto"/>
            </w:tcBorders>
            <w:vAlign w:val="center"/>
          </w:tcPr>
          <w:p w14:paraId="2FB8304B" w14:textId="77777777" w:rsidR="00EC3581" w:rsidRPr="006C054E" w:rsidRDefault="00EC3581" w:rsidP="00BF0776">
            <w:pPr>
              <w:jc w:val="center"/>
              <w:rPr>
                <w:rFonts w:asciiTheme="minorHAnsi" w:eastAsia="Times New Roman" w:hAnsiTheme="minorHAnsi" w:cstheme="minorHAnsi"/>
                <w:color w:val="000000"/>
                <w:sz w:val="20"/>
                <w:szCs w:val="20"/>
              </w:rPr>
            </w:pPr>
          </w:p>
        </w:tc>
        <w:tc>
          <w:tcPr>
            <w:tcW w:w="1230" w:type="dxa"/>
            <w:tcBorders>
              <w:top w:val="nil"/>
              <w:left w:val="single" w:sz="4" w:space="0" w:color="auto"/>
              <w:bottom w:val="single" w:sz="4" w:space="0" w:color="auto"/>
              <w:right w:val="single" w:sz="4" w:space="0" w:color="auto"/>
            </w:tcBorders>
            <w:shd w:val="clear" w:color="auto" w:fill="auto"/>
            <w:noWrap/>
            <w:vAlign w:val="center"/>
            <w:hideMark/>
          </w:tcPr>
          <w:p w14:paraId="48218284" w14:textId="77777777" w:rsidR="00EC3581" w:rsidRPr="006C054E" w:rsidRDefault="00EC3581" w:rsidP="00BF0776">
            <w:pPr>
              <w:jc w:val="center"/>
              <w:rPr>
                <w:rFonts w:asciiTheme="minorHAnsi" w:eastAsia="Times New Roman" w:hAnsiTheme="minorHAnsi" w:cstheme="minorHAnsi"/>
                <w:color w:val="000000"/>
                <w:sz w:val="20"/>
                <w:szCs w:val="20"/>
              </w:rPr>
            </w:pPr>
            <w:r w:rsidRPr="006C054E">
              <w:rPr>
                <w:rFonts w:asciiTheme="minorHAnsi" w:eastAsia="Times New Roman" w:hAnsiTheme="minorHAnsi" w:cstheme="minorHAnsi"/>
                <w:color w:val="000000"/>
                <w:sz w:val="20"/>
                <w:szCs w:val="20"/>
              </w:rPr>
              <w:t>100,000</w:t>
            </w:r>
          </w:p>
        </w:tc>
        <w:tc>
          <w:tcPr>
            <w:tcW w:w="1230" w:type="dxa"/>
            <w:tcBorders>
              <w:top w:val="nil"/>
              <w:left w:val="nil"/>
              <w:bottom w:val="single" w:sz="4" w:space="0" w:color="auto"/>
              <w:right w:val="single" w:sz="4" w:space="0" w:color="auto"/>
            </w:tcBorders>
            <w:shd w:val="clear" w:color="auto" w:fill="auto"/>
            <w:noWrap/>
            <w:vAlign w:val="center"/>
          </w:tcPr>
          <w:p w14:paraId="4898D08D" w14:textId="77777777" w:rsidR="00EC3581" w:rsidRPr="006C054E" w:rsidRDefault="00EC3581" w:rsidP="00BF0776">
            <w:pPr>
              <w:jc w:val="center"/>
              <w:rPr>
                <w:rFonts w:asciiTheme="minorHAnsi" w:eastAsia="Times New Roman" w:hAnsiTheme="minorHAnsi" w:cstheme="minorHAnsi"/>
                <w:color w:val="000000"/>
                <w:sz w:val="20"/>
                <w:szCs w:val="20"/>
              </w:rPr>
            </w:pPr>
          </w:p>
        </w:tc>
        <w:tc>
          <w:tcPr>
            <w:tcW w:w="1230" w:type="dxa"/>
            <w:tcBorders>
              <w:top w:val="nil"/>
              <w:left w:val="nil"/>
              <w:bottom w:val="single" w:sz="4" w:space="0" w:color="auto"/>
              <w:right w:val="single" w:sz="4" w:space="0" w:color="auto"/>
            </w:tcBorders>
            <w:shd w:val="clear" w:color="auto" w:fill="auto"/>
            <w:noWrap/>
            <w:vAlign w:val="center"/>
          </w:tcPr>
          <w:p w14:paraId="29859FD2" w14:textId="77777777" w:rsidR="00EC3581" w:rsidRPr="006C054E" w:rsidRDefault="00EC3581" w:rsidP="00BF0776">
            <w:pPr>
              <w:jc w:val="center"/>
              <w:rPr>
                <w:rFonts w:asciiTheme="minorHAnsi" w:eastAsia="Times New Roman" w:hAnsiTheme="minorHAnsi" w:cstheme="minorHAnsi"/>
                <w:color w:val="000000"/>
                <w:sz w:val="20"/>
                <w:szCs w:val="20"/>
              </w:rPr>
            </w:pPr>
          </w:p>
        </w:tc>
        <w:tc>
          <w:tcPr>
            <w:tcW w:w="1230" w:type="dxa"/>
            <w:tcBorders>
              <w:top w:val="nil"/>
              <w:left w:val="nil"/>
              <w:bottom w:val="single" w:sz="4" w:space="0" w:color="auto"/>
              <w:right w:val="single" w:sz="4" w:space="0" w:color="auto"/>
            </w:tcBorders>
            <w:shd w:val="clear" w:color="auto" w:fill="auto"/>
            <w:noWrap/>
            <w:vAlign w:val="center"/>
          </w:tcPr>
          <w:p w14:paraId="0650F2AA" w14:textId="77777777" w:rsidR="00EC3581" w:rsidRPr="006C054E" w:rsidRDefault="00EC3581" w:rsidP="00BF0776">
            <w:pPr>
              <w:jc w:val="center"/>
              <w:rPr>
                <w:rFonts w:asciiTheme="minorHAnsi" w:eastAsia="Times New Roman" w:hAnsiTheme="minorHAnsi" w:cstheme="minorHAnsi"/>
                <w:color w:val="000000"/>
                <w:sz w:val="20"/>
                <w:szCs w:val="20"/>
              </w:rPr>
            </w:pPr>
          </w:p>
        </w:tc>
      </w:tr>
      <w:tr w:rsidR="00EC3581" w:rsidRPr="006C054E" w14:paraId="1378D31A" w14:textId="77777777" w:rsidTr="00BF0776">
        <w:trPr>
          <w:trHeight w:val="290"/>
        </w:trPr>
        <w:tc>
          <w:tcPr>
            <w:tcW w:w="5575" w:type="dxa"/>
            <w:tcBorders>
              <w:top w:val="nil"/>
              <w:left w:val="single" w:sz="4" w:space="0" w:color="auto"/>
              <w:bottom w:val="single" w:sz="4" w:space="0" w:color="auto"/>
              <w:right w:val="single" w:sz="4" w:space="0" w:color="auto"/>
            </w:tcBorders>
            <w:shd w:val="clear" w:color="auto" w:fill="auto"/>
          </w:tcPr>
          <w:p w14:paraId="6A303B14" w14:textId="03AED903" w:rsidR="00EC3581" w:rsidRPr="006C054E" w:rsidRDefault="00EC3581" w:rsidP="00A74A8F">
            <w:pPr>
              <w:rPr>
                <w:rFonts w:asciiTheme="minorHAnsi" w:hAnsiTheme="minorHAnsi" w:cstheme="minorHAnsi"/>
                <w:sz w:val="20"/>
                <w:szCs w:val="20"/>
              </w:rPr>
            </w:pPr>
            <w:r w:rsidRPr="006C054E">
              <w:rPr>
                <w:rFonts w:asciiTheme="minorHAnsi" w:hAnsiTheme="minorHAnsi" w:cstheme="minorHAnsi"/>
                <w:sz w:val="20"/>
                <w:szCs w:val="20"/>
              </w:rPr>
              <w:t xml:space="preserve">Technical assistance to </w:t>
            </w:r>
            <w:r w:rsidR="0037279A">
              <w:rPr>
                <w:rFonts w:asciiTheme="minorHAnsi" w:hAnsiTheme="minorHAnsi" w:cstheme="minorHAnsi"/>
                <w:sz w:val="20"/>
                <w:szCs w:val="20"/>
              </w:rPr>
              <w:t xml:space="preserve">MoH and </w:t>
            </w:r>
            <w:r w:rsidRPr="006C054E">
              <w:rPr>
                <w:rFonts w:asciiTheme="minorHAnsi" w:hAnsiTheme="minorHAnsi" w:cstheme="minorHAnsi"/>
                <w:sz w:val="20"/>
                <w:szCs w:val="20"/>
              </w:rPr>
              <w:t>ONAC to complete centralized procurement (including signing framework contracts) of medical supplies and devices for at least 300 hospitals contracted with the NHIH (including consultancy services, training and field visit(s))</w:t>
            </w:r>
          </w:p>
        </w:tc>
        <w:tc>
          <w:tcPr>
            <w:tcW w:w="1230" w:type="dxa"/>
            <w:tcBorders>
              <w:top w:val="nil"/>
              <w:left w:val="nil"/>
              <w:bottom w:val="single" w:sz="4" w:space="0" w:color="auto"/>
              <w:right w:val="single" w:sz="4" w:space="0" w:color="auto"/>
            </w:tcBorders>
            <w:shd w:val="clear" w:color="auto" w:fill="auto"/>
            <w:noWrap/>
            <w:vAlign w:val="center"/>
            <w:hideMark/>
          </w:tcPr>
          <w:p w14:paraId="57574FF9" w14:textId="77777777" w:rsidR="00EC3581" w:rsidRPr="006C054E" w:rsidRDefault="00EC3581" w:rsidP="00BF0776">
            <w:pPr>
              <w:jc w:val="center"/>
              <w:rPr>
                <w:rFonts w:asciiTheme="minorHAnsi" w:eastAsia="Times New Roman" w:hAnsiTheme="minorHAnsi" w:cstheme="minorHAnsi"/>
                <w:color w:val="000000"/>
                <w:sz w:val="20"/>
                <w:szCs w:val="20"/>
              </w:rPr>
            </w:pPr>
            <w:r w:rsidRPr="006C054E">
              <w:rPr>
                <w:rFonts w:asciiTheme="minorHAnsi" w:eastAsia="Times New Roman" w:hAnsiTheme="minorHAnsi" w:cstheme="minorHAnsi"/>
                <w:color w:val="000000"/>
                <w:sz w:val="20"/>
                <w:szCs w:val="20"/>
              </w:rPr>
              <w:t>CS</w:t>
            </w:r>
          </w:p>
        </w:tc>
        <w:tc>
          <w:tcPr>
            <w:tcW w:w="1230" w:type="dxa"/>
            <w:tcBorders>
              <w:top w:val="nil"/>
              <w:left w:val="nil"/>
              <w:bottom w:val="single" w:sz="4" w:space="0" w:color="auto"/>
              <w:right w:val="single" w:sz="4" w:space="0" w:color="auto"/>
            </w:tcBorders>
            <w:vAlign w:val="center"/>
          </w:tcPr>
          <w:p w14:paraId="4BA3D7E7" w14:textId="77777777" w:rsidR="00EC3581" w:rsidRPr="006C054E" w:rsidRDefault="00EC3581" w:rsidP="00BF0776">
            <w:pPr>
              <w:jc w:val="center"/>
              <w:rPr>
                <w:rFonts w:asciiTheme="minorHAnsi" w:eastAsia="Times New Roman" w:hAnsiTheme="minorHAnsi" w:cstheme="minorHAnsi"/>
                <w:color w:val="000000"/>
                <w:sz w:val="20"/>
                <w:szCs w:val="20"/>
              </w:rPr>
            </w:pPr>
          </w:p>
        </w:tc>
        <w:tc>
          <w:tcPr>
            <w:tcW w:w="1230" w:type="dxa"/>
            <w:tcBorders>
              <w:top w:val="nil"/>
              <w:left w:val="single" w:sz="4" w:space="0" w:color="auto"/>
              <w:bottom w:val="single" w:sz="4" w:space="0" w:color="auto"/>
              <w:right w:val="single" w:sz="4" w:space="0" w:color="auto"/>
            </w:tcBorders>
            <w:shd w:val="clear" w:color="auto" w:fill="auto"/>
            <w:noWrap/>
            <w:vAlign w:val="center"/>
            <w:hideMark/>
          </w:tcPr>
          <w:p w14:paraId="679E8797" w14:textId="77777777" w:rsidR="00EC3581" w:rsidRPr="006C054E" w:rsidRDefault="00EC3581" w:rsidP="00BF0776">
            <w:pPr>
              <w:jc w:val="center"/>
              <w:rPr>
                <w:rFonts w:asciiTheme="minorHAnsi" w:eastAsia="Times New Roman" w:hAnsiTheme="minorHAnsi" w:cstheme="minorHAnsi"/>
                <w:color w:val="000000"/>
                <w:sz w:val="20"/>
                <w:szCs w:val="20"/>
              </w:rPr>
            </w:pPr>
            <w:r w:rsidRPr="006C054E">
              <w:rPr>
                <w:rFonts w:asciiTheme="minorHAnsi" w:eastAsia="Times New Roman" w:hAnsiTheme="minorHAnsi" w:cstheme="minorHAnsi"/>
                <w:color w:val="000000"/>
                <w:sz w:val="20"/>
                <w:szCs w:val="20"/>
              </w:rPr>
              <w:t>100,000</w:t>
            </w:r>
          </w:p>
        </w:tc>
        <w:tc>
          <w:tcPr>
            <w:tcW w:w="1230" w:type="dxa"/>
            <w:tcBorders>
              <w:top w:val="nil"/>
              <w:left w:val="nil"/>
              <w:bottom w:val="single" w:sz="4" w:space="0" w:color="auto"/>
              <w:right w:val="single" w:sz="4" w:space="0" w:color="auto"/>
            </w:tcBorders>
            <w:shd w:val="clear" w:color="auto" w:fill="auto"/>
            <w:noWrap/>
            <w:vAlign w:val="center"/>
          </w:tcPr>
          <w:p w14:paraId="47C4A16B" w14:textId="77777777" w:rsidR="00EC3581" w:rsidRPr="006C054E" w:rsidRDefault="00EC3581" w:rsidP="00BF0776">
            <w:pPr>
              <w:jc w:val="center"/>
              <w:rPr>
                <w:rFonts w:asciiTheme="minorHAnsi" w:eastAsia="Times New Roman" w:hAnsiTheme="minorHAnsi" w:cstheme="minorHAnsi"/>
                <w:color w:val="000000"/>
                <w:sz w:val="20"/>
                <w:szCs w:val="20"/>
              </w:rPr>
            </w:pPr>
            <w:r w:rsidRPr="006C054E">
              <w:rPr>
                <w:rFonts w:asciiTheme="minorHAnsi" w:eastAsia="Times New Roman" w:hAnsiTheme="minorHAnsi" w:cstheme="minorHAnsi"/>
                <w:color w:val="000000"/>
                <w:sz w:val="20"/>
                <w:szCs w:val="20"/>
              </w:rPr>
              <w:t>250,000</w:t>
            </w:r>
          </w:p>
        </w:tc>
        <w:tc>
          <w:tcPr>
            <w:tcW w:w="1230" w:type="dxa"/>
            <w:tcBorders>
              <w:top w:val="nil"/>
              <w:left w:val="nil"/>
              <w:bottom w:val="single" w:sz="4" w:space="0" w:color="auto"/>
              <w:right w:val="single" w:sz="4" w:space="0" w:color="auto"/>
            </w:tcBorders>
            <w:shd w:val="clear" w:color="auto" w:fill="auto"/>
            <w:noWrap/>
            <w:vAlign w:val="center"/>
          </w:tcPr>
          <w:p w14:paraId="5D715F7C" w14:textId="77777777" w:rsidR="00EC3581" w:rsidRPr="006C054E" w:rsidRDefault="00EC3581" w:rsidP="00BF0776">
            <w:pPr>
              <w:jc w:val="center"/>
              <w:rPr>
                <w:rFonts w:asciiTheme="minorHAnsi" w:eastAsia="Times New Roman" w:hAnsiTheme="minorHAnsi" w:cstheme="minorHAnsi"/>
                <w:color w:val="000000"/>
                <w:sz w:val="20"/>
                <w:szCs w:val="20"/>
              </w:rPr>
            </w:pPr>
            <w:r w:rsidRPr="006C054E">
              <w:rPr>
                <w:rFonts w:asciiTheme="minorHAnsi" w:eastAsia="Times New Roman" w:hAnsiTheme="minorHAnsi" w:cstheme="minorHAnsi"/>
                <w:color w:val="000000"/>
                <w:sz w:val="20"/>
                <w:szCs w:val="20"/>
              </w:rPr>
              <w:t>250,000</w:t>
            </w:r>
          </w:p>
        </w:tc>
        <w:tc>
          <w:tcPr>
            <w:tcW w:w="1230" w:type="dxa"/>
            <w:tcBorders>
              <w:top w:val="nil"/>
              <w:left w:val="nil"/>
              <w:bottom w:val="single" w:sz="4" w:space="0" w:color="auto"/>
              <w:right w:val="single" w:sz="4" w:space="0" w:color="auto"/>
            </w:tcBorders>
            <w:shd w:val="clear" w:color="auto" w:fill="auto"/>
            <w:noWrap/>
            <w:vAlign w:val="center"/>
          </w:tcPr>
          <w:p w14:paraId="6168FB2D" w14:textId="77777777" w:rsidR="00EC3581" w:rsidRPr="006C054E" w:rsidRDefault="00EC3581" w:rsidP="00BF0776">
            <w:pPr>
              <w:jc w:val="center"/>
              <w:rPr>
                <w:rFonts w:asciiTheme="minorHAnsi" w:eastAsia="Times New Roman" w:hAnsiTheme="minorHAnsi" w:cstheme="minorHAnsi"/>
                <w:color w:val="000000"/>
                <w:sz w:val="20"/>
                <w:szCs w:val="20"/>
              </w:rPr>
            </w:pPr>
            <w:r w:rsidRPr="006C054E">
              <w:rPr>
                <w:rFonts w:asciiTheme="minorHAnsi" w:eastAsia="Times New Roman" w:hAnsiTheme="minorHAnsi" w:cstheme="minorHAnsi"/>
                <w:color w:val="000000"/>
                <w:sz w:val="20"/>
                <w:szCs w:val="20"/>
              </w:rPr>
              <w:t>150,000</w:t>
            </w:r>
          </w:p>
        </w:tc>
      </w:tr>
      <w:tr w:rsidR="00EC3581" w:rsidRPr="006C054E" w14:paraId="07426EBD" w14:textId="77777777" w:rsidTr="00956872">
        <w:trPr>
          <w:trHeight w:val="557"/>
        </w:trPr>
        <w:tc>
          <w:tcPr>
            <w:tcW w:w="5575" w:type="dxa"/>
            <w:tcBorders>
              <w:top w:val="single" w:sz="4" w:space="0" w:color="auto"/>
              <w:left w:val="single" w:sz="4" w:space="0" w:color="auto"/>
              <w:bottom w:val="single" w:sz="4" w:space="0" w:color="auto"/>
              <w:right w:val="single" w:sz="4" w:space="0" w:color="auto"/>
            </w:tcBorders>
            <w:shd w:val="clear" w:color="auto" w:fill="auto"/>
          </w:tcPr>
          <w:p w14:paraId="1D47598D" w14:textId="77777777" w:rsidR="00EC3581" w:rsidRPr="006C054E" w:rsidRDefault="00EC3581" w:rsidP="00A74A8F">
            <w:pPr>
              <w:rPr>
                <w:rFonts w:asciiTheme="minorHAnsi" w:hAnsiTheme="minorHAnsi" w:cstheme="minorHAnsi"/>
                <w:sz w:val="20"/>
                <w:szCs w:val="20"/>
              </w:rPr>
            </w:pPr>
            <w:r w:rsidRPr="006C054E">
              <w:rPr>
                <w:rFonts w:asciiTheme="minorHAnsi" w:hAnsiTheme="minorHAnsi" w:cstheme="minorHAnsi"/>
                <w:sz w:val="20"/>
                <w:szCs w:val="20"/>
              </w:rPr>
              <w:t>Technical assistance to develop and implement HTA methodology (including consultancy services and training)</w:t>
            </w:r>
          </w:p>
        </w:tc>
        <w:tc>
          <w:tcPr>
            <w:tcW w:w="1230" w:type="dxa"/>
            <w:tcBorders>
              <w:top w:val="single" w:sz="4" w:space="0" w:color="auto"/>
              <w:left w:val="nil"/>
              <w:bottom w:val="single" w:sz="4" w:space="0" w:color="auto"/>
              <w:right w:val="single" w:sz="4" w:space="0" w:color="auto"/>
            </w:tcBorders>
            <w:shd w:val="clear" w:color="auto" w:fill="auto"/>
            <w:noWrap/>
            <w:vAlign w:val="center"/>
          </w:tcPr>
          <w:p w14:paraId="5543262D" w14:textId="77777777" w:rsidR="00EC3581" w:rsidRPr="006C054E" w:rsidRDefault="00EC3581" w:rsidP="00BF0776">
            <w:pPr>
              <w:jc w:val="center"/>
              <w:rPr>
                <w:rFonts w:asciiTheme="minorHAnsi" w:eastAsia="Times New Roman" w:hAnsiTheme="minorHAnsi" w:cstheme="minorHAnsi"/>
                <w:color w:val="000000"/>
                <w:sz w:val="20"/>
                <w:szCs w:val="20"/>
              </w:rPr>
            </w:pPr>
            <w:r w:rsidRPr="006C054E">
              <w:rPr>
                <w:rFonts w:asciiTheme="minorHAnsi" w:eastAsia="Times New Roman" w:hAnsiTheme="minorHAnsi" w:cstheme="minorHAnsi"/>
                <w:color w:val="000000"/>
                <w:sz w:val="20"/>
                <w:szCs w:val="20"/>
              </w:rPr>
              <w:t>CS</w:t>
            </w:r>
          </w:p>
        </w:tc>
        <w:tc>
          <w:tcPr>
            <w:tcW w:w="1230" w:type="dxa"/>
            <w:tcBorders>
              <w:top w:val="single" w:sz="4" w:space="0" w:color="auto"/>
              <w:left w:val="nil"/>
              <w:bottom w:val="single" w:sz="4" w:space="0" w:color="auto"/>
              <w:right w:val="single" w:sz="4" w:space="0" w:color="auto"/>
            </w:tcBorders>
            <w:vAlign w:val="center"/>
          </w:tcPr>
          <w:p w14:paraId="6248D47D" w14:textId="77777777" w:rsidR="00EC3581" w:rsidRPr="006C054E" w:rsidRDefault="00EC3581" w:rsidP="00BF0776">
            <w:pPr>
              <w:jc w:val="center"/>
              <w:rPr>
                <w:rFonts w:asciiTheme="minorHAnsi" w:eastAsia="Times New Roman" w:hAnsiTheme="minorHAnsi" w:cstheme="minorHAnsi"/>
                <w:color w:val="000000"/>
                <w:sz w:val="20"/>
                <w:szCs w:val="20"/>
              </w:rPr>
            </w:pPr>
            <w:r w:rsidRPr="006C054E">
              <w:rPr>
                <w:rFonts w:asciiTheme="minorHAnsi" w:eastAsia="Times New Roman" w:hAnsiTheme="minorHAnsi" w:cstheme="minorHAnsi"/>
                <w:color w:val="000000"/>
                <w:sz w:val="20"/>
                <w:szCs w:val="20"/>
              </w:rPr>
              <w:t>350,000</w:t>
            </w:r>
          </w:p>
        </w:tc>
        <w:tc>
          <w:tcPr>
            <w:tcW w:w="12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0CBB1E" w14:textId="77777777" w:rsidR="00EC3581" w:rsidRPr="006C054E" w:rsidRDefault="00EC3581" w:rsidP="00BF0776">
            <w:pPr>
              <w:jc w:val="center"/>
              <w:rPr>
                <w:rFonts w:asciiTheme="minorHAnsi" w:eastAsia="Times New Roman" w:hAnsiTheme="minorHAnsi" w:cstheme="minorHAnsi"/>
                <w:color w:val="000000"/>
                <w:sz w:val="20"/>
                <w:szCs w:val="20"/>
              </w:rPr>
            </w:pPr>
          </w:p>
        </w:tc>
        <w:tc>
          <w:tcPr>
            <w:tcW w:w="1230" w:type="dxa"/>
            <w:tcBorders>
              <w:top w:val="single" w:sz="4" w:space="0" w:color="auto"/>
              <w:left w:val="nil"/>
              <w:bottom w:val="single" w:sz="4" w:space="0" w:color="auto"/>
              <w:right w:val="single" w:sz="4" w:space="0" w:color="auto"/>
            </w:tcBorders>
            <w:shd w:val="clear" w:color="auto" w:fill="auto"/>
            <w:noWrap/>
            <w:vAlign w:val="center"/>
          </w:tcPr>
          <w:p w14:paraId="46734377" w14:textId="77777777" w:rsidR="00EC3581" w:rsidRPr="006C054E" w:rsidRDefault="00EC3581" w:rsidP="00BF0776">
            <w:pPr>
              <w:jc w:val="center"/>
              <w:rPr>
                <w:rFonts w:asciiTheme="minorHAnsi" w:eastAsia="Times New Roman" w:hAnsiTheme="minorHAnsi" w:cstheme="minorHAnsi"/>
                <w:color w:val="000000"/>
                <w:sz w:val="20"/>
                <w:szCs w:val="20"/>
              </w:rPr>
            </w:pPr>
          </w:p>
        </w:tc>
        <w:tc>
          <w:tcPr>
            <w:tcW w:w="1230" w:type="dxa"/>
            <w:tcBorders>
              <w:top w:val="single" w:sz="4" w:space="0" w:color="auto"/>
              <w:left w:val="nil"/>
              <w:bottom w:val="single" w:sz="4" w:space="0" w:color="auto"/>
              <w:right w:val="single" w:sz="4" w:space="0" w:color="auto"/>
            </w:tcBorders>
            <w:shd w:val="clear" w:color="auto" w:fill="auto"/>
            <w:noWrap/>
            <w:vAlign w:val="center"/>
          </w:tcPr>
          <w:p w14:paraId="4EF016B4" w14:textId="77777777" w:rsidR="00EC3581" w:rsidRPr="006C054E" w:rsidRDefault="00EC3581" w:rsidP="00BF0776">
            <w:pPr>
              <w:jc w:val="center"/>
              <w:rPr>
                <w:rFonts w:asciiTheme="minorHAnsi" w:eastAsia="Times New Roman" w:hAnsiTheme="minorHAnsi" w:cstheme="minorHAnsi"/>
                <w:color w:val="000000"/>
                <w:sz w:val="20"/>
                <w:szCs w:val="20"/>
              </w:rPr>
            </w:pPr>
          </w:p>
        </w:tc>
        <w:tc>
          <w:tcPr>
            <w:tcW w:w="1230" w:type="dxa"/>
            <w:tcBorders>
              <w:top w:val="single" w:sz="4" w:space="0" w:color="auto"/>
              <w:left w:val="nil"/>
              <w:bottom w:val="single" w:sz="4" w:space="0" w:color="auto"/>
              <w:right w:val="single" w:sz="4" w:space="0" w:color="auto"/>
            </w:tcBorders>
            <w:shd w:val="clear" w:color="auto" w:fill="auto"/>
            <w:noWrap/>
            <w:vAlign w:val="center"/>
          </w:tcPr>
          <w:p w14:paraId="6BA3D580" w14:textId="77777777" w:rsidR="00EC3581" w:rsidRPr="006C054E" w:rsidRDefault="00EC3581" w:rsidP="00BF0776">
            <w:pPr>
              <w:jc w:val="center"/>
              <w:rPr>
                <w:rFonts w:asciiTheme="minorHAnsi" w:eastAsia="Times New Roman" w:hAnsiTheme="minorHAnsi" w:cstheme="minorHAnsi"/>
                <w:color w:val="000000"/>
                <w:sz w:val="20"/>
                <w:szCs w:val="20"/>
              </w:rPr>
            </w:pPr>
          </w:p>
        </w:tc>
      </w:tr>
      <w:tr w:rsidR="00EC3581" w:rsidRPr="006C054E" w14:paraId="19CFA7F8" w14:textId="77777777" w:rsidTr="00BF0776">
        <w:trPr>
          <w:trHeight w:val="290"/>
        </w:trPr>
        <w:tc>
          <w:tcPr>
            <w:tcW w:w="5575" w:type="dxa"/>
            <w:tcBorders>
              <w:top w:val="single" w:sz="4" w:space="0" w:color="auto"/>
              <w:left w:val="single" w:sz="4" w:space="0" w:color="auto"/>
              <w:bottom w:val="single" w:sz="4" w:space="0" w:color="auto"/>
              <w:right w:val="single" w:sz="4" w:space="0" w:color="auto"/>
            </w:tcBorders>
            <w:shd w:val="clear" w:color="auto" w:fill="auto"/>
          </w:tcPr>
          <w:p w14:paraId="1A9EF70B" w14:textId="77777777" w:rsidR="00EC3581" w:rsidRPr="006C054E" w:rsidRDefault="00EC3581" w:rsidP="00A74A8F">
            <w:pPr>
              <w:rPr>
                <w:rFonts w:asciiTheme="minorHAnsi" w:hAnsiTheme="minorHAnsi" w:cstheme="minorHAnsi"/>
                <w:sz w:val="20"/>
                <w:szCs w:val="20"/>
              </w:rPr>
            </w:pPr>
            <w:r w:rsidRPr="006C054E">
              <w:rPr>
                <w:rFonts w:asciiTheme="minorHAnsi" w:hAnsiTheme="minorHAnsi" w:cstheme="minorHAnsi"/>
                <w:sz w:val="20"/>
                <w:szCs w:val="20"/>
              </w:rPr>
              <w:t>Technical assistance to revise list of drugs reimbursed from the NHIH budget</w:t>
            </w:r>
          </w:p>
        </w:tc>
        <w:tc>
          <w:tcPr>
            <w:tcW w:w="1230" w:type="dxa"/>
            <w:tcBorders>
              <w:top w:val="single" w:sz="4" w:space="0" w:color="auto"/>
              <w:left w:val="nil"/>
              <w:bottom w:val="single" w:sz="4" w:space="0" w:color="auto"/>
              <w:right w:val="single" w:sz="4" w:space="0" w:color="auto"/>
            </w:tcBorders>
            <w:shd w:val="clear" w:color="auto" w:fill="auto"/>
            <w:noWrap/>
            <w:vAlign w:val="center"/>
          </w:tcPr>
          <w:p w14:paraId="5F78252E" w14:textId="77777777" w:rsidR="00EC3581" w:rsidRPr="006C054E" w:rsidRDefault="00EC3581" w:rsidP="00BF0776">
            <w:pPr>
              <w:jc w:val="center"/>
              <w:rPr>
                <w:rFonts w:asciiTheme="minorHAnsi" w:eastAsia="Times New Roman" w:hAnsiTheme="minorHAnsi" w:cstheme="minorHAnsi"/>
                <w:color w:val="000000"/>
                <w:sz w:val="20"/>
                <w:szCs w:val="20"/>
              </w:rPr>
            </w:pPr>
            <w:r w:rsidRPr="006C054E">
              <w:rPr>
                <w:rFonts w:asciiTheme="minorHAnsi" w:eastAsia="Times New Roman" w:hAnsiTheme="minorHAnsi" w:cstheme="minorHAnsi"/>
                <w:color w:val="000000"/>
                <w:sz w:val="20"/>
                <w:szCs w:val="20"/>
              </w:rPr>
              <w:t>CS</w:t>
            </w:r>
          </w:p>
        </w:tc>
        <w:tc>
          <w:tcPr>
            <w:tcW w:w="1230" w:type="dxa"/>
            <w:tcBorders>
              <w:top w:val="single" w:sz="4" w:space="0" w:color="auto"/>
              <w:left w:val="nil"/>
              <w:bottom w:val="single" w:sz="4" w:space="0" w:color="auto"/>
              <w:right w:val="single" w:sz="4" w:space="0" w:color="auto"/>
            </w:tcBorders>
            <w:vAlign w:val="center"/>
          </w:tcPr>
          <w:p w14:paraId="1F373ACB" w14:textId="77777777" w:rsidR="00EC3581" w:rsidRPr="006C054E" w:rsidRDefault="00EC3581" w:rsidP="00BF0776">
            <w:pPr>
              <w:jc w:val="center"/>
              <w:rPr>
                <w:rFonts w:asciiTheme="minorHAnsi" w:eastAsia="Times New Roman" w:hAnsiTheme="minorHAnsi" w:cstheme="minorHAnsi"/>
                <w:color w:val="000000"/>
                <w:sz w:val="20"/>
                <w:szCs w:val="20"/>
              </w:rPr>
            </w:pPr>
          </w:p>
          <w:p w14:paraId="24D7327F" w14:textId="77777777" w:rsidR="00EC3581" w:rsidRPr="006C054E" w:rsidRDefault="00EC3581" w:rsidP="00BF0776">
            <w:pPr>
              <w:jc w:val="center"/>
              <w:rPr>
                <w:rFonts w:asciiTheme="minorHAnsi" w:eastAsia="Times New Roman" w:hAnsiTheme="minorHAnsi" w:cstheme="minorHAnsi"/>
                <w:color w:val="000000"/>
                <w:sz w:val="20"/>
                <w:szCs w:val="20"/>
              </w:rPr>
            </w:pPr>
            <w:r w:rsidRPr="006C054E">
              <w:rPr>
                <w:rFonts w:asciiTheme="minorHAnsi" w:eastAsia="Times New Roman" w:hAnsiTheme="minorHAnsi" w:cstheme="minorHAnsi"/>
                <w:color w:val="000000"/>
                <w:sz w:val="20"/>
                <w:szCs w:val="20"/>
              </w:rPr>
              <w:t>150,000</w:t>
            </w:r>
          </w:p>
        </w:tc>
        <w:tc>
          <w:tcPr>
            <w:tcW w:w="12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B9072E" w14:textId="77777777" w:rsidR="00EC3581" w:rsidRPr="006C054E" w:rsidRDefault="00EC3581" w:rsidP="00BF0776">
            <w:pPr>
              <w:jc w:val="center"/>
              <w:rPr>
                <w:rFonts w:asciiTheme="minorHAnsi" w:eastAsia="Times New Roman" w:hAnsiTheme="minorHAnsi" w:cstheme="minorHAnsi"/>
                <w:color w:val="000000"/>
                <w:sz w:val="20"/>
                <w:szCs w:val="20"/>
              </w:rPr>
            </w:pPr>
          </w:p>
        </w:tc>
        <w:tc>
          <w:tcPr>
            <w:tcW w:w="1230" w:type="dxa"/>
            <w:tcBorders>
              <w:top w:val="single" w:sz="4" w:space="0" w:color="auto"/>
              <w:left w:val="nil"/>
              <w:bottom w:val="single" w:sz="4" w:space="0" w:color="auto"/>
              <w:right w:val="single" w:sz="4" w:space="0" w:color="auto"/>
            </w:tcBorders>
            <w:shd w:val="clear" w:color="auto" w:fill="auto"/>
            <w:noWrap/>
            <w:vAlign w:val="center"/>
          </w:tcPr>
          <w:p w14:paraId="4B554FC5" w14:textId="77777777" w:rsidR="00EC3581" w:rsidRPr="006C054E" w:rsidRDefault="00EC3581" w:rsidP="00BF0776">
            <w:pPr>
              <w:jc w:val="center"/>
              <w:rPr>
                <w:rFonts w:asciiTheme="minorHAnsi" w:eastAsia="Times New Roman" w:hAnsiTheme="minorHAnsi" w:cstheme="minorHAnsi"/>
                <w:color w:val="000000"/>
                <w:sz w:val="20"/>
                <w:szCs w:val="20"/>
              </w:rPr>
            </w:pPr>
          </w:p>
        </w:tc>
        <w:tc>
          <w:tcPr>
            <w:tcW w:w="1230" w:type="dxa"/>
            <w:tcBorders>
              <w:top w:val="single" w:sz="4" w:space="0" w:color="auto"/>
              <w:left w:val="nil"/>
              <w:bottom w:val="single" w:sz="4" w:space="0" w:color="auto"/>
              <w:right w:val="single" w:sz="4" w:space="0" w:color="auto"/>
            </w:tcBorders>
            <w:shd w:val="clear" w:color="auto" w:fill="auto"/>
            <w:noWrap/>
            <w:vAlign w:val="center"/>
          </w:tcPr>
          <w:p w14:paraId="22E20D50" w14:textId="77777777" w:rsidR="00EC3581" w:rsidRPr="006C054E" w:rsidRDefault="00EC3581" w:rsidP="00BF0776">
            <w:pPr>
              <w:jc w:val="center"/>
              <w:rPr>
                <w:rFonts w:asciiTheme="minorHAnsi" w:eastAsia="Times New Roman" w:hAnsiTheme="minorHAnsi" w:cstheme="minorHAnsi"/>
                <w:color w:val="000000"/>
                <w:sz w:val="20"/>
                <w:szCs w:val="20"/>
              </w:rPr>
            </w:pPr>
          </w:p>
        </w:tc>
        <w:tc>
          <w:tcPr>
            <w:tcW w:w="1230" w:type="dxa"/>
            <w:tcBorders>
              <w:top w:val="single" w:sz="4" w:space="0" w:color="auto"/>
              <w:left w:val="nil"/>
              <w:bottom w:val="single" w:sz="4" w:space="0" w:color="auto"/>
              <w:right w:val="single" w:sz="4" w:space="0" w:color="auto"/>
            </w:tcBorders>
            <w:shd w:val="clear" w:color="auto" w:fill="auto"/>
            <w:noWrap/>
            <w:vAlign w:val="center"/>
          </w:tcPr>
          <w:p w14:paraId="55257A3F" w14:textId="77777777" w:rsidR="00EC3581" w:rsidRPr="006C054E" w:rsidRDefault="00EC3581" w:rsidP="00BF0776">
            <w:pPr>
              <w:jc w:val="center"/>
              <w:rPr>
                <w:rFonts w:asciiTheme="minorHAnsi" w:eastAsia="Times New Roman" w:hAnsiTheme="minorHAnsi" w:cstheme="minorHAnsi"/>
                <w:color w:val="000000"/>
                <w:sz w:val="20"/>
                <w:szCs w:val="20"/>
              </w:rPr>
            </w:pPr>
          </w:p>
        </w:tc>
      </w:tr>
      <w:tr w:rsidR="00EC3581" w:rsidRPr="006C054E" w14:paraId="20A9B74A" w14:textId="77777777" w:rsidTr="00BF0776">
        <w:trPr>
          <w:trHeight w:val="290"/>
        </w:trPr>
        <w:tc>
          <w:tcPr>
            <w:tcW w:w="5575" w:type="dxa"/>
            <w:tcBorders>
              <w:top w:val="single" w:sz="4" w:space="0" w:color="auto"/>
              <w:left w:val="single" w:sz="4" w:space="0" w:color="auto"/>
              <w:bottom w:val="single" w:sz="4" w:space="0" w:color="auto"/>
              <w:right w:val="single" w:sz="4" w:space="0" w:color="auto"/>
            </w:tcBorders>
            <w:shd w:val="clear" w:color="auto" w:fill="auto"/>
          </w:tcPr>
          <w:p w14:paraId="4E6B89D8" w14:textId="77777777" w:rsidR="00EC3581" w:rsidRPr="006C054E" w:rsidRDefault="00EC3581" w:rsidP="00A74A8F">
            <w:pPr>
              <w:rPr>
                <w:rFonts w:asciiTheme="minorHAnsi" w:hAnsiTheme="minorHAnsi" w:cstheme="minorHAnsi"/>
                <w:sz w:val="20"/>
                <w:szCs w:val="20"/>
              </w:rPr>
            </w:pPr>
            <w:r w:rsidRPr="006C054E">
              <w:rPr>
                <w:rFonts w:asciiTheme="minorHAnsi" w:hAnsiTheme="minorHAnsi" w:cstheme="minorHAnsi"/>
                <w:sz w:val="20"/>
                <w:szCs w:val="20"/>
              </w:rPr>
              <w:t xml:space="preserve">Technical assistance to perform external reference pricing </w:t>
            </w:r>
          </w:p>
        </w:tc>
        <w:tc>
          <w:tcPr>
            <w:tcW w:w="1230" w:type="dxa"/>
            <w:tcBorders>
              <w:top w:val="single" w:sz="4" w:space="0" w:color="auto"/>
              <w:left w:val="nil"/>
              <w:bottom w:val="single" w:sz="4" w:space="0" w:color="auto"/>
              <w:right w:val="single" w:sz="4" w:space="0" w:color="auto"/>
            </w:tcBorders>
            <w:shd w:val="clear" w:color="auto" w:fill="auto"/>
            <w:noWrap/>
            <w:vAlign w:val="center"/>
          </w:tcPr>
          <w:p w14:paraId="0E93F884" w14:textId="77777777" w:rsidR="00EC3581" w:rsidRPr="006C054E" w:rsidRDefault="00EC3581" w:rsidP="00BF0776">
            <w:pPr>
              <w:jc w:val="center"/>
              <w:rPr>
                <w:rFonts w:asciiTheme="minorHAnsi" w:hAnsiTheme="minorHAnsi" w:cstheme="minorHAnsi"/>
                <w:sz w:val="20"/>
                <w:szCs w:val="20"/>
              </w:rPr>
            </w:pPr>
            <w:r w:rsidRPr="006C054E">
              <w:rPr>
                <w:rFonts w:asciiTheme="minorHAnsi" w:hAnsiTheme="minorHAnsi" w:cstheme="minorHAnsi"/>
                <w:sz w:val="20"/>
                <w:szCs w:val="20"/>
              </w:rPr>
              <w:t>CS</w:t>
            </w:r>
          </w:p>
        </w:tc>
        <w:tc>
          <w:tcPr>
            <w:tcW w:w="1230" w:type="dxa"/>
            <w:tcBorders>
              <w:top w:val="single" w:sz="4" w:space="0" w:color="auto"/>
              <w:left w:val="nil"/>
              <w:bottom w:val="single" w:sz="4" w:space="0" w:color="auto"/>
              <w:right w:val="single" w:sz="4" w:space="0" w:color="auto"/>
            </w:tcBorders>
            <w:vAlign w:val="center"/>
          </w:tcPr>
          <w:p w14:paraId="5DB199A5" w14:textId="77777777" w:rsidR="00EC3581" w:rsidRPr="006C054E" w:rsidRDefault="00EC3581" w:rsidP="00BF0776">
            <w:pPr>
              <w:jc w:val="center"/>
              <w:rPr>
                <w:rFonts w:asciiTheme="minorHAnsi" w:eastAsia="Times New Roman" w:hAnsiTheme="minorHAnsi" w:cstheme="minorHAnsi"/>
                <w:color w:val="000000"/>
                <w:sz w:val="20"/>
                <w:szCs w:val="20"/>
              </w:rPr>
            </w:pPr>
          </w:p>
        </w:tc>
        <w:tc>
          <w:tcPr>
            <w:tcW w:w="12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6049E7" w14:textId="77777777" w:rsidR="00EC3581" w:rsidRPr="006C054E" w:rsidRDefault="00EC3581" w:rsidP="00BF0776">
            <w:pPr>
              <w:jc w:val="center"/>
              <w:rPr>
                <w:rFonts w:asciiTheme="minorHAnsi" w:eastAsia="Times New Roman" w:hAnsiTheme="minorHAnsi" w:cstheme="minorHAnsi"/>
                <w:color w:val="000000"/>
                <w:sz w:val="20"/>
                <w:szCs w:val="20"/>
              </w:rPr>
            </w:pPr>
            <w:r w:rsidRPr="006C054E">
              <w:rPr>
                <w:rFonts w:asciiTheme="minorHAnsi" w:eastAsia="Times New Roman" w:hAnsiTheme="minorHAnsi" w:cstheme="minorHAnsi"/>
                <w:color w:val="000000"/>
                <w:sz w:val="20"/>
                <w:szCs w:val="20"/>
              </w:rPr>
              <w:t>50,000</w:t>
            </w:r>
          </w:p>
        </w:tc>
        <w:tc>
          <w:tcPr>
            <w:tcW w:w="1230" w:type="dxa"/>
            <w:tcBorders>
              <w:top w:val="single" w:sz="4" w:space="0" w:color="auto"/>
              <w:left w:val="nil"/>
              <w:bottom w:val="single" w:sz="4" w:space="0" w:color="auto"/>
              <w:right w:val="single" w:sz="4" w:space="0" w:color="auto"/>
            </w:tcBorders>
            <w:shd w:val="clear" w:color="auto" w:fill="auto"/>
            <w:noWrap/>
            <w:vAlign w:val="center"/>
          </w:tcPr>
          <w:p w14:paraId="65FFD92A" w14:textId="77777777" w:rsidR="00EC3581" w:rsidRPr="006C054E" w:rsidRDefault="00EC3581" w:rsidP="00BF0776">
            <w:pPr>
              <w:jc w:val="center"/>
              <w:rPr>
                <w:rFonts w:asciiTheme="minorHAnsi" w:eastAsia="Times New Roman" w:hAnsiTheme="minorHAnsi" w:cstheme="minorHAnsi"/>
                <w:color w:val="000000"/>
                <w:sz w:val="20"/>
                <w:szCs w:val="20"/>
              </w:rPr>
            </w:pPr>
            <w:r w:rsidRPr="006C054E">
              <w:rPr>
                <w:rFonts w:asciiTheme="minorHAnsi" w:eastAsia="Times New Roman" w:hAnsiTheme="minorHAnsi" w:cstheme="minorHAnsi"/>
                <w:color w:val="000000"/>
                <w:sz w:val="20"/>
                <w:szCs w:val="20"/>
              </w:rPr>
              <w:t>50,000</w:t>
            </w:r>
          </w:p>
        </w:tc>
        <w:tc>
          <w:tcPr>
            <w:tcW w:w="1230" w:type="dxa"/>
            <w:tcBorders>
              <w:top w:val="single" w:sz="4" w:space="0" w:color="auto"/>
              <w:left w:val="nil"/>
              <w:bottom w:val="single" w:sz="4" w:space="0" w:color="auto"/>
              <w:right w:val="single" w:sz="4" w:space="0" w:color="auto"/>
            </w:tcBorders>
            <w:shd w:val="clear" w:color="auto" w:fill="auto"/>
            <w:noWrap/>
            <w:vAlign w:val="center"/>
          </w:tcPr>
          <w:p w14:paraId="233B0D95" w14:textId="77777777" w:rsidR="00EC3581" w:rsidRPr="006C054E" w:rsidRDefault="00EC3581" w:rsidP="00BF0776">
            <w:pPr>
              <w:jc w:val="center"/>
              <w:rPr>
                <w:rFonts w:asciiTheme="minorHAnsi" w:eastAsia="Times New Roman" w:hAnsiTheme="minorHAnsi" w:cstheme="minorHAnsi"/>
                <w:color w:val="000000"/>
                <w:sz w:val="20"/>
                <w:szCs w:val="20"/>
              </w:rPr>
            </w:pPr>
            <w:r w:rsidRPr="006C054E">
              <w:rPr>
                <w:rFonts w:asciiTheme="minorHAnsi" w:eastAsia="Times New Roman" w:hAnsiTheme="minorHAnsi" w:cstheme="minorHAnsi"/>
                <w:color w:val="000000"/>
                <w:sz w:val="20"/>
                <w:szCs w:val="20"/>
              </w:rPr>
              <w:t>50,000</w:t>
            </w:r>
          </w:p>
        </w:tc>
        <w:tc>
          <w:tcPr>
            <w:tcW w:w="1230" w:type="dxa"/>
            <w:tcBorders>
              <w:top w:val="single" w:sz="4" w:space="0" w:color="auto"/>
              <w:left w:val="nil"/>
              <w:bottom w:val="single" w:sz="4" w:space="0" w:color="auto"/>
              <w:right w:val="single" w:sz="4" w:space="0" w:color="auto"/>
            </w:tcBorders>
            <w:shd w:val="clear" w:color="auto" w:fill="auto"/>
            <w:noWrap/>
            <w:vAlign w:val="center"/>
          </w:tcPr>
          <w:p w14:paraId="2B84CC98" w14:textId="77777777" w:rsidR="00EC3581" w:rsidRPr="006C054E" w:rsidRDefault="00EC3581" w:rsidP="00BF0776">
            <w:pPr>
              <w:jc w:val="center"/>
              <w:rPr>
                <w:rFonts w:asciiTheme="minorHAnsi" w:eastAsia="Times New Roman" w:hAnsiTheme="minorHAnsi" w:cstheme="minorHAnsi"/>
                <w:color w:val="000000"/>
                <w:sz w:val="20"/>
                <w:szCs w:val="20"/>
              </w:rPr>
            </w:pPr>
            <w:r w:rsidRPr="006C054E">
              <w:rPr>
                <w:rFonts w:asciiTheme="minorHAnsi" w:eastAsia="Times New Roman" w:hAnsiTheme="minorHAnsi" w:cstheme="minorHAnsi"/>
                <w:color w:val="000000"/>
                <w:sz w:val="20"/>
                <w:szCs w:val="20"/>
              </w:rPr>
              <w:t>50,000</w:t>
            </w:r>
          </w:p>
        </w:tc>
      </w:tr>
      <w:tr w:rsidR="00EC3581" w:rsidRPr="006C054E" w14:paraId="6E360BCB" w14:textId="77777777" w:rsidTr="00BF0776">
        <w:trPr>
          <w:trHeight w:val="290"/>
        </w:trPr>
        <w:tc>
          <w:tcPr>
            <w:tcW w:w="5575" w:type="dxa"/>
            <w:tcBorders>
              <w:top w:val="single" w:sz="4" w:space="0" w:color="auto"/>
              <w:left w:val="single" w:sz="4" w:space="0" w:color="auto"/>
              <w:bottom w:val="single" w:sz="4" w:space="0" w:color="auto"/>
              <w:right w:val="single" w:sz="4" w:space="0" w:color="auto"/>
            </w:tcBorders>
            <w:shd w:val="clear" w:color="auto" w:fill="auto"/>
          </w:tcPr>
          <w:p w14:paraId="29E96415" w14:textId="6A01E6BC" w:rsidR="00EC3581" w:rsidRPr="006C054E" w:rsidRDefault="00EC3581" w:rsidP="00A74A8F">
            <w:pPr>
              <w:rPr>
                <w:rFonts w:asciiTheme="minorHAnsi" w:hAnsiTheme="minorHAnsi" w:cstheme="minorHAnsi"/>
                <w:sz w:val="20"/>
                <w:szCs w:val="20"/>
              </w:rPr>
            </w:pPr>
            <w:r w:rsidRPr="006C054E">
              <w:rPr>
                <w:rFonts w:asciiTheme="minorHAnsi" w:hAnsiTheme="minorHAnsi" w:cstheme="minorHAnsi"/>
                <w:sz w:val="20"/>
                <w:szCs w:val="20"/>
              </w:rPr>
              <w:t xml:space="preserve">Technical assistance to </w:t>
            </w:r>
            <w:r w:rsidR="00D506C6">
              <w:rPr>
                <w:rFonts w:asciiTheme="minorHAnsi" w:hAnsiTheme="minorHAnsi" w:cstheme="minorHAnsi"/>
                <w:sz w:val="20"/>
                <w:szCs w:val="20"/>
              </w:rPr>
              <w:t>NHIH</w:t>
            </w:r>
            <w:r w:rsidR="00D506C6" w:rsidRPr="006C054E">
              <w:rPr>
                <w:rFonts w:asciiTheme="minorHAnsi" w:hAnsiTheme="minorHAnsi" w:cstheme="minorHAnsi"/>
                <w:sz w:val="20"/>
                <w:szCs w:val="20"/>
              </w:rPr>
              <w:t xml:space="preserve"> </w:t>
            </w:r>
            <w:r w:rsidRPr="006C054E">
              <w:rPr>
                <w:rFonts w:asciiTheme="minorHAnsi" w:hAnsiTheme="minorHAnsi" w:cstheme="minorHAnsi"/>
                <w:sz w:val="20"/>
                <w:szCs w:val="20"/>
              </w:rPr>
              <w:t xml:space="preserve">to </w:t>
            </w:r>
            <w:r w:rsidR="00F85156">
              <w:rPr>
                <w:rFonts w:asciiTheme="minorHAnsi" w:hAnsiTheme="minorHAnsi" w:cstheme="minorHAnsi"/>
                <w:sz w:val="20"/>
                <w:szCs w:val="20"/>
              </w:rPr>
              <w:t xml:space="preserve">draft, </w:t>
            </w:r>
            <w:r w:rsidR="00F85156">
              <w:rPr>
                <w:rFonts w:asciiTheme="minorHAnsi" w:hAnsiTheme="minorHAnsi" w:cstheme="minorHAnsi"/>
                <w:sz w:val="20"/>
                <w:szCs w:val="20"/>
              </w:rPr>
              <w:t xml:space="preserve">negotiate and conclude managed entry agreements (MEA) for newly approved drugs. </w:t>
            </w:r>
          </w:p>
        </w:tc>
        <w:tc>
          <w:tcPr>
            <w:tcW w:w="1230" w:type="dxa"/>
            <w:tcBorders>
              <w:top w:val="single" w:sz="4" w:space="0" w:color="auto"/>
              <w:left w:val="nil"/>
              <w:bottom w:val="single" w:sz="4" w:space="0" w:color="auto"/>
              <w:right w:val="single" w:sz="4" w:space="0" w:color="auto"/>
            </w:tcBorders>
            <w:shd w:val="clear" w:color="auto" w:fill="auto"/>
            <w:noWrap/>
            <w:vAlign w:val="center"/>
          </w:tcPr>
          <w:p w14:paraId="79B13711" w14:textId="77777777" w:rsidR="00EC3581" w:rsidRPr="006C054E" w:rsidRDefault="00EC3581" w:rsidP="00BF0776">
            <w:pPr>
              <w:jc w:val="center"/>
              <w:rPr>
                <w:rFonts w:asciiTheme="minorHAnsi" w:eastAsia="Times New Roman" w:hAnsiTheme="minorHAnsi" w:cstheme="minorHAnsi"/>
                <w:color w:val="000000"/>
                <w:sz w:val="20"/>
                <w:szCs w:val="20"/>
              </w:rPr>
            </w:pPr>
            <w:r w:rsidRPr="006C054E">
              <w:rPr>
                <w:rFonts w:asciiTheme="minorHAnsi" w:eastAsia="Times New Roman" w:hAnsiTheme="minorHAnsi" w:cstheme="minorHAnsi"/>
                <w:color w:val="000000"/>
                <w:sz w:val="20"/>
                <w:szCs w:val="20"/>
              </w:rPr>
              <w:t>CS</w:t>
            </w:r>
          </w:p>
        </w:tc>
        <w:tc>
          <w:tcPr>
            <w:tcW w:w="1230" w:type="dxa"/>
            <w:tcBorders>
              <w:top w:val="single" w:sz="4" w:space="0" w:color="auto"/>
              <w:left w:val="nil"/>
              <w:bottom w:val="single" w:sz="4" w:space="0" w:color="auto"/>
              <w:right w:val="single" w:sz="4" w:space="0" w:color="auto"/>
            </w:tcBorders>
            <w:vAlign w:val="center"/>
          </w:tcPr>
          <w:p w14:paraId="1E9A8548" w14:textId="77777777" w:rsidR="00EC3581" w:rsidRPr="006C054E" w:rsidRDefault="00EC3581" w:rsidP="00BF0776">
            <w:pPr>
              <w:jc w:val="center"/>
              <w:rPr>
                <w:rFonts w:asciiTheme="minorHAnsi" w:eastAsia="Times New Roman" w:hAnsiTheme="minorHAnsi" w:cstheme="minorHAnsi"/>
                <w:color w:val="000000"/>
                <w:sz w:val="20"/>
                <w:szCs w:val="20"/>
              </w:rPr>
            </w:pPr>
          </w:p>
        </w:tc>
        <w:tc>
          <w:tcPr>
            <w:tcW w:w="12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F7E99C" w14:textId="77777777" w:rsidR="00EC3581" w:rsidRPr="006C054E" w:rsidRDefault="00EC3581" w:rsidP="00BF0776">
            <w:pPr>
              <w:jc w:val="center"/>
              <w:rPr>
                <w:rFonts w:asciiTheme="minorHAnsi" w:eastAsia="Times New Roman" w:hAnsiTheme="minorHAnsi" w:cstheme="minorHAnsi"/>
                <w:color w:val="000000"/>
                <w:sz w:val="20"/>
                <w:szCs w:val="20"/>
              </w:rPr>
            </w:pPr>
          </w:p>
        </w:tc>
        <w:tc>
          <w:tcPr>
            <w:tcW w:w="1230" w:type="dxa"/>
            <w:tcBorders>
              <w:top w:val="single" w:sz="4" w:space="0" w:color="auto"/>
              <w:left w:val="nil"/>
              <w:bottom w:val="single" w:sz="4" w:space="0" w:color="auto"/>
              <w:right w:val="single" w:sz="4" w:space="0" w:color="auto"/>
            </w:tcBorders>
            <w:shd w:val="clear" w:color="auto" w:fill="auto"/>
            <w:noWrap/>
            <w:vAlign w:val="center"/>
          </w:tcPr>
          <w:p w14:paraId="49C9BFF7" w14:textId="77777777" w:rsidR="00EC3581" w:rsidRPr="006C054E" w:rsidRDefault="00EC3581" w:rsidP="00BF0776">
            <w:pPr>
              <w:jc w:val="center"/>
              <w:rPr>
                <w:rFonts w:asciiTheme="minorHAnsi" w:eastAsia="Times New Roman" w:hAnsiTheme="minorHAnsi" w:cstheme="minorHAnsi"/>
                <w:color w:val="000000"/>
                <w:sz w:val="20"/>
                <w:szCs w:val="20"/>
              </w:rPr>
            </w:pPr>
            <w:r w:rsidRPr="006C054E">
              <w:rPr>
                <w:rFonts w:asciiTheme="minorHAnsi" w:eastAsia="Times New Roman" w:hAnsiTheme="minorHAnsi" w:cstheme="minorHAnsi"/>
                <w:color w:val="000000"/>
                <w:sz w:val="20"/>
                <w:szCs w:val="20"/>
              </w:rPr>
              <w:t>250,000</w:t>
            </w:r>
          </w:p>
        </w:tc>
        <w:tc>
          <w:tcPr>
            <w:tcW w:w="1230" w:type="dxa"/>
            <w:tcBorders>
              <w:top w:val="single" w:sz="4" w:space="0" w:color="auto"/>
              <w:left w:val="nil"/>
              <w:bottom w:val="single" w:sz="4" w:space="0" w:color="auto"/>
              <w:right w:val="single" w:sz="4" w:space="0" w:color="auto"/>
            </w:tcBorders>
            <w:shd w:val="clear" w:color="auto" w:fill="auto"/>
            <w:noWrap/>
            <w:vAlign w:val="center"/>
          </w:tcPr>
          <w:p w14:paraId="5BD64CB5" w14:textId="77777777" w:rsidR="00EC3581" w:rsidRPr="006C054E" w:rsidRDefault="00EC3581" w:rsidP="00BF0776">
            <w:pPr>
              <w:jc w:val="center"/>
              <w:rPr>
                <w:rFonts w:asciiTheme="minorHAnsi" w:eastAsia="Times New Roman" w:hAnsiTheme="minorHAnsi" w:cstheme="minorHAnsi"/>
                <w:color w:val="000000"/>
                <w:sz w:val="20"/>
                <w:szCs w:val="20"/>
              </w:rPr>
            </w:pPr>
          </w:p>
        </w:tc>
        <w:tc>
          <w:tcPr>
            <w:tcW w:w="1230" w:type="dxa"/>
            <w:tcBorders>
              <w:top w:val="single" w:sz="4" w:space="0" w:color="auto"/>
              <w:left w:val="nil"/>
              <w:bottom w:val="single" w:sz="4" w:space="0" w:color="auto"/>
              <w:right w:val="single" w:sz="4" w:space="0" w:color="auto"/>
            </w:tcBorders>
            <w:shd w:val="clear" w:color="auto" w:fill="auto"/>
            <w:noWrap/>
            <w:vAlign w:val="center"/>
          </w:tcPr>
          <w:p w14:paraId="47499DC3" w14:textId="77777777" w:rsidR="00EC3581" w:rsidRPr="006C054E" w:rsidRDefault="00EC3581" w:rsidP="00BF0776">
            <w:pPr>
              <w:jc w:val="center"/>
              <w:rPr>
                <w:rFonts w:asciiTheme="minorHAnsi" w:eastAsia="Times New Roman" w:hAnsiTheme="minorHAnsi" w:cstheme="minorHAnsi"/>
                <w:color w:val="000000"/>
                <w:sz w:val="20"/>
                <w:szCs w:val="20"/>
              </w:rPr>
            </w:pPr>
            <w:r w:rsidRPr="006C054E">
              <w:rPr>
                <w:rFonts w:asciiTheme="minorHAnsi" w:eastAsia="Times New Roman" w:hAnsiTheme="minorHAnsi" w:cstheme="minorHAnsi"/>
                <w:color w:val="000000"/>
                <w:sz w:val="20"/>
                <w:szCs w:val="20"/>
              </w:rPr>
              <w:t>150,000</w:t>
            </w:r>
          </w:p>
        </w:tc>
      </w:tr>
    </w:tbl>
    <w:p w14:paraId="2A6F4F4D" w14:textId="77777777" w:rsidR="00EC3581" w:rsidRPr="006C054E" w:rsidRDefault="00EC3581" w:rsidP="006C054E">
      <w:pPr>
        <w:pStyle w:val="ListParagraph"/>
        <w:rPr>
          <w:rFonts w:cstheme="minorHAnsi"/>
          <w:b/>
          <w:sz w:val="20"/>
          <w:szCs w:val="20"/>
        </w:rPr>
      </w:pPr>
    </w:p>
    <w:p w14:paraId="0A37A3DB" w14:textId="77777777" w:rsidR="00DB45C6" w:rsidRPr="006C054E" w:rsidRDefault="00DB45C6" w:rsidP="006C054E">
      <w:pPr>
        <w:pStyle w:val="ListParagraph"/>
        <w:spacing w:after="0" w:line="240" w:lineRule="auto"/>
        <w:contextualSpacing w:val="0"/>
        <w:jc w:val="both"/>
        <w:rPr>
          <w:sz w:val="20"/>
          <w:szCs w:val="20"/>
        </w:rPr>
      </w:pPr>
    </w:p>
    <w:p w14:paraId="23D8BF65" w14:textId="10D28D53" w:rsidR="67324424" w:rsidRPr="006C054E" w:rsidRDefault="67324424" w:rsidP="006C054E">
      <w:pPr>
        <w:jc w:val="both"/>
        <w:rPr>
          <w:rFonts w:ascii="Calibri" w:eastAsia="Calibri" w:hAnsi="Calibri" w:cs="Calibri"/>
          <w:b/>
          <w:bCs/>
          <w:sz w:val="20"/>
          <w:szCs w:val="20"/>
        </w:rPr>
      </w:pPr>
    </w:p>
    <w:p w14:paraId="42DA9B15" w14:textId="303BFE27" w:rsidR="67324424" w:rsidRPr="006C054E" w:rsidRDefault="67324424" w:rsidP="006C054E">
      <w:pPr>
        <w:jc w:val="both"/>
        <w:rPr>
          <w:rFonts w:ascii="Calibri" w:eastAsia="Calibri" w:hAnsi="Calibri" w:cs="Calibri"/>
          <w:b/>
          <w:bCs/>
          <w:sz w:val="20"/>
          <w:szCs w:val="20"/>
        </w:rPr>
      </w:pPr>
    </w:p>
    <w:p w14:paraId="4D3C24A4" w14:textId="24153C48" w:rsidR="67324424" w:rsidRPr="006C054E" w:rsidRDefault="67324424" w:rsidP="006C054E">
      <w:pPr>
        <w:jc w:val="both"/>
        <w:rPr>
          <w:rFonts w:ascii="Calibri" w:eastAsia="Calibri" w:hAnsi="Calibri" w:cs="Calibri"/>
          <w:b/>
          <w:bCs/>
          <w:sz w:val="20"/>
          <w:szCs w:val="20"/>
        </w:rPr>
      </w:pPr>
    </w:p>
    <w:p w14:paraId="0550E202" w14:textId="34F340E3" w:rsidR="00ED4204" w:rsidRDefault="00ED4204">
      <w:pPr>
        <w:spacing w:after="200" w:line="276" w:lineRule="auto"/>
        <w:rPr>
          <w:rFonts w:ascii="Calibri" w:eastAsia="Calibri" w:hAnsi="Calibri" w:cs="Calibri"/>
          <w:b/>
          <w:bCs/>
          <w:sz w:val="20"/>
          <w:szCs w:val="20"/>
        </w:rPr>
      </w:pPr>
      <w:r>
        <w:rPr>
          <w:rFonts w:ascii="Calibri" w:eastAsia="Calibri" w:hAnsi="Calibri" w:cs="Calibri"/>
          <w:b/>
          <w:bCs/>
          <w:sz w:val="20"/>
          <w:szCs w:val="20"/>
        </w:rPr>
        <w:br w:type="page"/>
      </w:r>
    </w:p>
    <w:p w14:paraId="730D0FEA" w14:textId="77777777" w:rsidR="67324424" w:rsidRPr="006C054E" w:rsidRDefault="67324424" w:rsidP="006C054E">
      <w:pPr>
        <w:jc w:val="both"/>
        <w:rPr>
          <w:rFonts w:ascii="Calibri" w:eastAsia="Calibri" w:hAnsi="Calibri" w:cs="Calibri"/>
          <w:b/>
          <w:bCs/>
          <w:sz w:val="20"/>
          <w:szCs w:val="20"/>
        </w:rPr>
      </w:pPr>
    </w:p>
    <w:p w14:paraId="4B864650" w14:textId="0BD3BB61" w:rsidR="00454EEE" w:rsidRPr="006C054E" w:rsidRDefault="00ED4204" w:rsidP="006C054E">
      <w:pPr>
        <w:jc w:val="right"/>
        <w:rPr>
          <w:rFonts w:ascii="Calibri" w:eastAsia="Calibri" w:hAnsi="Calibri" w:cs="Calibri"/>
          <w:b/>
          <w:bCs/>
          <w:sz w:val="20"/>
          <w:szCs w:val="20"/>
        </w:rPr>
      </w:pPr>
      <w:r w:rsidRPr="006C054E">
        <w:rPr>
          <w:rFonts w:ascii="Calibri" w:eastAsia="Calibri" w:hAnsi="Calibri" w:cs="Calibri"/>
          <w:b/>
          <w:bCs/>
          <w:sz w:val="20"/>
          <w:szCs w:val="20"/>
        </w:rPr>
        <w:t xml:space="preserve">ANNEX 2  </w:t>
      </w:r>
    </w:p>
    <w:p w14:paraId="6717841F" w14:textId="48A2304D" w:rsidR="1F7B7221" w:rsidRPr="006C054E" w:rsidRDefault="1F7B7221" w:rsidP="006C054E">
      <w:pPr>
        <w:jc w:val="both"/>
        <w:rPr>
          <w:rFonts w:ascii="Calibri" w:eastAsia="Calibri" w:hAnsi="Calibri" w:cs="Calibri"/>
          <w:b/>
          <w:bCs/>
          <w:sz w:val="20"/>
          <w:szCs w:val="20"/>
          <w:highlight w:val="yellow"/>
        </w:rPr>
      </w:pPr>
      <w:r w:rsidRPr="006C054E">
        <w:rPr>
          <w:rFonts w:ascii="Calibri" w:eastAsia="Calibri" w:hAnsi="Calibri" w:cs="Calibri"/>
          <w:b/>
          <w:bCs/>
          <w:sz w:val="20"/>
          <w:szCs w:val="20"/>
        </w:rPr>
        <w:t xml:space="preserve">Proposed </w:t>
      </w:r>
      <w:r w:rsidR="00F316AC">
        <w:rPr>
          <w:rFonts w:ascii="Calibri" w:eastAsia="Calibri" w:hAnsi="Calibri" w:cs="Calibri"/>
          <w:b/>
          <w:bCs/>
          <w:sz w:val="20"/>
          <w:szCs w:val="20"/>
        </w:rPr>
        <w:t>program p</w:t>
      </w:r>
      <w:r w:rsidR="00F316AC" w:rsidRPr="006C054E">
        <w:rPr>
          <w:rFonts w:ascii="Calibri" w:eastAsia="Calibri" w:hAnsi="Calibri" w:cs="Calibri"/>
          <w:b/>
          <w:bCs/>
          <w:sz w:val="20"/>
          <w:szCs w:val="20"/>
        </w:rPr>
        <w:t xml:space="preserve">rocurement </w:t>
      </w:r>
      <w:r w:rsidR="00F316AC">
        <w:rPr>
          <w:rFonts w:ascii="Calibri" w:eastAsia="Calibri" w:hAnsi="Calibri" w:cs="Calibri"/>
          <w:b/>
          <w:bCs/>
          <w:sz w:val="20"/>
          <w:szCs w:val="20"/>
        </w:rPr>
        <w:t>performance i</w:t>
      </w:r>
      <w:r w:rsidR="00F316AC" w:rsidRPr="006C054E">
        <w:rPr>
          <w:rFonts w:ascii="Calibri" w:eastAsia="Calibri" w:hAnsi="Calibri" w:cs="Calibri"/>
          <w:b/>
          <w:bCs/>
          <w:sz w:val="20"/>
          <w:szCs w:val="20"/>
        </w:rPr>
        <w:t xml:space="preserve">ndicators </w:t>
      </w:r>
    </w:p>
    <w:p w14:paraId="3FD0959A" w14:textId="0CA7DB3C" w:rsidR="1F7B7221" w:rsidRPr="006C054E" w:rsidRDefault="1F7B7221" w:rsidP="006C054E">
      <w:pPr>
        <w:jc w:val="both"/>
        <w:rPr>
          <w:sz w:val="20"/>
          <w:szCs w:val="20"/>
        </w:rPr>
      </w:pPr>
      <w:r w:rsidRPr="006C054E">
        <w:rPr>
          <w:rFonts w:ascii="Calibri" w:eastAsia="Calibri" w:hAnsi="Calibri" w:cs="Calibri"/>
          <w:color w:val="000000" w:themeColor="text1"/>
          <w:sz w:val="20"/>
          <w:szCs w:val="20"/>
        </w:rPr>
        <w:t xml:space="preserve"> </w:t>
      </w:r>
    </w:p>
    <w:tbl>
      <w:tblPr>
        <w:tblStyle w:val="TableGrid"/>
        <w:tblW w:w="0" w:type="auto"/>
        <w:tblLayout w:type="fixed"/>
        <w:tblLook w:val="06A0" w:firstRow="1" w:lastRow="0" w:firstColumn="1" w:lastColumn="0" w:noHBand="1" w:noVBand="1"/>
      </w:tblPr>
      <w:tblGrid>
        <w:gridCol w:w="3240"/>
        <w:gridCol w:w="3240"/>
        <w:gridCol w:w="3240"/>
        <w:gridCol w:w="3240"/>
      </w:tblGrid>
      <w:tr w:rsidR="2E36D33C" w:rsidRPr="006C054E" w14:paraId="27594D1E" w14:textId="77777777" w:rsidTr="187A9B7B">
        <w:tc>
          <w:tcPr>
            <w:tcW w:w="3240" w:type="dxa"/>
          </w:tcPr>
          <w:p w14:paraId="777A4185" w14:textId="5A6CBCFC" w:rsidR="2E36D33C" w:rsidRPr="006C054E" w:rsidRDefault="2E36D33C">
            <w:pPr>
              <w:rPr>
                <w:rFonts w:asciiTheme="minorHAnsi" w:hAnsiTheme="minorHAnsi"/>
                <w:b/>
                <w:bCs/>
                <w:color w:val="000000" w:themeColor="text1"/>
                <w:sz w:val="20"/>
                <w:szCs w:val="20"/>
              </w:rPr>
            </w:pPr>
            <w:r w:rsidRPr="006C054E">
              <w:rPr>
                <w:rFonts w:asciiTheme="minorHAnsi" w:hAnsiTheme="minorHAnsi"/>
                <w:b/>
                <w:bCs/>
                <w:color w:val="000000" w:themeColor="text1"/>
                <w:sz w:val="20"/>
                <w:szCs w:val="20"/>
              </w:rPr>
              <w:t>Indicator</w:t>
            </w:r>
          </w:p>
        </w:tc>
        <w:tc>
          <w:tcPr>
            <w:tcW w:w="3240" w:type="dxa"/>
          </w:tcPr>
          <w:p w14:paraId="4A0253F2" w14:textId="2CD7D1BB" w:rsidR="2E36D33C" w:rsidRPr="006C054E" w:rsidRDefault="2E36D33C">
            <w:pPr>
              <w:rPr>
                <w:rFonts w:asciiTheme="minorHAnsi" w:hAnsiTheme="minorHAnsi"/>
                <w:b/>
                <w:bCs/>
                <w:color w:val="000000" w:themeColor="text1"/>
                <w:sz w:val="20"/>
                <w:szCs w:val="20"/>
              </w:rPr>
            </w:pPr>
            <w:r w:rsidRPr="006C054E">
              <w:rPr>
                <w:rFonts w:asciiTheme="minorHAnsi" w:hAnsiTheme="minorHAnsi"/>
                <w:b/>
                <w:bCs/>
                <w:color w:val="000000" w:themeColor="text1"/>
                <w:sz w:val="20"/>
                <w:szCs w:val="20"/>
              </w:rPr>
              <w:t>Measure</w:t>
            </w:r>
          </w:p>
        </w:tc>
        <w:tc>
          <w:tcPr>
            <w:tcW w:w="3240" w:type="dxa"/>
          </w:tcPr>
          <w:p w14:paraId="0CEE9E45" w14:textId="0B438ACD" w:rsidR="2E36D33C" w:rsidRPr="006C054E" w:rsidRDefault="2E36D33C">
            <w:pPr>
              <w:rPr>
                <w:rFonts w:asciiTheme="minorHAnsi" w:hAnsiTheme="minorHAnsi"/>
                <w:b/>
                <w:bCs/>
                <w:color w:val="000000" w:themeColor="text1"/>
                <w:sz w:val="20"/>
                <w:szCs w:val="20"/>
              </w:rPr>
            </w:pPr>
            <w:r w:rsidRPr="006C054E">
              <w:rPr>
                <w:rFonts w:asciiTheme="minorHAnsi" w:hAnsiTheme="minorHAnsi"/>
                <w:b/>
                <w:bCs/>
                <w:color w:val="000000" w:themeColor="text1"/>
                <w:sz w:val="20"/>
                <w:szCs w:val="20"/>
              </w:rPr>
              <w:t xml:space="preserve">Baseline </w:t>
            </w:r>
          </w:p>
        </w:tc>
        <w:tc>
          <w:tcPr>
            <w:tcW w:w="3240" w:type="dxa"/>
          </w:tcPr>
          <w:p w14:paraId="58E7F2F5" w14:textId="76D0C6BB" w:rsidR="2E36D33C" w:rsidRPr="006C054E" w:rsidRDefault="2E36D33C">
            <w:pPr>
              <w:rPr>
                <w:rFonts w:asciiTheme="minorHAnsi" w:hAnsiTheme="minorHAnsi"/>
                <w:b/>
                <w:bCs/>
                <w:color w:val="000000" w:themeColor="text1"/>
                <w:sz w:val="20"/>
                <w:szCs w:val="20"/>
              </w:rPr>
            </w:pPr>
            <w:r w:rsidRPr="006C054E">
              <w:rPr>
                <w:rFonts w:asciiTheme="minorHAnsi" w:hAnsiTheme="minorHAnsi"/>
                <w:b/>
                <w:bCs/>
                <w:color w:val="000000" w:themeColor="text1"/>
                <w:sz w:val="20"/>
                <w:szCs w:val="20"/>
              </w:rPr>
              <w:t xml:space="preserve">Recommended Standard </w:t>
            </w:r>
          </w:p>
        </w:tc>
      </w:tr>
      <w:tr w:rsidR="2E36D33C" w:rsidRPr="006C054E" w14:paraId="6E4809D6" w14:textId="77777777" w:rsidTr="187A9B7B">
        <w:tc>
          <w:tcPr>
            <w:tcW w:w="3240" w:type="dxa"/>
          </w:tcPr>
          <w:p w14:paraId="3CC3CB25" w14:textId="1C45DAA4" w:rsidR="2E36D33C" w:rsidRPr="006C054E" w:rsidRDefault="2E36D33C">
            <w:pPr>
              <w:rPr>
                <w:rFonts w:asciiTheme="minorHAnsi" w:hAnsiTheme="minorHAnsi"/>
                <w:b/>
                <w:bCs/>
                <w:color w:val="000000" w:themeColor="text1"/>
                <w:sz w:val="20"/>
                <w:szCs w:val="20"/>
              </w:rPr>
            </w:pPr>
            <w:r w:rsidRPr="006C054E">
              <w:rPr>
                <w:rFonts w:asciiTheme="minorHAnsi" w:hAnsiTheme="minorHAnsi"/>
                <w:b/>
                <w:bCs/>
                <w:color w:val="000000" w:themeColor="text1"/>
                <w:sz w:val="20"/>
                <w:szCs w:val="20"/>
              </w:rPr>
              <w:t>MoH</w:t>
            </w:r>
          </w:p>
        </w:tc>
        <w:tc>
          <w:tcPr>
            <w:tcW w:w="3240" w:type="dxa"/>
          </w:tcPr>
          <w:p w14:paraId="7B8EA68B" w14:textId="37F291BF" w:rsidR="2E36D33C" w:rsidRPr="006C054E" w:rsidRDefault="2E36D33C">
            <w:pPr>
              <w:rPr>
                <w:rFonts w:asciiTheme="minorHAnsi" w:hAnsiTheme="minorHAnsi"/>
                <w:sz w:val="20"/>
                <w:szCs w:val="20"/>
              </w:rPr>
            </w:pPr>
          </w:p>
        </w:tc>
        <w:tc>
          <w:tcPr>
            <w:tcW w:w="3240" w:type="dxa"/>
          </w:tcPr>
          <w:p w14:paraId="0F3D8012" w14:textId="77ACB3EA" w:rsidR="2E36D33C" w:rsidRPr="006C054E" w:rsidRDefault="2E36D33C">
            <w:pPr>
              <w:rPr>
                <w:rFonts w:asciiTheme="minorHAnsi" w:hAnsiTheme="minorHAnsi"/>
                <w:sz w:val="20"/>
                <w:szCs w:val="20"/>
              </w:rPr>
            </w:pPr>
          </w:p>
        </w:tc>
        <w:tc>
          <w:tcPr>
            <w:tcW w:w="3240" w:type="dxa"/>
          </w:tcPr>
          <w:p w14:paraId="5ED130F5" w14:textId="051B70F6" w:rsidR="2E36D33C" w:rsidRPr="006C054E" w:rsidRDefault="2E36D33C">
            <w:pPr>
              <w:rPr>
                <w:rFonts w:asciiTheme="minorHAnsi" w:hAnsiTheme="minorHAnsi"/>
                <w:sz w:val="20"/>
                <w:szCs w:val="20"/>
              </w:rPr>
            </w:pPr>
          </w:p>
        </w:tc>
      </w:tr>
      <w:tr w:rsidR="2E36D33C" w:rsidRPr="006C054E" w14:paraId="58889D08" w14:textId="77777777" w:rsidTr="187A9B7B">
        <w:tc>
          <w:tcPr>
            <w:tcW w:w="3240" w:type="dxa"/>
          </w:tcPr>
          <w:p w14:paraId="07DEEAB4" w14:textId="4D4B1137" w:rsidR="2E36D33C" w:rsidRPr="006C054E" w:rsidRDefault="2E36D33C">
            <w:pPr>
              <w:rPr>
                <w:rFonts w:asciiTheme="minorHAnsi" w:hAnsiTheme="minorHAnsi"/>
                <w:color w:val="000000" w:themeColor="text1"/>
                <w:sz w:val="20"/>
                <w:szCs w:val="20"/>
              </w:rPr>
            </w:pPr>
            <w:r w:rsidRPr="006C054E">
              <w:rPr>
                <w:rFonts w:asciiTheme="minorHAnsi" w:hAnsiTheme="minorHAnsi"/>
                <w:color w:val="000000" w:themeColor="text1"/>
                <w:sz w:val="20"/>
                <w:szCs w:val="20"/>
              </w:rPr>
              <w:t>Average length of procurement processes</w:t>
            </w:r>
          </w:p>
        </w:tc>
        <w:tc>
          <w:tcPr>
            <w:tcW w:w="3240" w:type="dxa"/>
          </w:tcPr>
          <w:p w14:paraId="1F182294" w14:textId="2884630F" w:rsidR="2E36D33C" w:rsidRPr="006C054E" w:rsidRDefault="2E36D33C">
            <w:pPr>
              <w:rPr>
                <w:rFonts w:asciiTheme="minorHAnsi" w:hAnsiTheme="minorHAnsi"/>
                <w:color w:val="000000" w:themeColor="text1"/>
                <w:sz w:val="20"/>
                <w:szCs w:val="20"/>
              </w:rPr>
            </w:pPr>
            <w:r w:rsidRPr="006C054E">
              <w:rPr>
                <w:rFonts w:asciiTheme="minorHAnsi" w:hAnsiTheme="minorHAnsi"/>
                <w:color w:val="000000" w:themeColor="text1"/>
                <w:sz w:val="20"/>
                <w:szCs w:val="20"/>
              </w:rPr>
              <w:t>Number of days between date of award and date of invitation to bid</w:t>
            </w:r>
          </w:p>
        </w:tc>
        <w:tc>
          <w:tcPr>
            <w:tcW w:w="3240" w:type="dxa"/>
          </w:tcPr>
          <w:p w14:paraId="72B9EC07" w14:textId="416201BE" w:rsidR="2E36D33C" w:rsidRPr="006C054E" w:rsidRDefault="2E36D33C">
            <w:pPr>
              <w:rPr>
                <w:rFonts w:asciiTheme="minorHAnsi" w:hAnsiTheme="minorHAnsi"/>
                <w:color w:val="000000" w:themeColor="text1"/>
                <w:sz w:val="20"/>
                <w:szCs w:val="20"/>
              </w:rPr>
            </w:pPr>
            <w:r w:rsidRPr="006C054E">
              <w:rPr>
                <w:rFonts w:asciiTheme="minorHAnsi" w:hAnsiTheme="minorHAnsi"/>
                <w:color w:val="000000" w:themeColor="text1"/>
                <w:sz w:val="20"/>
                <w:szCs w:val="20"/>
              </w:rPr>
              <w:t>Open Tender – 180 days</w:t>
            </w:r>
          </w:p>
        </w:tc>
        <w:tc>
          <w:tcPr>
            <w:tcW w:w="3240" w:type="dxa"/>
          </w:tcPr>
          <w:p w14:paraId="053D7699" w14:textId="07DF351D" w:rsidR="2E36D33C" w:rsidRPr="006C054E" w:rsidRDefault="2E36D33C">
            <w:pPr>
              <w:rPr>
                <w:rFonts w:asciiTheme="minorHAnsi" w:hAnsiTheme="minorHAnsi"/>
                <w:color w:val="000000" w:themeColor="text1"/>
                <w:sz w:val="20"/>
                <w:szCs w:val="20"/>
              </w:rPr>
            </w:pPr>
            <w:r w:rsidRPr="006C054E">
              <w:rPr>
                <w:rFonts w:asciiTheme="minorHAnsi" w:hAnsiTheme="minorHAnsi"/>
                <w:color w:val="000000" w:themeColor="text1"/>
                <w:sz w:val="20"/>
                <w:szCs w:val="20"/>
              </w:rPr>
              <w:t>Open Tender – 150 days</w:t>
            </w:r>
          </w:p>
        </w:tc>
      </w:tr>
      <w:tr w:rsidR="2E36D33C" w:rsidRPr="006C054E" w14:paraId="1BA81074" w14:textId="77777777" w:rsidTr="187A9B7B">
        <w:tc>
          <w:tcPr>
            <w:tcW w:w="3240" w:type="dxa"/>
          </w:tcPr>
          <w:p w14:paraId="6DB4E26A" w14:textId="693733BB" w:rsidR="2E36D33C" w:rsidRPr="006C054E" w:rsidRDefault="2E36D33C">
            <w:pPr>
              <w:rPr>
                <w:rFonts w:asciiTheme="minorHAnsi" w:hAnsiTheme="minorHAnsi"/>
                <w:sz w:val="20"/>
                <w:szCs w:val="20"/>
              </w:rPr>
            </w:pPr>
            <w:r w:rsidRPr="006C054E">
              <w:rPr>
                <w:rFonts w:asciiTheme="minorHAnsi" w:hAnsiTheme="minorHAnsi"/>
                <w:sz w:val="20"/>
                <w:szCs w:val="20"/>
              </w:rPr>
              <w:t>Time for bid evaluation</w:t>
            </w:r>
          </w:p>
        </w:tc>
        <w:tc>
          <w:tcPr>
            <w:tcW w:w="3240" w:type="dxa"/>
          </w:tcPr>
          <w:p w14:paraId="727BAA30" w14:textId="5FD658F9" w:rsidR="2E36D33C" w:rsidRPr="006C054E" w:rsidRDefault="2E36D33C">
            <w:pPr>
              <w:rPr>
                <w:rFonts w:asciiTheme="minorHAnsi" w:hAnsiTheme="minorHAnsi"/>
                <w:sz w:val="20"/>
                <w:szCs w:val="20"/>
              </w:rPr>
            </w:pPr>
            <w:r w:rsidRPr="006C054E">
              <w:rPr>
                <w:rFonts w:asciiTheme="minorHAnsi" w:hAnsiTheme="minorHAnsi"/>
                <w:sz w:val="20"/>
                <w:szCs w:val="20"/>
              </w:rPr>
              <w:t>Number of days between bid opening and contract of award.</w:t>
            </w:r>
          </w:p>
        </w:tc>
        <w:tc>
          <w:tcPr>
            <w:tcW w:w="3240" w:type="dxa"/>
          </w:tcPr>
          <w:p w14:paraId="15E0138A" w14:textId="3CA87272" w:rsidR="2E36D33C" w:rsidRPr="006C054E" w:rsidRDefault="2E36D33C">
            <w:pPr>
              <w:rPr>
                <w:rFonts w:asciiTheme="minorHAnsi" w:hAnsiTheme="minorHAnsi"/>
                <w:color w:val="000000" w:themeColor="text1"/>
                <w:sz w:val="20"/>
                <w:szCs w:val="20"/>
              </w:rPr>
            </w:pPr>
            <w:r w:rsidRPr="006C054E">
              <w:rPr>
                <w:rFonts w:asciiTheme="minorHAnsi" w:hAnsiTheme="minorHAnsi"/>
                <w:color w:val="000000" w:themeColor="text1"/>
                <w:sz w:val="20"/>
                <w:szCs w:val="20"/>
              </w:rPr>
              <w:t>Open Tender – 150 days</w:t>
            </w:r>
          </w:p>
        </w:tc>
        <w:tc>
          <w:tcPr>
            <w:tcW w:w="3240" w:type="dxa"/>
          </w:tcPr>
          <w:p w14:paraId="03B23EA8" w14:textId="162469EE" w:rsidR="2E36D33C" w:rsidRPr="006C054E" w:rsidRDefault="2E36D33C">
            <w:pPr>
              <w:rPr>
                <w:rFonts w:asciiTheme="minorHAnsi" w:hAnsiTheme="minorHAnsi"/>
                <w:color w:val="000000" w:themeColor="text1"/>
                <w:sz w:val="20"/>
                <w:szCs w:val="20"/>
              </w:rPr>
            </w:pPr>
            <w:r w:rsidRPr="006C054E">
              <w:rPr>
                <w:rFonts w:asciiTheme="minorHAnsi" w:hAnsiTheme="minorHAnsi"/>
                <w:color w:val="000000" w:themeColor="text1"/>
                <w:sz w:val="20"/>
                <w:szCs w:val="20"/>
              </w:rPr>
              <w:t>Open Tender – 120 days</w:t>
            </w:r>
          </w:p>
        </w:tc>
      </w:tr>
      <w:tr w:rsidR="2E36D33C" w:rsidRPr="006C054E" w14:paraId="46E44F1D" w14:textId="77777777" w:rsidTr="187A9B7B">
        <w:tc>
          <w:tcPr>
            <w:tcW w:w="3240" w:type="dxa"/>
          </w:tcPr>
          <w:p w14:paraId="48673345" w14:textId="505D537A" w:rsidR="2E36D33C" w:rsidRPr="006C054E" w:rsidRDefault="2E36D33C">
            <w:pPr>
              <w:rPr>
                <w:rFonts w:asciiTheme="minorHAnsi" w:hAnsiTheme="minorHAnsi"/>
                <w:b/>
                <w:bCs/>
                <w:sz w:val="20"/>
                <w:szCs w:val="20"/>
              </w:rPr>
            </w:pPr>
            <w:r w:rsidRPr="006C054E">
              <w:rPr>
                <w:rFonts w:asciiTheme="minorHAnsi" w:hAnsiTheme="minorHAnsi"/>
                <w:b/>
                <w:bCs/>
                <w:sz w:val="20"/>
                <w:szCs w:val="20"/>
              </w:rPr>
              <w:t>NHIH</w:t>
            </w:r>
          </w:p>
        </w:tc>
        <w:tc>
          <w:tcPr>
            <w:tcW w:w="3240" w:type="dxa"/>
          </w:tcPr>
          <w:p w14:paraId="59221BCD" w14:textId="6273A920" w:rsidR="2E36D33C" w:rsidRPr="006C054E" w:rsidRDefault="2E36D33C">
            <w:pPr>
              <w:rPr>
                <w:rFonts w:asciiTheme="minorHAnsi" w:hAnsiTheme="minorHAnsi"/>
                <w:sz w:val="20"/>
                <w:szCs w:val="20"/>
              </w:rPr>
            </w:pPr>
          </w:p>
        </w:tc>
        <w:tc>
          <w:tcPr>
            <w:tcW w:w="3240" w:type="dxa"/>
          </w:tcPr>
          <w:p w14:paraId="1DB19027" w14:textId="3727F28F" w:rsidR="2E36D33C" w:rsidRPr="006C054E" w:rsidRDefault="2E36D33C">
            <w:pPr>
              <w:rPr>
                <w:rFonts w:asciiTheme="minorHAnsi" w:hAnsiTheme="minorHAnsi"/>
                <w:sz w:val="20"/>
                <w:szCs w:val="20"/>
              </w:rPr>
            </w:pPr>
          </w:p>
        </w:tc>
        <w:tc>
          <w:tcPr>
            <w:tcW w:w="3240" w:type="dxa"/>
          </w:tcPr>
          <w:p w14:paraId="11CF891E" w14:textId="6AC730E6" w:rsidR="2E36D33C" w:rsidRPr="006C054E" w:rsidRDefault="2E36D33C">
            <w:pPr>
              <w:rPr>
                <w:rFonts w:asciiTheme="minorHAnsi" w:hAnsiTheme="minorHAnsi"/>
                <w:sz w:val="20"/>
                <w:szCs w:val="20"/>
              </w:rPr>
            </w:pPr>
          </w:p>
        </w:tc>
      </w:tr>
      <w:tr w:rsidR="2E36D33C" w:rsidRPr="006C054E" w14:paraId="03DC8762" w14:textId="77777777" w:rsidTr="187A9B7B">
        <w:tc>
          <w:tcPr>
            <w:tcW w:w="3240" w:type="dxa"/>
          </w:tcPr>
          <w:p w14:paraId="3C53401E" w14:textId="4D75630D" w:rsidR="2E36D33C" w:rsidRPr="006C054E" w:rsidRDefault="2E36D33C">
            <w:pPr>
              <w:rPr>
                <w:rFonts w:asciiTheme="minorHAnsi" w:hAnsiTheme="minorHAnsi"/>
                <w:sz w:val="20"/>
                <w:szCs w:val="20"/>
              </w:rPr>
            </w:pPr>
            <w:r w:rsidRPr="006C054E">
              <w:rPr>
                <w:rFonts w:asciiTheme="minorHAnsi" w:hAnsiTheme="minorHAnsi"/>
                <w:sz w:val="20"/>
                <w:szCs w:val="20"/>
              </w:rPr>
              <w:t>Processes cancelled</w:t>
            </w:r>
          </w:p>
        </w:tc>
        <w:tc>
          <w:tcPr>
            <w:tcW w:w="3240" w:type="dxa"/>
          </w:tcPr>
          <w:p w14:paraId="43EB1D4B" w14:textId="500CBECB" w:rsidR="2E36D33C" w:rsidRPr="006C054E" w:rsidRDefault="2E36D33C">
            <w:pPr>
              <w:rPr>
                <w:rFonts w:asciiTheme="minorHAnsi" w:hAnsiTheme="minorHAnsi"/>
                <w:sz w:val="20"/>
                <w:szCs w:val="20"/>
              </w:rPr>
            </w:pPr>
            <w:r w:rsidRPr="006C054E">
              <w:rPr>
                <w:rFonts w:asciiTheme="minorHAnsi" w:hAnsiTheme="minorHAnsi"/>
                <w:sz w:val="20"/>
                <w:szCs w:val="20"/>
              </w:rPr>
              <w:t>Percent of bid processes before contract signature</w:t>
            </w:r>
          </w:p>
        </w:tc>
        <w:tc>
          <w:tcPr>
            <w:tcW w:w="3240" w:type="dxa"/>
          </w:tcPr>
          <w:p w14:paraId="2BFB2DDA" w14:textId="5C3AAE0B" w:rsidR="2E36D33C" w:rsidRPr="006C054E" w:rsidRDefault="2E36D33C">
            <w:pPr>
              <w:rPr>
                <w:rFonts w:asciiTheme="minorHAnsi" w:hAnsiTheme="minorHAnsi"/>
                <w:color w:val="000000" w:themeColor="text1"/>
                <w:sz w:val="20"/>
                <w:szCs w:val="20"/>
              </w:rPr>
            </w:pPr>
            <w:r w:rsidRPr="006C054E">
              <w:rPr>
                <w:rFonts w:asciiTheme="minorHAnsi" w:hAnsiTheme="minorHAnsi"/>
                <w:color w:val="000000" w:themeColor="text1"/>
                <w:sz w:val="20"/>
                <w:szCs w:val="20"/>
              </w:rPr>
              <w:t xml:space="preserve">36 % </w:t>
            </w:r>
          </w:p>
          <w:p w14:paraId="41A1268E" w14:textId="2B118F14" w:rsidR="2E36D33C" w:rsidRPr="006C054E" w:rsidRDefault="2E36D33C">
            <w:pPr>
              <w:rPr>
                <w:rFonts w:asciiTheme="minorHAnsi" w:hAnsiTheme="minorHAnsi"/>
                <w:color w:val="000000" w:themeColor="text1"/>
                <w:sz w:val="20"/>
                <w:szCs w:val="20"/>
              </w:rPr>
            </w:pPr>
            <w:r w:rsidRPr="006C054E">
              <w:rPr>
                <w:rFonts w:asciiTheme="minorHAnsi" w:hAnsiTheme="minorHAnsi"/>
                <w:color w:val="000000" w:themeColor="text1"/>
                <w:sz w:val="20"/>
                <w:szCs w:val="20"/>
              </w:rPr>
              <w:t xml:space="preserve"> </w:t>
            </w:r>
          </w:p>
        </w:tc>
        <w:tc>
          <w:tcPr>
            <w:tcW w:w="3240" w:type="dxa"/>
          </w:tcPr>
          <w:p w14:paraId="791C4A68" w14:textId="2F95350B" w:rsidR="2E36D33C" w:rsidRPr="006C054E" w:rsidRDefault="2E36D33C">
            <w:pPr>
              <w:rPr>
                <w:rFonts w:asciiTheme="minorHAnsi" w:hAnsiTheme="minorHAnsi"/>
                <w:color w:val="000000" w:themeColor="text1"/>
                <w:sz w:val="20"/>
                <w:szCs w:val="20"/>
              </w:rPr>
            </w:pPr>
            <w:r w:rsidRPr="006C054E">
              <w:rPr>
                <w:rFonts w:asciiTheme="minorHAnsi" w:hAnsiTheme="minorHAnsi"/>
                <w:color w:val="000000" w:themeColor="text1"/>
                <w:sz w:val="20"/>
                <w:szCs w:val="20"/>
              </w:rPr>
              <w:t>10%</w:t>
            </w:r>
          </w:p>
        </w:tc>
      </w:tr>
      <w:tr w:rsidR="2E36D33C" w:rsidRPr="006C054E" w14:paraId="2B8AA02C" w14:textId="77777777" w:rsidTr="187A9B7B">
        <w:tc>
          <w:tcPr>
            <w:tcW w:w="3240" w:type="dxa"/>
          </w:tcPr>
          <w:p w14:paraId="1A5D413A" w14:textId="2623F30C" w:rsidR="2E36D33C" w:rsidRPr="006C054E" w:rsidRDefault="2E36D33C">
            <w:pPr>
              <w:rPr>
                <w:rFonts w:asciiTheme="minorHAnsi" w:hAnsiTheme="minorHAnsi"/>
                <w:sz w:val="20"/>
                <w:szCs w:val="20"/>
              </w:rPr>
            </w:pPr>
            <w:r w:rsidRPr="006C054E">
              <w:rPr>
                <w:rFonts w:asciiTheme="minorHAnsi" w:hAnsiTheme="minorHAnsi"/>
                <w:sz w:val="20"/>
                <w:szCs w:val="20"/>
              </w:rPr>
              <w:t>Bidders participation</w:t>
            </w:r>
          </w:p>
        </w:tc>
        <w:tc>
          <w:tcPr>
            <w:tcW w:w="3240" w:type="dxa"/>
          </w:tcPr>
          <w:p w14:paraId="66E44552" w14:textId="72349E71" w:rsidR="2E36D33C" w:rsidRPr="006C054E" w:rsidRDefault="2E36D33C">
            <w:pPr>
              <w:rPr>
                <w:rFonts w:asciiTheme="minorHAnsi" w:hAnsiTheme="minorHAnsi"/>
                <w:sz w:val="20"/>
                <w:szCs w:val="20"/>
              </w:rPr>
            </w:pPr>
            <w:r w:rsidRPr="006C054E">
              <w:rPr>
                <w:rFonts w:asciiTheme="minorHAnsi" w:hAnsiTheme="minorHAnsi"/>
                <w:sz w:val="20"/>
                <w:szCs w:val="20"/>
              </w:rPr>
              <w:t>Average number of bidders</w:t>
            </w:r>
          </w:p>
          <w:p w14:paraId="40B065CD" w14:textId="00301984" w:rsidR="2E36D33C" w:rsidRPr="006C054E" w:rsidRDefault="2E36D33C">
            <w:pPr>
              <w:rPr>
                <w:rFonts w:asciiTheme="minorHAnsi" w:hAnsiTheme="minorHAnsi"/>
                <w:sz w:val="20"/>
                <w:szCs w:val="20"/>
              </w:rPr>
            </w:pPr>
            <w:r w:rsidRPr="006C054E">
              <w:rPr>
                <w:rFonts w:asciiTheme="minorHAnsi" w:hAnsiTheme="minorHAnsi"/>
                <w:sz w:val="20"/>
                <w:szCs w:val="20"/>
              </w:rPr>
              <w:t>submitting a bid in each bid</w:t>
            </w:r>
          </w:p>
          <w:p w14:paraId="793B9A39" w14:textId="22B4A289" w:rsidR="2E36D33C" w:rsidRPr="006C054E" w:rsidRDefault="2E36D33C">
            <w:pPr>
              <w:rPr>
                <w:rFonts w:asciiTheme="minorHAnsi" w:hAnsiTheme="minorHAnsi"/>
                <w:sz w:val="20"/>
                <w:szCs w:val="20"/>
              </w:rPr>
            </w:pPr>
            <w:r w:rsidRPr="006C054E">
              <w:rPr>
                <w:rFonts w:asciiTheme="minorHAnsi" w:hAnsiTheme="minorHAnsi"/>
                <w:sz w:val="20"/>
                <w:szCs w:val="20"/>
              </w:rPr>
              <w:t>process</w:t>
            </w:r>
          </w:p>
        </w:tc>
        <w:tc>
          <w:tcPr>
            <w:tcW w:w="3240" w:type="dxa"/>
          </w:tcPr>
          <w:p w14:paraId="645FE05C" w14:textId="5E2EDF14" w:rsidR="2E36D33C" w:rsidRPr="006C054E" w:rsidRDefault="2E36D33C">
            <w:pPr>
              <w:rPr>
                <w:rFonts w:asciiTheme="minorHAnsi" w:hAnsiTheme="minorHAnsi"/>
                <w:color w:val="000000" w:themeColor="text1"/>
                <w:sz w:val="20"/>
                <w:szCs w:val="20"/>
              </w:rPr>
            </w:pPr>
            <w:r w:rsidRPr="006C054E">
              <w:rPr>
                <w:rFonts w:asciiTheme="minorHAnsi" w:hAnsiTheme="minorHAnsi"/>
                <w:color w:val="000000" w:themeColor="text1"/>
                <w:sz w:val="20"/>
                <w:szCs w:val="20"/>
              </w:rPr>
              <w:t>Simplified procedure: 2</w:t>
            </w:r>
          </w:p>
          <w:p w14:paraId="0C566F7B" w14:textId="7B32324F" w:rsidR="2E36D33C" w:rsidRPr="006C054E" w:rsidRDefault="2E36D33C">
            <w:pPr>
              <w:rPr>
                <w:rFonts w:asciiTheme="minorHAnsi" w:hAnsiTheme="minorHAnsi"/>
                <w:color w:val="000000" w:themeColor="text1"/>
                <w:sz w:val="20"/>
                <w:szCs w:val="20"/>
              </w:rPr>
            </w:pPr>
            <w:r w:rsidRPr="006C054E">
              <w:rPr>
                <w:rFonts w:asciiTheme="minorHAnsi" w:hAnsiTheme="minorHAnsi"/>
                <w:color w:val="000000" w:themeColor="text1"/>
                <w:sz w:val="20"/>
                <w:szCs w:val="20"/>
              </w:rPr>
              <w:t>Open Tender: 1</w:t>
            </w:r>
          </w:p>
        </w:tc>
        <w:tc>
          <w:tcPr>
            <w:tcW w:w="3240" w:type="dxa"/>
          </w:tcPr>
          <w:p w14:paraId="1208D06C" w14:textId="2B6EA507" w:rsidR="2E36D33C" w:rsidRPr="006C054E" w:rsidRDefault="2E36D33C">
            <w:pPr>
              <w:rPr>
                <w:rFonts w:asciiTheme="minorHAnsi" w:hAnsiTheme="minorHAnsi"/>
                <w:color w:val="000000" w:themeColor="text1"/>
                <w:sz w:val="20"/>
                <w:szCs w:val="20"/>
              </w:rPr>
            </w:pPr>
            <w:r w:rsidRPr="006C054E">
              <w:rPr>
                <w:rFonts w:asciiTheme="minorHAnsi" w:hAnsiTheme="minorHAnsi"/>
                <w:color w:val="000000" w:themeColor="text1"/>
                <w:sz w:val="20"/>
                <w:szCs w:val="20"/>
              </w:rPr>
              <w:t>Simplified procedure: 3</w:t>
            </w:r>
          </w:p>
          <w:p w14:paraId="10C580FB" w14:textId="4DF451FD" w:rsidR="2E36D33C" w:rsidRPr="006C054E" w:rsidRDefault="2E36D33C">
            <w:pPr>
              <w:rPr>
                <w:rFonts w:asciiTheme="minorHAnsi" w:hAnsiTheme="minorHAnsi"/>
                <w:color w:val="000000" w:themeColor="text1"/>
                <w:sz w:val="20"/>
                <w:szCs w:val="20"/>
              </w:rPr>
            </w:pPr>
            <w:r w:rsidRPr="006C054E">
              <w:rPr>
                <w:rFonts w:asciiTheme="minorHAnsi" w:hAnsiTheme="minorHAnsi"/>
                <w:color w:val="000000" w:themeColor="text1"/>
                <w:sz w:val="20"/>
                <w:szCs w:val="20"/>
              </w:rPr>
              <w:t>Open tender: 3</w:t>
            </w:r>
          </w:p>
        </w:tc>
      </w:tr>
      <w:tr w:rsidR="2E36D33C" w:rsidRPr="006C054E" w14:paraId="6DB63183" w14:textId="77777777" w:rsidTr="187A9B7B">
        <w:tc>
          <w:tcPr>
            <w:tcW w:w="3240" w:type="dxa"/>
          </w:tcPr>
          <w:p w14:paraId="7BCC3D47" w14:textId="5A42A068" w:rsidR="2E36D33C" w:rsidRPr="006C054E" w:rsidRDefault="2E36D33C">
            <w:pPr>
              <w:rPr>
                <w:rFonts w:asciiTheme="minorHAnsi" w:hAnsiTheme="minorHAnsi"/>
                <w:sz w:val="20"/>
                <w:szCs w:val="20"/>
              </w:rPr>
            </w:pPr>
            <w:r w:rsidRPr="006C054E">
              <w:rPr>
                <w:rFonts w:asciiTheme="minorHAnsi" w:hAnsiTheme="minorHAnsi"/>
                <w:sz w:val="20"/>
                <w:szCs w:val="20"/>
              </w:rPr>
              <w:t>Time for preparation of bids</w:t>
            </w:r>
          </w:p>
        </w:tc>
        <w:tc>
          <w:tcPr>
            <w:tcW w:w="3240" w:type="dxa"/>
          </w:tcPr>
          <w:p w14:paraId="5936F563" w14:textId="31960D8E" w:rsidR="2E36D33C" w:rsidRPr="006C054E" w:rsidRDefault="2E36D33C">
            <w:pPr>
              <w:rPr>
                <w:rFonts w:asciiTheme="minorHAnsi" w:hAnsiTheme="minorHAnsi"/>
                <w:sz w:val="20"/>
                <w:szCs w:val="20"/>
              </w:rPr>
            </w:pPr>
            <w:r w:rsidRPr="006C054E">
              <w:rPr>
                <w:rFonts w:asciiTheme="minorHAnsi" w:hAnsiTheme="minorHAnsi"/>
                <w:sz w:val="20"/>
                <w:szCs w:val="20"/>
              </w:rPr>
              <w:t>Number of days between</w:t>
            </w:r>
          </w:p>
          <w:p w14:paraId="2A73313E" w14:textId="04EC18D6" w:rsidR="2E36D33C" w:rsidRPr="006C054E" w:rsidRDefault="2E36D33C">
            <w:pPr>
              <w:rPr>
                <w:rFonts w:asciiTheme="minorHAnsi" w:hAnsiTheme="minorHAnsi"/>
                <w:sz w:val="20"/>
                <w:szCs w:val="20"/>
              </w:rPr>
            </w:pPr>
            <w:r w:rsidRPr="006C054E">
              <w:rPr>
                <w:rFonts w:asciiTheme="minorHAnsi" w:hAnsiTheme="minorHAnsi"/>
                <w:sz w:val="20"/>
                <w:szCs w:val="20"/>
              </w:rPr>
              <w:t>invitation to bid and bid opening</w:t>
            </w:r>
          </w:p>
        </w:tc>
        <w:tc>
          <w:tcPr>
            <w:tcW w:w="3240" w:type="dxa"/>
          </w:tcPr>
          <w:p w14:paraId="66DA27DD" w14:textId="6BF9EAA1" w:rsidR="2E36D33C" w:rsidRPr="006C054E" w:rsidRDefault="2E36D33C">
            <w:pPr>
              <w:rPr>
                <w:rFonts w:asciiTheme="minorHAnsi" w:hAnsiTheme="minorHAnsi"/>
                <w:color w:val="000000" w:themeColor="text1"/>
                <w:sz w:val="20"/>
                <w:szCs w:val="20"/>
              </w:rPr>
            </w:pPr>
            <w:r w:rsidRPr="006C054E">
              <w:rPr>
                <w:rFonts w:asciiTheme="minorHAnsi" w:hAnsiTheme="minorHAnsi"/>
                <w:color w:val="000000" w:themeColor="text1"/>
                <w:sz w:val="20"/>
                <w:szCs w:val="20"/>
              </w:rPr>
              <w:t>Simplified procedure – 11 days</w:t>
            </w:r>
          </w:p>
          <w:p w14:paraId="38632CC3" w14:textId="160796EC" w:rsidR="2E36D33C" w:rsidRPr="006C054E" w:rsidRDefault="2E36D33C">
            <w:pPr>
              <w:rPr>
                <w:rFonts w:asciiTheme="minorHAnsi" w:hAnsiTheme="minorHAnsi"/>
                <w:color w:val="000000" w:themeColor="text1"/>
                <w:sz w:val="20"/>
                <w:szCs w:val="20"/>
              </w:rPr>
            </w:pPr>
            <w:r w:rsidRPr="006C054E">
              <w:rPr>
                <w:rFonts w:asciiTheme="minorHAnsi" w:hAnsiTheme="minorHAnsi"/>
                <w:color w:val="000000" w:themeColor="text1"/>
                <w:sz w:val="20"/>
                <w:szCs w:val="20"/>
              </w:rPr>
              <w:t>Open Tender – 30 day</w:t>
            </w:r>
          </w:p>
        </w:tc>
        <w:tc>
          <w:tcPr>
            <w:tcW w:w="3240" w:type="dxa"/>
          </w:tcPr>
          <w:p w14:paraId="4F8BC6BB" w14:textId="5AA716AC" w:rsidR="2E36D33C" w:rsidRPr="006C054E" w:rsidRDefault="2E36D33C">
            <w:pPr>
              <w:rPr>
                <w:rFonts w:asciiTheme="minorHAnsi" w:hAnsiTheme="minorHAnsi"/>
                <w:color w:val="000000" w:themeColor="text1"/>
                <w:sz w:val="20"/>
                <w:szCs w:val="20"/>
              </w:rPr>
            </w:pPr>
            <w:r w:rsidRPr="006C054E">
              <w:rPr>
                <w:rFonts w:asciiTheme="minorHAnsi" w:hAnsiTheme="minorHAnsi"/>
                <w:color w:val="000000" w:themeColor="text1"/>
                <w:sz w:val="20"/>
                <w:szCs w:val="20"/>
              </w:rPr>
              <w:t xml:space="preserve">Simplified procedure – 15 days </w:t>
            </w:r>
          </w:p>
          <w:p w14:paraId="038FAB93" w14:textId="78CF07DE" w:rsidR="2E36D33C" w:rsidRPr="006C054E" w:rsidRDefault="2E36D33C">
            <w:pPr>
              <w:rPr>
                <w:rFonts w:asciiTheme="minorHAnsi" w:hAnsiTheme="minorHAnsi"/>
                <w:color w:val="000000" w:themeColor="text1"/>
                <w:sz w:val="20"/>
                <w:szCs w:val="20"/>
              </w:rPr>
            </w:pPr>
            <w:r w:rsidRPr="006C054E">
              <w:rPr>
                <w:rFonts w:asciiTheme="minorHAnsi" w:hAnsiTheme="minorHAnsi"/>
                <w:color w:val="000000" w:themeColor="text1"/>
                <w:sz w:val="20"/>
                <w:szCs w:val="20"/>
              </w:rPr>
              <w:t>Open Tender – 40 days</w:t>
            </w:r>
          </w:p>
          <w:p w14:paraId="60CF0F44" w14:textId="2C501A9C" w:rsidR="2E36D33C" w:rsidRPr="006C054E" w:rsidRDefault="2E36D33C">
            <w:pPr>
              <w:rPr>
                <w:rFonts w:asciiTheme="minorHAnsi" w:hAnsiTheme="minorHAnsi"/>
                <w:color w:val="000000" w:themeColor="text1"/>
                <w:sz w:val="20"/>
                <w:szCs w:val="20"/>
              </w:rPr>
            </w:pPr>
          </w:p>
        </w:tc>
      </w:tr>
    </w:tbl>
    <w:p w14:paraId="608AFEBF" w14:textId="3B630A35" w:rsidR="2E36D33C" w:rsidRPr="006C054E" w:rsidRDefault="2E36D33C" w:rsidP="006C054E">
      <w:pPr>
        <w:jc w:val="both"/>
        <w:rPr>
          <w:rFonts w:asciiTheme="minorHAnsi" w:eastAsiaTheme="minorEastAsia" w:hAnsiTheme="minorHAnsi"/>
          <w:color w:val="000000" w:themeColor="text1"/>
          <w:sz w:val="20"/>
          <w:szCs w:val="20"/>
        </w:rPr>
      </w:pPr>
    </w:p>
    <w:p w14:paraId="213E6C89" w14:textId="4C7365E0" w:rsidR="1F7B7221" w:rsidRPr="006C054E" w:rsidRDefault="1F7B7221" w:rsidP="006C054E">
      <w:pPr>
        <w:jc w:val="both"/>
        <w:rPr>
          <w:rFonts w:asciiTheme="minorHAnsi" w:eastAsiaTheme="minorEastAsia" w:hAnsiTheme="minorHAnsi"/>
          <w:szCs w:val="24"/>
        </w:rPr>
      </w:pPr>
      <w:r w:rsidRPr="006C054E">
        <w:rPr>
          <w:rFonts w:asciiTheme="minorHAnsi" w:eastAsiaTheme="minorEastAsia" w:hAnsiTheme="minorHAnsi"/>
          <w:szCs w:val="24"/>
        </w:rPr>
        <w:t xml:space="preserve"> </w:t>
      </w:r>
    </w:p>
    <w:p w14:paraId="7150BB14" w14:textId="77777777" w:rsidR="00ED4204" w:rsidRDefault="00ED4204">
      <w:pPr>
        <w:spacing w:after="200" w:line="276" w:lineRule="auto"/>
        <w:rPr>
          <w:rFonts w:asciiTheme="minorHAnsi" w:eastAsiaTheme="minorEastAsia" w:hAnsiTheme="minorHAnsi"/>
          <w:b/>
          <w:bCs/>
          <w:szCs w:val="24"/>
        </w:rPr>
      </w:pPr>
      <w:r>
        <w:rPr>
          <w:rFonts w:asciiTheme="minorHAnsi" w:eastAsiaTheme="minorEastAsia" w:hAnsiTheme="minorHAnsi"/>
          <w:b/>
          <w:bCs/>
          <w:szCs w:val="24"/>
        </w:rPr>
        <w:br w:type="page"/>
      </w:r>
    </w:p>
    <w:p w14:paraId="0DF1E53E" w14:textId="064D3955" w:rsidR="00ED4204" w:rsidRPr="00ED4204" w:rsidRDefault="00ED4204" w:rsidP="00ED4204">
      <w:pPr>
        <w:jc w:val="right"/>
        <w:rPr>
          <w:rFonts w:asciiTheme="minorHAnsi" w:eastAsiaTheme="minorEastAsia" w:hAnsiTheme="minorHAnsi"/>
          <w:b/>
          <w:bCs/>
          <w:sz w:val="22"/>
        </w:rPr>
      </w:pPr>
      <w:r w:rsidRPr="00ED4204">
        <w:rPr>
          <w:rFonts w:asciiTheme="minorHAnsi" w:eastAsiaTheme="minorEastAsia" w:hAnsiTheme="minorHAnsi"/>
          <w:b/>
          <w:bCs/>
          <w:sz w:val="22"/>
        </w:rPr>
        <w:lastRenderedPageBreak/>
        <w:t xml:space="preserve">ANNEX 3  </w:t>
      </w:r>
    </w:p>
    <w:p w14:paraId="768673FF" w14:textId="1123E892" w:rsidR="15EE38E6" w:rsidRPr="00ED4204" w:rsidRDefault="15EE38E6" w:rsidP="006C054E">
      <w:pPr>
        <w:jc w:val="both"/>
        <w:rPr>
          <w:rFonts w:asciiTheme="minorHAnsi" w:eastAsiaTheme="minorEastAsia" w:hAnsiTheme="minorHAnsi"/>
          <w:b/>
          <w:bCs/>
          <w:sz w:val="22"/>
        </w:rPr>
      </w:pPr>
      <w:r w:rsidRPr="00ED4204">
        <w:rPr>
          <w:rFonts w:asciiTheme="minorHAnsi" w:eastAsiaTheme="minorEastAsia" w:hAnsiTheme="minorHAnsi"/>
          <w:b/>
          <w:bCs/>
          <w:sz w:val="22"/>
        </w:rPr>
        <w:t xml:space="preserve">Proposed </w:t>
      </w:r>
      <w:r w:rsidR="00F316AC">
        <w:rPr>
          <w:rFonts w:asciiTheme="minorHAnsi" w:eastAsiaTheme="minorEastAsia" w:hAnsiTheme="minorHAnsi"/>
          <w:b/>
          <w:bCs/>
          <w:sz w:val="22"/>
        </w:rPr>
        <w:t>program financial management performance i</w:t>
      </w:r>
      <w:r w:rsidRPr="00ED4204">
        <w:rPr>
          <w:rFonts w:asciiTheme="minorHAnsi" w:eastAsiaTheme="minorEastAsia" w:hAnsiTheme="minorHAnsi"/>
          <w:b/>
          <w:bCs/>
          <w:sz w:val="22"/>
        </w:rPr>
        <w:t>ndicators</w:t>
      </w:r>
    </w:p>
    <w:p w14:paraId="5F80BD50" w14:textId="0CA7DB3C" w:rsidR="15EE38E6" w:rsidRPr="00ED4204" w:rsidRDefault="15EE38E6" w:rsidP="006C054E">
      <w:pPr>
        <w:jc w:val="both"/>
        <w:rPr>
          <w:sz w:val="22"/>
        </w:rPr>
      </w:pPr>
      <w:r w:rsidRPr="00ED4204">
        <w:rPr>
          <w:rFonts w:ascii="Calibri" w:eastAsia="Calibri" w:hAnsi="Calibri" w:cs="Calibri"/>
          <w:color w:val="000000" w:themeColor="text1"/>
          <w:sz w:val="22"/>
        </w:rPr>
        <w:t xml:space="preserve"> </w:t>
      </w:r>
    </w:p>
    <w:tbl>
      <w:tblPr>
        <w:tblStyle w:val="TableGrid1"/>
        <w:tblW w:w="0" w:type="auto"/>
        <w:tblLook w:val="06A0" w:firstRow="1" w:lastRow="0" w:firstColumn="1" w:lastColumn="0" w:noHBand="1" w:noVBand="1"/>
      </w:tblPr>
      <w:tblGrid>
        <w:gridCol w:w="3237"/>
        <w:gridCol w:w="3238"/>
        <w:gridCol w:w="3237"/>
        <w:gridCol w:w="3238"/>
      </w:tblGrid>
      <w:tr w:rsidR="15EE38E6" w14:paraId="30DD4C38" w14:textId="77777777" w:rsidTr="008B1049">
        <w:trPr>
          <w:trHeight w:val="188"/>
        </w:trPr>
        <w:tc>
          <w:tcPr>
            <w:tcW w:w="3240" w:type="dxa"/>
          </w:tcPr>
          <w:p w14:paraId="226E1241" w14:textId="1938B96F" w:rsidR="15EE38E6" w:rsidRDefault="15EE38E6">
            <w:r w:rsidRPr="006C054E">
              <w:rPr>
                <w:rFonts w:ascii="Calibri" w:eastAsia="Calibri" w:hAnsi="Calibri" w:cs="Calibri"/>
                <w:b/>
                <w:bCs/>
                <w:color w:val="000000" w:themeColor="text1"/>
                <w:sz w:val="22"/>
              </w:rPr>
              <w:t>Indicator</w:t>
            </w:r>
          </w:p>
        </w:tc>
        <w:tc>
          <w:tcPr>
            <w:tcW w:w="3240" w:type="dxa"/>
          </w:tcPr>
          <w:p w14:paraId="7A054F75" w14:textId="7F16A975" w:rsidR="15EE38E6" w:rsidRDefault="15EE38E6">
            <w:r w:rsidRPr="006C054E">
              <w:rPr>
                <w:rFonts w:ascii="Calibri" w:eastAsia="Calibri" w:hAnsi="Calibri" w:cs="Calibri"/>
                <w:b/>
                <w:bCs/>
                <w:color w:val="000000" w:themeColor="text1"/>
                <w:sz w:val="22"/>
              </w:rPr>
              <w:t>Measure</w:t>
            </w:r>
          </w:p>
        </w:tc>
        <w:tc>
          <w:tcPr>
            <w:tcW w:w="3240" w:type="dxa"/>
          </w:tcPr>
          <w:p w14:paraId="56926191" w14:textId="6164A50D" w:rsidR="15EE38E6" w:rsidRDefault="15EE38E6">
            <w:r w:rsidRPr="006C054E">
              <w:rPr>
                <w:rFonts w:ascii="Calibri" w:eastAsia="Calibri" w:hAnsi="Calibri" w:cs="Calibri"/>
                <w:b/>
                <w:bCs/>
                <w:color w:val="000000" w:themeColor="text1"/>
                <w:sz w:val="22"/>
              </w:rPr>
              <w:t xml:space="preserve">Baseline </w:t>
            </w:r>
          </w:p>
        </w:tc>
        <w:tc>
          <w:tcPr>
            <w:tcW w:w="3240" w:type="dxa"/>
          </w:tcPr>
          <w:p w14:paraId="61F25965" w14:textId="184A6CC3" w:rsidR="15EE38E6" w:rsidRDefault="15EE38E6">
            <w:r w:rsidRPr="006C054E">
              <w:rPr>
                <w:rFonts w:ascii="Calibri" w:eastAsia="Calibri" w:hAnsi="Calibri" w:cs="Calibri"/>
                <w:b/>
                <w:bCs/>
                <w:color w:val="000000" w:themeColor="text1"/>
                <w:sz w:val="22"/>
              </w:rPr>
              <w:t xml:space="preserve">Recommended Standard </w:t>
            </w:r>
          </w:p>
        </w:tc>
      </w:tr>
      <w:tr w:rsidR="15EE38E6" w14:paraId="765913AC" w14:textId="77777777" w:rsidTr="742B732D">
        <w:tc>
          <w:tcPr>
            <w:tcW w:w="3240" w:type="dxa"/>
          </w:tcPr>
          <w:p w14:paraId="253EE72A" w14:textId="4738356A" w:rsidR="15EE38E6" w:rsidRPr="00767A4F" w:rsidRDefault="13AF524A">
            <w:pPr>
              <w:rPr>
                <w:rFonts w:ascii="Calibri" w:eastAsia="Calibri" w:hAnsi="Calibri" w:cs="Calibri"/>
                <w:color w:val="000000" w:themeColor="text1"/>
                <w:sz w:val="20"/>
                <w:szCs w:val="20"/>
              </w:rPr>
            </w:pPr>
            <w:r w:rsidRPr="00767A4F">
              <w:rPr>
                <w:rFonts w:ascii="Calibri" w:eastAsia="Calibri" w:hAnsi="Calibri" w:cs="Calibri"/>
                <w:color w:val="000000" w:themeColor="text1"/>
                <w:sz w:val="20"/>
                <w:szCs w:val="20"/>
              </w:rPr>
              <w:t xml:space="preserve">Adequacy of the </w:t>
            </w:r>
            <w:r w:rsidR="00401F69" w:rsidRPr="00767A4F">
              <w:rPr>
                <w:rFonts w:ascii="Calibri" w:eastAsia="Calibri" w:hAnsi="Calibri" w:cs="Calibri"/>
                <w:color w:val="000000" w:themeColor="text1"/>
                <w:sz w:val="20"/>
                <w:szCs w:val="20"/>
              </w:rPr>
              <w:t xml:space="preserve">Program </w:t>
            </w:r>
            <w:r w:rsidRPr="00767A4F">
              <w:rPr>
                <w:rFonts w:ascii="Calibri" w:eastAsia="Calibri" w:hAnsi="Calibri" w:cs="Calibri"/>
                <w:color w:val="000000" w:themeColor="text1"/>
                <w:sz w:val="20"/>
                <w:szCs w:val="20"/>
              </w:rPr>
              <w:t>budget</w:t>
            </w:r>
          </w:p>
        </w:tc>
        <w:tc>
          <w:tcPr>
            <w:tcW w:w="3240" w:type="dxa"/>
          </w:tcPr>
          <w:p w14:paraId="4B688494" w14:textId="77777777" w:rsidR="15EE38E6" w:rsidRPr="00767A4F" w:rsidRDefault="43E0620E">
            <w:pPr>
              <w:rPr>
                <w:rFonts w:ascii="Calibri" w:eastAsia="Calibri" w:hAnsi="Calibri" w:cs="Calibri"/>
                <w:color w:val="000000" w:themeColor="text1"/>
                <w:sz w:val="20"/>
                <w:szCs w:val="20"/>
              </w:rPr>
            </w:pPr>
            <w:r w:rsidRPr="00767A4F">
              <w:rPr>
                <w:rFonts w:ascii="Calibri" w:eastAsia="Calibri" w:hAnsi="Calibri" w:cs="Calibri"/>
                <w:color w:val="000000" w:themeColor="text1"/>
                <w:sz w:val="20"/>
                <w:szCs w:val="20"/>
              </w:rPr>
              <w:t>Ratio of reques</w:t>
            </w:r>
            <w:r w:rsidR="65FA986F" w:rsidRPr="00767A4F">
              <w:rPr>
                <w:rFonts w:ascii="Calibri" w:eastAsia="Calibri" w:hAnsi="Calibri" w:cs="Calibri"/>
                <w:color w:val="000000" w:themeColor="text1"/>
                <w:sz w:val="20"/>
                <w:szCs w:val="20"/>
              </w:rPr>
              <w:t>ted versus approved original and revised budget</w:t>
            </w:r>
          </w:p>
          <w:p w14:paraId="05E0EA2C" w14:textId="77777777" w:rsidR="008B1049" w:rsidRPr="00767A4F" w:rsidRDefault="008B1049">
            <w:pPr>
              <w:rPr>
                <w:rFonts w:ascii="Calibri" w:eastAsia="Calibri" w:hAnsi="Calibri" w:cs="Calibri"/>
                <w:color w:val="000000" w:themeColor="text1"/>
                <w:sz w:val="20"/>
                <w:szCs w:val="20"/>
              </w:rPr>
            </w:pPr>
          </w:p>
          <w:p w14:paraId="35A28843" w14:textId="46EEFA30" w:rsidR="008B1049" w:rsidRPr="00767A4F" w:rsidRDefault="008B1049">
            <w:pPr>
              <w:rPr>
                <w:rFonts w:ascii="Calibri" w:eastAsia="Calibri" w:hAnsi="Calibri" w:cs="Calibri"/>
                <w:color w:val="000000" w:themeColor="text1"/>
                <w:sz w:val="20"/>
                <w:szCs w:val="20"/>
              </w:rPr>
            </w:pPr>
            <w:r w:rsidRPr="00767A4F">
              <w:rPr>
                <w:rFonts w:ascii="Calibri" w:eastAsia="Calibri" w:hAnsi="Calibri" w:cs="Calibri"/>
                <w:color w:val="000000" w:themeColor="text1"/>
                <w:sz w:val="20"/>
                <w:szCs w:val="20"/>
              </w:rPr>
              <w:t>Budget execution rate</w:t>
            </w:r>
          </w:p>
        </w:tc>
        <w:tc>
          <w:tcPr>
            <w:tcW w:w="3240" w:type="dxa"/>
          </w:tcPr>
          <w:p w14:paraId="0F3D5675" w14:textId="77777777" w:rsidR="008B1049" w:rsidRPr="00767A4F" w:rsidRDefault="008B1049">
            <w:pPr>
              <w:rPr>
                <w:rFonts w:ascii="Calibri" w:eastAsia="Calibri" w:hAnsi="Calibri" w:cs="Calibri"/>
                <w:color w:val="000000" w:themeColor="text1"/>
                <w:sz w:val="20"/>
                <w:szCs w:val="20"/>
              </w:rPr>
            </w:pPr>
            <w:r w:rsidRPr="00767A4F">
              <w:rPr>
                <w:rFonts w:ascii="Calibri" w:eastAsia="Calibri" w:hAnsi="Calibri" w:cs="Calibri"/>
                <w:color w:val="000000" w:themeColor="text1"/>
                <w:sz w:val="20"/>
                <w:szCs w:val="20"/>
              </w:rPr>
              <w:t>n/a</w:t>
            </w:r>
          </w:p>
          <w:p w14:paraId="5B8AE45F" w14:textId="77777777" w:rsidR="008B1049" w:rsidRPr="00767A4F" w:rsidRDefault="008B1049">
            <w:pPr>
              <w:rPr>
                <w:rFonts w:ascii="Calibri" w:eastAsia="Calibri" w:hAnsi="Calibri" w:cs="Calibri"/>
                <w:color w:val="000000" w:themeColor="text1"/>
                <w:sz w:val="20"/>
                <w:szCs w:val="20"/>
              </w:rPr>
            </w:pPr>
          </w:p>
          <w:p w14:paraId="01FD74B2" w14:textId="77777777" w:rsidR="008B1049" w:rsidRPr="00767A4F" w:rsidRDefault="008B1049">
            <w:pPr>
              <w:rPr>
                <w:rFonts w:ascii="Calibri" w:eastAsia="Calibri" w:hAnsi="Calibri" w:cs="Calibri"/>
                <w:color w:val="000000" w:themeColor="text1"/>
                <w:sz w:val="20"/>
                <w:szCs w:val="20"/>
              </w:rPr>
            </w:pPr>
          </w:p>
          <w:p w14:paraId="0B442AC1" w14:textId="77777777" w:rsidR="008B1049" w:rsidRPr="00767A4F" w:rsidRDefault="008B1049">
            <w:pPr>
              <w:rPr>
                <w:rFonts w:ascii="Calibri" w:eastAsia="Calibri" w:hAnsi="Calibri" w:cs="Calibri"/>
                <w:color w:val="000000" w:themeColor="text1"/>
                <w:sz w:val="20"/>
                <w:szCs w:val="20"/>
              </w:rPr>
            </w:pPr>
          </w:p>
          <w:p w14:paraId="104FC8D0" w14:textId="4F184051" w:rsidR="15EE38E6" w:rsidRPr="00767A4F" w:rsidRDefault="00E40610">
            <w:pPr>
              <w:rPr>
                <w:rFonts w:ascii="Calibri" w:eastAsia="Calibri" w:hAnsi="Calibri" w:cs="Calibri"/>
                <w:color w:val="000000" w:themeColor="text1"/>
                <w:sz w:val="20"/>
                <w:szCs w:val="20"/>
              </w:rPr>
            </w:pPr>
            <w:r w:rsidRPr="00767A4F">
              <w:rPr>
                <w:rFonts w:ascii="Calibri" w:eastAsia="Calibri" w:hAnsi="Calibri" w:cs="Calibri"/>
                <w:color w:val="000000" w:themeColor="text1"/>
                <w:sz w:val="20"/>
                <w:szCs w:val="20"/>
              </w:rPr>
              <w:t>90</w:t>
            </w:r>
            <w:r w:rsidR="00427B0D" w:rsidRPr="00767A4F">
              <w:rPr>
                <w:rFonts w:ascii="Calibri" w:eastAsia="Calibri" w:hAnsi="Calibri" w:cs="Calibri"/>
                <w:color w:val="000000" w:themeColor="text1"/>
                <w:sz w:val="20"/>
                <w:szCs w:val="20"/>
              </w:rPr>
              <w:t>-100%</w:t>
            </w:r>
            <w:r w:rsidR="00DA3DA2" w:rsidRPr="00767A4F">
              <w:rPr>
                <w:rFonts w:ascii="Calibri" w:eastAsia="Calibri" w:hAnsi="Calibri" w:cs="Calibri"/>
                <w:color w:val="000000" w:themeColor="text1"/>
                <w:sz w:val="20"/>
                <w:szCs w:val="20"/>
              </w:rPr>
              <w:t xml:space="preserve"> (2018)</w:t>
            </w:r>
          </w:p>
          <w:p w14:paraId="6DBCF5C3" w14:textId="77777777" w:rsidR="008B1049" w:rsidRPr="00767A4F" w:rsidRDefault="008B1049">
            <w:pPr>
              <w:rPr>
                <w:rFonts w:ascii="Calibri" w:eastAsia="Calibri" w:hAnsi="Calibri" w:cs="Calibri"/>
                <w:color w:val="000000" w:themeColor="text1"/>
                <w:sz w:val="20"/>
                <w:szCs w:val="20"/>
              </w:rPr>
            </w:pPr>
          </w:p>
          <w:p w14:paraId="436E49CF" w14:textId="5FD79D5E" w:rsidR="008B1049" w:rsidRPr="00767A4F" w:rsidRDefault="008B1049">
            <w:pPr>
              <w:rPr>
                <w:rFonts w:ascii="Calibri" w:eastAsia="Calibri" w:hAnsi="Calibri" w:cs="Calibri"/>
                <w:color w:val="000000" w:themeColor="text1"/>
                <w:sz w:val="20"/>
                <w:szCs w:val="20"/>
              </w:rPr>
            </w:pPr>
          </w:p>
        </w:tc>
        <w:tc>
          <w:tcPr>
            <w:tcW w:w="3240" w:type="dxa"/>
          </w:tcPr>
          <w:p w14:paraId="37713DF4" w14:textId="15C526A1" w:rsidR="00427B0D" w:rsidRPr="00767A4F" w:rsidRDefault="00427B0D" w:rsidP="00427B0D">
            <w:pPr>
              <w:jc w:val="both"/>
              <w:rPr>
                <w:rFonts w:ascii="Calibri" w:eastAsia="Calibri" w:hAnsi="Calibri" w:cs="Calibri"/>
                <w:color w:val="000000" w:themeColor="text1"/>
                <w:sz w:val="20"/>
                <w:szCs w:val="20"/>
              </w:rPr>
            </w:pPr>
            <w:r w:rsidRPr="00767A4F">
              <w:rPr>
                <w:rFonts w:ascii="Calibri" w:eastAsia="Calibri" w:hAnsi="Calibri" w:cs="Calibri"/>
                <w:color w:val="000000" w:themeColor="text1"/>
                <w:sz w:val="20"/>
                <w:szCs w:val="20"/>
              </w:rPr>
              <w:t xml:space="preserve">Realistic </w:t>
            </w:r>
            <w:r w:rsidRPr="00767A4F">
              <w:rPr>
                <w:rFonts w:ascii="Calibri" w:eastAsia="Calibri" w:hAnsi="Calibri" w:cs="Calibri"/>
                <w:color w:val="000000" w:themeColor="text1"/>
                <w:sz w:val="20"/>
                <w:szCs w:val="20"/>
              </w:rPr>
              <w:t xml:space="preserve">forward-looking </w:t>
            </w:r>
            <w:r w:rsidRPr="00767A4F">
              <w:rPr>
                <w:rFonts w:ascii="Calibri" w:eastAsia="Calibri" w:hAnsi="Calibri" w:cs="Calibri"/>
                <w:color w:val="000000" w:themeColor="text1"/>
                <w:sz w:val="20"/>
                <w:szCs w:val="20"/>
              </w:rPr>
              <w:t xml:space="preserve">planning of implementing agencies </w:t>
            </w:r>
          </w:p>
          <w:p w14:paraId="302D593B" w14:textId="414A676E" w:rsidR="15EE38E6" w:rsidRPr="00767A4F" w:rsidRDefault="00427B0D" w:rsidP="00427B0D">
            <w:pPr>
              <w:jc w:val="both"/>
              <w:rPr>
                <w:rFonts w:ascii="Calibri" w:eastAsia="Calibri" w:hAnsi="Calibri" w:cs="Calibri"/>
                <w:color w:val="000000" w:themeColor="text1"/>
                <w:sz w:val="20"/>
                <w:szCs w:val="20"/>
              </w:rPr>
            </w:pPr>
            <w:r w:rsidRPr="00767A4F">
              <w:rPr>
                <w:rFonts w:ascii="Calibri" w:eastAsia="Calibri" w:hAnsi="Calibri" w:cs="Calibri"/>
                <w:color w:val="000000" w:themeColor="text1"/>
                <w:sz w:val="20"/>
                <w:szCs w:val="20"/>
              </w:rPr>
              <w:t xml:space="preserve">Timely </w:t>
            </w:r>
            <w:r w:rsidRPr="00767A4F">
              <w:rPr>
                <w:rFonts w:ascii="Calibri" w:eastAsia="Calibri" w:hAnsi="Calibri" w:cs="Calibri"/>
                <w:color w:val="000000" w:themeColor="text1"/>
                <w:sz w:val="20"/>
                <w:szCs w:val="20"/>
              </w:rPr>
              <w:t xml:space="preserve">and </w:t>
            </w:r>
            <w:proofErr w:type="gramStart"/>
            <w:r w:rsidRPr="00767A4F">
              <w:rPr>
                <w:rFonts w:ascii="Calibri" w:eastAsia="Calibri" w:hAnsi="Calibri" w:cs="Calibri"/>
                <w:color w:val="000000" w:themeColor="text1"/>
                <w:sz w:val="20"/>
                <w:szCs w:val="20"/>
              </w:rPr>
              <w:t>sufficient</w:t>
            </w:r>
            <w:proofErr w:type="gramEnd"/>
            <w:r w:rsidRPr="00767A4F">
              <w:rPr>
                <w:rFonts w:ascii="Calibri" w:eastAsia="Calibri" w:hAnsi="Calibri" w:cs="Calibri"/>
                <w:color w:val="000000" w:themeColor="text1"/>
                <w:sz w:val="20"/>
                <w:szCs w:val="20"/>
              </w:rPr>
              <w:t xml:space="preserve"> budgetary allocations are provided as per </w:t>
            </w:r>
            <w:r w:rsidRPr="00767A4F">
              <w:rPr>
                <w:rFonts w:ascii="Calibri" w:eastAsia="Calibri" w:hAnsi="Calibri" w:cs="Calibri"/>
                <w:color w:val="000000" w:themeColor="text1"/>
                <w:sz w:val="20"/>
                <w:szCs w:val="20"/>
              </w:rPr>
              <w:t>the financing requests of the implementing agencies</w:t>
            </w:r>
          </w:p>
        </w:tc>
      </w:tr>
      <w:tr w:rsidR="15EE38E6" w14:paraId="162D9DE4" w14:textId="77777777" w:rsidTr="742B732D">
        <w:tc>
          <w:tcPr>
            <w:tcW w:w="3240" w:type="dxa"/>
          </w:tcPr>
          <w:p w14:paraId="1D8B2014" w14:textId="299DE06A" w:rsidR="15EE38E6" w:rsidRPr="00767A4F" w:rsidRDefault="00427B0D">
            <w:pPr>
              <w:rPr>
                <w:rFonts w:ascii="Calibri" w:eastAsia="Calibri" w:hAnsi="Calibri" w:cs="Calibri"/>
                <w:sz w:val="20"/>
                <w:szCs w:val="20"/>
              </w:rPr>
            </w:pPr>
            <w:r w:rsidRPr="00767A4F">
              <w:rPr>
                <w:rFonts w:ascii="Calibri" w:eastAsia="Calibri" w:hAnsi="Calibri" w:cs="Calibri"/>
                <w:sz w:val="20"/>
                <w:szCs w:val="20"/>
              </w:rPr>
              <w:t xml:space="preserve">Effectiveness </w:t>
            </w:r>
            <w:proofErr w:type="gramStart"/>
            <w:r w:rsidRPr="00767A4F">
              <w:rPr>
                <w:rFonts w:ascii="Calibri" w:eastAsia="Calibri" w:hAnsi="Calibri" w:cs="Calibri"/>
                <w:sz w:val="20"/>
                <w:szCs w:val="20"/>
              </w:rPr>
              <w:t xml:space="preserve">of </w:t>
            </w:r>
            <w:r w:rsidR="1A2FCFA0" w:rsidRPr="00767A4F">
              <w:rPr>
                <w:rFonts w:ascii="Calibri" w:eastAsia="Calibri" w:hAnsi="Calibri" w:cs="Calibri"/>
                <w:sz w:val="20"/>
                <w:szCs w:val="20"/>
              </w:rPr>
              <w:t xml:space="preserve"> </w:t>
            </w:r>
            <w:proofErr w:type="spellStart"/>
            <w:r w:rsidR="1A2FCFA0" w:rsidRPr="00767A4F">
              <w:rPr>
                <w:rFonts w:ascii="Calibri" w:eastAsia="Calibri" w:hAnsi="Calibri" w:cs="Calibri"/>
                <w:sz w:val="20"/>
                <w:szCs w:val="20"/>
              </w:rPr>
              <w:t>of</w:t>
            </w:r>
            <w:proofErr w:type="spellEnd"/>
            <w:proofErr w:type="gramEnd"/>
            <w:r w:rsidR="1A2FCFA0" w:rsidRPr="00767A4F">
              <w:rPr>
                <w:rFonts w:ascii="Calibri" w:eastAsia="Calibri" w:hAnsi="Calibri" w:cs="Calibri"/>
                <w:sz w:val="20"/>
                <w:szCs w:val="20"/>
              </w:rPr>
              <w:t xml:space="preserve"> </w:t>
            </w:r>
            <w:r w:rsidR="33FE504E" w:rsidRPr="00767A4F">
              <w:rPr>
                <w:rFonts w:ascii="Calibri" w:eastAsia="Calibri" w:hAnsi="Calibri" w:cs="Calibri"/>
                <w:sz w:val="20"/>
                <w:szCs w:val="20"/>
              </w:rPr>
              <w:t>control and antifraud</w:t>
            </w:r>
            <w:r w:rsidR="379780AB" w:rsidRPr="00767A4F">
              <w:rPr>
                <w:rFonts w:ascii="Calibri" w:eastAsia="Calibri" w:hAnsi="Calibri" w:cs="Calibri"/>
                <w:sz w:val="20"/>
                <w:szCs w:val="20"/>
              </w:rPr>
              <w:t xml:space="preserve"> </w:t>
            </w:r>
            <w:r w:rsidR="211E5312" w:rsidRPr="00767A4F">
              <w:rPr>
                <w:rFonts w:ascii="Calibri" w:eastAsia="Calibri" w:hAnsi="Calibri" w:cs="Calibri"/>
                <w:sz w:val="20"/>
                <w:szCs w:val="20"/>
              </w:rPr>
              <w:t>functions</w:t>
            </w:r>
            <w:r w:rsidRPr="00767A4F">
              <w:rPr>
                <w:rFonts w:ascii="Calibri" w:eastAsia="Calibri" w:hAnsi="Calibri" w:cs="Calibri"/>
                <w:sz w:val="20"/>
                <w:szCs w:val="20"/>
              </w:rPr>
              <w:t xml:space="preserve"> of MoH and NHIH</w:t>
            </w:r>
          </w:p>
        </w:tc>
        <w:tc>
          <w:tcPr>
            <w:tcW w:w="3240" w:type="dxa"/>
          </w:tcPr>
          <w:p w14:paraId="2A3EE498" w14:textId="49ACEBBD" w:rsidR="00427B0D" w:rsidRPr="00767A4F" w:rsidRDefault="00427B0D" w:rsidP="00427B0D">
            <w:pPr>
              <w:rPr>
                <w:rFonts w:ascii="Calibri" w:eastAsia="Calibri" w:hAnsi="Calibri" w:cs="Calibri"/>
                <w:sz w:val="20"/>
                <w:szCs w:val="20"/>
              </w:rPr>
            </w:pPr>
            <w:r w:rsidRPr="00767A4F">
              <w:rPr>
                <w:rFonts w:ascii="Calibri" w:eastAsia="Calibri" w:hAnsi="Calibri" w:cs="Calibri"/>
                <w:sz w:val="20"/>
                <w:szCs w:val="20"/>
              </w:rPr>
              <w:t>Number of controls conducted in a year</w:t>
            </w:r>
          </w:p>
          <w:p w14:paraId="3118DCBF" w14:textId="711F8AF5" w:rsidR="15EE38E6" w:rsidRPr="00767A4F" w:rsidRDefault="00427B0D" w:rsidP="00427B0D">
            <w:pPr>
              <w:rPr>
                <w:rFonts w:ascii="Calibri" w:eastAsia="Calibri" w:hAnsi="Calibri" w:cs="Calibri"/>
                <w:sz w:val="20"/>
                <w:szCs w:val="20"/>
              </w:rPr>
            </w:pPr>
            <w:r w:rsidRPr="00767A4F">
              <w:rPr>
                <w:rFonts w:ascii="Calibri" w:eastAsia="Calibri" w:hAnsi="Calibri" w:cs="Calibri"/>
                <w:sz w:val="20"/>
                <w:szCs w:val="20"/>
              </w:rPr>
              <w:t xml:space="preserve">Percent of </w:t>
            </w:r>
            <w:r w:rsidR="00253CF4" w:rsidRPr="00767A4F">
              <w:rPr>
                <w:rFonts w:ascii="Calibri" w:eastAsia="Calibri" w:hAnsi="Calibri" w:cs="Calibri"/>
                <w:sz w:val="20"/>
                <w:szCs w:val="20"/>
              </w:rPr>
              <w:t>liabilities recovered</w:t>
            </w:r>
          </w:p>
        </w:tc>
        <w:tc>
          <w:tcPr>
            <w:tcW w:w="3240" w:type="dxa"/>
          </w:tcPr>
          <w:p w14:paraId="72C5FB44" w14:textId="3E748F85" w:rsidR="15EE38E6" w:rsidRPr="00767A4F" w:rsidRDefault="00253CF4" w:rsidP="008B1049">
            <w:pPr>
              <w:jc w:val="both"/>
              <w:rPr>
                <w:rFonts w:ascii="Calibri" w:eastAsia="Calibri" w:hAnsi="Calibri" w:cs="Calibri"/>
                <w:color w:val="000000" w:themeColor="text1"/>
                <w:sz w:val="20"/>
                <w:szCs w:val="20"/>
              </w:rPr>
            </w:pPr>
            <w:r w:rsidRPr="00767A4F">
              <w:rPr>
                <w:rFonts w:ascii="Calibri" w:eastAsia="Calibri" w:hAnsi="Calibri" w:cs="Calibri"/>
                <w:color w:val="000000" w:themeColor="text1"/>
                <w:sz w:val="20"/>
                <w:szCs w:val="20"/>
              </w:rPr>
              <w:t>NHIH: 26 control actions</w:t>
            </w:r>
            <w:r w:rsidRPr="00767A4F">
              <w:rPr>
                <w:rFonts w:ascii="Calibri" w:eastAsia="Calibri" w:hAnsi="Calibri" w:cs="Calibri"/>
                <w:color w:val="000000" w:themeColor="text1"/>
                <w:sz w:val="20"/>
                <w:szCs w:val="20"/>
              </w:rPr>
              <w:t xml:space="preserve"> in 2017</w:t>
            </w:r>
            <w:r w:rsidRPr="00767A4F">
              <w:rPr>
                <w:rFonts w:ascii="Calibri" w:eastAsia="Calibri" w:hAnsi="Calibri" w:cs="Calibri"/>
                <w:color w:val="000000" w:themeColor="text1"/>
                <w:sz w:val="20"/>
                <w:szCs w:val="20"/>
              </w:rPr>
              <w:t xml:space="preserve"> (11 on local HIHs, 15 at medical suppliers); </w:t>
            </w:r>
            <w:r w:rsidRPr="00767A4F">
              <w:rPr>
                <w:rFonts w:ascii="Calibri" w:eastAsia="Calibri" w:hAnsi="Calibri" w:cs="Calibri"/>
                <w:color w:val="000000" w:themeColor="text1"/>
                <w:sz w:val="20"/>
                <w:szCs w:val="20"/>
              </w:rPr>
              <w:t xml:space="preserve">county </w:t>
            </w:r>
            <w:r w:rsidRPr="00767A4F">
              <w:rPr>
                <w:rFonts w:ascii="Calibri" w:eastAsia="Calibri" w:hAnsi="Calibri" w:cs="Calibri"/>
                <w:color w:val="000000" w:themeColor="text1"/>
                <w:sz w:val="20"/>
                <w:szCs w:val="20"/>
              </w:rPr>
              <w:t>HI</w:t>
            </w:r>
            <w:r w:rsidRPr="00767A4F">
              <w:rPr>
                <w:rFonts w:ascii="Calibri" w:eastAsia="Calibri" w:hAnsi="Calibri" w:cs="Calibri"/>
                <w:color w:val="000000" w:themeColor="text1"/>
                <w:sz w:val="20"/>
                <w:szCs w:val="20"/>
              </w:rPr>
              <w:t>Hs: 11,608 control actions at medical suppliers</w:t>
            </w:r>
            <w:r w:rsidRPr="00767A4F">
              <w:rPr>
                <w:rFonts w:ascii="Calibri" w:eastAsia="Calibri" w:hAnsi="Calibri" w:cs="Calibri"/>
                <w:color w:val="000000" w:themeColor="text1"/>
                <w:sz w:val="20"/>
                <w:szCs w:val="20"/>
              </w:rPr>
              <w:t>;</w:t>
            </w:r>
          </w:p>
          <w:p w14:paraId="1C912891" w14:textId="226D9F46" w:rsidR="00253CF4" w:rsidRPr="00767A4F" w:rsidRDefault="00253CF4" w:rsidP="008B1049">
            <w:pPr>
              <w:jc w:val="both"/>
              <w:rPr>
                <w:rFonts w:ascii="Calibri" w:eastAsia="Calibri" w:hAnsi="Calibri" w:cs="Calibri"/>
                <w:color w:val="000000" w:themeColor="text1"/>
                <w:sz w:val="20"/>
                <w:szCs w:val="20"/>
              </w:rPr>
            </w:pPr>
            <w:r w:rsidRPr="00767A4F">
              <w:rPr>
                <w:rFonts w:ascii="Calibri" w:eastAsia="Calibri" w:hAnsi="Calibri" w:cs="Calibri"/>
                <w:color w:val="000000" w:themeColor="text1"/>
                <w:sz w:val="20"/>
                <w:szCs w:val="20"/>
              </w:rPr>
              <w:t>NHIH: RON 34,019,404.96 liabilities identified (</w:t>
            </w:r>
            <w:r w:rsidRPr="00767A4F">
              <w:rPr>
                <w:rFonts w:ascii="Calibri" w:eastAsia="Calibri" w:hAnsi="Calibri" w:cs="Calibri"/>
                <w:color w:val="000000" w:themeColor="text1"/>
                <w:sz w:val="20"/>
                <w:szCs w:val="20"/>
              </w:rPr>
              <w:t xml:space="preserve">58%, </w:t>
            </w:r>
            <w:r w:rsidRPr="00767A4F">
              <w:rPr>
                <w:rFonts w:ascii="Calibri" w:eastAsia="Calibri" w:hAnsi="Calibri" w:cs="Calibri"/>
                <w:color w:val="000000" w:themeColor="text1"/>
                <w:sz w:val="20"/>
                <w:szCs w:val="20"/>
              </w:rPr>
              <w:t>RON 19,696,722.59 recovered as of 31.12.2017</w:t>
            </w:r>
            <w:r w:rsidRPr="00767A4F">
              <w:rPr>
                <w:rFonts w:ascii="Calibri" w:eastAsia="Calibri" w:hAnsi="Calibri" w:cs="Calibri"/>
                <w:color w:val="000000" w:themeColor="text1"/>
                <w:sz w:val="20"/>
                <w:szCs w:val="20"/>
              </w:rPr>
              <w:t>);</w:t>
            </w:r>
          </w:p>
          <w:p w14:paraId="03069229" w14:textId="6BCE7A0C" w:rsidR="00253CF4" w:rsidRPr="00767A4F" w:rsidRDefault="00253CF4">
            <w:pPr>
              <w:rPr>
                <w:rFonts w:ascii="Calibri" w:eastAsia="Calibri" w:hAnsi="Calibri" w:cs="Calibri"/>
                <w:color w:val="000000" w:themeColor="text1"/>
                <w:sz w:val="20"/>
                <w:szCs w:val="20"/>
              </w:rPr>
            </w:pPr>
            <w:r w:rsidRPr="00767A4F">
              <w:rPr>
                <w:rFonts w:ascii="Calibri" w:eastAsia="Calibri" w:hAnsi="Calibri" w:cs="Calibri"/>
                <w:color w:val="000000" w:themeColor="text1"/>
                <w:sz w:val="20"/>
                <w:szCs w:val="20"/>
              </w:rPr>
              <w:t>MoH: 19 control actions</w:t>
            </w:r>
            <w:r w:rsidRPr="00767A4F">
              <w:rPr>
                <w:rFonts w:ascii="Calibri" w:eastAsia="Calibri" w:hAnsi="Calibri" w:cs="Calibri"/>
                <w:color w:val="000000" w:themeColor="text1"/>
                <w:sz w:val="20"/>
                <w:szCs w:val="20"/>
              </w:rPr>
              <w:t xml:space="preserve"> in 2018</w:t>
            </w:r>
          </w:p>
        </w:tc>
        <w:tc>
          <w:tcPr>
            <w:tcW w:w="3240" w:type="dxa"/>
          </w:tcPr>
          <w:p w14:paraId="19DD3D44" w14:textId="2AF6602F" w:rsidR="15EE38E6" w:rsidRPr="00767A4F" w:rsidRDefault="00427B0D">
            <w:pPr>
              <w:rPr>
                <w:rFonts w:ascii="Calibri" w:eastAsia="Calibri" w:hAnsi="Calibri" w:cs="Calibri"/>
                <w:color w:val="000000" w:themeColor="text1"/>
                <w:sz w:val="20"/>
                <w:szCs w:val="20"/>
              </w:rPr>
            </w:pPr>
            <w:r w:rsidRPr="00767A4F">
              <w:rPr>
                <w:rFonts w:ascii="Calibri" w:eastAsia="Calibri" w:hAnsi="Calibri" w:cs="Calibri"/>
                <w:color w:val="000000" w:themeColor="text1"/>
                <w:sz w:val="20"/>
                <w:szCs w:val="20"/>
              </w:rPr>
              <w:t>An increase of at least 10% every year</w:t>
            </w:r>
          </w:p>
        </w:tc>
      </w:tr>
      <w:tr w:rsidR="15EE38E6" w14:paraId="7B3D9F7C" w14:textId="77777777" w:rsidTr="742B732D">
        <w:tc>
          <w:tcPr>
            <w:tcW w:w="3240" w:type="dxa"/>
          </w:tcPr>
          <w:p w14:paraId="0D26570C" w14:textId="659B3464" w:rsidR="15EE38E6" w:rsidRPr="00767A4F" w:rsidRDefault="1A2FCFA0">
            <w:pPr>
              <w:rPr>
                <w:rFonts w:ascii="Calibri" w:eastAsia="Calibri" w:hAnsi="Calibri" w:cs="Calibri"/>
                <w:sz w:val="20"/>
                <w:szCs w:val="20"/>
              </w:rPr>
            </w:pPr>
            <w:r w:rsidRPr="00767A4F">
              <w:rPr>
                <w:rFonts w:ascii="Calibri" w:eastAsia="Calibri" w:hAnsi="Calibri" w:cs="Calibri"/>
                <w:sz w:val="20"/>
                <w:szCs w:val="20"/>
              </w:rPr>
              <w:t xml:space="preserve">Follow-up on </w:t>
            </w:r>
            <w:r w:rsidR="00253CF4" w:rsidRPr="00767A4F">
              <w:rPr>
                <w:rFonts w:ascii="Calibri" w:eastAsia="Calibri" w:hAnsi="Calibri" w:cs="Calibri"/>
                <w:sz w:val="20"/>
                <w:szCs w:val="20"/>
              </w:rPr>
              <w:t xml:space="preserve">internal and external </w:t>
            </w:r>
            <w:r w:rsidRPr="00767A4F">
              <w:rPr>
                <w:rFonts w:ascii="Calibri" w:eastAsia="Calibri" w:hAnsi="Calibri" w:cs="Calibri"/>
                <w:sz w:val="20"/>
                <w:szCs w:val="20"/>
              </w:rPr>
              <w:t>audit recommendations</w:t>
            </w:r>
          </w:p>
        </w:tc>
        <w:tc>
          <w:tcPr>
            <w:tcW w:w="3240" w:type="dxa"/>
          </w:tcPr>
          <w:p w14:paraId="658B1CC3" w14:textId="0F5DA6D5" w:rsidR="15EE38E6" w:rsidRPr="00767A4F" w:rsidRDefault="4E773315">
            <w:pPr>
              <w:rPr>
                <w:rFonts w:ascii="Calibri" w:eastAsia="Calibri" w:hAnsi="Calibri" w:cs="Calibri"/>
                <w:sz w:val="20"/>
                <w:szCs w:val="20"/>
              </w:rPr>
            </w:pPr>
            <w:r w:rsidRPr="00767A4F">
              <w:rPr>
                <w:rFonts w:ascii="Calibri" w:eastAsia="Calibri" w:hAnsi="Calibri" w:cs="Calibri"/>
                <w:sz w:val="20"/>
                <w:szCs w:val="20"/>
              </w:rPr>
              <w:t>Percent of audit recommendations implemented</w:t>
            </w:r>
            <w:r w:rsidR="7CB7F88A" w:rsidRPr="00767A4F">
              <w:rPr>
                <w:rFonts w:ascii="Calibri" w:eastAsia="Calibri" w:hAnsi="Calibri" w:cs="Calibri"/>
                <w:sz w:val="20"/>
                <w:szCs w:val="20"/>
              </w:rPr>
              <w:t xml:space="preserve"> </w:t>
            </w:r>
          </w:p>
        </w:tc>
        <w:tc>
          <w:tcPr>
            <w:tcW w:w="3240" w:type="dxa"/>
          </w:tcPr>
          <w:p w14:paraId="160FF8CA" w14:textId="16D5F4BA" w:rsidR="15EE38E6" w:rsidRPr="00767A4F" w:rsidRDefault="008B1049">
            <w:pPr>
              <w:rPr>
                <w:rFonts w:ascii="Calibri" w:eastAsia="Calibri" w:hAnsi="Calibri" w:cs="Calibri"/>
                <w:color w:val="000000" w:themeColor="text1"/>
                <w:sz w:val="20"/>
                <w:szCs w:val="20"/>
              </w:rPr>
            </w:pPr>
            <w:r w:rsidRPr="00767A4F">
              <w:rPr>
                <w:rFonts w:ascii="Calibri" w:eastAsia="Calibri" w:hAnsi="Calibri" w:cs="Calibri"/>
                <w:color w:val="000000" w:themeColor="text1"/>
                <w:sz w:val="20"/>
                <w:szCs w:val="20"/>
              </w:rPr>
              <w:t>n/a</w:t>
            </w:r>
          </w:p>
        </w:tc>
        <w:tc>
          <w:tcPr>
            <w:tcW w:w="3240" w:type="dxa"/>
          </w:tcPr>
          <w:p w14:paraId="1AB3BEF0" w14:textId="684E6069" w:rsidR="15EE38E6" w:rsidRPr="00767A4F" w:rsidRDefault="00427B0D">
            <w:pPr>
              <w:rPr>
                <w:rFonts w:ascii="Calibri" w:eastAsia="Calibri" w:hAnsi="Calibri" w:cs="Calibri"/>
                <w:color w:val="000000" w:themeColor="text1"/>
                <w:sz w:val="20"/>
                <w:szCs w:val="20"/>
              </w:rPr>
            </w:pPr>
            <w:r w:rsidRPr="00767A4F">
              <w:rPr>
                <w:rFonts w:ascii="Calibri" w:eastAsia="Calibri" w:hAnsi="Calibri" w:cs="Calibri"/>
                <w:color w:val="000000" w:themeColor="text1"/>
                <w:sz w:val="20"/>
                <w:szCs w:val="20"/>
              </w:rPr>
              <w:t>An increase of at least 10% every year</w:t>
            </w:r>
          </w:p>
        </w:tc>
      </w:tr>
    </w:tbl>
    <w:p w14:paraId="4EEC49FA" w14:textId="60BD397F" w:rsidR="00454EEE" w:rsidRDefault="00454EEE">
      <w:pPr>
        <w:jc w:val="both"/>
      </w:pPr>
    </w:p>
    <w:p w14:paraId="5653A403" w14:textId="77777777" w:rsidR="00454EEE" w:rsidRDefault="00454EEE">
      <w:pPr>
        <w:spacing w:after="200" w:line="276" w:lineRule="auto"/>
      </w:pPr>
      <w:r>
        <w:br w:type="page"/>
      </w:r>
    </w:p>
    <w:p w14:paraId="5E64EBF7" w14:textId="77777777" w:rsidR="15EE38E6" w:rsidRDefault="15EE38E6" w:rsidP="006C054E">
      <w:pPr>
        <w:jc w:val="both"/>
      </w:pPr>
    </w:p>
    <w:p w14:paraId="434D333D" w14:textId="5B9D2102" w:rsidR="00454EEE" w:rsidRDefault="00ED4204" w:rsidP="006C054E">
      <w:pPr>
        <w:jc w:val="right"/>
        <w:rPr>
          <w:rFonts w:ascii="Calibri" w:eastAsia="Calibri" w:hAnsi="Calibri" w:cs="Calibri"/>
          <w:b/>
          <w:bCs/>
          <w:sz w:val="22"/>
        </w:rPr>
      </w:pPr>
      <w:r w:rsidRPr="006C054E">
        <w:rPr>
          <w:rFonts w:ascii="Calibri" w:eastAsia="Calibri" w:hAnsi="Calibri" w:cs="Calibri"/>
          <w:b/>
          <w:bCs/>
          <w:sz w:val="22"/>
        </w:rPr>
        <w:t xml:space="preserve">ANNEX </w:t>
      </w:r>
      <w:r>
        <w:rPr>
          <w:rFonts w:ascii="Calibri" w:eastAsia="Calibri" w:hAnsi="Calibri" w:cs="Calibri"/>
          <w:b/>
          <w:bCs/>
          <w:sz w:val="22"/>
        </w:rPr>
        <w:t>4</w:t>
      </w:r>
      <w:r w:rsidRPr="006C054E">
        <w:rPr>
          <w:rFonts w:ascii="Calibri" w:eastAsia="Calibri" w:hAnsi="Calibri" w:cs="Calibri"/>
          <w:b/>
          <w:bCs/>
          <w:sz w:val="22"/>
        </w:rPr>
        <w:t xml:space="preserve"> </w:t>
      </w:r>
    </w:p>
    <w:p w14:paraId="6EE42C25" w14:textId="24ADEF07" w:rsidR="1F7B7221" w:rsidRDefault="595C7A8E">
      <w:pPr>
        <w:jc w:val="both"/>
        <w:rPr>
          <w:rFonts w:ascii="Calibri" w:eastAsia="Calibri" w:hAnsi="Calibri" w:cs="Calibri"/>
          <w:b/>
          <w:bCs/>
          <w:sz w:val="22"/>
        </w:rPr>
      </w:pPr>
      <w:r w:rsidRPr="006C054E">
        <w:rPr>
          <w:rFonts w:ascii="Calibri" w:eastAsia="Calibri" w:hAnsi="Calibri" w:cs="Calibri"/>
          <w:b/>
          <w:bCs/>
          <w:sz w:val="22"/>
        </w:rPr>
        <w:t>List of a</w:t>
      </w:r>
      <w:r w:rsidR="1F7B7221" w:rsidRPr="006C054E">
        <w:rPr>
          <w:rFonts w:ascii="Calibri" w:eastAsia="Calibri" w:hAnsi="Calibri" w:cs="Calibri"/>
          <w:b/>
          <w:bCs/>
          <w:sz w:val="22"/>
        </w:rPr>
        <w:t>nalyzed contracts</w:t>
      </w:r>
    </w:p>
    <w:p w14:paraId="7DDD0A98" w14:textId="77777777" w:rsidR="00DC3F4E" w:rsidRPr="00DC3F4E" w:rsidRDefault="00DC3F4E" w:rsidP="00ED4204">
      <w:pPr>
        <w:spacing w:line="259" w:lineRule="auto"/>
        <w:rPr>
          <w:rFonts w:ascii="Calibri" w:eastAsia="Calibri" w:hAnsi="Calibri" w:cs="Times New Roman"/>
          <w:noProof/>
          <w:sz w:val="22"/>
        </w:rPr>
      </w:pPr>
    </w:p>
    <w:p w14:paraId="23EC51F8" w14:textId="77777777" w:rsidR="00DC3F4E" w:rsidRPr="00DC3F4E" w:rsidRDefault="00DC3F4E" w:rsidP="00DC3F4E">
      <w:pPr>
        <w:spacing w:after="160" w:line="259" w:lineRule="auto"/>
        <w:rPr>
          <w:rFonts w:ascii="Calibri" w:eastAsia="Calibri" w:hAnsi="Calibri" w:cs="Times New Roman"/>
          <w:sz w:val="22"/>
        </w:rPr>
      </w:pPr>
      <w:r w:rsidRPr="00DC3F4E">
        <w:rPr>
          <w:rFonts w:ascii="Calibri" w:eastAsia="Calibri" w:hAnsi="Calibri" w:cs="Times New Roman"/>
          <w:noProof/>
          <w:sz w:val="22"/>
        </w:rPr>
        <w:drawing>
          <wp:inline distT="0" distB="0" distL="0" distR="0" wp14:anchorId="046A6F07" wp14:editId="023221C9">
            <wp:extent cx="8020050" cy="4857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021064" cy="4858364"/>
                    </a:xfrm>
                    <a:prstGeom prst="rect">
                      <a:avLst/>
                    </a:prstGeom>
                    <a:noFill/>
                    <a:ln>
                      <a:noFill/>
                    </a:ln>
                  </pic:spPr>
                </pic:pic>
              </a:graphicData>
            </a:graphic>
          </wp:inline>
        </w:drawing>
      </w:r>
    </w:p>
    <w:p w14:paraId="3C116E89" w14:textId="77777777" w:rsidR="00DC3F4E" w:rsidRPr="00DC3F4E" w:rsidRDefault="00DC3F4E" w:rsidP="00DC3F4E">
      <w:pPr>
        <w:spacing w:after="160" w:line="259" w:lineRule="auto"/>
        <w:rPr>
          <w:rFonts w:ascii="Calibri" w:eastAsia="Calibri" w:hAnsi="Calibri" w:cs="Times New Roman"/>
          <w:sz w:val="22"/>
        </w:rPr>
      </w:pPr>
      <w:r w:rsidRPr="00DC3F4E">
        <w:rPr>
          <w:rFonts w:ascii="Calibri" w:eastAsia="Calibri" w:hAnsi="Calibri" w:cs="Times New Roman"/>
          <w:noProof/>
          <w:sz w:val="22"/>
        </w:rPr>
        <w:lastRenderedPageBreak/>
        <w:drawing>
          <wp:inline distT="0" distB="0" distL="0" distR="0" wp14:anchorId="5846BF03" wp14:editId="2D1AA944">
            <wp:extent cx="8229600" cy="3458874"/>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8229600" cy="3458874"/>
                    </a:xfrm>
                    <a:prstGeom prst="rect">
                      <a:avLst/>
                    </a:prstGeom>
                    <a:noFill/>
                    <a:ln>
                      <a:noFill/>
                    </a:ln>
                  </pic:spPr>
                </pic:pic>
              </a:graphicData>
            </a:graphic>
          </wp:inline>
        </w:drawing>
      </w:r>
    </w:p>
    <w:p w14:paraId="6F10290A" w14:textId="20BB8F79" w:rsidR="28D162D0" w:rsidRDefault="28D162D0" w:rsidP="006C054E">
      <w:pPr>
        <w:spacing w:after="160" w:line="259" w:lineRule="auto"/>
      </w:pPr>
    </w:p>
    <w:p w14:paraId="567BDBEA" w14:textId="68B07A5F" w:rsidR="006647F4" w:rsidRDefault="006647F4" w:rsidP="006C054E">
      <w:pPr>
        <w:spacing w:after="160" w:line="259" w:lineRule="auto"/>
      </w:pPr>
    </w:p>
    <w:p w14:paraId="55536A99" w14:textId="7C2D527C" w:rsidR="006647F4" w:rsidRDefault="006647F4" w:rsidP="006C054E">
      <w:pPr>
        <w:spacing w:after="160" w:line="259" w:lineRule="auto"/>
      </w:pPr>
    </w:p>
    <w:p w14:paraId="71C25641" w14:textId="4773FB84" w:rsidR="006647F4" w:rsidRDefault="006647F4" w:rsidP="006C054E">
      <w:pPr>
        <w:spacing w:after="160" w:line="259" w:lineRule="auto"/>
      </w:pPr>
    </w:p>
    <w:p w14:paraId="4784D331" w14:textId="4DA6C947" w:rsidR="006647F4" w:rsidRDefault="006647F4" w:rsidP="006C054E">
      <w:pPr>
        <w:spacing w:after="160" w:line="259" w:lineRule="auto"/>
      </w:pPr>
    </w:p>
    <w:p w14:paraId="128497C4" w14:textId="03BEEE0F" w:rsidR="006647F4" w:rsidRDefault="006647F4" w:rsidP="006C054E">
      <w:pPr>
        <w:spacing w:after="160" w:line="259" w:lineRule="auto"/>
      </w:pPr>
    </w:p>
    <w:p w14:paraId="4EBF5D3C" w14:textId="1E68B1F2" w:rsidR="006647F4" w:rsidRDefault="006647F4" w:rsidP="006C054E">
      <w:pPr>
        <w:spacing w:after="160" w:line="259" w:lineRule="auto"/>
      </w:pPr>
    </w:p>
    <w:p w14:paraId="317F6103" w14:textId="7EB99098" w:rsidR="006647F4" w:rsidRDefault="006647F4" w:rsidP="006C054E">
      <w:pPr>
        <w:spacing w:after="160" w:line="259" w:lineRule="auto"/>
      </w:pPr>
    </w:p>
    <w:p w14:paraId="40439F2A" w14:textId="12FC7000" w:rsidR="006647F4" w:rsidRPr="00767A4F" w:rsidRDefault="006647F4" w:rsidP="006647F4">
      <w:pPr>
        <w:spacing w:after="160" w:line="259" w:lineRule="auto"/>
        <w:jc w:val="right"/>
        <w:rPr>
          <w:rFonts w:asciiTheme="minorHAnsi" w:hAnsiTheme="minorHAnsi" w:cstheme="minorHAnsi"/>
          <w:b/>
          <w:sz w:val="22"/>
        </w:rPr>
      </w:pPr>
      <w:r w:rsidRPr="00767A4F">
        <w:rPr>
          <w:b/>
        </w:rPr>
        <w:lastRenderedPageBreak/>
        <w:tab/>
      </w:r>
      <w:r w:rsidR="00A34FDD" w:rsidRPr="00767A4F">
        <w:rPr>
          <w:rFonts w:asciiTheme="minorHAnsi" w:hAnsiTheme="minorHAnsi" w:cstheme="minorHAnsi"/>
          <w:b/>
          <w:sz w:val="22"/>
        </w:rPr>
        <w:t>ANNEX</w:t>
      </w:r>
      <w:r w:rsidRPr="00767A4F">
        <w:rPr>
          <w:rFonts w:asciiTheme="minorHAnsi" w:hAnsiTheme="minorHAnsi" w:cstheme="minorHAnsi"/>
          <w:b/>
          <w:sz w:val="22"/>
        </w:rPr>
        <w:t xml:space="preserve"> 5</w:t>
      </w:r>
    </w:p>
    <w:p w14:paraId="3222EB9E" w14:textId="291A31A7" w:rsidR="00D20E5C" w:rsidRPr="00767A4F" w:rsidRDefault="00D20E5C" w:rsidP="00D20E5C">
      <w:pPr>
        <w:rPr>
          <w:rFonts w:asciiTheme="minorHAnsi" w:hAnsiTheme="minorHAnsi" w:cstheme="minorHAnsi"/>
          <w:b/>
          <w:sz w:val="22"/>
        </w:rPr>
      </w:pPr>
      <w:r w:rsidRPr="00767A4F">
        <w:rPr>
          <w:rFonts w:asciiTheme="minorHAnsi" w:hAnsiTheme="minorHAnsi" w:cstheme="minorHAnsi"/>
          <w:b/>
          <w:sz w:val="20"/>
          <w:szCs w:val="20"/>
        </w:rPr>
        <w:t xml:space="preserve">     </w:t>
      </w:r>
      <w:bookmarkStart w:id="51" w:name="_Hlk11921461"/>
      <w:r w:rsidRPr="00767A4F">
        <w:rPr>
          <w:rFonts w:asciiTheme="minorHAnsi" w:hAnsiTheme="minorHAnsi" w:cstheme="minorHAnsi"/>
          <w:b/>
          <w:sz w:val="22"/>
        </w:rPr>
        <w:t>Duration of tendering procedures, including contract implementation and payments (year 2018-2019 (April))</w:t>
      </w:r>
    </w:p>
    <w:p w14:paraId="61FD87F0" w14:textId="77777777" w:rsidR="00F316AC" w:rsidRPr="00767A4F" w:rsidRDefault="00F316AC" w:rsidP="00D20E5C">
      <w:pPr>
        <w:rPr>
          <w:rFonts w:asciiTheme="minorHAnsi" w:hAnsiTheme="minorHAnsi" w:cstheme="minorHAnsi"/>
          <w:b/>
          <w:sz w:val="20"/>
          <w:szCs w:val="20"/>
        </w:rPr>
      </w:pPr>
    </w:p>
    <w:tbl>
      <w:tblPr>
        <w:tblStyle w:val="TableGrid"/>
        <w:tblW w:w="0" w:type="auto"/>
        <w:jc w:val="center"/>
        <w:tblLayout w:type="fixed"/>
        <w:tblLook w:val="04A0" w:firstRow="1" w:lastRow="0" w:firstColumn="1" w:lastColumn="0" w:noHBand="0" w:noVBand="1"/>
      </w:tblPr>
      <w:tblGrid>
        <w:gridCol w:w="3775"/>
        <w:gridCol w:w="1449"/>
        <w:gridCol w:w="1450"/>
        <w:gridCol w:w="1449"/>
        <w:gridCol w:w="1450"/>
        <w:gridCol w:w="1449"/>
        <w:gridCol w:w="1450"/>
      </w:tblGrid>
      <w:tr w:rsidR="00D20E5C" w:rsidRPr="00767A4F" w14:paraId="087F0418" w14:textId="77777777" w:rsidTr="00767A4F">
        <w:trPr>
          <w:jc w:val="center"/>
        </w:trPr>
        <w:tc>
          <w:tcPr>
            <w:tcW w:w="3775" w:type="dxa"/>
          </w:tcPr>
          <w:p w14:paraId="00B5DCBA" w14:textId="77777777" w:rsidR="00D20E5C" w:rsidRPr="00767A4F" w:rsidRDefault="00D20E5C" w:rsidP="00B20ABC">
            <w:pPr>
              <w:rPr>
                <w:rFonts w:asciiTheme="minorHAnsi" w:hAnsiTheme="minorHAnsi" w:cstheme="minorHAnsi"/>
                <w:b/>
                <w:sz w:val="20"/>
                <w:szCs w:val="20"/>
              </w:rPr>
            </w:pPr>
            <w:r w:rsidRPr="00767A4F">
              <w:rPr>
                <w:rFonts w:asciiTheme="minorHAnsi" w:hAnsiTheme="minorHAnsi" w:cstheme="minorHAnsi"/>
                <w:b/>
                <w:sz w:val="20"/>
                <w:szCs w:val="20"/>
              </w:rPr>
              <w:t>Short Activity Description</w:t>
            </w:r>
          </w:p>
        </w:tc>
        <w:tc>
          <w:tcPr>
            <w:tcW w:w="1449" w:type="dxa"/>
          </w:tcPr>
          <w:p w14:paraId="5BE17441" w14:textId="77777777" w:rsidR="00D20E5C" w:rsidRPr="00767A4F" w:rsidRDefault="00D20E5C" w:rsidP="00B20ABC">
            <w:pPr>
              <w:rPr>
                <w:rFonts w:asciiTheme="minorHAnsi" w:hAnsiTheme="minorHAnsi" w:cstheme="minorHAnsi"/>
                <w:b/>
                <w:sz w:val="20"/>
                <w:szCs w:val="20"/>
              </w:rPr>
            </w:pPr>
            <w:r w:rsidRPr="00767A4F">
              <w:rPr>
                <w:rFonts w:asciiTheme="minorHAnsi" w:hAnsiTheme="minorHAnsi" w:cstheme="minorHAnsi"/>
                <w:b/>
                <w:sz w:val="20"/>
                <w:szCs w:val="20"/>
              </w:rPr>
              <w:t>Type of Procedures</w:t>
            </w:r>
          </w:p>
        </w:tc>
        <w:tc>
          <w:tcPr>
            <w:tcW w:w="1450" w:type="dxa"/>
          </w:tcPr>
          <w:p w14:paraId="7335D3A7" w14:textId="77777777" w:rsidR="00D20E5C" w:rsidRPr="00767A4F" w:rsidRDefault="00D20E5C" w:rsidP="00B20ABC">
            <w:pPr>
              <w:rPr>
                <w:rFonts w:asciiTheme="minorHAnsi" w:hAnsiTheme="minorHAnsi" w:cstheme="minorHAnsi"/>
                <w:b/>
                <w:sz w:val="20"/>
                <w:szCs w:val="20"/>
              </w:rPr>
            </w:pPr>
            <w:r w:rsidRPr="00767A4F">
              <w:rPr>
                <w:rFonts w:asciiTheme="minorHAnsi" w:hAnsiTheme="minorHAnsi" w:cstheme="minorHAnsi"/>
                <w:b/>
                <w:sz w:val="20"/>
                <w:szCs w:val="20"/>
              </w:rPr>
              <w:t xml:space="preserve">Time for Bids Preparation </w:t>
            </w:r>
          </w:p>
        </w:tc>
        <w:tc>
          <w:tcPr>
            <w:tcW w:w="1449" w:type="dxa"/>
          </w:tcPr>
          <w:p w14:paraId="7305A480" w14:textId="77777777" w:rsidR="00D20E5C" w:rsidRPr="00767A4F" w:rsidRDefault="00D20E5C" w:rsidP="00B20ABC">
            <w:pPr>
              <w:rPr>
                <w:rFonts w:asciiTheme="minorHAnsi" w:hAnsiTheme="minorHAnsi" w:cstheme="minorHAnsi"/>
                <w:b/>
                <w:sz w:val="20"/>
                <w:szCs w:val="20"/>
              </w:rPr>
            </w:pPr>
            <w:r w:rsidRPr="00767A4F">
              <w:rPr>
                <w:rFonts w:asciiTheme="minorHAnsi" w:hAnsiTheme="minorHAnsi" w:cstheme="minorHAnsi"/>
                <w:b/>
                <w:sz w:val="20"/>
                <w:szCs w:val="20"/>
              </w:rPr>
              <w:t>Evaluation Period (period between submission deadline and contract signing)</w:t>
            </w:r>
          </w:p>
        </w:tc>
        <w:tc>
          <w:tcPr>
            <w:tcW w:w="1450" w:type="dxa"/>
          </w:tcPr>
          <w:p w14:paraId="3A84C600" w14:textId="77777777" w:rsidR="00D20E5C" w:rsidRPr="00767A4F" w:rsidRDefault="00D20E5C" w:rsidP="00B20ABC">
            <w:pPr>
              <w:rPr>
                <w:rFonts w:asciiTheme="minorHAnsi" w:hAnsiTheme="minorHAnsi" w:cstheme="minorHAnsi"/>
                <w:b/>
                <w:sz w:val="20"/>
                <w:szCs w:val="20"/>
              </w:rPr>
            </w:pPr>
            <w:r w:rsidRPr="00767A4F">
              <w:rPr>
                <w:rFonts w:asciiTheme="minorHAnsi" w:hAnsiTheme="minorHAnsi" w:cstheme="minorHAnsi"/>
                <w:b/>
                <w:sz w:val="20"/>
                <w:szCs w:val="20"/>
              </w:rPr>
              <w:t>&gt;90 days evaluation</w:t>
            </w:r>
          </w:p>
        </w:tc>
        <w:tc>
          <w:tcPr>
            <w:tcW w:w="1449" w:type="dxa"/>
          </w:tcPr>
          <w:p w14:paraId="12ACBF73" w14:textId="77777777" w:rsidR="00D20E5C" w:rsidRPr="00767A4F" w:rsidRDefault="00D20E5C" w:rsidP="00B20ABC">
            <w:pPr>
              <w:rPr>
                <w:rFonts w:asciiTheme="minorHAnsi" w:hAnsiTheme="minorHAnsi" w:cstheme="minorHAnsi"/>
                <w:b/>
                <w:sz w:val="20"/>
                <w:szCs w:val="20"/>
              </w:rPr>
            </w:pPr>
            <w:r w:rsidRPr="00767A4F">
              <w:rPr>
                <w:rFonts w:asciiTheme="minorHAnsi" w:hAnsiTheme="minorHAnsi" w:cstheme="minorHAnsi"/>
                <w:b/>
                <w:sz w:val="20"/>
                <w:szCs w:val="20"/>
              </w:rPr>
              <w:t>Contract Amount</w:t>
            </w:r>
          </w:p>
          <w:p w14:paraId="08396344" w14:textId="77777777" w:rsidR="00D20E5C" w:rsidRPr="00767A4F" w:rsidRDefault="00D20E5C" w:rsidP="00B20ABC">
            <w:pPr>
              <w:rPr>
                <w:rFonts w:asciiTheme="minorHAnsi" w:hAnsiTheme="minorHAnsi" w:cstheme="minorHAnsi"/>
                <w:b/>
                <w:sz w:val="20"/>
                <w:szCs w:val="20"/>
              </w:rPr>
            </w:pPr>
            <w:r w:rsidRPr="00767A4F">
              <w:rPr>
                <w:rFonts w:asciiTheme="minorHAnsi" w:hAnsiTheme="minorHAnsi" w:cstheme="minorHAnsi"/>
                <w:b/>
                <w:sz w:val="20"/>
                <w:szCs w:val="20"/>
              </w:rPr>
              <w:t>(RON)</w:t>
            </w:r>
          </w:p>
        </w:tc>
        <w:tc>
          <w:tcPr>
            <w:tcW w:w="1450" w:type="dxa"/>
          </w:tcPr>
          <w:p w14:paraId="1CA1DBEE" w14:textId="77777777" w:rsidR="00D20E5C" w:rsidRPr="00767A4F" w:rsidRDefault="00D20E5C" w:rsidP="00B20ABC">
            <w:pPr>
              <w:rPr>
                <w:rFonts w:asciiTheme="minorHAnsi" w:hAnsiTheme="minorHAnsi" w:cstheme="minorHAnsi"/>
                <w:b/>
                <w:sz w:val="20"/>
                <w:szCs w:val="20"/>
              </w:rPr>
            </w:pPr>
            <w:r w:rsidRPr="00767A4F">
              <w:rPr>
                <w:rFonts w:asciiTheme="minorHAnsi" w:hAnsiTheme="minorHAnsi" w:cstheme="minorHAnsi"/>
                <w:b/>
                <w:sz w:val="20"/>
                <w:szCs w:val="20"/>
              </w:rPr>
              <w:t>Contract Signing Date</w:t>
            </w:r>
          </w:p>
        </w:tc>
      </w:tr>
      <w:tr w:rsidR="00D20E5C" w:rsidRPr="00767A4F" w14:paraId="3559A6E4" w14:textId="77777777" w:rsidTr="00767A4F">
        <w:trPr>
          <w:jc w:val="center"/>
        </w:trPr>
        <w:tc>
          <w:tcPr>
            <w:tcW w:w="3775" w:type="dxa"/>
          </w:tcPr>
          <w:p w14:paraId="0BCCBCE7" w14:textId="77777777" w:rsidR="00D20E5C" w:rsidRPr="00767A4F" w:rsidRDefault="00D20E5C" w:rsidP="00B20ABC">
            <w:pPr>
              <w:rPr>
                <w:rFonts w:asciiTheme="minorHAnsi" w:hAnsiTheme="minorHAnsi" w:cstheme="minorHAnsi"/>
                <w:sz w:val="20"/>
                <w:szCs w:val="20"/>
              </w:rPr>
            </w:pPr>
            <w:r w:rsidRPr="00767A4F">
              <w:rPr>
                <w:rFonts w:asciiTheme="minorHAnsi" w:hAnsiTheme="minorHAnsi" w:cstheme="minorHAnsi"/>
                <w:sz w:val="20"/>
                <w:szCs w:val="20"/>
              </w:rPr>
              <w:t>Cleaning Services</w:t>
            </w:r>
          </w:p>
        </w:tc>
        <w:tc>
          <w:tcPr>
            <w:tcW w:w="1449" w:type="dxa"/>
          </w:tcPr>
          <w:p w14:paraId="48779587" w14:textId="77777777" w:rsidR="00D20E5C" w:rsidRPr="00767A4F" w:rsidRDefault="00D20E5C" w:rsidP="00B20ABC">
            <w:pPr>
              <w:rPr>
                <w:rFonts w:asciiTheme="minorHAnsi" w:hAnsiTheme="minorHAnsi" w:cstheme="minorHAnsi"/>
                <w:sz w:val="20"/>
                <w:szCs w:val="20"/>
              </w:rPr>
            </w:pPr>
            <w:r w:rsidRPr="00767A4F">
              <w:rPr>
                <w:rFonts w:asciiTheme="minorHAnsi" w:hAnsiTheme="minorHAnsi" w:cstheme="minorHAnsi"/>
                <w:sz w:val="20"/>
                <w:szCs w:val="20"/>
              </w:rPr>
              <w:t>Simplified Procedure</w:t>
            </w:r>
          </w:p>
        </w:tc>
        <w:tc>
          <w:tcPr>
            <w:tcW w:w="1450" w:type="dxa"/>
          </w:tcPr>
          <w:p w14:paraId="2EB02AF2" w14:textId="77777777" w:rsidR="00D20E5C" w:rsidRPr="00767A4F" w:rsidRDefault="00D20E5C" w:rsidP="00B20ABC">
            <w:pPr>
              <w:rPr>
                <w:rFonts w:asciiTheme="minorHAnsi" w:hAnsiTheme="minorHAnsi" w:cstheme="minorHAnsi"/>
                <w:sz w:val="20"/>
                <w:szCs w:val="20"/>
              </w:rPr>
            </w:pPr>
            <w:r w:rsidRPr="00767A4F">
              <w:rPr>
                <w:rFonts w:asciiTheme="minorHAnsi" w:hAnsiTheme="minorHAnsi" w:cstheme="minorHAnsi"/>
                <w:sz w:val="20"/>
                <w:szCs w:val="20"/>
              </w:rPr>
              <w:t>11 days</w:t>
            </w:r>
          </w:p>
        </w:tc>
        <w:tc>
          <w:tcPr>
            <w:tcW w:w="1449" w:type="dxa"/>
          </w:tcPr>
          <w:p w14:paraId="376C43A8" w14:textId="77777777" w:rsidR="00D20E5C" w:rsidRPr="00767A4F" w:rsidRDefault="00D20E5C" w:rsidP="00B20ABC">
            <w:pPr>
              <w:rPr>
                <w:rFonts w:asciiTheme="minorHAnsi" w:hAnsiTheme="minorHAnsi" w:cstheme="minorHAnsi"/>
                <w:sz w:val="20"/>
                <w:szCs w:val="20"/>
              </w:rPr>
            </w:pPr>
            <w:r w:rsidRPr="00767A4F">
              <w:rPr>
                <w:rFonts w:asciiTheme="minorHAnsi" w:hAnsiTheme="minorHAnsi" w:cstheme="minorHAnsi"/>
                <w:sz w:val="20"/>
                <w:szCs w:val="20"/>
              </w:rPr>
              <w:t>Ongoing since April 16, 2019</w:t>
            </w:r>
          </w:p>
        </w:tc>
        <w:tc>
          <w:tcPr>
            <w:tcW w:w="1450" w:type="dxa"/>
          </w:tcPr>
          <w:p w14:paraId="4F6C5148" w14:textId="77777777" w:rsidR="00D20E5C" w:rsidRPr="00767A4F" w:rsidRDefault="00D20E5C" w:rsidP="00B20ABC">
            <w:pPr>
              <w:rPr>
                <w:rFonts w:asciiTheme="minorHAnsi" w:hAnsiTheme="minorHAnsi" w:cstheme="minorHAnsi"/>
                <w:sz w:val="20"/>
                <w:szCs w:val="20"/>
              </w:rPr>
            </w:pPr>
            <w:r w:rsidRPr="00767A4F">
              <w:rPr>
                <w:rFonts w:asciiTheme="minorHAnsi" w:hAnsiTheme="minorHAnsi" w:cstheme="minorHAnsi"/>
                <w:sz w:val="20"/>
                <w:szCs w:val="20"/>
              </w:rPr>
              <w:t>No</w:t>
            </w:r>
          </w:p>
        </w:tc>
        <w:tc>
          <w:tcPr>
            <w:tcW w:w="1449" w:type="dxa"/>
          </w:tcPr>
          <w:p w14:paraId="09771B6A" w14:textId="77777777" w:rsidR="00D20E5C" w:rsidRPr="00767A4F" w:rsidRDefault="00D20E5C" w:rsidP="00B20ABC">
            <w:pPr>
              <w:rPr>
                <w:rFonts w:asciiTheme="minorHAnsi" w:hAnsiTheme="minorHAnsi" w:cstheme="minorHAnsi"/>
                <w:sz w:val="20"/>
                <w:szCs w:val="20"/>
              </w:rPr>
            </w:pPr>
            <w:r w:rsidRPr="00767A4F">
              <w:rPr>
                <w:rFonts w:asciiTheme="minorHAnsi" w:hAnsiTheme="minorHAnsi" w:cstheme="minorHAnsi"/>
                <w:sz w:val="20"/>
                <w:szCs w:val="20"/>
              </w:rPr>
              <w:t>-</w:t>
            </w:r>
          </w:p>
        </w:tc>
        <w:tc>
          <w:tcPr>
            <w:tcW w:w="1450" w:type="dxa"/>
          </w:tcPr>
          <w:p w14:paraId="39636655" w14:textId="77777777" w:rsidR="00D20E5C" w:rsidRPr="00767A4F" w:rsidRDefault="00D20E5C" w:rsidP="00B20ABC">
            <w:pPr>
              <w:rPr>
                <w:rFonts w:asciiTheme="minorHAnsi" w:hAnsiTheme="minorHAnsi" w:cstheme="minorHAnsi"/>
                <w:sz w:val="20"/>
                <w:szCs w:val="20"/>
              </w:rPr>
            </w:pPr>
            <w:r w:rsidRPr="00767A4F">
              <w:rPr>
                <w:rFonts w:asciiTheme="minorHAnsi" w:hAnsiTheme="minorHAnsi" w:cstheme="minorHAnsi"/>
                <w:sz w:val="20"/>
                <w:szCs w:val="20"/>
              </w:rPr>
              <w:t>-</w:t>
            </w:r>
          </w:p>
        </w:tc>
      </w:tr>
      <w:tr w:rsidR="00D20E5C" w:rsidRPr="00767A4F" w14:paraId="6CEA6405" w14:textId="77777777" w:rsidTr="00767A4F">
        <w:trPr>
          <w:jc w:val="center"/>
        </w:trPr>
        <w:tc>
          <w:tcPr>
            <w:tcW w:w="3775" w:type="dxa"/>
          </w:tcPr>
          <w:p w14:paraId="4B6454C4" w14:textId="77777777" w:rsidR="00D20E5C" w:rsidRPr="00767A4F" w:rsidRDefault="00D20E5C" w:rsidP="00B20ABC">
            <w:pPr>
              <w:rPr>
                <w:rFonts w:asciiTheme="minorHAnsi" w:hAnsiTheme="minorHAnsi" w:cstheme="minorHAnsi"/>
                <w:sz w:val="20"/>
                <w:szCs w:val="20"/>
              </w:rPr>
            </w:pPr>
            <w:r w:rsidRPr="00767A4F">
              <w:rPr>
                <w:rFonts w:asciiTheme="minorHAnsi" w:hAnsiTheme="minorHAnsi" w:cstheme="minorHAnsi"/>
                <w:sz w:val="20"/>
                <w:szCs w:val="20"/>
              </w:rPr>
              <w:t>Procurement of equipment and deices for education through simulation</w:t>
            </w:r>
          </w:p>
        </w:tc>
        <w:tc>
          <w:tcPr>
            <w:tcW w:w="1449" w:type="dxa"/>
          </w:tcPr>
          <w:p w14:paraId="6314B82C" w14:textId="77777777" w:rsidR="00D20E5C" w:rsidRPr="00767A4F" w:rsidRDefault="00D20E5C" w:rsidP="00B20ABC">
            <w:pPr>
              <w:rPr>
                <w:rFonts w:asciiTheme="minorHAnsi" w:hAnsiTheme="minorHAnsi" w:cstheme="minorHAnsi"/>
                <w:sz w:val="20"/>
                <w:szCs w:val="20"/>
              </w:rPr>
            </w:pPr>
            <w:r w:rsidRPr="00767A4F">
              <w:rPr>
                <w:rFonts w:asciiTheme="minorHAnsi" w:hAnsiTheme="minorHAnsi" w:cstheme="minorHAnsi"/>
                <w:sz w:val="20"/>
                <w:szCs w:val="20"/>
              </w:rPr>
              <w:t>Open Tender</w:t>
            </w:r>
          </w:p>
        </w:tc>
        <w:tc>
          <w:tcPr>
            <w:tcW w:w="1450" w:type="dxa"/>
          </w:tcPr>
          <w:p w14:paraId="2CEA4913" w14:textId="77777777" w:rsidR="00D20E5C" w:rsidRPr="00767A4F" w:rsidRDefault="00D20E5C" w:rsidP="00B20ABC">
            <w:pPr>
              <w:rPr>
                <w:rFonts w:asciiTheme="minorHAnsi" w:hAnsiTheme="minorHAnsi" w:cstheme="minorHAnsi"/>
                <w:sz w:val="20"/>
                <w:szCs w:val="20"/>
              </w:rPr>
            </w:pPr>
            <w:r w:rsidRPr="00767A4F">
              <w:rPr>
                <w:rFonts w:asciiTheme="minorHAnsi" w:hAnsiTheme="minorHAnsi" w:cstheme="minorHAnsi"/>
                <w:sz w:val="20"/>
                <w:szCs w:val="20"/>
              </w:rPr>
              <w:t>34 days</w:t>
            </w:r>
          </w:p>
        </w:tc>
        <w:tc>
          <w:tcPr>
            <w:tcW w:w="1449" w:type="dxa"/>
          </w:tcPr>
          <w:p w14:paraId="3302369E" w14:textId="77777777" w:rsidR="00D20E5C" w:rsidRPr="00767A4F" w:rsidRDefault="00D20E5C" w:rsidP="00B20ABC">
            <w:pPr>
              <w:rPr>
                <w:rFonts w:asciiTheme="minorHAnsi" w:hAnsiTheme="minorHAnsi" w:cstheme="minorHAnsi"/>
                <w:sz w:val="20"/>
                <w:szCs w:val="20"/>
              </w:rPr>
            </w:pPr>
            <w:r w:rsidRPr="00767A4F">
              <w:rPr>
                <w:rFonts w:asciiTheme="minorHAnsi" w:hAnsiTheme="minorHAnsi" w:cstheme="minorHAnsi"/>
                <w:sz w:val="20"/>
                <w:szCs w:val="20"/>
              </w:rPr>
              <w:t xml:space="preserve">Ongoing since March 21, 2019 </w:t>
            </w:r>
          </w:p>
        </w:tc>
        <w:tc>
          <w:tcPr>
            <w:tcW w:w="1450" w:type="dxa"/>
          </w:tcPr>
          <w:p w14:paraId="76F627A2" w14:textId="77777777" w:rsidR="00D20E5C" w:rsidRPr="00767A4F" w:rsidRDefault="00D20E5C" w:rsidP="00B20ABC">
            <w:pPr>
              <w:rPr>
                <w:rFonts w:asciiTheme="minorHAnsi" w:hAnsiTheme="minorHAnsi" w:cstheme="minorHAnsi"/>
                <w:sz w:val="20"/>
                <w:szCs w:val="20"/>
              </w:rPr>
            </w:pPr>
            <w:r w:rsidRPr="00767A4F">
              <w:rPr>
                <w:rFonts w:asciiTheme="minorHAnsi" w:hAnsiTheme="minorHAnsi" w:cstheme="minorHAnsi"/>
                <w:sz w:val="20"/>
                <w:szCs w:val="20"/>
              </w:rPr>
              <w:t>No</w:t>
            </w:r>
          </w:p>
        </w:tc>
        <w:tc>
          <w:tcPr>
            <w:tcW w:w="1449" w:type="dxa"/>
          </w:tcPr>
          <w:p w14:paraId="5C5B62B1" w14:textId="77777777" w:rsidR="00D20E5C" w:rsidRPr="00767A4F" w:rsidRDefault="00D20E5C" w:rsidP="00B20ABC">
            <w:pPr>
              <w:rPr>
                <w:rFonts w:asciiTheme="minorHAnsi" w:hAnsiTheme="minorHAnsi" w:cstheme="minorHAnsi"/>
                <w:sz w:val="20"/>
                <w:szCs w:val="20"/>
              </w:rPr>
            </w:pPr>
            <w:r w:rsidRPr="00767A4F">
              <w:rPr>
                <w:rFonts w:asciiTheme="minorHAnsi" w:hAnsiTheme="minorHAnsi" w:cstheme="minorHAnsi"/>
                <w:sz w:val="20"/>
                <w:szCs w:val="20"/>
              </w:rPr>
              <w:t>-</w:t>
            </w:r>
          </w:p>
        </w:tc>
        <w:tc>
          <w:tcPr>
            <w:tcW w:w="1450" w:type="dxa"/>
          </w:tcPr>
          <w:p w14:paraId="38E60F6C" w14:textId="77777777" w:rsidR="00D20E5C" w:rsidRPr="00767A4F" w:rsidRDefault="00D20E5C" w:rsidP="00B20ABC">
            <w:pPr>
              <w:rPr>
                <w:rFonts w:asciiTheme="minorHAnsi" w:hAnsiTheme="minorHAnsi" w:cstheme="minorHAnsi"/>
                <w:sz w:val="20"/>
                <w:szCs w:val="20"/>
              </w:rPr>
            </w:pPr>
            <w:r w:rsidRPr="00767A4F">
              <w:rPr>
                <w:rFonts w:asciiTheme="minorHAnsi" w:hAnsiTheme="minorHAnsi" w:cstheme="minorHAnsi"/>
                <w:sz w:val="20"/>
                <w:szCs w:val="20"/>
              </w:rPr>
              <w:t>-</w:t>
            </w:r>
          </w:p>
        </w:tc>
      </w:tr>
      <w:tr w:rsidR="00D20E5C" w:rsidRPr="00767A4F" w14:paraId="6CCCB254" w14:textId="77777777" w:rsidTr="00767A4F">
        <w:trPr>
          <w:jc w:val="center"/>
        </w:trPr>
        <w:tc>
          <w:tcPr>
            <w:tcW w:w="3775" w:type="dxa"/>
          </w:tcPr>
          <w:p w14:paraId="770C0016" w14:textId="77777777" w:rsidR="00D20E5C" w:rsidRPr="00767A4F" w:rsidRDefault="00D20E5C" w:rsidP="00B20ABC">
            <w:pPr>
              <w:rPr>
                <w:rFonts w:asciiTheme="minorHAnsi" w:hAnsiTheme="minorHAnsi" w:cstheme="minorHAnsi"/>
                <w:sz w:val="20"/>
                <w:szCs w:val="20"/>
              </w:rPr>
            </w:pPr>
            <w:r w:rsidRPr="00767A4F">
              <w:rPr>
                <w:rFonts w:asciiTheme="minorHAnsi" w:hAnsiTheme="minorHAnsi" w:cstheme="minorHAnsi"/>
                <w:sz w:val="20"/>
                <w:szCs w:val="20"/>
              </w:rPr>
              <w:t>Procurement of HIV medicines at the national level under the National Health Program</w:t>
            </w:r>
          </w:p>
        </w:tc>
        <w:tc>
          <w:tcPr>
            <w:tcW w:w="1449" w:type="dxa"/>
          </w:tcPr>
          <w:p w14:paraId="226C37F7" w14:textId="77777777" w:rsidR="00D20E5C" w:rsidRPr="00767A4F" w:rsidRDefault="00D20E5C" w:rsidP="00B20ABC">
            <w:pPr>
              <w:rPr>
                <w:rFonts w:asciiTheme="minorHAnsi" w:hAnsiTheme="minorHAnsi" w:cstheme="minorHAnsi"/>
                <w:sz w:val="20"/>
                <w:szCs w:val="20"/>
              </w:rPr>
            </w:pPr>
            <w:r w:rsidRPr="00767A4F">
              <w:rPr>
                <w:rFonts w:asciiTheme="minorHAnsi" w:hAnsiTheme="minorHAnsi" w:cstheme="minorHAnsi"/>
                <w:sz w:val="20"/>
                <w:szCs w:val="20"/>
              </w:rPr>
              <w:t>Open Tender (FWA)</w:t>
            </w:r>
          </w:p>
        </w:tc>
        <w:tc>
          <w:tcPr>
            <w:tcW w:w="1450" w:type="dxa"/>
          </w:tcPr>
          <w:p w14:paraId="2CABCED5" w14:textId="77777777" w:rsidR="00D20E5C" w:rsidRPr="00767A4F" w:rsidRDefault="00D20E5C" w:rsidP="00B20ABC">
            <w:pPr>
              <w:rPr>
                <w:rFonts w:asciiTheme="minorHAnsi" w:hAnsiTheme="minorHAnsi" w:cstheme="minorHAnsi"/>
                <w:sz w:val="20"/>
                <w:szCs w:val="20"/>
              </w:rPr>
            </w:pPr>
            <w:r w:rsidRPr="00767A4F">
              <w:rPr>
                <w:rFonts w:asciiTheme="minorHAnsi" w:hAnsiTheme="minorHAnsi" w:cstheme="minorHAnsi"/>
                <w:sz w:val="20"/>
                <w:szCs w:val="20"/>
              </w:rPr>
              <w:t>32 days</w:t>
            </w:r>
          </w:p>
        </w:tc>
        <w:tc>
          <w:tcPr>
            <w:tcW w:w="1449" w:type="dxa"/>
          </w:tcPr>
          <w:p w14:paraId="562A7B86" w14:textId="77777777" w:rsidR="00D20E5C" w:rsidRPr="00767A4F" w:rsidRDefault="00D20E5C" w:rsidP="00B20ABC">
            <w:pPr>
              <w:rPr>
                <w:rFonts w:asciiTheme="minorHAnsi" w:hAnsiTheme="minorHAnsi" w:cstheme="minorHAnsi"/>
                <w:sz w:val="20"/>
                <w:szCs w:val="20"/>
              </w:rPr>
            </w:pPr>
            <w:r w:rsidRPr="00767A4F">
              <w:rPr>
                <w:rFonts w:asciiTheme="minorHAnsi" w:hAnsiTheme="minorHAnsi" w:cstheme="minorHAnsi"/>
                <w:sz w:val="20"/>
                <w:szCs w:val="20"/>
              </w:rPr>
              <w:t>Ongoing since March 15, 2019</w:t>
            </w:r>
          </w:p>
        </w:tc>
        <w:tc>
          <w:tcPr>
            <w:tcW w:w="1450" w:type="dxa"/>
          </w:tcPr>
          <w:p w14:paraId="36D19BB9" w14:textId="77777777" w:rsidR="00D20E5C" w:rsidRPr="00767A4F" w:rsidRDefault="00D20E5C" w:rsidP="00B20ABC">
            <w:pPr>
              <w:rPr>
                <w:rFonts w:asciiTheme="minorHAnsi" w:hAnsiTheme="minorHAnsi" w:cstheme="minorHAnsi"/>
                <w:sz w:val="20"/>
                <w:szCs w:val="20"/>
              </w:rPr>
            </w:pPr>
            <w:r w:rsidRPr="00767A4F">
              <w:rPr>
                <w:rFonts w:asciiTheme="minorHAnsi" w:hAnsiTheme="minorHAnsi" w:cstheme="minorHAnsi"/>
                <w:sz w:val="20"/>
                <w:szCs w:val="20"/>
              </w:rPr>
              <w:t>No</w:t>
            </w:r>
          </w:p>
        </w:tc>
        <w:tc>
          <w:tcPr>
            <w:tcW w:w="1449" w:type="dxa"/>
          </w:tcPr>
          <w:p w14:paraId="224FCC18" w14:textId="77777777" w:rsidR="00D20E5C" w:rsidRPr="00767A4F" w:rsidRDefault="00D20E5C" w:rsidP="00B20ABC">
            <w:pPr>
              <w:rPr>
                <w:rFonts w:asciiTheme="minorHAnsi" w:hAnsiTheme="minorHAnsi" w:cstheme="minorHAnsi"/>
                <w:sz w:val="20"/>
                <w:szCs w:val="20"/>
              </w:rPr>
            </w:pPr>
            <w:r w:rsidRPr="00767A4F">
              <w:rPr>
                <w:rFonts w:asciiTheme="minorHAnsi" w:hAnsiTheme="minorHAnsi" w:cstheme="minorHAnsi"/>
                <w:sz w:val="20"/>
                <w:szCs w:val="20"/>
              </w:rPr>
              <w:t>-</w:t>
            </w:r>
          </w:p>
        </w:tc>
        <w:tc>
          <w:tcPr>
            <w:tcW w:w="1450" w:type="dxa"/>
          </w:tcPr>
          <w:p w14:paraId="6A557DEC" w14:textId="77777777" w:rsidR="00D20E5C" w:rsidRPr="00767A4F" w:rsidRDefault="00D20E5C" w:rsidP="00B20ABC">
            <w:pPr>
              <w:rPr>
                <w:rFonts w:asciiTheme="minorHAnsi" w:hAnsiTheme="minorHAnsi" w:cstheme="minorHAnsi"/>
                <w:sz w:val="20"/>
                <w:szCs w:val="20"/>
              </w:rPr>
            </w:pPr>
            <w:r w:rsidRPr="00767A4F">
              <w:rPr>
                <w:rFonts w:asciiTheme="minorHAnsi" w:hAnsiTheme="minorHAnsi" w:cstheme="minorHAnsi"/>
                <w:sz w:val="20"/>
                <w:szCs w:val="20"/>
              </w:rPr>
              <w:t>-</w:t>
            </w:r>
          </w:p>
        </w:tc>
      </w:tr>
      <w:tr w:rsidR="00D20E5C" w:rsidRPr="00767A4F" w14:paraId="2B68471D" w14:textId="77777777" w:rsidTr="00767A4F">
        <w:trPr>
          <w:jc w:val="center"/>
        </w:trPr>
        <w:tc>
          <w:tcPr>
            <w:tcW w:w="3775" w:type="dxa"/>
          </w:tcPr>
          <w:p w14:paraId="03E23A6E" w14:textId="77777777" w:rsidR="00D20E5C" w:rsidRPr="00767A4F" w:rsidRDefault="00D20E5C" w:rsidP="00B20ABC">
            <w:pPr>
              <w:rPr>
                <w:rFonts w:asciiTheme="minorHAnsi" w:hAnsiTheme="minorHAnsi" w:cstheme="minorHAnsi"/>
                <w:sz w:val="20"/>
                <w:szCs w:val="20"/>
              </w:rPr>
            </w:pPr>
            <w:r w:rsidRPr="00767A4F">
              <w:rPr>
                <w:rFonts w:asciiTheme="minorHAnsi" w:hAnsiTheme="minorHAnsi" w:cstheme="minorHAnsi"/>
                <w:sz w:val="20"/>
                <w:szCs w:val="20"/>
              </w:rPr>
              <w:t>Public awareness campaign</w:t>
            </w:r>
          </w:p>
        </w:tc>
        <w:tc>
          <w:tcPr>
            <w:tcW w:w="1449" w:type="dxa"/>
          </w:tcPr>
          <w:p w14:paraId="18E82F75" w14:textId="77777777" w:rsidR="00D20E5C" w:rsidRPr="00767A4F" w:rsidRDefault="00D20E5C" w:rsidP="00B20ABC">
            <w:pPr>
              <w:rPr>
                <w:rFonts w:asciiTheme="minorHAnsi" w:hAnsiTheme="minorHAnsi" w:cstheme="minorHAnsi"/>
                <w:sz w:val="20"/>
                <w:szCs w:val="20"/>
              </w:rPr>
            </w:pPr>
            <w:r w:rsidRPr="00767A4F">
              <w:rPr>
                <w:rFonts w:asciiTheme="minorHAnsi" w:hAnsiTheme="minorHAnsi" w:cstheme="minorHAnsi"/>
                <w:sz w:val="20"/>
                <w:szCs w:val="20"/>
              </w:rPr>
              <w:t>Simplified Procedure (FWA)</w:t>
            </w:r>
          </w:p>
        </w:tc>
        <w:tc>
          <w:tcPr>
            <w:tcW w:w="1450" w:type="dxa"/>
          </w:tcPr>
          <w:p w14:paraId="1E715666" w14:textId="77777777" w:rsidR="00D20E5C" w:rsidRPr="00767A4F" w:rsidRDefault="00D20E5C" w:rsidP="00B20ABC">
            <w:pPr>
              <w:rPr>
                <w:rFonts w:asciiTheme="minorHAnsi" w:hAnsiTheme="minorHAnsi" w:cstheme="minorHAnsi"/>
                <w:sz w:val="20"/>
                <w:szCs w:val="20"/>
              </w:rPr>
            </w:pPr>
            <w:r w:rsidRPr="00767A4F">
              <w:rPr>
                <w:rFonts w:asciiTheme="minorHAnsi" w:hAnsiTheme="minorHAnsi" w:cstheme="minorHAnsi"/>
                <w:sz w:val="20"/>
                <w:szCs w:val="20"/>
              </w:rPr>
              <w:t>35 days</w:t>
            </w:r>
          </w:p>
        </w:tc>
        <w:tc>
          <w:tcPr>
            <w:tcW w:w="1449" w:type="dxa"/>
          </w:tcPr>
          <w:p w14:paraId="7D0C580C" w14:textId="77777777" w:rsidR="00D20E5C" w:rsidRPr="00767A4F" w:rsidRDefault="00D20E5C" w:rsidP="00B20ABC">
            <w:pPr>
              <w:rPr>
                <w:rFonts w:asciiTheme="minorHAnsi" w:hAnsiTheme="minorHAnsi" w:cstheme="minorHAnsi"/>
                <w:color w:val="FF0000"/>
                <w:sz w:val="20"/>
                <w:szCs w:val="20"/>
              </w:rPr>
            </w:pPr>
            <w:r w:rsidRPr="00767A4F">
              <w:rPr>
                <w:rFonts w:asciiTheme="minorHAnsi" w:hAnsiTheme="minorHAnsi" w:cstheme="minorHAnsi"/>
                <w:color w:val="FF0000"/>
                <w:sz w:val="20"/>
                <w:szCs w:val="20"/>
              </w:rPr>
              <w:t>Ongoing since January 7, 2019</w:t>
            </w:r>
          </w:p>
        </w:tc>
        <w:tc>
          <w:tcPr>
            <w:tcW w:w="1450" w:type="dxa"/>
          </w:tcPr>
          <w:p w14:paraId="5D9AD21F" w14:textId="77777777" w:rsidR="00D20E5C" w:rsidRPr="00767A4F" w:rsidRDefault="00D20E5C" w:rsidP="00B20ABC">
            <w:pPr>
              <w:rPr>
                <w:rFonts w:asciiTheme="minorHAnsi" w:hAnsiTheme="minorHAnsi" w:cstheme="minorHAnsi"/>
                <w:color w:val="FF0000"/>
                <w:sz w:val="20"/>
                <w:szCs w:val="20"/>
              </w:rPr>
            </w:pPr>
            <w:r w:rsidRPr="00767A4F">
              <w:rPr>
                <w:rFonts w:asciiTheme="minorHAnsi" w:hAnsiTheme="minorHAnsi" w:cstheme="minorHAnsi"/>
                <w:color w:val="FF0000"/>
                <w:sz w:val="20"/>
                <w:szCs w:val="20"/>
              </w:rPr>
              <w:t>Yes (117 days as of May 3, 2019)</w:t>
            </w:r>
          </w:p>
        </w:tc>
        <w:tc>
          <w:tcPr>
            <w:tcW w:w="1449" w:type="dxa"/>
          </w:tcPr>
          <w:p w14:paraId="177BE294" w14:textId="77777777" w:rsidR="00D20E5C" w:rsidRPr="00767A4F" w:rsidRDefault="00D20E5C" w:rsidP="00B20ABC">
            <w:pPr>
              <w:rPr>
                <w:rFonts w:asciiTheme="minorHAnsi" w:hAnsiTheme="minorHAnsi" w:cstheme="minorHAnsi"/>
                <w:sz w:val="20"/>
                <w:szCs w:val="20"/>
              </w:rPr>
            </w:pPr>
            <w:r w:rsidRPr="00767A4F">
              <w:rPr>
                <w:rFonts w:asciiTheme="minorHAnsi" w:hAnsiTheme="minorHAnsi" w:cstheme="minorHAnsi"/>
                <w:sz w:val="20"/>
                <w:szCs w:val="20"/>
              </w:rPr>
              <w:t>-</w:t>
            </w:r>
          </w:p>
        </w:tc>
        <w:tc>
          <w:tcPr>
            <w:tcW w:w="1450" w:type="dxa"/>
          </w:tcPr>
          <w:p w14:paraId="06B01026" w14:textId="77777777" w:rsidR="00D20E5C" w:rsidRPr="00767A4F" w:rsidRDefault="00D20E5C" w:rsidP="00B20ABC">
            <w:pPr>
              <w:rPr>
                <w:rFonts w:asciiTheme="minorHAnsi" w:hAnsiTheme="minorHAnsi" w:cstheme="minorHAnsi"/>
                <w:sz w:val="20"/>
                <w:szCs w:val="20"/>
              </w:rPr>
            </w:pPr>
            <w:r w:rsidRPr="00767A4F">
              <w:rPr>
                <w:rFonts w:asciiTheme="minorHAnsi" w:hAnsiTheme="minorHAnsi" w:cstheme="minorHAnsi"/>
                <w:sz w:val="20"/>
                <w:szCs w:val="20"/>
              </w:rPr>
              <w:t>-</w:t>
            </w:r>
          </w:p>
        </w:tc>
      </w:tr>
      <w:tr w:rsidR="00D20E5C" w:rsidRPr="00767A4F" w14:paraId="0F3AFACB" w14:textId="77777777" w:rsidTr="00767A4F">
        <w:trPr>
          <w:jc w:val="center"/>
        </w:trPr>
        <w:tc>
          <w:tcPr>
            <w:tcW w:w="3775" w:type="dxa"/>
          </w:tcPr>
          <w:p w14:paraId="5A7CFE0C" w14:textId="77777777" w:rsidR="00D20E5C" w:rsidRPr="00767A4F" w:rsidRDefault="00D20E5C" w:rsidP="00B20ABC">
            <w:pPr>
              <w:rPr>
                <w:rFonts w:asciiTheme="minorHAnsi" w:hAnsiTheme="minorHAnsi" w:cstheme="minorHAnsi"/>
                <w:sz w:val="20"/>
                <w:szCs w:val="20"/>
              </w:rPr>
            </w:pPr>
            <w:r w:rsidRPr="00767A4F">
              <w:rPr>
                <w:rFonts w:asciiTheme="minorHAnsi" w:hAnsiTheme="minorHAnsi" w:cstheme="minorHAnsi"/>
                <w:sz w:val="20"/>
                <w:szCs w:val="20"/>
              </w:rPr>
              <w:t xml:space="preserve">Procurement of </w:t>
            </w:r>
            <w:proofErr w:type="spellStart"/>
            <w:r w:rsidRPr="00767A4F">
              <w:rPr>
                <w:rFonts w:asciiTheme="minorHAnsi" w:hAnsiTheme="minorHAnsi" w:cstheme="minorHAnsi"/>
                <w:sz w:val="20"/>
                <w:szCs w:val="20"/>
              </w:rPr>
              <w:t>dTPa</w:t>
            </w:r>
            <w:proofErr w:type="spellEnd"/>
            <w:r w:rsidRPr="00767A4F">
              <w:rPr>
                <w:rFonts w:asciiTheme="minorHAnsi" w:hAnsiTheme="minorHAnsi" w:cstheme="minorHAnsi"/>
                <w:sz w:val="20"/>
                <w:szCs w:val="20"/>
              </w:rPr>
              <w:t xml:space="preserve"> vaccines</w:t>
            </w:r>
          </w:p>
        </w:tc>
        <w:tc>
          <w:tcPr>
            <w:tcW w:w="1449" w:type="dxa"/>
          </w:tcPr>
          <w:p w14:paraId="082AFC63" w14:textId="77777777" w:rsidR="00D20E5C" w:rsidRPr="00767A4F" w:rsidRDefault="00D20E5C" w:rsidP="00B20ABC">
            <w:pPr>
              <w:rPr>
                <w:rFonts w:asciiTheme="minorHAnsi" w:hAnsiTheme="minorHAnsi" w:cstheme="minorHAnsi"/>
                <w:sz w:val="20"/>
                <w:szCs w:val="20"/>
              </w:rPr>
            </w:pPr>
            <w:r w:rsidRPr="00767A4F">
              <w:rPr>
                <w:rFonts w:asciiTheme="minorHAnsi" w:hAnsiTheme="minorHAnsi" w:cstheme="minorHAnsi"/>
                <w:sz w:val="20"/>
                <w:szCs w:val="20"/>
              </w:rPr>
              <w:t>Open Tender (FWA)</w:t>
            </w:r>
          </w:p>
        </w:tc>
        <w:tc>
          <w:tcPr>
            <w:tcW w:w="1450" w:type="dxa"/>
          </w:tcPr>
          <w:p w14:paraId="74211643" w14:textId="77777777" w:rsidR="00D20E5C" w:rsidRPr="00767A4F" w:rsidRDefault="00D20E5C" w:rsidP="00B20ABC">
            <w:pPr>
              <w:rPr>
                <w:rFonts w:asciiTheme="minorHAnsi" w:hAnsiTheme="minorHAnsi" w:cstheme="minorHAnsi"/>
                <w:sz w:val="20"/>
                <w:szCs w:val="20"/>
              </w:rPr>
            </w:pPr>
            <w:r w:rsidRPr="00767A4F">
              <w:rPr>
                <w:rFonts w:asciiTheme="minorHAnsi" w:hAnsiTheme="minorHAnsi" w:cstheme="minorHAnsi"/>
                <w:sz w:val="20"/>
                <w:szCs w:val="20"/>
              </w:rPr>
              <w:t>39 days</w:t>
            </w:r>
          </w:p>
        </w:tc>
        <w:tc>
          <w:tcPr>
            <w:tcW w:w="1449" w:type="dxa"/>
          </w:tcPr>
          <w:p w14:paraId="3460004D" w14:textId="77777777" w:rsidR="00D20E5C" w:rsidRPr="00767A4F" w:rsidRDefault="00D20E5C" w:rsidP="00B20ABC">
            <w:pPr>
              <w:rPr>
                <w:rFonts w:asciiTheme="minorHAnsi" w:hAnsiTheme="minorHAnsi" w:cstheme="minorHAnsi"/>
                <w:sz w:val="20"/>
                <w:szCs w:val="20"/>
              </w:rPr>
            </w:pPr>
            <w:r w:rsidRPr="00767A4F">
              <w:rPr>
                <w:rFonts w:asciiTheme="minorHAnsi" w:hAnsiTheme="minorHAnsi" w:cstheme="minorHAnsi"/>
                <w:color w:val="FF0000"/>
                <w:sz w:val="20"/>
                <w:szCs w:val="20"/>
              </w:rPr>
              <w:t>126 days (contract award made. Not Signed)</w:t>
            </w:r>
          </w:p>
        </w:tc>
        <w:tc>
          <w:tcPr>
            <w:tcW w:w="1450" w:type="dxa"/>
          </w:tcPr>
          <w:p w14:paraId="61F85C78" w14:textId="77777777" w:rsidR="00D20E5C" w:rsidRPr="00767A4F" w:rsidRDefault="00D20E5C" w:rsidP="00B20ABC">
            <w:pPr>
              <w:rPr>
                <w:rFonts w:asciiTheme="minorHAnsi" w:hAnsiTheme="minorHAnsi" w:cstheme="minorHAnsi"/>
                <w:sz w:val="20"/>
                <w:szCs w:val="20"/>
              </w:rPr>
            </w:pPr>
            <w:r w:rsidRPr="00767A4F">
              <w:rPr>
                <w:rFonts w:asciiTheme="minorHAnsi" w:hAnsiTheme="minorHAnsi" w:cstheme="minorHAnsi"/>
                <w:color w:val="FF0000"/>
                <w:sz w:val="20"/>
                <w:szCs w:val="20"/>
              </w:rPr>
              <w:t>Yes (126 days as of May 2, 2019)</w:t>
            </w:r>
            <w:r w:rsidRPr="00767A4F">
              <w:rPr>
                <w:rFonts w:asciiTheme="minorHAnsi" w:hAnsiTheme="minorHAnsi" w:cstheme="minorHAnsi"/>
                <w:sz w:val="20"/>
                <w:szCs w:val="20"/>
              </w:rPr>
              <w:t xml:space="preserve"> </w:t>
            </w:r>
          </w:p>
        </w:tc>
        <w:tc>
          <w:tcPr>
            <w:tcW w:w="1449" w:type="dxa"/>
          </w:tcPr>
          <w:p w14:paraId="100040E9" w14:textId="77777777" w:rsidR="00D20E5C" w:rsidRPr="00767A4F" w:rsidRDefault="00D20E5C" w:rsidP="00B20ABC">
            <w:pPr>
              <w:rPr>
                <w:rFonts w:asciiTheme="minorHAnsi" w:hAnsiTheme="minorHAnsi" w:cstheme="minorHAnsi"/>
                <w:sz w:val="20"/>
                <w:szCs w:val="20"/>
              </w:rPr>
            </w:pPr>
            <w:r w:rsidRPr="00767A4F">
              <w:rPr>
                <w:rFonts w:asciiTheme="minorHAnsi" w:hAnsiTheme="minorHAnsi" w:cstheme="minorHAnsi"/>
                <w:sz w:val="20"/>
                <w:szCs w:val="20"/>
              </w:rPr>
              <w:t>-</w:t>
            </w:r>
          </w:p>
        </w:tc>
        <w:tc>
          <w:tcPr>
            <w:tcW w:w="1450" w:type="dxa"/>
          </w:tcPr>
          <w:p w14:paraId="74C6F1E6" w14:textId="77777777" w:rsidR="00D20E5C" w:rsidRPr="00767A4F" w:rsidRDefault="00D20E5C" w:rsidP="00B20ABC">
            <w:pPr>
              <w:rPr>
                <w:rFonts w:asciiTheme="minorHAnsi" w:hAnsiTheme="minorHAnsi" w:cstheme="minorHAnsi"/>
                <w:sz w:val="20"/>
                <w:szCs w:val="20"/>
              </w:rPr>
            </w:pPr>
            <w:r w:rsidRPr="00767A4F">
              <w:rPr>
                <w:rFonts w:asciiTheme="minorHAnsi" w:hAnsiTheme="minorHAnsi" w:cstheme="minorHAnsi"/>
                <w:sz w:val="20"/>
                <w:szCs w:val="20"/>
              </w:rPr>
              <w:t>-</w:t>
            </w:r>
          </w:p>
        </w:tc>
      </w:tr>
      <w:tr w:rsidR="00D20E5C" w:rsidRPr="00767A4F" w14:paraId="617A692A" w14:textId="77777777" w:rsidTr="00767A4F">
        <w:trPr>
          <w:jc w:val="center"/>
        </w:trPr>
        <w:tc>
          <w:tcPr>
            <w:tcW w:w="3775" w:type="dxa"/>
          </w:tcPr>
          <w:p w14:paraId="64B4097F" w14:textId="77777777" w:rsidR="00D20E5C" w:rsidRPr="00767A4F" w:rsidRDefault="00D20E5C" w:rsidP="00B20ABC">
            <w:pPr>
              <w:rPr>
                <w:rFonts w:asciiTheme="minorHAnsi" w:hAnsiTheme="minorHAnsi" w:cstheme="minorHAnsi"/>
                <w:sz w:val="20"/>
                <w:szCs w:val="20"/>
              </w:rPr>
            </w:pPr>
            <w:r w:rsidRPr="00767A4F">
              <w:rPr>
                <w:rFonts w:asciiTheme="minorHAnsi" w:hAnsiTheme="minorHAnsi" w:cstheme="minorHAnsi"/>
                <w:sz w:val="20"/>
                <w:szCs w:val="20"/>
              </w:rPr>
              <w:t>Procurement of medical incubators</w:t>
            </w:r>
          </w:p>
        </w:tc>
        <w:tc>
          <w:tcPr>
            <w:tcW w:w="1449" w:type="dxa"/>
          </w:tcPr>
          <w:p w14:paraId="69DD3F7A" w14:textId="77777777" w:rsidR="00D20E5C" w:rsidRPr="00767A4F" w:rsidRDefault="00D20E5C" w:rsidP="00B20ABC">
            <w:pPr>
              <w:rPr>
                <w:rFonts w:asciiTheme="minorHAnsi" w:hAnsiTheme="minorHAnsi" w:cstheme="minorHAnsi"/>
                <w:sz w:val="20"/>
                <w:szCs w:val="20"/>
              </w:rPr>
            </w:pPr>
            <w:r w:rsidRPr="00767A4F">
              <w:rPr>
                <w:rFonts w:asciiTheme="minorHAnsi" w:hAnsiTheme="minorHAnsi" w:cstheme="minorHAnsi"/>
                <w:sz w:val="20"/>
                <w:szCs w:val="20"/>
              </w:rPr>
              <w:t>Open Tender (FWA)</w:t>
            </w:r>
          </w:p>
        </w:tc>
        <w:tc>
          <w:tcPr>
            <w:tcW w:w="1450" w:type="dxa"/>
          </w:tcPr>
          <w:p w14:paraId="67D90C33" w14:textId="77777777" w:rsidR="00D20E5C" w:rsidRPr="00767A4F" w:rsidRDefault="00D20E5C" w:rsidP="00B20ABC">
            <w:pPr>
              <w:rPr>
                <w:rFonts w:asciiTheme="minorHAnsi" w:hAnsiTheme="minorHAnsi" w:cstheme="minorHAnsi"/>
                <w:sz w:val="20"/>
                <w:szCs w:val="20"/>
              </w:rPr>
            </w:pPr>
            <w:r w:rsidRPr="00767A4F">
              <w:rPr>
                <w:rFonts w:asciiTheme="minorHAnsi" w:hAnsiTheme="minorHAnsi" w:cstheme="minorHAnsi"/>
                <w:color w:val="FF0000"/>
                <w:sz w:val="20"/>
                <w:szCs w:val="20"/>
              </w:rPr>
              <w:t>152 days</w:t>
            </w:r>
          </w:p>
        </w:tc>
        <w:tc>
          <w:tcPr>
            <w:tcW w:w="1449" w:type="dxa"/>
          </w:tcPr>
          <w:p w14:paraId="0CB5FB6A" w14:textId="77777777" w:rsidR="00D20E5C" w:rsidRPr="00767A4F" w:rsidRDefault="00D20E5C" w:rsidP="00B20ABC">
            <w:pPr>
              <w:rPr>
                <w:rFonts w:asciiTheme="minorHAnsi" w:hAnsiTheme="minorHAnsi" w:cstheme="minorHAnsi"/>
                <w:sz w:val="20"/>
                <w:szCs w:val="20"/>
              </w:rPr>
            </w:pPr>
            <w:r w:rsidRPr="00767A4F">
              <w:rPr>
                <w:rFonts w:asciiTheme="minorHAnsi" w:hAnsiTheme="minorHAnsi" w:cstheme="minorHAnsi"/>
                <w:sz w:val="20"/>
                <w:szCs w:val="20"/>
              </w:rPr>
              <w:t>Ongoing since March 13, 2019</w:t>
            </w:r>
          </w:p>
        </w:tc>
        <w:tc>
          <w:tcPr>
            <w:tcW w:w="1450" w:type="dxa"/>
          </w:tcPr>
          <w:p w14:paraId="3C7AC0CA" w14:textId="77777777" w:rsidR="00D20E5C" w:rsidRPr="00767A4F" w:rsidRDefault="00D20E5C" w:rsidP="00B20ABC">
            <w:pPr>
              <w:rPr>
                <w:rFonts w:asciiTheme="minorHAnsi" w:hAnsiTheme="minorHAnsi" w:cstheme="minorHAnsi"/>
                <w:sz w:val="20"/>
                <w:szCs w:val="20"/>
              </w:rPr>
            </w:pPr>
            <w:r w:rsidRPr="00767A4F">
              <w:rPr>
                <w:rFonts w:asciiTheme="minorHAnsi" w:hAnsiTheme="minorHAnsi" w:cstheme="minorHAnsi"/>
                <w:sz w:val="20"/>
                <w:szCs w:val="20"/>
              </w:rPr>
              <w:t>No</w:t>
            </w:r>
          </w:p>
        </w:tc>
        <w:tc>
          <w:tcPr>
            <w:tcW w:w="1449" w:type="dxa"/>
          </w:tcPr>
          <w:p w14:paraId="4C42D076" w14:textId="77777777" w:rsidR="00D20E5C" w:rsidRPr="00767A4F" w:rsidRDefault="00D20E5C" w:rsidP="00B20ABC">
            <w:pPr>
              <w:rPr>
                <w:rFonts w:asciiTheme="minorHAnsi" w:hAnsiTheme="minorHAnsi" w:cstheme="minorHAnsi"/>
                <w:sz w:val="20"/>
                <w:szCs w:val="20"/>
              </w:rPr>
            </w:pPr>
            <w:r w:rsidRPr="00767A4F">
              <w:rPr>
                <w:rFonts w:asciiTheme="minorHAnsi" w:hAnsiTheme="minorHAnsi" w:cstheme="minorHAnsi"/>
                <w:sz w:val="20"/>
                <w:szCs w:val="20"/>
              </w:rPr>
              <w:t>-</w:t>
            </w:r>
          </w:p>
        </w:tc>
        <w:tc>
          <w:tcPr>
            <w:tcW w:w="1450" w:type="dxa"/>
          </w:tcPr>
          <w:p w14:paraId="3A4418DB" w14:textId="77777777" w:rsidR="00D20E5C" w:rsidRPr="00767A4F" w:rsidRDefault="00D20E5C" w:rsidP="00B20ABC">
            <w:pPr>
              <w:rPr>
                <w:rFonts w:asciiTheme="minorHAnsi" w:hAnsiTheme="minorHAnsi" w:cstheme="minorHAnsi"/>
                <w:sz w:val="20"/>
                <w:szCs w:val="20"/>
              </w:rPr>
            </w:pPr>
            <w:r w:rsidRPr="00767A4F">
              <w:rPr>
                <w:rFonts w:asciiTheme="minorHAnsi" w:hAnsiTheme="minorHAnsi" w:cstheme="minorHAnsi"/>
                <w:sz w:val="20"/>
                <w:szCs w:val="20"/>
              </w:rPr>
              <w:t>-</w:t>
            </w:r>
          </w:p>
        </w:tc>
      </w:tr>
      <w:tr w:rsidR="00D20E5C" w:rsidRPr="00767A4F" w14:paraId="3C487602" w14:textId="77777777" w:rsidTr="00767A4F">
        <w:trPr>
          <w:jc w:val="center"/>
        </w:trPr>
        <w:tc>
          <w:tcPr>
            <w:tcW w:w="3775" w:type="dxa"/>
          </w:tcPr>
          <w:p w14:paraId="302167C5" w14:textId="77777777" w:rsidR="00D20E5C" w:rsidRPr="00767A4F" w:rsidRDefault="00D20E5C" w:rsidP="00B20ABC">
            <w:pPr>
              <w:rPr>
                <w:rFonts w:asciiTheme="minorHAnsi" w:hAnsiTheme="minorHAnsi" w:cstheme="minorHAnsi"/>
                <w:sz w:val="20"/>
                <w:szCs w:val="20"/>
              </w:rPr>
            </w:pPr>
            <w:r w:rsidRPr="00767A4F">
              <w:rPr>
                <w:rFonts w:asciiTheme="minorHAnsi" w:hAnsiTheme="minorHAnsi" w:cstheme="minorHAnsi"/>
                <w:sz w:val="20"/>
                <w:szCs w:val="20"/>
              </w:rPr>
              <w:t>Procurement of TB medicines at the national level under the National Health Program</w:t>
            </w:r>
          </w:p>
        </w:tc>
        <w:tc>
          <w:tcPr>
            <w:tcW w:w="1449" w:type="dxa"/>
          </w:tcPr>
          <w:p w14:paraId="0C96BF8B" w14:textId="77777777" w:rsidR="00D20E5C" w:rsidRPr="00767A4F" w:rsidRDefault="00D20E5C" w:rsidP="00B20ABC">
            <w:pPr>
              <w:rPr>
                <w:rFonts w:asciiTheme="minorHAnsi" w:hAnsiTheme="minorHAnsi" w:cstheme="minorHAnsi"/>
                <w:sz w:val="20"/>
                <w:szCs w:val="20"/>
              </w:rPr>
            </w:pPr>
            <w:r w:rsidRPr="00767A4F">
              <w:rPr>
                <w:rFonts w:asciiTheme="minorHAnsi" w:hAnsiTheme="minorHAnsi" w:cstheme="minorHAnsi"/>
                <w:sz w:val="20"/>
                <w:szCs w:val="20"/>
              </w:rPr>
              <w:t>Open Tender (FWA)</w:t>
            </w:r>
          </w:p>
        </w:tc>
        <w:tc>
          <w:tcPr>
            <w:tcW w:w="1450" w:type="dxa"/>
          </w:tcPr>
          <w:p w14:paraId="0E3EFC35" w14:textId="77777777" w:rsidR="00D20E5C" w:rsidRPr="00767A4F" w:rsidRDefault="00D20E5C" w:rsidP="00B20ABC">
            <w:pPr>
              <w:rPr>
                <w:rFonts w:asciiTheme="minorHAnsi" w:hAnsiTheme="minorHAnsi" w:cstheme="minorHAnsi"/>
                <w:sz w:val="20"/>
                <w:szCs w:val="20"/>
              </w:rPr>
            </w:pPr>
            <w:r w:rsidRPr="00767A4F">
              <w:rPr>
                <w:rFonts w:asciiTheme="minorHAnsi" w:hAnsiTheme="minorHAnsi" w:cstheme="minorHAnsi"/>
                <w:sz w:val="20"/>
                <w:szCs w:val="20"/>
              </w:rPr>
              <w:t>45 days</w:t>
            </w:r>
          </w:p>
        </w:tc>
        <w:tc>
          <w:tcPr>
            <w:tcW w:w="1449" w:type="dxa"/>
          </w:tcPr>
          <w:p w14:paraId="215E4663" w14:textId="77777777" w:rsidR="00D20E5C" w:rsidRPr="00767A4F" w:rsidRDefault="00D20E5C" w:rsidP="00B20ABC">
            <w:pPr>
              <w:rPr>
                <w:rFonts w:asciiTheme="minorHAnsi" w:hAnsiTheme="minorHAnsi" w:cstheme="minorHAnsi"/>
                <w:sz w:val="20"/>
                <w:szCs w:val="20"/>
              </w:rPr>
            </w:pPr>
            <w:r w:rsidRPr="00767A4F">
              <w:rPr>
                <w:rFonts w:asciiTheme="minorHAnsi" w:hAnsiTheme="minorHAnsi" w:cstheme="minorHAnsi"/>
                <w:color w:val="FF0000"/>
                <w:sz w:val="20"/>
                <w:szCs w:val="20"/>
              </w:rPr>
              <w:t>Ongoing since November 15, 2018</w:t>
            </w:r>
          </w:p>
        </w:tc>
        <w:tc>
          <w:tcPr>
            <w:tcW w:w="1450" w:type="dxa"/>
          </w:tcPr>
          <w:p w14:paraId="38BF023B" w14:textId="77777777" w:rsidR="00D20E5C" w:rsidRPr="00767A4F" w:rsidRDefault="00D20E5C" w:rsidP="00B20ABC">
            <w:pPr>
              <w:rPr>
                <w:rFonts w:asciiTheme="minorHAnsi" w:hAnsiTheme="minorHAnsi" w:cstheme="minorHAnsi"/>
                <w:sz w:val="20"/>
                <w:szCs w:val="20"/>
              </w:rPr>
            </w:pPr>
            <w:r w:rsidRPr="00767A4F">
              <w:rPr>
                <w:rFonts w:asciiTheme="minorHAnsi" w:hAnsiTheme="minorHAnsi" w:cstheme="minorHAnsi"/>
                <w:color w:val="FF0000"/>
                <w:sz w:val="20"/>
                <w:szCs w:val="20"/>
              </w:rPr>
              <w:t>Yes (170 days as of May 3, 2019)</w:t>
            </w:r>
          </w:p>
        </w:tc>
        <w:tc>
          <w:tcPr>
            <w:tcW w:w="1449" w:type="dxa"/>
          </w:tcPr>
          <w:p w14:paraId="12C5691A" w14:textId="77777777" w:rsidR="00D20E5C" w:rsidRPr="00767A4F" w:rsidRDefault="00D20E5C" w:rsidP="00B20ABC">
            <w:pPr>
              <w:rPr>
                <w:rFonts w:asciiTheme="minorHAnsi" w:hAnsiTheme="minorHAnsi" w:cstheme="minorHAnsi"/>
                <w:sz w:val="20"/>
                <w:szCs w:val="20"/>
              </w:rPr>
            </w:pPr>
            <w:r w:rsidRPr="00767A4F">
              <w:rPr>
                <w:rFonts w:asciiTheme="minorHAnsi" w:hAnsiTheme="minorHAnsi" w:cstheme="minorHAnsi"/>
                <w:sz w:val="20"/>
                <w:szCs w:val="20"/>
              </w:rPr>
              <w:t>-</w:t>
            </w:r>
          </w:p>
        </w:tc>
        <w:tc>
          <w:tcPr>
            <w:tcW w:w="1450" w:type="dxa"/>
          </w:tcPr>
          <w:p w14:paraId="3A5DD1DA" w14:textId="77777777" w:rsidR="00D20E5C" w:rsidRPr="00767A4F" w:rsidRDefault="00D20E5C" w:rsidP="00B20ABC">
            <w:pPr>
              <w:rPr>
                <w:rFonts w:asciiTheme="minorHAnsi" w:hAnsiTheme="minorHAnsi" w:cstheme="minorHAnsi"/>
                <w:sz w:val="20"/>
                <w:szCs w:val="20"/>
              </w:rPr>
            </w:pPr>
            <w:r w:rsidRPr="00767A4F">
              <w:rPr>
                <w:rFonts w:asciiTheme="minorHAnsi" w:hAnsiTheme="minorHAnsi" w:cstheme="minorHAnsi"/>
                <w:sz w:val="20"/>
                <w:szCs w:val="20"/>
              </w:rPr>
              <w:t>-</w:t>
            </w:r>
          </w:p>
        </w:tc>
      </w:tr>
      <w:tr w:rsidR="00D20E5C" w:rsidRPr="00767A4F" w14:paraId="2D751143" w14:textId="77777777" w:rsidTr="00767A4F">
        <w:trPr>
          <w:jc w:val="center"/>
        </w:trPr>
        <w:tc>
          <w:tcPr>
            <w:tcW w:w="3775" w:type="dxa"/>
          </w:tcPr>
          <w:p w14:paraId="42E3EE16" w14:textId="77777777" w:rsidR="00D20E5C" w:rsidRPr="00767A4F" w:rsidRDefault="00D20E5C" w:rsidP="00B20ABC">
            <w:pPr>
              <w:rPr>
                <w:rFonts w:asciiTheme="minorHAnsi" w:hAnsiTheme="minorHAnsi" w:cstheme="minorHAnsi"/>
                <w:sz w:val="20"/>
                <w:szCs w:val="20"/>
              </w:rPr>
            </w:pPr>
            <w:r w:rsidRPr="00767A4F">
              <w:rPr>
                <w:rFonts w:asciiTheme="minorHAnsi" w:hAnsiTheme="minorHAnsi" w:cstheme="minorHAnsi"/>
                <w:sz w:val="20"/>
                <w:szCs w:val="20"/>
              </w:rPr>
              <w:t>Procurement of vaccines</w:t>
            </w:r>
          </w:p>
        </w:tc>
        <w:tc>
          <w:tcPr>
            <w:tcW w:w="1449" w:type="dxa"/>
          </w:tcPr>
          <w:p w14:paraId="3D31A725" w14:textId="77777777" w:rsidR="00D20E5C" w:rsidRPr="00767A4F" w:rsidRDefault="00D20E5C" w:rsidP="00B20ABC">
            <w:pPr>
              <w:rPr>
                <w:rFonts w:asciiTheme="minorHAnsi" w:hAnsiTheme="minorHAnsi" w:cstheme="minorHAnsi"/>
                <w:sz w:val="20"/>
                <w:szCs w:val="20"/>
              </w:rPr>
            </w:pPr>
            <w:r w:rsidRPr="00767A4F">
              <w:rPr>
                <w:rFonts w:asciiTheme="minorHAnsi" w:hAnsiTheme="minorHAnsi" w:cstheme="minorHAnsi"/>
                <w:sz w:val="20"/>
                <w:szCs w:val="20"/>
              </w:rPr>
              <w:t>Open Tender (FWA)</w:t>
            </w:r>
          </w:p>
        </w:tc>
        <w:tc>
          <w:tcPr>
            <w:tcW w:w="1450" w:type="dxa"/>
          </w:tcPr>
          <w:p w14:paraId="34E61886" w14:textId="77777777" w:rsidR="00D20E5C" w:rsidRPr="00767A4F" w:rsidRDefault="00D20E5C" w:rsidP="00B20ABC">
            <w:pPr>
              <w:rPr>
                <w:rFonts w:asciiTheme="minorHAnsi" w:hAnsiTheme="minorHAnsi" w:cstheme="minorHAnsi"/>
                <w:sz w:val="20"/>
                <w:szCs w:val="20"/>
              </w:rPr>
            </w:pPr>
            <w:r w:rsidRPr="00767A4F">
              <w:rPr>
                <w:rFonts w:asciiTheme="minorHAnsi" w:hAnsiTheme="minorHAnsi" w:cstheme="minorHAnsi"/>
                <w:sz w:val="20"/>
                <w:szCs w:val="20"/>
              </w:rPr>
              <w:t>31 days</w:t>
            </w:r>
          </w:p>
        </w:tc>
        <w:tc>
          <w:tcPr>
            <w:tcW w:w="1449" w:type="dxa"/>
          </w:tcPr>
          <w:p w14:paraId="7A479D99" w14:textId="77777777" w:rsidR="00D20E5C" w:rsidRPr="00767A4F" w:rsidRDefault="00D20E5C" w:rsidP="00B20ABC">
            <w:pPr>
              <w:rPr>
                <w:rFonts w:asciiTheme="minorHAnsi" w:hAnsiTheme="minorHAnsi" w:cstheme="minorHAnsi"/>
                <w:sz w:val="20"/>
                <w:szCs w:val="20"/>
              </w:rPr>
            </w:pPr>
            <w:r w:rsidRPr="00767A4F">
              <w:rPr>
                <w:rFonts w:asciiTheme="minorHAnsi" w:hAnsiTheme="minorHAnsi" w:cstheme="minorHAnsi"/>
                <w:sz w:val="20"/>
                <w:szCs w:val="20"/>
              </w:rPr>
              <w:t>62 days</w:t>
            </w:r>
          </w:p>
        </w:tc>
        <w:tc>
          <w:tcPr>
            <w:tcW w:w="1450" w:type="dxa"/>
          </w:tcPr>
          <w:p w14:paraId="2875FD61" w14:textId="77777777" w:rsidR="00D20E5C" w:rsidRPr="00767A4F" w:rsidRDefault="00D20E5C" w:rsidP="00B20ABC">
            <w:pPr>
              <w:rPr>
                <w:rFonts w:asciiTheme="minorHAnsi" w:hAnsiTheme="minorHAnsi" w:cstheme="minorHAnsi"/>
                <w:sz w:val="20"/>
                <w:szCs w:val="20"/>
              </w:rPr>
            </w:pPr>
            <w:r w:rsidRPr="00767A4F">
              <w:rPr>
                <w:rFonts w:asciiTheme="minorHAnsi" w:hAnsiTheme="minorHAnsi" w:cstheme="minorHAnsi"/>
                <w:sz w:val="20"/>
                <w:szCs w:val="20"/>
              </w:rPr>
              <w:t>No</w:t>
            </w:r>
          </w:p>
        </w:tc>
        <w:tc>
          <w:tcPr>
            <w:tcW w:w="1449" w:type="dxa"/>
          </w:tcPr>
          <w:p w14:paraId="51864363" w14:textId="77777777" w:rsidR="00D20E5C" w:rsidRPr="00767A4F" w:rsidRDefault="00D20E5C" w:rsidP="00B20ABC">
            <w:pPr>
              <w:rPr>
                <w:rFonts w:asciiTheme="minorHAnsi" w:hAnsiTheme="minorHAnsi" w:cstheme="minorHAnsi"/>
                <w:sz w:val="20"/>
                <w:szCs w:val="20"/>
              </w:rPr>
            </w:pPr>
            <w:r w:rsidRPr="00767A4F">
              <w:rPr>
                <w:rFonts w:asciiTheme="minorHAnsi" w:hAnsiTheme="minorHAnsi" w:cstheme="minorHAnsi"/>
                <w:sz w:val="20"/>
                <w:szCs w:val="20"/>
              </w:rPr>
              <w:t>62,350,000</w:t>
            </w:r>
          </w:p>
        </w:tc>
        <w:tc>
          <w:tcPr>
            <w:tcW w:w="1450" w:type="dxa"/>
          </w:tcPr>
          <w:p w14:paraId="26D3FBF1" w14:textId="77777777" w:rsidR="00D20E5C" w:rsidRPr="00767A4F" w:rsidRDefault="00D20E5C" w:rsidP="00B20ABC">
            <w:pPr>
              <w:jc w:val="center"/>
              <w:rPr>
                <w:rFonts w:asciiTheme="minorHAnsi" w:hAnsiTheme="minorHAnsi" w:cstheme="minorHAnsi"/>
                <w:sz w:val="20"/>
                <w:szCs w:val="20"/>
              </w:rPr>
            </w:pPr>
            <w:r w:rsidRPr="00767A4F">
              <w:rPr>
                <w:rFonts w:asciiTheme="minorHAnsi" w:hAnsiTheme="minorHAnsi" w:cstheme="minorHAnsi"/>
                <w:sz w:val="20"/>
                <w:szCs w:val="20"/>
              </w:rPr>
              <w:t>December 5, 2018</w:t>
            </w:r>
          </w:p>
        </w:tc>
      </w:tr>
      <w:tr w:rsidR="00D20E5C" w:rsidRPr="00767A4F" w14:paraId="38D07388" w14:textId="77777777" w:rsidTr="00767A4F">
        <w:trPr>
          <w:jc w:val="center"/>
        </w:trPr>
        <w:tc>
          <w:tcPr>
            <w:tcW w:w="3775" w:type="dxa"/>
          </w:tcPr>
          <w:p w14:paraId="7F240077" w14:textId="77777777" w:rsidR="00D20E5C" w:rsidRPr="00767A4F" w:rsidRDefault="00D20E5C" w:rsidP="00B20ABC">
            <w:pPr>
              <w:rPr>
                <w:rFonts w:asciiTheme="minorHAnsi" w:hAnsiTheme="minorHAnsi" w:cstheme="minorHAnsi"/>
                <w:sz w:val="20"/>
                <w:szCs w:val="20"/>
              </w:rPr>
            </w:pPr>
            <w:r w:rsidRPr="00767A4F">
              <w:rPr>
                <w:rFonts w:asciiTheme="minorHAnsi" w:hAnsiTheme="minorHAnsi" w:cstheme="minorHAnsi"/>
                <w:sz w:val="20"/>
                <w:szCs w:val="20"/>
              </w:rPr>
              <w:t>Procurement of HIV Tests</w:t>
            </w:r>
          </w:p>
        </w:tc>
        <w:tc>
          <w:tcPr>
            <w:tcW w:w="1449" w:type="dxa"/>
          </w:tcPr>
          <w:p w14:paraId="2332E039" w14:textId="77777777" w:rsidR="00D20E5C" w:rsidRPr="00767A4F" w:rsidRDefault="00D20E5C" w:rsidP="00B20ABC">
            <w:pPr>
              <w:rPr>
                <w:rFonts w:asciiTheme="minorHAnsi" w:hAnsiTheme="minorHAnsi" w:cstheme="minorHAnsi"/>
                <w:sz w:val="20"/>
                <w:szCs w:val="20"/>
              </w:rPr>
            </w:pPr>
            <w:r w:rsidRPr="00767A4F">
              <w:rPr>
                <w:rFonts w:asciiTheme="minorHAnsi" w:hAnsiTheme="minorHAnsi" w:cstheme="minorHAnsi"/>
                <w:sz w:val="20"/>
                <w:szCs w:val="20"/>
              </w:rPr>
              <w:t>Open Tender (FWA)</w:t>
            </w:r>
          </w:p>
        </w:tc>
        <w:tc>
          <w:tcPr>
            <w:tcW w:w="1450" w:type="dxa"/>
          </w:tcPr>
          <w:p w14:paraId="71D0C272" w14:textId="77777777" w:rsidR="00D20E5C" w:rsidRPr="00767A4F" w:rsidRDefault="00D20E5C" w:rsidP="00B20ABC">
            <w:pPr>
              <w:rPr>
                <w:rFonts w:asciiTheme="minorHAnsi" w:hAnsiTheme="minorHAnsi" w:cstheme="minorHAnsi"/>
                <w:sz w:val="20"/>
                <w:szCs w:val="20"/>
              </w:rPr>
            </w:pPr>
            <w:r w:rsidRPr="00767A4F">
              <w:rPr>
                <w:rFonts w:asciiTheme="minorHAnsi" w:hAnsiTheme="minorHAnsi" w:cstheme="minorHAnsi"/>
                <w:sz w:val="20"/>
                <w:szCs w:val="20"/>
              </w:rPr>
              <w:t>30 days</w:t>
            </w:r>
          </w:p>
        </w:tc>
        <w:tc>
          <w:tcPr>
            <w:tcW w:w="1449" w:type="dxa"/>
          </w:tcPr>
          <w:p w14:paraId="70C08426" w14:textId="77777777" w:rsidR="00D20E5C" w:rsidRPr="00767A4F" w:rsidRDefault="00D20E5C" w:rsidP="00B20ABC">
            <w:pPr>
              <w:rPr>
                <w:rFonts w:asciiTheme="minorHAnsi" w:hAnsiTheme="minorHAnsi" w:cstheme="minorHAnsi"/>
                <w:color w:val="FF0000"/>
                <w:sz w:val="20"/>
                <w:szCs w:val="20"/>
              </w:rPr>
            </w:pPr>
            <w:r w:rsidRPr="00767A4F">
              <w:rPr>
                <w:rFonts w:asciiTheme="minorHAnsi" w:hAnsiTheme="minorHAnsi" w:cstheme="minorHAnsi"/>
                <w:color w:val="FF0000"/>
                <w:sz w:val="20"/>
                <w:szCs w:val="20"/>
              </w:rPr>
              <w:t>113 days</w:t>
            </w:r>
          </w:p>
        </w:tc>
        <w:tc>
          <w:tcPr>
            <w:tcW w:w="1450" w:type="dxa"/>
          </w:tcPr>
          <w:p w14:paraId="249AA602" w14:textId="77777777" w:rsidR="00D20E5C" w:rsidRPr="00767A4F" w:rsidRDefault="00D20E5C" w:rsidP="00B20ABC">
            <w:pPr>
              <w:rPr>
                <w:rFonts w:asciiTheme="minorHAnsi" w:hAnsiTheme="minorHAnsi" w:cstheme="minorHAnsi"/>
                <w:color w:val="FF0000"/>
                <w:sz w:val="20"/>
                <w:szCs w:val="20"/>
              </w:rPr>
            </w:pPr>
            <w:r w:rsidRPr="00767A4F">
              <w:rPr>
                <w:rFonts w:asciiTheme="minorHAnsi" w:hAnsiTheme="minorHAnsi" w:cstheme="minorHAnsi"/>
                <w:color w:val="FF0000"/>
                <w:sz w:val="20"/>
                <w:szCs w:val="20"/>
              </w:rPr>
              <w:t>Yes</w:t>
            </w:r>
          </w:p>
        </w:tc>
        <w:tc>
          <w:tcPr>
            <w:tcW w:w="1449" w:type="dxa"/>
          </w:tcPr>
          <w:p w14:paraId="5BDF6C79" w14:textId="77777777" w:rsidR="00D20E5C" w:rsidRPr="00767A4F" w:rsidRDefault="00D20E5C" w:rsidP="00B20ABC">
            <w:pPr>
              <w:rPr>
                <w:rFonts w:asciiTheme="minorHAnsi" w:hAnsiTheme="minorHAnsi" w:cstheme="minorHAnsi"/>
                <w:sz w:val="20"/>
                <w:szCs w:val="20"/>
              </w:rPr>
            </w:pPr>
            <w:r w:rsidRPr="00767A4F">
              <w:rPr>
                <w:rFonts w:asciiTheme="minorHAnsi" w:hAnsiTheme="minorHAnsi" w:cstheme="minorHAnsi"/>
                <w:sz w:val="20"/>
                <w:szCs w:val="20"/>
              </w:rPr>
              <w:t>1,775,458 (3 FWA signed)</w:t>
            </w:r>
          </w:p>
        </w:tc>
        <w:tc>
          <w:tcPr>
            <w:tcW w:w="1450" w:type="dxa"/>
          </w:tcPr>
          <w:p w14:paraId="25513E51" w14:textId="77777777" w:rsidR="00D20E5C" w:rsidRPr="00767A4F" w:rsidRDefault="00D20E5C" w:rsidP="00B20ABC">
            <w:pPr>
              <w:jc w:val="center"/>
              <w:rPr>
                <w:rFonts w:asciiTheme="minorHAnsi" w:hAnsiTheme="minorHAnsi" w:cstheme="minorHAnsi"/>
                <w:sz w:val="20"/>
                <w:szCs w:val="20"/>
              </w:rPr>
            </w:pPr>
            <w:r w:rsidRPr="00767A4F">
              <w:rPr>
                <w:rFonts w:asciiTheme="minorHAnsi" w:hAnsiTheme="minorHAnsi" w:cstheme="minorHAnsi"/>
                <w:sz w:val="20"/>
                <w:szCs w:val="20"/>
              </w:rPr>
              <w:t>December 4, 2018</w:t>
            </w:r>
          </w:p>
        </w:tc>
      </w:tr>
      <w:tr w:rsidR="00D20E5C" w:rsidRPr="00767A4F" w14:paraId="7A5E30A5" w14:textId="77777777" w:rsidTr="00767A4F">
        <w:trPr>
          <w:jc w:val="center"/>
        </w:trPr>
        <w:tc>
          <w:tcPr>
            <w:tcW w:w="3775" w:type="dxa"/>
          </w:tcPr>
          <w:p w14:paraId="2FECF489" w14:textId="77777777" w:rsidR="00D20E5C" w:rsidRPr="00767A4F" w:rsidRDefault="00D20E5C" w:rsidP="00B20ABC">
            <w:pPr>
              <w:rPr>
                <w:rFonts w:asciiTheme="minorHAnsi" w:hAnsiTheme="minorHAnsi" w:cstheme="minorHAnsi"/>
                <w:sz w:val="20"/>
                <w:szCs w:val="20"/>
              </w:rPr>
            </w:pPr>
            <w:r w:rsidRPr="00767A4F">
              <w:rPr>
                <w:rFonts w:asciiTheme="minorHAnsi" w:hAnsiTheme="minorHAnsi" w:cstheme="minorHAnsi"/>
                <w:sz w:val="20"/>
                <w:szCs w:val="20"/>
              </w:rPr>
              <w:lastRenderedPageBreak/>
              <w:t>Transportation Services</w:t>
            </w:r>
          </w:p>
        </w:tc>
        <w:tc>
          <w:tcPr>
            <w:tcW w:w="1449" w:type="dxa"/>
          </w:tcPr>
          <w:p w14:paraId="306DF43A" w14:textId="77777777" w:rsidR="00D20E5C" w:rsidRPr="00767A4F" w:rsidRDefault="00D20E5C" w:rsidP="00B20ABC">
            <w:pPr>
              <w:rPr>
                <w:rFonts w:asciiTheme="minorHAnsi" w:hAnsiTheme="minorHAnsi" w:cstheme="minorHAnsi"/>
                <w:sz w:val="20"/>
                <w:szCs w:val="20"/>
              </w:rPr>
            </w:pPr>
            <w:r w:rsidRPr="00767A4F">
              <w:rPr>
                <w:rFonts w:asciiTheme="minorHAnsi" w:hAnsiTheme="minorHAnsi" w:cstheme="minorHAnsi"/>
                <w:sz w:val="20"/>
                <w:szCs w:val="20"/>
              </w:rPr>
              <w:t>Simplified Procedure (FWA)</w:t>
            </w:r>
          </w:p>
        </w:tc>
        <w:tc>
          <w:tcPr>
            <w:tcW w:w="1450" w:type="dxa"/>
          </w:tcPr>
          <w:p w14:paraId="053F215A" w14:textId="77777777" w:rsidR="00D20E5C" w:rsidRPr="00767A4F" w:rsidRDefault="00D20E5C" w:rsidP="00B20ABC">
            <w:pPr>
              <w:rPr>
                <w:rFonts w:asciiTheme="minorHAnsi" w:hAnsiTheme="minorHAnsi" w:cstheme="minorHAnsi"/>
                <w:sz w:val="20"/>
                <w:szCs w:val="20"/>
              </w:rPr>
            </w:pPr>
            <w:r w:rsidRPr="00767A4F">
              <w:rPr>
                <w:rFonts w:asciiTheme="minorHAnsi" w:hAnsiTheme="minorHAnsi" w:cstheme="minorHAnsi"/>
                <w:sz w:val="20"/>
                <w:szCs w:val="20"/>
              </w:rPr>
              <w:t>14 days</w:t>
            </w:r>
          </w:p>
        </w:tc>
        <w:tc>
          <w:tcPr>
            <w:tcW w:w="1449" w:type="dxa"/>
          </w:tcPr>
          <w:p w14:paraId="61EF29B9" w14:textId="77777777" w:rsidR="00D20E5C" w:rsidRPr="00767A4F" w:rsidRDefault="00D20E5C" w:rsidP="00B20ABC">
            <w:pPr>
              <w:rPr>
                <w:rFonts w:asciiTheme="minorHAnsi" w:hAnsiTheme="minorHAnsi" w:cstheme="minorHAnsi"/>
                <w:sz w:val="20"/>
                <w:szCs w:val="20"/>
              </w:rPr>
            </w:pPr>
            <w:r w:rsidRPr="00767A4F">
              <w:rPr>
                <w:rFonts w:asciiTheme="minorHAnsi" w:hAnsiTheme="minorHAnsi" w:cstheme="minorHAnsi"/>
                <w:sz w:val="20"/>
                <w:szCs w:val="20"/>
              </w:rPr>
              <w:t>11 days</w:t>
            </w:r>
          </w:p>
        </w:tc>
        <w:tc>
          <w:tcPr>
            <w:tcW w:w="1450" w:type="dxa"/>
          </w:tcPr>
          <w:p w14:paraId="2F20889B" w14:textId="77777777" w:rsidR="00D20E5C" w:rsidRPr="00767A4F" w:rsidRDefault="00D20E5C" w:rsidP="00B20ABC">
            <w:pPr>
              <w:rPr>
                <w:rFonts w:asciiTheme="minorHAnsi" w:hAnsiTheme="minorHAnsi" w:cstheme="minorHAnsi"/>
                <w:sz w:val="20"/>
                <w:szCs w:val="20"/>
              </w:rPr>
            </w:pPr>
            <w:r w:rsidRPr="00767A4F">
              <w:rPr>
                <w:rFonts w:asciiTheme="minorHAnsi" w:hAnsiTheme="minorHAnsi" w:cstheme="minorHAnsi"/>
                <w:sz w:val="20"/>
                <w:szCs w:val="20"/>
              </w:rPr>
              <w:t>No</w:t>
            </w:r>
          </w:p>
        </w:tc>
        <w:tc>
          <w:tcPr>
            <w:tcW w:w="1449" w:type="dxa"/>
          </w:tcPr>
          <w:p w14:paraId="0E257974" w14:textId="77777777" w:rsidR="00D20E5C" w:rsidRPr="00767A4F" w:rsidRDefault="00D20E5C" w:rsidP="00B20ABC">
            <w:pPr>
              <w:rPr>
                <w:rFonts w:asciiTheme="minorHAnsi" w:hAnsiTheme="minorHAnsi" w:cstheme="minorHAnsi"/>
                <w:sz w:val="20"/>
                <w:szCs w:val="20"/>
              </w:rPr>
            </w:pPr>
            <w:r w:rsidRPr="00767A4F">
              <w:rPr>
                <w:rFonts w:asciiTheme="minorHAnsi" w:hAnsiTheme="minorHAnsi" w:cstheme="minorHAnsi"/>
                <w:sz w:val="20"/>
                <w:szCs w:val="20"/>
              </w:rPr>
              <w:t xml:space="preserve">170 (1 contract signed) </w:t>
            </w:r>
          </w:p>
        </w:tc>
        <w:tc>
          <w:tcPr>
            <w:tcW w:w="1450" w:type="dxa"/>
          </w:tcPr>
          <w:p w14:paraId="4EB11422" w14:textId="77777777" w:rsidR="00D20E5C" w:rsidRPr="00767A4F" w:rsidRDefault="00D20E5C" w:rsidP="00B20ABC">
            <w:pPr>
              <w:jc w:val="center"/>
              <w:rPr>
                <w:rFonts w:asciiTheme="minorHAnsi" w:hAnsiTheme="minorHAnsi" w:cstheme="minorHAnsi"/>
                <w:sz w:val="20"/>
                <w:szCs w:val="20"/>
              </w:rPr>
            </w:pPr>
            <w:r w:rsidRPr="00767A4F">
              <w:rPr>
                <w:rFonts w:asciiTheme="minorHAnsi" w:hAnsiTheme="minorHAnsi" w:cstheme="minorHAnsi"/>
                <w:sz w:val="20"/>
                <w:szCs w:val="20"/>
              </w:rPr>
              <w:t>July 13, 2018</w:t>
            </w:r>
          </w:p>
        </w:tc>
      </w:tr>
      <w:tr w:rsidR="00D20E5C" w:rsidRPr="00767A4F" w14:paraId="060146B9" w14:textId="77777777" w:rsidTr="00767A4F">
        <w:trPr>
          <w:jc w:val="center"/>
        </w:trPr>
        <w:tc>
          <w:tcPr>
            <w:tcW w:w="3775" w:type="dxa"/>
          </w:tcPr>
          <w:p w14:paraId="0A7D110C" w14:textId="77777777" w:rsidR="00D20E5C" w:rsidRPr="00767A4F" w:rsidRDefault="00D20E5C" w:rsidP="00B20ABC">
            <w:pPr>
              <w:rPr>
                <w:rFonts w:asciiTheme="minorHAnsi" w:hAnsiTheme="minorHAnsi" w:cstheme="minorHAnsi"/>
                <w:sz w:val="20"/>
                <w:szCs w:val="20"/>
              </w:rPr>
            </w:pPr>
            <w:bookmarkStart w:id="52" w:name="_Hlk7790197"/>
            <w:r w:rsidRPr="00767A4F">
              <w:rPr>
                <w:rFonts w:asciiTheme="minorHAnsi" w:hAnsiTheme="minorHAnsi" w:cstheme="minorHAnsi"/>
                <w:sz w:val="20"/>
                <w:szCs w:val="20"/>
              </w:rPr>
              <w:t>Procurement of HIV medicines under the National Health Program</w:t>
            </w:r>
          </w:p>
        </w:tc>
        <w:tc>
          <w:tcPr>
            <w:tcW w:w="1449" w:type="dxa"/>
          </w:tcPr>
          <w:p w14:paraId="7B03AA6F" w14:textId="77777777" w:rsidR="00D20E5C" w:rsidRPr="00767A4F" w:rsidRDefault="00D20E5C" w:rsidP="00B20ABC">
            <w:pPr>
              <w:rPr>
                <w:rFonts w:asciiTheme="minorHAnsi" w:hAnsiTheme="minorHAnsi" w:cstheme="minorHAnsi"/>
                <w:sz w:val="20"/>
                <w:szCs w:val="20"/>
              </w:rPr>
            </w:pPr>
            <w:r w:rsidRPr="00767A4F">
              <w:rPr>
                <w:rFonts w:asciiTheme="minorHAnsi" w:hAnsiTheme="minorHAnsi" w:cstheme="minorHAnsi"/>
                <w:sz w:val="20"/>
                <w:szCs w:val="20"/>
              </w:rPr>
              <w:t>Open Tender (FWA)</w:t>
            </w:r>
          </w:p>
        </w:tc>
        <w:tc>
          <w:tcPr>
            <w:tcW w:w="1450" w:type="dxa"/>
          </w:tcPr>
          <w:p w14:paraId="56AE638D" w14:textId="77777777" w:rsidR="00D20E5C" w:rsidRPr="00767A4F" w:rsidRDefault="00D20E5C" w:rsidP="00B20ABC">
            <w:pPr>
              <w:rPr>
                <w:rFonts w:asciiTheme="minorHAnsi" w:hAnsiTheme="minorHAnsi" w:cstheme="minorHAnsi"/>
                <w:sz w:val="20"/>
                <w:szCs w:val="20"/>
              </w:rPr>
            </w:pPr>
            <w:r w:rsidRPr="00767A4F">
              <w:rPr>
                <w:rFonts w:asciiTheme="minorHAnsi" w:hAnsiTheme="minorHAnsi" w:cstheme="minorHAnsi"/>
                <w:sz w:val="20"/>
                <w:szCs w:val="20"/>
              </w:rPr>
              <w:t>35 days</w:t>
            </w:r>
          </w:p>
        </w:tc>
        <w:tc>
          <w:tcPr>
            <w:tcW w:w="1449" w:type="dxa"/>
          </w:tcPr>
          <w:p w14:paraId="7B2E028B" w14:textId="77777777" w:rsidR="00D20E5C" w:rsidRPr="00767A4F" w:rsidRDefault="00D20E5C" w:rsidP="00B20ABC">
            <w:pPr>
              <w:rPr>
                <w:rFonts w:asciiTheme="minorHAnsi" w:hAnsiTheme="minorHAnsi" w:cstheme="minorHAnsi"/>
                <w:color w:val="FF0000"/>
                <w:sz w:val="20"/>
                <w:szCs w:val="20"/>
              </w:rPr>
            </w:pPr>
            <w:r w:rsidRPr="00767A4F">
              <w:rPr>
                <w:rFonts w:asciiTheme="minorHAnsi" w:hAnsiTheme="minorHAnsi" w:cstheme="minorHAnsi"/>
                <w:color w:val="FF0000"/>
                <w:sz w:val="20"/>
                <w:szCs w:val="20"/>
              </w:rPr>
              <w:t>190 days</w:t>
            </w:r>
          </w:p>
        </w:tc>
        <w:tc>
          <w:tcPr>
            <w:tcW w:w="1450" w:type="dxa"/>
          </w:tcPr>
          <w:p w14:paraId="2F248509" w14:textId="77777777" w:rsidR="00D20E5C" w:rsidRPr="00767A4F" w:rsidRDefault="00D20E5C" w:rsidP="00B20ABC">
            <w:pPr>
              <w:rPr>
                <w:rFonts w:asciiTheme="minorHAnsi" w:hAnsiTheme="minorHAnsi" w:cstheme="minorHAnsi"/>
                <w:color w:val="FF0000"/>
                <w:sz w:val="20"/>
                <w:szCs w:val="20"/>
              </w:rPr>
            </w:pPr>
            <w:r w:rsidRPr="00767A4F">
              <w:rPr>
                <w:rFonts w:asciiTheme="minorHAnsi" w:hAnsiTheme="minorHAnsi" w:cstheme="minorHAnsi"/>
                <w:color w:val="FF0000"/>
                <w:sz w:val="20"/>
                <w:szCs w:val="20"/>
              </w:rPr>
              <w:t>Yes</w:t>
            </w:r>
          </w:p>
        </w:tc>
        <w:tc>
          <w:tcPr>
            <w:tcW w:w="1449" w:type="dxa"/>
          </w:tcPr>
          <w:p w14:paraId="27106B89" w14:textId="77777777" w:rsidR="00D20E5C" w:rsidRPr="00767A4F" w:rsidRDefault="00D20E5C" w:rsidP="00B20ABC">
            <w:pPr>
              <w:rPr>
                <w:rFonts w:asciiTheme="minorHAnsi" w:hAnsiTheme="minorHAnsi" w:cstheme="minorHAnsi"/>
                <w:sz w:val="20"/>
                <w:szCs w:val="20"/>
              </w:rPr>
            </w:pPr>
            <w:r w:rsidRPr="00767A4F">
              <w:rPr>
                <w:rFonts w:asciiTheme="minorHAnsi" w:hAnsiTheme="minorHAnsi" w:cstheme="minorHAnsi"/>
                <w:sz w:val="20"/>
                <w:szCs w:val="20"/>
              </w:rPr>
              <w:t>24,879,243.90 (41 FWA signed)</w:t>
            </w:r>
          </w:p>
        </w:tc>
        <w:tc>
          <w:tcPr>
            <w:tcW w:w="1450" w:type="dxa"/>
          </w:tcPr>
          <w:p w14:paraId="3BFA2243" w14:textId="77777777" w:rsidR="00D20E5C" w:rsidRPr="00767A4F" w:rsidRDefault="00D20E5C" w:rsidP="00B20ABC">
            <w:pPr>
              <w:jc w:val="center"/>
              <w:rPr>
                <w:rFonts w:asciiTheme="minorHAnsi" w:hAnsiTheme="minorHAnsi" w:cstheme="minorHAnsi"/>
                <w:sz w:val="20"/>
                <w:szCs w:val="20"/>
              </w:rPr>
            </w:pPr>
            <w:r w:rsidRPr="00767A4F">
              <w:rPr>
                <w:rFonts w:asciiTheme="minorHAnsi" w:hAnsiTheme="minorHAnsi" w:cstheme="minorHAnsi"/>
                <w:sz w:val="20"/>
                <w:szCs w:val="20"/>
              </w:rPr>
              <w:t>November 22, 2018</w:t>
            </w:r>
          </w:p>
        </w:tc>
      </w:tr>
      <w:bookmarkEnd w:id="52"/>
      <w:tr w:rsidR="00D20E5C" w:rsidRPr="00767A4F" w14:paraId="130C4737" w14:textId="77777777" w:rsidTr="00767A4F">
        <w:trPr>
          <w:jc w:val="center"/>
        </w:trPr>
        <w:tc>
          <w:tcPr>
            <w:tcW w:w="3775" w:type="dxa"/>
          </w:tcPr>
          <w:p w14:paraId="7A02EDA3" w14:textId="77777777" w:rsidR="00D20E5C" w:rsidRPr="00767A4F" w:rsidRDefault="00D20E5C" w:rsidP="00B20ABC">
            <w:pPr>
              <w:rPr>
                <w:rFonts w:asciiTheme="minorHAnsi" w:hAnsiTheme="minorHAnsi" w:cstheme="minorHAnsi"/>
                <w:sz w:val="20"/>
                <w:szCs w:val="20"/>
                <w:highlight w:val="yellow"/>
              </w:rPr>
            </w:pPr>
            <w:r w:rsidRPr="00767A4F">
              <w:rPr>
                <w:rFonts w:asciiTheme="minorHAnsi" w:hAnsiTheme="minorHAnsi" w:cstheme="minorHAnsi"/>
                <w:sz w:val="20"/>
                <w:szCs w:val="20"/>
              </w:rPr>
              <w:t>Procurement of Powdered milk</w:t>
            </w:r>
          </w:p>
        </w:tc>
        <w:tc>
          <w:tcPr>
            <w:tcW w:w="1449" w:type="dxa"/>
          </w:tcPr>
          <w:p w14:paraId="5D637C86" w14:textId="77777777" w:rsidR="00D20E5C" w:rsidRPr="00767A4F" w:rsidRDefault="00D20E5C" w:rsidP="00B20ABC">
            <w:pPr>
              <w:rPr>
                <w:rFonts w:asciiTheme="minorHAnsi" w:hAnsiTheme="minorHAnsi" w:cstheme="minorHAnsi"/>
                <w:sz w:val="20"/>
                <w:szCs w:val="20"/>
                <w:highlight w:val="yellow"/>
              </w:rPr>
            </w:pPr>
            <w:r w:rsidRPr="00767A4F">
              <w:rPr>
                <w:rFonts w:asciiTheme="minorHAnsi" w:hAnsiTheme="minorHAnsi" w:cstheme="minorHAnsi"/>
                <w:sz w:val="20"/>
                <w:szCs w:val="20"/>
              </w:rPr>
              <w:t>Open Tender (FWA)</w:t>
            </w:r>
          </w:p>
        </w:tc>
        <w:tc>
          <w:tcPr>
            <w:tcW w:w="1450" w:type="dxa"/>
          </w:tcPr>
          <w:p w14:paraId="4CAD19B0" w14:textId="77777777" w:rsidR="00D20E5C" w:rsidRPr="00767A4F" w:rsidRDefault="00D20E5C" w:rsidP="00B20ABC">
            <w:pPr>
              <w:rPr>
                <w:rFonts w:asciiTheme="minorHAnsi" w:hAnsiTheme="minorHAnsi" w:cstheme="minorHAnsi"/>
                <w:sz w:val="20"/>
                <w:szCs w:val="20"/>
                <w:highlight w:val="yellow"/>
              </w:rPr>
            </w:pPr>
            <w:r w:rsidRPr="00767A4F">
              <w:rPr>
                <w:rFonts w:asciiTheme="minorHAnsi" w:hAnsiTheme="minorHAnsi" w:cstheme="minorHAnsi"/>
                <w:sz w:val="20"/>
                <w:szCs w:val="20"/>
              </w:rPr>
              <w:t>30 days</w:t>
            </w:r>
          </w:p>
        </w:tc>
        <w:tc>
          <w:tcPr>
            <w:tcW w:w="1449" w:type="dxa"/>
          </w:tcPr>
          <w:p w14:paraId="27BF5C31" w14:textId="77777777" w:rsidR="00D20E5C" w:rsidRPr="00767A4F" w:rsidRDefault="00D20E5C" w:rsidP="00B20ABC">
            <w:pPr>
              <w:rPr>
                <w:rFonts w:asciiTheme="minorHAnsi" w:hAnsiTheme="minorHAnsi" w:cstheme="minorHAnsi"/>
                <w:color w:val="FF0000"/>
                <w:sz w:val="20"/>
                <w:szCs w:val="20"/>
              </w:rPr>
            </w:pPr>
            <w:r w:rsidRPr="00767A4F">
              <w:rPr>
                <w:rFonts w:asciiTheme="minorHAnsi" w:hAnsiTheme="minorHAnsi" w:cstheme="minorHAnsi"/>
                <w:color w:val="FF0000"/>
                <w:sz w:val="20"/>
                <w:szCs w:val="20"/>
              </w:rPr>
              <w:t>252 days</w:t>
            </w:r>
          </w:p>
        </w:tc>
        <w:tc>
          <w:tcPr>
            <w:tcW w:w="1450" w:type="dxa"/>
          </w:tcPr>
          <w:p w14:paraId="734082D0" w14:textId="77777777" w:rsidR="00D20E5C" w:rsidRPr="00767A4F" w:rsidRDefault="00D20E5C" w:rsidP="00B20ABC">
            <w:pPr>
              <w:rPr>
                <w:rFonts w:asciiTheme="minorHAnsi" w:hAnsiTheme="minorHAnsi" w:cstheme="minorHAnsi"/>
                <w:color w:val="FF0000"/>
                <w:sz w:val="20"/>
                <w:szCs w:val="20"/>
              </w:rPr>
            </w:pPr>
            <w:r w:rsidRPr="00767A4F">
              <w:rPr>
                <w:rFonts w:asciiTheme="minorHAnsi" w:hAnsiTheme="minorHAnsi" w:cstheme="minorHAnsi"/>
                <w:color w:val="FF0000"/>
                <w:sz w:val="20"/>
                <w:szCs w:val="20"/>
              </w:rPr>
              <w:t>Yes</w:t>
            </w:r>
          </w:p>
        </w:tc>
        <w:tc>
          <w:tcPr>
            <w:tcW w:w="1449" w:type="dxa"/>
          </w:tcPr>
          <w:p w14:paraId="0CE75C8D" w14:textId="77777777" w:rsidR="00D20E5C" w:rsidRPr="00767A4F" w:rsidRDefault="00D20E5C" w:rsidP="00B20ABC">
            <w:pPr>
              <w:rPr>
                <w:rFonts w:asciiTheme="minorHAnsi" w:hAnsiTheme="minorHAnsi" w:cstheme="minorHAnsi"/>
                <w:sz w:val="20"/>
                <w:szCs w:val="20"/>
              </w:rPr>
            </w:pPr>
            <w:r w:rsidRPr="00767A4F">
              <w:rPr>
                <w:rFonts w:asciiTheme="minorHAnsi" w:hAnsiTheme="minorHAnsi" w:cstheme="minorHAnsi"/>
                <w:sz w:val="20"/>
                <w:szCs w:val="20"/>
              </w:rPr>
              <w:t>12,421,000.00 (one FWA signed)</w:t>
            </w:r>
          </w:p>
        </w:tc>
        <w:tc>
          <w:tcPr>
            <w:tcW w:w="1450" w:type="dxa"/>
          </w:tcPr>
          <w:p w14:paraId="22D651C9" w14:textId="77777777" w:rsidR="00D20E5C" w:rsidRPr="00767A4F" w:rsidRDefault="00D20E5C" w:rsidP="00B20ABC">
            <w:pPr>
              <w:jc w:val="center"/>
              <w:rPr>
                <w:rFonts w:asciiTheme="minorHAnsi" w:hAnsiTheme="minorHAnsi" w:cstheme="minorHAnsi"/>
                <w:sz w:val="20"/>
                <w:szCs w:val="20"/>
              </w:rPr>
            </w:pPr>
            <w:r w:rsidRPr="00767A4F">
              <w:rPr>
                <w:rFonts w:asciiTheme="minorHAnsi" w:hAnsiTheme="minorHAnsi" w:cstheme="minorHAnsi"/>
                <w:sz w:val="20"/>
                <w:szCs w:val="20"/>
              </w:rPr>
              <w:t>October 18, 2018</w:t>
            </w:r>
          </w:p>
        </w:tc>
      </w:tr>
      <w:tr w:rsidR="00D20E5C" w:rsidRPr="00767A4F" w14:paraId="7FD95078" w14:textId="77777777" w:rsidTr="00767A4F">
        <w:trPr>
          <w:jc w:val="center"/>
        </w:trPr>
        <w:tc>
          <w:tcPr>
            <w:tcW w:w="3775" w:type="dxa"/>
          </w:tcPr>
          <w:p w14:paraId="5914CF7D" w14:textId="77777777" w:rsidR="00D20E5C" w:rsidRPr="00767A4F" w:rsidRDefault="00D20E5C" w:rsidP="00B20ABC">
            <w:pPr>
              <w:rPr>
                <w:rFonts w:asciiTheme="minorHAnsi" w:hAnsiTheme="minorHAnsi" w:cstheme="minorHAnsi"/>
                <w:sz w:val="20"/>
                <w:szCs w:val="20"/>
              </w:rPr>
            </w:pPr>
            <w:r w:rsidRPr="00767A4F">
              <w:rPr>
                <w:rFonts w:asciiTheme="minorHAnsi" w:hAnsiTheme="minorHAnsi" w:cstheme="minorHAnsi"/>
                <w:sz w:val="20"/>
                <w:szCs w:val="20"/>
              </w:rPr>
              <w:t>Procurement of fuel for public hospitals</w:t>
            </w:r>
          </w:p>
        </w:tc>
        <w:tc>
          <w:tcPr>
            <w:tcW w:w="1449" w:type="dxa"/>
          </w:tcPr>
          <w:p w14:paraId="0E68C555" w14:textId="77777777" w:rsidR="00D20E5C" w:rsidRPr="00767A4F" w:rsidRDefault="00D20E5C" w:rsidP="00B20ABC">
            <w:pPr>
              <w:rPr>
                <w:rFonts w:asciiTheme="minorHAnsi" w:hAnsiTheme="minorHAnsi" w:cstheme="minorHAnsi"/>
                <w:sz w:val="20"/>
                <w:szCs w:val="20"/>
              </w:rPr>
            </w:pPr>
            <w:r w:rsidRPr="00767A4F">
              <w:rPr>
                <w:rFonts w:asciiTheme="minorHAnsi" w:hAnsiTheme="minorHAnsi" w:cstheme="minorHAnsi"/>
                <w:sz w:val="20"/>
                <w:szCs w:val="20"/>
              </w:rPr>
              <w:t>Open Tender (FWA)</w:t>
            </w:r>
          </w:p>
        </w:tc>
        <w:tc>
          <w:tcPr>
            <w:tcW w:w="1450" w:type="dxa"/>
          </w:tcPr>
          <w:p w14:paraId="6466F5F7" w14:textId="77777777" w:rsidR="00D20E5C" w:rsidRPr="00767A4F" w:rsidRDefault="00D20E5C" w:rsidP="00B20ABC">
            <w:pPr>
              <w:rPr>
                <w:rFonts w:asciiTheme="minorHAnsi" w:hAnsiTheme="minorHAnsi" w:cstheme="minorHAnsi"/>
                <w:sz w:val="20"/>
                <w:szCs w:val="20"/>
              </w:rPr>
            </w:pPr>
            <w:r w:rsidRPr="00767A4F">
              <w:rPr>
                <w:rFonts w:asciiTheme="minorHAnsi" w:hAnsiTheme="minorHAnsi" w:cstheme="minorHAnsi"/>
                <w:sz w:val="20"/>
                <w:szCs w:val="20"/>
              </w:rPr>
              <w:t>34 days</w:t>
            </w:r>
          </w:p>
        </w:tc>
        <w:tc>
          <w:tcPr>
            <w:tcW w:w="1449" w:type="dxa"/>
          </w:tcPr>
          <w:p w14:paraId="5CF6E563" w14:textId="77777777" w:rsidR="00D20E5C" w:rsidRPr="00767A4F" w:rsidRDefault="00D20E5C" w:rsidP="00B20ABC">
            <w:pPr>
              <w:rPr>
                <w:rFonts w:asciiTheme="minorHAnsi" w:hAnsiTheme="minorHAnsi" w:cstheme="minorHAnsi"/>
                <w:sz w:val="20"/>
                <w:szCs w:val="20"/>
              </w:rPr>
            </w:pPr>
            <w:r w:rsidRPr="00767A4F">
              <w:rPr>
                <w:rFonts w:asciiTheme="minorHAnsi" w:hAnsiTheme="minorHAnsi" w:cstheme="minorHAnsi"/>
                <w:sz w:val="20"/>
                <w:szCs w:val="20"/>
              </w:rPr>
              <w:t>65 days</w:t>
            </w:r>
          </w:p>
        </w:tc>
        <w:tc>
          <w:tcPr>
            <w:tcW w:w="1450" w:type="dxa"/>
          </w:tcPr>
          <w:p w14:paraId="06CAECF2" w14:textId="77777777" w:rsidR="00D20E5C" w:rsidRPr="00767A4F" w:rsidRDefault="00D20E5C" w:rsidP="00B20ABC">
            <w:pPr>
              <w:rPr>
                <w:rFonts w:asciiTheme="minorHAnsi" w:hAnsiTheme="minorHAnsi" w:cstheme="minorHAnsi"/>
                <w:sz w:val="20"/>
                <w:szCs w:val="20"/>
              </w:rPr>
            </w:pPr>
            <w:r w:rsidRPr="00767A4F">
              <w:rPr>
                <w:rFonts w:asciiTheme="minorHAnsi" w:hAnsiTheme="minorHAnsi" w:cstheme="minorHAnsi"/>
                <w:sz w:val="20"/>
                <w:szCs w:val="20"/>
              </w:rPr>
              <w:t>No</w:t>
            </w:r>
          </w:p>
        </w:tc>
        <w:tc>
          <w:tcPr>
            <w:tcW w:w="1449" w:type="dxa"/>
          </w:tcPr>
          <w:p w14:paraId="31F0BB8F" w14:textId="77777777" w:rsidR="00D20E5C" w:rsidRPr="00767A4F" w:rsidRDefault="00D20E5C" w:rsidP="00B20ABC">
            <w:pPr>
              <w:rPr>
                <w:rFonts w:asciiTheme="minorHAnsi" w:hAnsiTheme="minorHAnsi" w:cstheme="minorHAnsi"/>
                <w:sz w:val="20"/>
                <w:szCs w:val="20"/>
              </w:rPr>
            </w:pPr>
            <w:r w:rsidRPr="00767A4F">
              <w:rPr>
                <w:rFonts w:asciiTheme="minorHAnsi" w:hAnsiTheme="minorHAnsi" w:cstheme="minorHAnsi"/>
                <w:sz w:val="20"/>
                <w:szCs w:val="20"/>
              </w:rPr>
              <w:t>308,593,600.00 (one FWA signed)</w:t>
            </w:r>
          </w:p>
        </w:tc>
        <w:tc>
          <w:tcPr>
            <w:tcW w:w="1450" w:type="dxa"/>
          </w:tcPr>
          <w:p w14:paraId="7B5826E6" w14:textId="77777777" w:rsidR="00D20E5C" w:rsidRPr="00767A4F" w:rsidRDefault="00D20E5C" w:rsidP="00B20ABC">
            <w:pPr>
              <w:jc w:val="center"/>
              <w:rPr>
                <w:rFonts w:asciiTheme="minorHAnsi" w:hAnsiTheme="minorHAnsi" w:cstheme="minorHAnsi"/>
                <w:sz w:val="20"/>
                <w:szCs w:val="20"/>
              </w:rPr>
            </w:pPr>
            <w:r w:rsidRPr="00767A4F">
              <w:rPr>
                <w:rFonts w:asciiTheme="minorHAnsi" w:hAnsiTheme="minorHAnsi" w:cstheme="minorHAnsi"/>
                <w:sz w:val="20"/>
                <w:szCs w:val="20"/>
              </w:rPr>
              <w:t>March 21, 2018</w:t>
            </w:r>
          </w:p>
        </w:tc>
      </w:tr>
      <w:tr w:rsidR="00D20E5C" w:rsidRPr="00767A4F" w14:paraId="1418AA65" w14:textId="77777777" w:rsidTr="00767A4F">
        <w:trPr>
          <w:jc w:val="center"/>
        </w:trPr>
        <w:tc>
          <w:tcPr>
            <w:tcW w:w="3775" w:type="dxa"/>
          </w:tcPr>
          <w:p w14:paraId="4EF102CE" w14:textId="77777777" w:rsidR="00D20E5C" w:rsidRPr="00767A4F" w:rsidRDefault="00D20E5C" w:rsidP="00B20ABC">
            <w:pPr>
              <w:rPr>
                <w:rFonts w:asciiTheme="minorHAnsi" w:hAnsiTheme="minorHAnsi" w:cstheme="minorHAnsi"/>
                <w:sz w:val="20"/>
                <w:szCs w:val="20"/>
              </w:rPr>
            </w:pPr>
            <w:r w:rsidRPr="00767A4F">
              <w:rPr>
                <w:rFonts w:asciiTheme="minorHAnsi" w:hAnsiTheme="minorHAnsi" w:cstheme="minorHAnsi"/>
                <w:sz w:val="20"/>
                <w:szCs w:val="20"/>
              </w:rPr>
              <w:t>Supply of vaccines</w:t>
            </w:r>
          </w:p>
        </w:tc>
        <w:tc>
          <w:tcPr>
            <w:tcW w:w="1449" w:type="dxa"/>
          </w:tcPr>
          <w:p w14:paraId="0F057261" w14:textId="77777777" w:rsidR="00D20E5C" w:rsidRPr="00767A4F" w:rsidRDefault="00D20E5C" w:rsidP="00B20ABC">
            <w:pPr>
              <w:rPr>
                <w:rFonts w:asciiTheme="minorHAnsi" w:hAnsiTheme="minorHAnsi" w:cstheme="minorHAnsi"/>
                <w:sz w:val="20"/>
                <w:szCs w:val="20"/>
              </w:rPr>
            </w:pPr>
            <w:r w:rsidRPr="00767A4F">
              <w:rPr>
                <w:rFonts w:asciiTheme="minorHAnsi" w:hAnsiTheme="minorHAnsi" w:cstheme="minorHAnsi"/>
                <w:sz w:val="20"/>
                <w:szCs w:val="20"/>
              </w:rPr>
              <w:t>Open Tender (FWA)</w:t>
            </w:r>
          </w:p>
        </w:tc>
        <w:tc>
          <w:tcPr>
            <w:tcW w:w="1450" w:type="dxa"/>
          </w:tcPr>
          <w:p w14:paraId="5F01A909" w14:textId="77777777" w:rsidR="00D20E5C" w:rsidRPr="00767A4F" w:rsidRDefault="00D20E5C" w:rsidP="00B20ABC">
            <w:pPr>
              <w:rPr>
                <w:rFonts w:asciiTheme="minorHAnsi" w:hAnsiTheme="minorHAnsi" w:cstheme="minorHAnsi"/>
                <w:sz w:val="20"/>
                <w:szCs w:val="20"/>
              </w:rPr>
            </w:pPr>
            <w:r w:rsidRPr="00767A4F">
              <w:rPr>
                <w:rFonts w:asciiTheme="minorHAnsi" w:hAnsiTheme="minorHAnsi" w:cstheme="minorHAnsi"/>
                <w:sz w:val="20"/>
                <w:szCs w:val="20"/>
              </w:rPr>
              <w:t>39 days</w:t>
            </w:r>
          </w:p>
        </w:tc>
        <w:tc>
          <w:tcPr>
            <w:tcW w:w="1449" w:type="dxa"/>
          </w:tcPr>
          <w:p w14:paraId="5DBEA824" w14:textId="77777777" w:rsidR="00D20E5C" w:rsidRPr="00767A4F" w:rsidRDefault="00D20E5C" w:rsidP="00B20ABC">
            <w:pPr>
              <w:rPr>
                <w:rFonts w:asciiTheme="minorHAnsi" w:hAnsiTheme="minorHAnsi" w:cstheme="minorHAnsi"/>
                <w:color w:val="FF0000"/>
                <w:sz w:val="20"/>
                <w:szCs w:val="20"/>
              </w:rPr>
            </w:pPr>
            <w:r w:rsidRPr="00767A4F">
              <w:rPr>
                <w:rFonts w:asciiTheme="minorHAnsi" w:hAnsiTheme="minorHAnsi" w:cstheme="minorHAnsi"/>
                <w:color w:val="FF0000"/>
                <w:sz w:val="20"/>
                <w:szCs w:val="20"/>
              </w:rPr>
              <w:t>208 days</w:t>
            </w:r>
          </w:p>
        </w:tc>
        <w:tc>
          <w:tcPr>
            <w:tcW w:w="1450" w:type="dxa"/>
          </w:tcPr>
          <w:p w14:paraId="7645602A" w14:textId="77777777" w:rsidR="00D20E5C" w:rsidRPr="00767A4F" w:rsidRDefault="00D20E5C" w:rsidP="00B20ABC">
            <w:pPr>
              <w:rPr>
                <w:rFonts w:asciiTheme="minorHAnsi" w:hAnsiTheme="minorHAnsi" w:cstheme="minorHAnsi"/>
                <w:color w:val="FF0000"/>
                <w:sz w:val="20"/>
                <w:szCs w:val="20"/>
              </w:rPr>
            </w:pPr>
            <w:r w:rsidRPr="00767A4F">
              <w:rPr>
                <w:rFonts w:asciiTheme="minorHAnsi" w:hAnsiTheme="minorHAnsi" w:cstheme="minorHAnsi"/>
                <w:color w:val="FF0000"/>
                <w:sz w:val="20"/>
                <w:szCs w:val="20"/>
              </w:rPr>
              <w:t>Yes</w:t>
            </w:r>
          </w:p>
        </w:tc>
        <w:tc>
          <w:tcPr>
            <w:tcW w:w="1449" w:type="dxa"/>
          </w:tcPr>
          <w:p w14:paraId="5E872B75" w14:textId="77777777" w:rsidR="00D20E5C" w:rsidRPr="00767A4F" w:rsidRDefault="00D20E5C" w:rsidP="00B20ABC">
            <w:pPr>
              <w:rPr>
                <w:rFonts w:asciiTheme="minorHAnsi" w:hAnsiTheme="minorHAnsi" w:cstheme="minorHAnsi"/>
                <w:sz w:val="20"/>
                <w:szCs w:val="20"/>
              </w:rPr>
            </w:pPr>
            <w:r w:rsidRPr="00767A4F">
              <w:rPr>
                <w:rFonts w:asciiTheme="minorHAnsi" w:hAnsiTheme="minorHAnsi" w:cstheme="minorHAnsi"/>
                <w:sz w:val="20"/>
                <w:szCs w:val="20"/>
              </w:rPr>
              <w:t>10,466,400.00 (one FWA signed)</w:t>
            </w:r>
          </w:p>
        </w:tc>
        <w:tc>
          <w:tcPr>
            <w:tcW w:w="1450" w:type="dxa"/>
          </w:tcPr>
          <w:p w14:paraId="029B1F9E" w14:textId="77777777" w:rsidR="00D20E5C" w:rsidRPr="00767A4F" w:rsidRDefault="00D20E5C" w:rsidP="00B20ABC">
            <w:pPr>
              <w:jc w:val="center"/>
              <w:rPr>
                <w:rFonts w:asciiTheme="minorHAnsi" w:hAnsiTheme="minorHAnsi" w:cstheme="minorHAnsi"/>
                <w:sz w:val="20"/>
                <w:szCs w:val="20"/>
              </w:rPr>
            </w:pPr>
            <w:r w:rsidRPr="00767A4F">
              <w:rPr>
                <w:rFonts w:asciiTheme="minorHAnsi" w:hAnsiTheme="minorHAnsi" w:cstheme="minorHAnsi"/>
                <w:sz w:val="20"/>
                <w:szCs w:val="20"/>
              </w:rPr>
              <w:t>March 9, 2018</w:t>
            </w:r>
          </w:p>
        </w:tc>
      </w:tr>
      <w:tr w:rsidR="00D20E5C" w:rsidRPr="00767A4F" w14:paraId="63650ADD" w14:textId="77777777" w:rsidTr="00767A4F">
        <w:trPr>
          <w:jc w:val="center"/>
        </w:trPr>
        <w:tc>
          <w:tcPr>
            <w:tcW w:w="3775" w:type="dxa"/>
          </w:tcPr>
          <w:p w14:paraId="114DAECD" w14:textId="77777777" w:rsidR="00D20E5C" w:rsidRPr="00767A4F" w:rsidRDefault="00D20E5C" w:rsidP="00B20ABC">
            <w:pPr>
              <w:rPr>
                <w:rFonts w:asciiTheme="minorHAnsi" w:hAnsiTheme="minorHAnsi" w:cstheme="minorHAnsi"/>
                <w:sz w:val="20"/>
                <w:szCs w:val="20"/>
              </w:rPr>
            </w:pPr>
            <w:r w:rsidRPr="00767A4F">
              <w:rPr>
                <w:rFonts w:asciiTheme="minorHAnsi" w:hAnsiTheme="minorHAnsi" w:cstheme="minorHAnsi"/>
                <w:sz w:val="20"/>
                <w:szCs w:val="20"/>
              </w:rPr>
              <w:t>Supply of pediatric Hepatitis B vaccines</w:t>
            </w:r>
          </w:p>
        </w:tc>
        <w:tc>
          <w:tcPr>
            <w:tcW w:w="1449" w:type="dxa"/>
          </w:tcPr>
          <w:p w14:paraId="6C37AB3D" w14:textId="77777777" w:rsidR="00D20E5C" w:rsidRPr="00767A4F" w:rsidRDefault="00D20E5C" w:rsidP="00B20ABC">
            <w:pPr>
              <w:rPr>
                <w:rFonts w:asciiTheme="minorHAnsi" w:hAnsiTheme="minorHAnsi" w:cstheme="minorHAnsi"/>
                <w:sz w:val="20"/>
                <w:szCs w:val="20"/>
              </w:rPr>
            </w:pPr>
            <w:r w:rsidRPr="00767A4F">
              <w:rPr>
                <w:rFonts w:asciiTheme="minorHAnsi" w:hAnsiTheme="minorHAnsi" w:cstheme="minorHAnsi"/>
                <w:sz w:val="20"/>
                <w:szCs w:val="20"/>
              </w:rPr>
              <w:t>Open Tender (FWA)</w:t>
            </w:r>
          </w:p>
        </w:tc>
        <w:tc>
          <w:tcPr>
            <w:tcW w:w="1450" w:type="dxa"/>
          </w:tcPr>
          <w:p w14:paraId="2EB128EA" w14:textId="77777777" w:rsidR="00D20E5C" w:rsidRPr="00767A4F" w:rsidRDefault="00D20E5C" w:rsidP="00B20ABC">
            <w:pPr>
              <w:rPr>
                <w:rFonts w:asciiTheme="minorHAnsi" w:hAnsiTheme="minorHAnsi" w:cstheme="minorHAnsi"/>
                <w:sz w:val="20"/>
                <w:szCs w:val="20"/>
              </w:rPr>
            </w:pPr>
            <w:r w:rsidRPr="00767A4F">
              <w:rPr>
                <w:rFonts w:asciiTheme="minorHAnsi" w:hAnsiTheme="minorHAnsi" w:cstheme="minorHAnsi"/>
                <w:sz w:val="20"/>
                <w:szCs w:val="20"/>
              </w:rPr>
              <w:t>48 days</w:t>
            </w:r>
          </w:p>
        </w:tc>
        <w:tc>
          <w:tcPr>
            <w:tcW w:w="1449" w:type="dxa"/>
          </w:tcPr>
          <w:p w14:paraId="5D7B6642" w14:textId="77777777" w:rsidR="00D20E5C" w:rsidRPr="00767A4F" w:rsidRDefault="00D20E5C" w:rsidP="00B20ABC">
            <w:pPr>
              <w:rPr>
                <w:rFonts w:asciiTheme="minorHAnsi" w:hAnsiTheme="minorHAnsi" w:cstheme="minorHAnsi"/>
                <w:color w:val="FF0000"/>
                <w:sz w:val="20"/>
                <w:szCs w:val="20"/>
              </w:rPr>
            </w:pPr>
            <w:r w:rsidRPr="00767A4F">
              <w:rPr>
                <w:rFonts w:asciiTheme="minorHAnsi" w:hAnsiTheme="minorHAnsi" w:cstheme="minorHAnsi"/>
                <w:color w:val="FF0000"/>
                <w:sz w:val="20"/>
                <w:szCs w:val="20"/>
              </w:rPr>
              <w:t>123 days</w:t>
            </w:r>
          </w:p>
        </w:tc>
        <w:tc>
          <w:tcPr>
            <w:tcW w:w="1450" w:type="dxa"/>
          </w:tcPr>
          <w:p w14:paraId="620ED63B" w14:textId="77777777" w:rsidR="00D20E5C" w:rsidRPr="00767A4F" w:rsidRDefault="00D20E5C" w:rsidP="00B20ABC">
            <w:pPr>
              <w:rPr>
                <w:rFonts w:asciiTheme="minorHAnsi" w:hAnsiTheme="minorHAnsi" w:cstheme="minorHAnsi"/>
                <w:color w:val="FF0000"/>
                <w:sz w:val="20"/>
                <w:szCs w:val="20"/>
              </w:rPr>
            </w:pPr>
            <w:r w:rsidRPr="00767A4F">
              <w:rPr>
                <w:rFonts w:asciiTheme="minorHAnsi" w:hAnsiTheme="minorHAnsi" w:cstheme="minorHAnsi"/>
                <w:color w:val="FF0000"/>
                <w:sz w:val="20"/>
                <w:szCs w:val="20"/>
              </w:rPr>
              <w:t>Yes</w:t>
            </w:r>
          </w:p>
        </w:tc>
        <w:tc>
          <w:tcPr>
            <w:tcW w:w="1449" w:type="dxa"/>
          </w:tcPr>
          <w:p w14:paraId="6E3D709E" w14:textId="77777777" w:rsidR="00D20E5C" w:rsidRPr="00767A4F" w:rsidRDefault="00D20E5C" w:rsidP="00B20ABC">
            <w:pPr>
              <w:rPr>
                <w:rFonts w:asciiTheme="minorHAnsi" w:hAnsiTheme="minorHAnsi" w:cstheme="minorHAnsi"/>
                <w:sz w:val="20"/>
                <w:szCs w:val="20"/>
              </w:rPr>
            </w:pPr>
            <w:r w:rsidRPr="00767A4F">
              <w:rPr>
                <w:rFonts w:asciiTheme="minorHAnsi" w:hAnsiTheme="minorHAnsi" w:cstheme="minorHAnsi"/>
                <w:sz w:val="20"/>
                <w:szCs w:val="20"/>
              </w:rPr>
              <w:t>4,380,000.00 (one FWA signed)</w:t>
            </w:r>
          </w:p>
        </w:tc>
        <w:tc>
          <w:tcPr>
            <w:tcW w:w="1450" w:type="dxa"/>
          </w:tcPr>
          <w:p w14:paraId="46165FC6" w14:textId="77777777" w:rsidR="00D20E5C" w:rsidRPr="00767A4F" w:rsidRDefault="00D20E5C" w:rsidP="00B20ABC">
            <w:pPr>
              <w:jc w:val="center"/>
              <w:rPr>
                <w:rFonts w:asciiTheme="minorHAnsi" w:hAnsiTheme="minorHAnsi" w:cstheme="minorHAnsi"/>
                <w:sz w:val="20"/>
                <w:szCs w:val="20"/>
              </w:rPr>
            </w:pPr>
            <w:r w:rsidRPr="00767A4F">
              <w:rPr>
                <w:rFonts w:asciiTheme="minorHAnsi" w:hAnsiTheme="minorHAnsi" w:cstheme="minorHAnsi"/>
                <w:sz w:val="20"/>
                <w:szCs w:val="20"/>
              </w:rPr>
              <w:t>January 25, 2018</w:t>
            </w:r>
          </w:p>
        </w:tc>
      </w:tr>
      <w:tr w:rsidR="00D20E5C" w:rsidRPr="00767A4F" w14:paraId="41A4829B" w14:textId="77777777" w:rsidTr="00767A4F">
        <w:trPr>
          <w:jc w:val="center"/>
        </w:trPr>
        <w:tc>
          <w:tcPr>
            <w:tcW w:w="3775" w:type="dxa"/>
          </w:tcPr>
          <w:p w14:paraId="365EBB9E" w14:textId="77777777" w:rsidR="00D20E5C" w:rsidRPr="00767A4F" w:rsidRDefault="00D20E5C" w:rsidP="00B20ABC">
            <w:pPr>
              <w:rPr>
                <w:rFonts w:asciiTheme="minorHAnsi" w:hAnsiTheme="minorHAnsi" w:cstheme="minorHAnsi"/>
                <w:sz w:val="20"/>
                <w:szCs w:val="20"/>
              </w:rPr>
            </w:pPr>
            <w:r w:rsidRPr="00767A4F">
              <w:rPr>
                <w:rFonts w:asciiTheme="minorHAnsi" w:hAnsiTheme="minorHAnsi" w:cstheme="minorHAnsi"/>
                <w:sz w:val="20"/>
                <w:szCs w:val="20"/>
              </w:rPr>
              <w:t>Procurement of oncology medicines</w:t>
            </w:r>
          </w:p>
        </w:tc>
        <w:tc>
          <w:tcPr>
            <w:tcW w:w="1449" w:type="dxa"/>
          </w:tcPr>
          <w:p w14:paraId="6B50757C" w14:textId="77777777" w:rsidR="00D20E5C" w:rsidRPr="00767A4F" w:rsidRDefault="00D20E5C" w:rsidP="00B20ABC">
            <w:pPr>
              <w:rPr>
                <w:rFonts w:asciiTheme="minorHAnsi" w:hAnsiTheme="minorHAnsi" w:cstheme="minorHAnsi"/>
                <w:sz w:val="20"/>
                <w:szCs w:val="20"/>
              </w:rPr>
            </w:pPr>
            <w:r w:rsidRPr="00767A4F">
              <w:rPr>
                <w:rFonts w:asciiTheme="minorHAnsi" w:hAnsiTheme="minorHAnsi" w:cstheme="minorHAnsi"/>
                <w:sz w:val="20"/>
                <w:szCs w:val="20"/>
              </w:rPr>
              <w:t>Open Tender (FWA)</w:t>
            </w:r>
          </w:p>
        </w:tc>
        <w:tc>
          <w:tcPr>
            <w:tcW w:w="1450" w:type="dxa"/>
          </w:tcPr>
          <w:p w14:paraId="08B81521" w14:textId="77777777" w:rsidR="00D20E5C" w:rsidRPr="00767A4F" w:rsidRDefault="00D20E5C" w:rsidP="00B20ABC">
            <w:pPr>
              <w:rPr>
                <w:rFonts w:asciiTheme="minorHAnsi" w:hAnsiTheme="minorHAnsi" w:cstheme="minorHAnsi"/>
                <w:sz w:val="20"/>
                <w:szCs w:val="20"/>
              </w:rPr>
            </w:pPr>
            <w:r w:rsidRPr="00767A4F">
              <w:rPr>
                <w:rFonts w:asciiTheme="minorHAnsi" w:hAnsiTheme="minorHAnsi" w:cstheme="minorHAnsi"/>
                <w:sz w:val="20"/>
                <w:szCs w:val="20"/>
              </w:rPr>
              <w:t>39 days</w:t>
            </w:r>
          </w:p>
        </w:tc>
        <w:tc>
          <w:tcPr>
            <w:tcW w:w="1449" w:type="dxa"/>
          </w:tcPr>
          <w:p w14:paraId="190F48DD" w14:textId="77777777" w:rsidR="00D20E5C" w:rsidRPr="00767A4F" w:rsidRDefault="00D20E5C" w:rsidP="00B20ABC">
            <w:pPr>
              <w:rPr>
                <w:rFonts w:asciiTheme="minorHAnsi" w:hAnsiTheme="minorHAnsi" w:cstheme="minorHAnsi"/>
                <w:color w:val="FF0000"/>
                <w:sz w:val="20"/>
                <w:szCs w:val="20"/>
              </w:rPr>
            </w:pPr>
            <w:r w:rsidRPr="00767A4F">
              <w:rPr>
                <w:rFonts w:asciiTheme="minorHAnsi" w:hAnsiTheme="minorHAnsi" w:cstheme="minorHAnsi"/>
                <w:color w:val="FF0000"/>
                <w:sz w:val="20"/>
                <w:szCs w:val="20"/>
              </w:rPr>
              <w:t>340 days</w:t>
            </w:r>
          </w:p>
        </w:tc>
        <w:tc>
          <w:tcPr>
            <w:tcW w:w="1450" w:type="dxa"/>
          </w:tcPr>
          <w:p w14:paraId="7A6B10C3" w14:textId="77777777" w:rsidR="00D20E5C" w:rsidRPr="00767A4F" w:rsidRDefault="00D20E5C" w:rsidP="00B20ABC">
            <w:pPr>
              <w:rPr>
                <w:rFonts w:asciiTheme="minorHAnsi" w:hAnsiTheme="minorHAnsi" w:cstheme="minorHAnsi"/>
                <w:color w:val="FF0000"/>
                <w:sz w:val="20"/>
                <w:szCs w:val="20"/>
              </w:rPr>
            </w:pPr>
            <w:r w:rsidRPr="00767A4F">
              <w:rPr>
                <w:rFonts w:asciiTheme="minorHAnsi" w:hAnsiTheme="minorHAnsi" w:cstheme="minorHAnsi"/>
                <w:color w:val="FF0000"/>
                <w:sz w:val="20"/>
                <w:szCs w:val="20"/>
              </w:rPr>
              <w:t>Yes</w:t>
            </w:r>
          </w:p>
        </w:tc>
        <w:tc>
          <w:tcPr>
            <w:tcW w:w="1449" w:type="dxa"/>
          </w:tcPr>
          <w:p w14:paraId="786EF7CE" w14:textId="77777777" w:rsidR="00D20E5C" w:rsidRPr="00767A4F" w:rsidRDefault="00D20E5C" w:rsidP="00B20ABC">
            <w:pPr>
              <w:rPr>
                <w:rFonts w:asciiTheme="minorHAnsi" w:hAnsiTheme="minorHAnsi" w:cstheme="minorHAnsi"/>
                <w:sz w:val="20"/>
                <w:szCs w:val="20"/>
              </w:rPr>
            </w:pPr>
            <w:r w:rsidRPr="00767A4F">
              <w:rPr>
                <w:rFonts w:asciiTheme="minorHAnsi" w:hAnsiTheme="minorHAnsi" w:cstheme="minorHAnsi"/>
                <w:sz w:val="20"/>
                <w:szCs w:val="20"/>
              </w:rPr>
              <w:t>723,165,958.66 (12 FWA signed)</w:t>
            </w:r>
          </w:p>
        </w:tc>
        <w:tc>
          <w:tcPr>
            <w:tcW w:w="1450" w:type="dxa"/>
          </w:tcPr>
          <w:p w14:paraId="54259A7D" w14:textId="77777777" w:rsidR="00D20E5C" w:rsidRPr="00767A4F" w:rsidRDefault="00D20E5C" w:rsidP="00B20ABC">
            <w:pPr>
              <w:jc w:val="center"/>
              <w:rPr>
                <w:rFonts w:asciiTheme="minorHAnsi" w:hAnsiTheme="minorHAnsi" w:cstheme="minorHAnsi"/>
                <w:sz w:val="20"/>
                <w:szCs w:val="20"/>
              </w:rPr>
            </w:pPr>
            <w:r w:rsidRPr="00767A4F">
              <w:rPr>
                <w:rFonts w:asciiTheme="minorHAnsi" w:hAnsiTheme="minorHAnsi" w:cstheme="minorHAnsi"/>
                <w:sz w:val="20"/>
                <w:szCs w:val="20"/>
              </w:rPr>
              <w:t>January 25, 2018</w:t>
            </w:r>
          </w:p>
        </w:tc>
      </w:tr>
      <w:tr w:rsidR="00D20E5C" w:rsidRPr="00767A4F" w14:paraId="67622C35" w14:textId="77777777" w:rsidTr="00767A4F">
        <w:trPr>
          <w:jc w:val="center"/>
        </w:trPr>
        <w:tc>
          <w:tcPr>
            <w:tcW w:w="3775" w:type="dxa"/>
          </w:tcPr>
          <w:p w14:paraId="5F333BF0" w14:textId="77777777" w:rsidR="00D20E5C" w:rsidRPr="00767A4F" w:rsidRDefault="00D20E5C" w:rsidP="00B20ABC">
            <w:pPr>
              <w:rPr>
                <w:rFonts w:asciiTheme="minorHAnsi" w:hAnsiTheme="minorHAnsi" w:cstheme="minorHAnsi"/>
                <w:sz w:val="20"/>
                <w:szCs w:val="20"/>
              </w:rPr>
            </w:pPr>
            <w:r w:rsidRPr="00767A4F">
              <w:rPr>
                <w:rFonts w:asciiTheme="minorHAnsi" w:hAnsiTheme="minorHAnsi" w:cstheme="minorHAnsi"/>
                <w:sz w:val="20"/>
                <w:szCs w:val="20"/>
              </w:rPr>
              <w:t>Procurement of combined vaccines</w:t>
            </w:r>
          </w:p>
        </w:tc>
        <w:tc>
          <w:tcPr>
            <w:tcW w:w="1449" w:type="dxa"/>
          </w:tcPr>
          <w:p w14:paraId="4B8F58E7" w14:textId="77777777" w:rsidR="00D20E5C" w:rsidRPr="00767A4F" w:rsidRDefault="00D20E5C" w:rsidP="00B20ABC">
            <w:pPr>
              <w:rPr>
                <w:rFonts w:asciiTheme="minorHAnsi" w:hAnsiTheme="minorHAnsi" w:cstheme="minorHAnsi"/>
                <w:sz w:val="20"/>
                <w:szCs w:val="20"/>
              </w:rPr>
            </w:pPr>
            <w:r w:rsidRPr="00767A4F">
              <w:rPr>
                <w:rFonts w:asciiTheme="minorHAnsi" w:hAnsiTheme="minorHAnsi" w:cstheme="minorHAnsi"/>
                <w:sz w:val="20"/>
                <w:szCs w:val="20"/>
              </w:rPr>
              <w:t>Open Tender (FWA)</w:t>
            </w:r>
          </w:p>
        </w:tc>
        <w:tc>
          <w:tcPr>
            <w:tcW w:w="1450" w:type="dxa"/>
          </w:tcPr>
          <w:p w14:paraId="55527347" w14:textId="77777777" w:rsidR="00D20E5C" w:rsidRPr="00767A4F" w:rsidRDefault="00D20E5C" w:rsidP="00B20ABC">
            <w:pPr>
              <w:rPr>
                <w:rFonts w:asciiTheme="minorHAnsi" w:hAnsiTheme="minorHAnsi" w:cstheme="minorHAnsi"/>
                <w:sz w:val="20"/>
                <w:szCs w:val="20"/>
              </w:rPr>
            </w:pPr>
            <w:r w:rsidRPr="00767A4F">
              <w:rPr>
                <w:rFonts w:asciiTheme="minorHAnsi" w:hAnsiTheme="minorHAnsi" w:cstheme="minorHAnsi"/>
                <w:sz w:val="20"/>
                <w:szCs w:val="20"/>
              </w:rPr>
              <w:t>38 days</w:t>
            </w:r>
          </w:p>
        </w:tc>
        <w:tc>
          <w:tcPr>
            <w:tcW w:w="1449" w:type="dxa"/>
          </w:tcPr>
          <w:p w14:paraId="571D5112" w14:textId="77777777" w:rsidR="00D20E5C" w:rsidRPr="00767A4F" w:rsidRDefault="00D20E5C" w:rsidP="00B20ABC">
            <w:pPr>
              <w:rPr>
                <w:rFonts w:asciiTheme="minorHAnsi" w:hAnsiTheme="minorHAnsi" w:cstheme="minorHAnsi"/>
                <w:color w:val="FF0000"/>
                <w:sz w:val="20"/>
                <w:szCs w:val="20"/>
              </w:rPr>
            </w:pPr>
            <w:r w:rsidRPr="00767A4F">
              <w:rPr>
                <w:rFonts w:asciiTheme="minorHAnsi" w:hAnsiTheme="minorHAnsi" w:cstheme="minorHAnsi"/>
                <w:color w:val="FF0000"/>
                <w:sz w:val="20"/>
                <w:szCs w:val="20"/>
              </w:rPr>
              <w:t>114 days</w:t>
            </w:r>
          </w:p>
        </w:tc>
        <w:tc>
          <w:tcPr>
            <w:tcW w:w="1450" w:type="dxa"/>
          </w:tcPr>
          <w:p w14:paraId="1ABBF70F" w14:textId="77777777" w:rsidR="00D20E5C" w:rsidRPr="00767A4F" w:rsidRDefault="00D20E5C" w:rsidP="00B20ABC">
            <w:pPr>
              <w:rPr>
                <w:rFonts w:asciiTheme="minorHAnsi" w:hAnsiTheme="minorHAnsi" w:cstheme="minorHAnsi"/>
                <w:color w:val="FF0000"/>
                <w:sz w:val="20"/>
                <w:szCs w:val="20"/>
              </w:rPr>
            </w:pPr>
            <w:r w:rsidRPr="00767A4F">
              <w:rPr>
                <w:rFonts w:asciiTheme="minorHAnsi" w:hAnsiTheme="minorHAnsi" w:cstheme="minorHAnsi"/>
                <w:color w:val="FF0000"/>
                <w:sz w:val="20"/>
                <w:szCs w:val="20"/>
              </w:rPr>
              <w:t>Yes</w:t>
            </w:r>
          </w:p>
        </w:tc>
        <w:tc>
          <w:tcPr>
            <w:tcW w:w="1449" w:type="dxa"/>
          </w:tcPr>
          <w:p w14:paraId="3801B3EC" w14:textId="77777777" w:rsidR="00D20E5C" w:rsidRPr="00767A4F" w:rsidRDefault="00D20E5C" w:rsidP="00B20ABC">
            <w:pPr>
              <w:rPr>
                <w:rFonts w:asciiTheme="minorHAnsi" w:hAnsiTheme="minorHAnsi" w:cstheme="minorHAnsi"/>
                <w:color w:val="FF0000"/>
                <w:sz w:val="20"/>
                <w:szCs w:val="20"/>
                <w:highlight w:val="yellow"/>
              </w:rPr>
            </w:pPr>
            <w:r w:rsidRPr="00767A4F">
              <w:rPr>
                <w:rFonts w:asciiTheme="minorHAnsi" w:hAnsiTheme="minorHAnsi" w:cstheme="minorHAnsi"/>
                <w:sz w:val="20"/>
                <w:szCs w:val="20"/>
              </w:rPr>
              <w:t>76,219,500.00    (one FWA signed)</w:t>
            </w:r>
          </w:p>
        </w:tc>
        <w:tc>
          <w:tcPr>
            <w:tcW w:w="1450" w:type="dxa"/>
          </w:tcPr>
          <w:p w14:paraId="3460246D" w14:textId="77777777" w:rsidR="00D20E5C" w:rsidRPr="00767A4F" w:rsidRDefault="00D20E5C" w:rsidP="00B20ABC">
            <w:pPr>
              <w:jc w:val="center"/>
              <w:rPr>
                <w:rFonts w:asciiTheme="minorHAnsi" w:hAnsiTheme="minorHAnsi" w:cstheme="minorHAnsi"/>
                <w:sz w:val="20"/>
                <w:szCs w:val="20"/>
              </w:rPr>
            </w:pPr>
            <w:r w:rsidRPr="00767A4F">
              <w:rPr>
                <w:rFonts w:asciiTheme="minorHAnsi" w:hAnsiTheme="minorHAnsi" w:cstheme="minorHAnsi"/>
                <w:sz w:val="20"/>
                <w:szCs w:val="20"/>
              </w:rPr>
              <w:t>January 16, 2018</w:t>
            </w:r>
          </w:p>
        </w:tc>
      </w:tr>
    </w:tbl>
    <w:p w14:paraId="3C46D973" w14:textId="77777777" w:rsidR="00D20E5C" w:rsidRPr="00767A4F" w:rsidRDefault="00D20E5C" w:rsidP="00D20E5C">
      <w:pPr>
        <w:rPr>
          <w:rFonts w:asciiTheme="minorHAnsi" w:hAnsiTheme="minorHAnsi" w:cstheme="minorHAnsi"/>
        </w:rPr>
      </w:pPr>
      <w:r w:rsidRPr="00767A4F">
        <w:rPr>
          <w:rFonts w:asciiTheme="minorHAnsi" w:hAnsiTheme="minorHAnsi" w:cstheme="minorHAnsi"/>
        </w:rPr>
        <w:br w:type="page"/>
      </w:r>
    </w:p>
    <w:tbl>
      <w:tblPr>
        <w:tblStyle w:val="TableGrid"/>
        <w:tblW w:w="0" w:type="auto"/>
        <w:jc w:val="center"/>
        <w:tblLook w:val="04A0" w:firstRow="1" w:lastRow="0" w:firstColumn="1" w:lastColumn="0" w:noHBand="0" w:noVBand="1"/>
      </w:tblPr>
      <w:tblGrid>
        <w:gridCol w:w="3685"/>
        <w:gridCol w:w="1455"/>
        <w:gridCol w:w="1455"/>
        <w:gridCol w:w="1455"/>
        <w:gridCol w:w="1455"/>
        <w:gridCol w:w="1455"/>
        <w:gridCol w:w="1455"/>
      </w:tblGrid>
      <w:tr w:rsidR="00742EB2" w:rsidRPr="00767A4F" w14:paraId="45421B11" w14:textId="77777777" w:rsidTr="00767A4F">
        <w:trPr>
          <w:jc w:val="center"/>
        </w:trPr>
        <w:tc>
          <w:tcPr>
            <w:tcW w:w="3685" w:type="dxa"/>
          </w:tcPr>
          <w:p w14:paraId="0510F5B6" w14:textId="77777777" w:rsidR="00742EB2" w:rsidRPr="00767A4F" w:rsidRDefault="00742EB2" w:rsidP="00B20ABC">
            <w:pPr>
              <w:rPr>
                <w:rFonts w:asciiTheme="minorHAnsi" w:hAnsiTheme="minorHAnsi" w:cstheme="minorHAnsi"/>
                <w:b/>
                <w:sz w:val="20"/>
                <w:szCs w:val="20"/>
              </w:rPr>
            </w:pPr>
            <w:r w:rsidRPr="00767A4F">
              <w:rPr>
                <w:rFonts w:asciiTheme="minorHAnsi" w:hAnsiTheme="minorHAnsi" w:cstheme="minorHAnsi"/>
                <w:b/>
                <w:sz w:val="20"/>
                <w:szCs w:val="20"/>
              </w:rPr>
              <w:lastRenderedPageBreak/>
              <w:t>Short Activity Description</w:t>
            </w:r>
          </w:p>
        </w:tc>
        <w:tc>
          <w:tcPr>
            <w:tcW w:w="1455" w:type="dxa"/>
          </w:tcPr>
          <w:p w14:paraId="76AEEDED" w14:textId="77777777" w:rsidR="00742EB2" w:rsidRPr="00767A4F" w:rsidRDefault="00742EB2" w:rsidP="00B20ABC">
            <w:pPr>
              <w:rPr>
                <w:rFonts w:asciiTheme="minorHAnsi" w:hAnsiTheme="minorHAnsi" w:cstheme="minorHAnsi"/>
                <w:b/>
                <w:sz w:val="20"/>
                <w:szCs w:val="20"/>
              </w:rPr>
            </w:pPr>
            <w:r w:rsidRPr="00767A4F">
              <w:rPr>
                <w:rFonts w:asciiTheme="minorHAnsi" w:hAnsiTheme="minorHAnsi" w:cstheme="minorHAnsi"/>
                <w:b/>
                <w:sz w:val="20"/>
                <w:szCs w:val="20"/>
              </w:rPr>
              <w:t>Type of Procedures</w:t>
            </w:r>
          </w:p>
        </w:tc>
        <w:tc>
          <w:tcPr>
            <w:tcW w:w="1455" w:type="dxa"/>
          </w:tcPr>
          <w:p w14:paraId="2FEAA0BF" w14:textId="77777777" w:rsidR="00742EB2" w:rsidRPr="00767A4F" w:rsidRDefault="00742EB2" w:rsidP="00B20ABC">
            <w:pPr>
              <w:rPr>
                <w:rFonts w:asciiTheme="minorHAnsi" w:hAnsiTheme="minorHAnsi" w:cstheme="minorHAnsi"/>
                <w:b/>
                <w:sz w:val="20"/>
                <w:szCs w:val="20"/>
              </w:rPr>
            </w:pPr>
            <w:r w:rsidRPr="00767A4F">
              <w:rPr>
                <w:rFonts w:asciiTheme="minorHAnsi" w:hAnsiTheme="minorHAnsi" w:cstheme="minorHAnsi"/>
                <w:b/>
                <w:sz w:val="20"/>
                <w:szCs w:val="20"/>
              </w:rPr>
              <w:t xml:space="preserve">Time for Bids Preparation </w:t>
            </w:r>
          </w:p>
        </w:tc>
        <w:tc>
          <w:tcPr>
            <w:tcW w:w="1455" w:type="dxa"/>
          </w:tcPr>
          <w:p w14:paraId="57259EC5" w14:textId="77777777" w:rsidR="00742EB2" w:rsidRPr="00767A4F" w:rsidRDefault="00742EB2" w:rsidP="00B20ABC">
            <w:pPr>
              <w:rPr>
                <w:rFonts w:asciiTheme="minorHAnsi" w:hAnsiTheme="minorHAnsi" w:cstheme="minorHAnsi"/>
                <w:b/>
                <w:sz w:val="20"/>
                <w:szCs w:val="20"/>
              </w:rPr>
            </w:pPr>
            <w:r w:rsidRPr="00767A4F">
              <w:rPr>
                <w:rFonts w:asciiTheme="minorHAnsi" w:hAnsiTheme="minorHAnsi" w:cstheme="minorHAnsi"/>
                <w:b/>
                <w:sz w:val="20"/>
                <w:szCs w:val="20"/>
              </w:rPr>
              <w:t>Evaluation Period (period between submission deadline and contract signing)</w:t>
            </w:r>
          </w:p>
        </w:tc>
        <w:tc>
          <w:tcPr>
            <w:tcW w:w="1455" w:type="dxa"/>
          </w:tcPr>
          <w:p w14:paraId="5948CE2C" w14:textId="77777777" w:rsidR="00742EB2" w:rsidRPr="00767A4F" w:rsidRDefault="00742EB2" w:rsidP="00B20ABC">
            <w:pPr>
              <w:rPr>
                <w:rFonts w:asciiTheme="minorHAnsi" w:hAnsiTheme="minorHAnsi" w:cstheme="minorHAnsi"/>
                <w:b/>
                <w:sz w:val="20"/>
                <w:szCs w:val="20"/>
              </w:rPr>
            </w:pPr>
            <w:r w:rsidRPr="00767A4F">
              <w:rPr>
                <w:rFonts w:asciiTheme="minorHAnsi" w:hAnsiTheme="minorHAnsi" w:cstheme="minorHAnsi"/>
                <w:b/>
                <w:sz w:val="20"/>
                <w:szCs w:val="20"/>
              </w:rPr>
              <w:t>&gt;90 days evaluation</w:t>
            </w:r>
          </w:p>
        </w:tc>
        <w:tc>
          <w:tcPr>
            <w:tcW w:w="1455" w:type="dxa"/>
          </w:tcPr>
          <w:p w14:paraId="591A4952" w14:textId="77777777" w:rsidR="00742EB2" w:rsidRPr="00767A4F" w:rsidRDefault="00742EB2" w:rsidP="00B20ABC">
            <w:pPr>
              <w:rPr>
                <w:rFonts w:asciiTheme="minorHAnsi" w:hAnsiTheme="minorHAnsi" w:cstheme="minorHAnsi"/>
                <w:b/>
                <w:sz w:val="20"/>
                <w:szCs w:val="20"/>
              </w:rPr>
            </w:pPr>
            <w:r w:rsidRPr="00767A4F">
              <w:rPr>
                <w:rFonts w:asciiTheme="minorHAnsi" w:hAnsiTheme="minorHAnsi" w:cstheme="minorHAnsi"/>
                <w:b/>
                <w:sz w:val="20"/>
                <w:szCs w:val="20"/>
              </w:rPr>
              <w:t>Contract Amount</w:t>
            </w:r>
          </w:p>
          <w:p w14:paraId="607BB8BC" w14:textId="77777777" w:rsidR="00742EB2" w:rsidRPr="00767A4F" w:rsidRDefault="00742EB2" w:rsidP="00B20ABC">
            <w:pPr>
              <w:rPr>
                <w:rFonts w:asciiTheme="minorHAnsi" w:hAnsiTheme="minorHAnsi" w:cstheme="minorHAnsi"/>
                <w:b/>
                <w:sz w:val="20"/>
                <w:szCs w:val="20"/>
              </w:rPr>
            </w:pPr>
            <w:r w:rsidRPr="00767A4F">
              <w:rPr>
                <w:rFonts w:asciiTheme="minorHAnsi" w:hAnsiTheme="minorHAnsi" w:cstheme="minorHAnsi"/>
                <w:b/>
                <w:sz w:val="20"/>
                <w:szCs w:val="20"/>
              </w:rPr>
              <w:t>(RON)</w:t>
            </w:r>
          </w:p>
        </w:tc>
        <w:tc>
          <w:tcPr>
            <w:tcW w:w="1455" w:type="dxa"/>
          </w:tcPr>
          <w:p w14:paraId="056AFE5C" w14:textId="77777777" w:rsidR="00742EB2" w:rsidRPr="00767A4F" w:rsidRDefault="00742EB2" w:rsidP="00B20ABC">
            <w:pPr>
              <w:rPr>
                <w:rFonts w:asciiTheme="minorHAnsi" w:hAnsiTheme="minorHAnsi" w:cstheme="minorHAnsi"/>
                <w:b/>
                <w:sz w:val="20"/>
                <w:szCs w:val="20"/>
              </w:rPr>
            </w:pPr>
            <w:r w:rsidRPr="00767A4F">
              <w:rPr>
                <w:rFonts w:asciiTheme="minorHAnsi" w:hAnsiTheme="minorHAnsi" w:cstheme="minorHAnsi"/>
                <w:b/>
                <w:sz w:val="20"/>
                <w:szCs w:val="20"/>
              </w:rPr>
              <w:t>Contract signing date</w:t>
            </w:r>
          </w:p>
        </w:tc>
      </w:tr>
      <w:tr w:rsidR="00742EB2" w:rsidRPr="00767A4F" w14:paraId="5832DBF3" w14:textId="77777777" w:rsidTr="00767A4F">
        <w:trPr>
          <w:jc w:val="center"/>
        </w:trPr>
        <w:tc>
          <w:tcPr>
            <w:tcW w:w="3685" w:type="dxa"/>
          </w:tcPr>
          <w:p w14:paraId="2D494069" w14:textId="77777777" w:rsidR="00742EB2" w:rsidRPr="00767A4F" w:rsidRDefault="00742EB2" w:rsidP="00B20ABC">
            <w:pPr>
              <w:rPr>
                <w:rFonts w:asciiTheme="minorHAnsi" w:hAnsiTheme="minorHAnsi" w:cstheme="minorHAnsi"/>
                <w:sz w:val="20"/>
                <w:szCs w:val="20"/>
              </w:rPr>
            </w:pPr>
            <w:r w:rsidRPr="00767A4F">
              <w:rPr>
                <w:rFonts w:asciiTheme="minorHAnsi" w:hAnsiTheme="minorHAnsi" w:cstheme="minorHAnsi"/>
                <w:sz w:val="20"/>
                <w:szCs w:val="20"/>
              </w:rPr>
              <w:t>TA services with preventive actions for Oracle database</w:t>
            </w:r>
          </w:p>
        </w:tc>
        <w:tc>
          <w:tcPr>
            <w:tcW w:w="1455" w:type="dxa"/>
          </w:tcPr>
          <w:p w14:paraId="6E38C858" w14:textId="77777777" w:rsidR="00742EB2" w:rsidRPr="00767A4F" w:rsidRDefault="00742EB2" w:rsidP="00B20ABC">
            <w:pPr>
              <w:rPr>
                <w:rFonts w:asciiTheme="minorHAnsi" w:hAnsiTheme="minorHAnsi" w:cstheme="minorHAnsi"/>
                <w:sz w:val="20"/>
                <w:szCs w:val="20"/>
              </w:rPr>
            </w:pPr>
            <w:r w:rsidRPr="00767A4F">
              <w:rPr>
                <w:rFonts w:asciiTheme="minorHAnsi" w:hAnsiTheme="minorHAnsi" w:cstheme="minorHAnsi"/>
                <w:sz w:val="20"/>
                <w:szCs w:val="20"/>
              </w:rPr>
              <w:t>Simplified Procedure</w:t>
            </w:r>
          </w:p>
        </w:tc>
        <w:tc>
          <w:tcPr>
            <w:tcW w:w="1455" w:type="dxa"/>
          </w:tcPr>
          <w:p w14:paraId="136ACDC2" w14:textId="77777777" w:rsidR="00742EB2" w:rsidRPr="00767A4F" w:rsidRDefault="00742EB2" w:rsidP="00B20ABC">
            <w:pPr>
              <w:rPr>
                <w:rFonts w:asciiTheme="minorHAnsi" w:hAnsiTheme="minorHAnsi" w:cstheme="minorHAnsi"/>
                <w:sz w:val="20"/>
                <w:szCs w:val="20"/>
              </w:rPr>
            </w:pPr>
            <w:r w:rsidRPr="00767A4F">
              <w:rPr>
                <w:rFonts w:asciiTheme="minorHAnsi" w:hAnsiTheme="minorHAnsi" w:cstheme="minorHAnsi"/>
                <w:sz w:val="20"/>
                <w:szCs w:val="20"/>
              </w:rPr>
              <w:t>15 days</w:t>
            </w:r>
          </w:p>
        </w:tc>
        <w:tc>
          <w:tcPr>
            <w:tcW w:w="1455" w:type="dxa"/>
          </w:tcPr>
          <w:p w14:paraId="036453A3" w14:textId="77777777" w:rsidR="00742EB2" w:rsidRPr="00767A4F" w:rsidRDefault="00742EB2" w:rsidP="00B20ABC">
            <w:pPr>
              <w:rPr>
                <w:rFonts w:asciiTheme="minorHAnsi" w:hAnsiTheme="minorHAnsi" w:cstheme="minorHAnsi"/>
                <w:sz w:val="20"/>
                <w:szCs w:val="20"/>
              </w:rPr>
            </w:pPr>
            <w:r w:rsidRPr="00767A4F">
              <w:rPr>
                <w:rFonts w:asciiTheme="minorHAnsi" w:hAnsiTheme="minorHAnsi" w:cstheme="minorHAnsi"/>
                <w:sz w:val="20"/>
                <w:szCs w:val="20"/>
              </w:rPr>
              <w:t>Ongoing since February 13, 2019</w:t>
            </w:r>
          </w:p>
        </w:tc>
        <w:tc>
          <w:tcPr>
            <w:tcW w:w="1455" w:type="dxa"/>
          </w:tcPr>
          <w:p w14:paraId="3AE9449F" w14:textId="77777777" w:rsidR="00742EB2" w:rsidRPr="00767A4F" w:rsidRDefault="00742EB2" w:rsidP="00B20ABC">
            <w:pPr>
              <w:rPr>
                <w:rFonts w:asciiTheme="minorHAnsi" w:hAnsiTheme="minorHAnsi" w:cstheme="minorHAnsi"/>
                <w:sz w:val="20"/>
                <w:szCs w:val="20"/>
              </w:rPr>
            </w:pPr>
            <w:r w:rsidRPr="00767A4F">
              <w:rPr>
                <w:rFonts w:asciiTheme="minorHAnsi" w:hAnsiTheme="minorHAnsi" w:cstheme="minorHAnsi"/>
                <w:sz w:val="20"/>
                <w:szCs w:val="20"/>
              </w:rPr>
              <w:t>No</w:t>
            </w:r>
          </w:p>
        </w:tc>
        <w:tc>
          <w:tcPr>
            <w:tcW w:w="1455" w:type="dxa"/>
          </w:tcPr>
          <w:p w14:paraId="21FA4847" w14:textId="77777777" w:rsidR="00742EB2" w:rsidRPr="00767A4F" w:rsidRDefault="00742EB2" w:rsidP="00B20ABC">
            <w:pPr>
              <w:rPr>
                <w:rFonts w:asciiTheme="minorHAnsi" w:hAnsiTheme="minorHAnsi" w:cstheme="minorHAnsi"/>
                <w:sz w:val="20"/>
                <w:szCs w:val="20"/>
              </w:rPr>
            </w:pPr>
            <w:r w:rsidRPr="00767A4F">
              <w:rPr>
                <w:rFonts w:asciiTheme="minorHAnsi" w:hAnsiTheme="minorHAnsi" w:cstheme="minorHAnsi"/>
                <w:sz w:val="20"/>
                <w:szCs w:val="20"/>
              </w:rPr>
              <w:t>-</w:t>
            </w:r>
          </w:p>
        </w:tc>
        <w:tc>
          <w:tcPr>
            <w:tcW w:w="1455" w:type="dxa"/>
          </w:tcPr>
          <w:p w14:paraId="19B38E55" w14:textId="77777777" w:rsidR="00742EB2" w:rsidRPr="00767A4F" w:rsidRDefault="00742EB2" w:rsidP="00B20ABC">
            <w:pPr>
              <w:rPr>
                <w:rFonts w:asciiTheme="minorHAnsi" w:hAnsiTheme="minorHAnsi" w:cstheme="minorHAnsi"/>
                <w:sz w:val="20"/>
                <w:szCs w:val="20"/>
              </w:rPr>
            </w:pPr>
            <w:r w:rsidRPr="00767A4F">
              <w:rPr>
                <w:rFonts w:asciiTheme="minorHAnsi" w:hAnsiTheme="minorHAnsi" w:cstheme="minorHAnsi"/>
                <w:sz w:val="20"/>
                <w:szCs w:val="20"/>
              </w:rPr>
              <w:t>-</w:t>
            </w:r>
          </w:p>
        </w:tc>
      </w:tr>
      <w:tr w:rsidR="00742EB2" w:rsidRPr="00767A4F" w14:paraId="01487EA3" w14:textId="77777777" w:rsidTr="00767A4F">
        <w:trPr>
          <w:jc w:val="center"/>
        </w:trPr>
        <w:tc>
          <w:tcPr>
            <w:tcW w:w="3685" w:type="dxa"/>
          </w:tcPr>
          <w:p w14:paraId="322CCEEC" w14:textId="77777777" w:rsidR="00742EB2" w:rsidRPr="00767A4F" w:rsidRDefault="00742EB2" w:rsidP="00B20ABC">
            <w:pPr>
              <w:rPr>
                <w:rFonts w:asciiTheme="minorHAnsi" w:hAnsiTheme="minorHAnsi" w:cstheme="minorHAnsi"/>
                <w:sz w:val="20"/>
                <w:szCs w:val="20"/>
              </w:rPr>
            </w:pPr>
            <w:r w:rsidRPr="00767A4F">
              <w:rPr>
                <w:rFonts w:asciiTheme="minorHAnsi" w:hAnsiTheme="minorHAnsi" w:cstheme="minorHAnsi"/>
                <w:sz w:val="20"/>
                <w:szCs w:val="20"/>
              </w:rPr>
              <w:t>Cleaning Services</w:t>
            </w:r>
          </w:p>
        </w:tc>
        <w:tc>
          <w:tcPr>
            <w:tcW w:w="1455" w:type="dxa"/>
          </w:tcPr>
          <w:p w14:paraId="7C0AFECF" w14:textId="77777777" w:rsidR="00742EB2" w:rsidRPr="00767A4F" w:rsidRDefault="00742EB2" w:rsidP="00B20ABC">
            <w:pPr>
              <w:rPr>
                <w:rFonts w:asciiTheme="minorHAnsi" w:hAnsiTheme="minorHAnsi" w:cstheme="minorHAnsi"/>
                <w:sz w:val="20"/>
                <w:szCs w:val="20"/>
              </w:rPr>
            </w:pPr>
            <w:r w:rsidRPr="00767A4F">
              <w:rPr>
                <w:rFonts w:asciiTheme="minorHAnsi" w:hAnsiTheme="minorHAnsi" w:cstheme="minorHAnsi"/>
                <w:sz w:val="20"/>
                <w:szCs w:val="20"/>
              </w:rPr>
              <w:t>Simplified Procedure (FWA)</w:t>
            </w:r>
          </w:p>
        </w:tc>
        <w:tc>
          <w:tcPr>
            <w:tcW w:w="1455" w:type="dxa"/>
          </w:tcPr>
          <w:p w14:paraId="4CDE4B8D" w14:textId="77777777" w:rsidR="00742EB2" w:rsidRPr="00767A4F" w:rsidRDefault="00742EB2" w:rsidP="00B20ABC">
            <w:pPr>
              <w:rPr>
                <w:rFonts w:asciiTheme="minorHAnsi" w:hAnsiTheme="minorHAnsi" w:cstheme="minorHAnsi"/>
                <w:sz w:val="20"/>
                <w:szCs w:val="20"/>
              </w:rPr>
            </w:pPr>
            <w:r w:rsidRPr="00767A4F">
              <w:rPr>
                <w:rFonts w:asciiTheme="minorHAnsi" w:hAnsiTheme="minorHAnsi" w:cstheme="minorHAnsi"/>
                <w:sz w:val="20"/>
                <w:szCs w:val="20"/>
              </w:rPr>
              <w:t>15 days</w:t>
            </w:r>
          </w:p>
        </w:tc>
        <w:tc>
          <w:tcPr>
            <w:tcW w:w="1455" w:type="dxa"/>
          </w:tcPr>
          <w:p w14:paraId="07053FE9" w14:textId="77777777" w:rsidR="00742EB2" w:rsidRPr="00767A4F" w:rsidRDefault="00742EB2" w:rsidP="00B20ABC">
            <w:pPr>
              <w:rPr>
                <w:rFonts w:asciiTheme="minorHAnsi" w:hAnsiTheme="minorHAnsi" w:cstheme="minorHAnsi"/>
                <w:sz w:val="20"/>
                <w:szCs w:val="20"/>
              </w:rPr>
            </w:pPr>
            <w:r w:rsidRPr="00767A4F">
              <w:rPr>
                <w:rFonts w:asciiTheme="minorHAnsi" w:hAnsiTheme="minorHAnsi" w:cstheme="minorHAnsi"/>
                <w:sz w:val="20"/>
                <w:szCs w:val="20"/>
              </w:rPr>
              <w:t>26 days</w:t>
            </w:r>
          </w:p>
        </w:tc>
        <w:tc>
          <w:tcPr>
            <w:tcW w:w="1455" w:type="dxa"/>
          </w:tcPr>
          <w:p w14:paraId="6F717F65" w14:textId="77777777" w:rsidR="00742EB2" w:rsidRPr="00767A4F" w:rsidRDefault="00742EB2" w:rsidP="00B20ABC">
            <w:pPr>
              <w:rPr>
                <w:rFonts w:asciiTheme="minorHAnsi" w:hAnsiTheme="minorHAnsi" w:cstheme="minorHAnsi"/>
                <w:sz w:val="20"/>
                <w:szCs w:val="20"/>
              </w:rPr>
            </w:pPr>
            <w:r w:rsidRPr="00767A4F">
              <w:rPr>
                <w:rFonts w:asciiTheme="minorHAnsi" w:hAnsiTheme="minorHAnsi" w:cstheme="minorHAnsi"/>
                <w:sz w:val="20"/>
                <w:szCs w:val="20"/>
              </w:rPr>
              <w:t>No</w:t>
            </w:r>
          </w:p>
        </w:tc>
        <w:tc>
          <w:tcPr>
            <w:tcW w:w="1455" w:type="dxa"/>
          </w:tcPr>
          <w:p w14:paraId="703136E8" w14:textId="77777777" w:rsidR="00742EB2" w:rsidRPr="00767A4F" w:rsidRDefault="00742EB2" w:rsidP="00B20ABC">
            <w:pPr>
              <w:rPr>
                <w:rFonts w:asciiTheme="minorHAnsi" w:hAnsiTheme="minorHAnsi" w:cstheme="minorHAnsi"/>
                <w:sz w:val="20"/>
                <w:szCs w:val="20"/>
              </w:rPr>
            </w:pPr>
            <w:r w:rsidRPr="00767A4F">
              <w:rPr>
                <w:rFonts w:asciiTheme="minorHAnsi" w:hAnsiTheme="minorHAnsi" w:cstheme="minorHAnsi"/>
                <w:sz w:val="20"/>
                <w:szCs w:val="20"/>
              </w:rPr>
              <w:t>258,454 (FWA)</w:t>
            </w:r>
          </w:p>
          <w:p w14:paraId="2B144DCE" w14:textId="77777777" w:rsidR="00742EB2" w:rsidRPr="00767A4F" w:rsidRDefault="00742EB2" w:rsidP="00B20ABC">
            <w:pPr>
              <w:rPr>
                <w:rFonts w:asciiTheme="minorHAnsi" w:hAnsiTheme="minorHAnsi" w:cstheme="minorHAnsi"/>
                <w:sz w:val="20"/>
                <w:szCs w:val="20"/>
              </w:rPr>
            </w:pPr>
            <w:r w:rsidRPr="00767A4F">
              <w:rPr>
                <w:rFonts w:asciiTheme="minorHAnsi" w:hAnsiTheme="minorHAnsi" w:cstheme="minorHAnsi"/>
                <w:sz w:val="20"/>
                <w:szCs w:val="20"/>
              </w:rPr>
              <w:t>12,123 (Subsequent contract)</w:t>
            </w:r>
          </w:p>
        </w:tc>
        <w:tc>
          <w:tcPr>
            <w:tcW w:w="1455" w:type="dxa"/>
          </w:tcPr>
          <w:p w14:paraId="44F9A47D" w14:textId="77777777" w:rsidR="00742EB2" w:rsidRPr="00767A4F" w:rsidRDefault="00742EB2" w:rsidP="00B20ABC">
            <w:pPr>
              <w:rPr>
                <w:rFonts w:asciiTheme="minorHAnsi" w:hAnsiTheme="minorHAnsi" w:cstheme="minorHAnsi"/>
                <w:color w:val="FF0000"/>
                <w:sz w:val="20"/>
                <w:szCs w:val="20"/>
                <w:highlight w:val="yellow"/>
              </w:rPr>
            </w:pPr>
            <w:r w:rsidRPr="00767A4F">
              <w:rPr>
                <w:rFonts w:asciiTheme="minorHAnsi" w:hAnsiTheme="minorHAnsi" w:cstheme="minorHAnsi"/>
                <w:sz w:val="20"/>
                <w:szCs w:val="20"/>
              </w:rPr>
              <w:t>March 7, 2019</w:t>
            </w:r>
          </w:p>
        </w:tc>
      </w:tr>
      <w:tr w:rsidR="00742EB2" w:rsidRPr="00767A4F" w14:paraId="02C2C880" w14:textId="77777777" w:rsidTr="00767A4F">
        <w:trPr>
          <w:trHeight w:val="395"/>
          <w:jc w:val="center"/>
        </w:trPr>
        <w:tc>
          <w:tcPr>
            <w:tcW w:w="3685" w:type="dxa"/>
          </w:tcPr>
          <w:p w14:paraId="552ED6F4" w14:textId="77777777" w:rsidR="00742EB2" w:rsidRPr="00767A4F" w:rsidRDefault="00742EB2" w:rsidP="00B20ABC">
            <w:pPr>
              <w:rPr>
                <w:rFonts w:asciiTheme="minorHAnsi" w:hAnsiTheme="minorHAnsi" w:cstheme="minorHAnsi"/>
                <w:sz w:val="20"/>
                <w:szCs w:val="20"/>
              </w:rPr>
            </w:pPr>
            <w:r w:rsidRPr="00767A4F">
              <w:rPr>
                <w:rFonts w:asciiTheme="minorHAnsi" w:hAnsiTheme="minorHAnsi" w:cstheme="minorHAnsi"/>
                <w:sz w:val="20"/>
                <w:szCs w:val="20"/>
              </w:rPr>
              <w:t>Postal Services</w:t>
            </w:r>
          </w:p>
        </w:tc>
        <w:tc>
          <w:tcPr>
            <w:tcW w:w="1455" w:type="dxa"/>
          </w:tcPr>
          <w:p w14:paraId="00F94123" w14:textId="77777777" w:rsidR="00742EB2" w:rsidRPr="00767A4F" w:rsidRDefault="00742EB2" w:rsidP="00B20ABC">
            <w:pPr>
              <w:rPr>
                <w:rFonts w:asciiTheme="minorHAnsi" w:hAnsiTheme="minorHAnsi" w:cstheme="minorHAnsi"/>
                <w:sz w:val="20"/>
                <w:szCs w:val="20"/>
              </w:rPr>
            </w:pPr>
            <w:r w:rsidRPr="00767A4F">
              <w:rPr>
                <w:rFonts w:asciiTheme="minorHAnsi" w:hAnsiTheme="minorHAnsi" w:cstheme="minorHAnsi"/>
                <w:sz w:val="20"/>
                <w:szCs w:val="20"/>
              </w:rPr>
              <w:t>Open Tender (FWA)</w:t>
            </w:r>
          </w:p>
        </w:tc>
        <w:tc>
          <w:tcPr>
            <w:tcW w:w="1455" w:type="dxa"/>
          </w:tcPr>
          <w:p w14:paraId="75448945" w14:textId="77777777" w:rsidR="00742EB2" w:rsidRPr="00767A4F" w:rsidRDefault="00742EB2" w:rsidP="00B20ABC">
            <w:pPr>
              <w:rPr>
                <w:rFonts w:asciiTheme="minorHAnsi" w:hAnsiTheme="minorHAnsi" w:cstheme="minorHAnsi"/>
                <w:sz w:val="20"/>
                <w:szCs w:val="20"/>
              </w:rPr>
            </w:pPr>
            <w:r w:rsidRPr="00767A4F">
              <w:rPr>
                <w:rFonts w:asciiTheme="minorHAnsi" w:hAnsiTheme="minorHAnsi" w:cstheme="minorHAnsi"/>
                <w:sz w:val="20"/>
                <w:szCs w:val="20"/>
              </w:rPr>
              <w:t>32 days</w:t>
            </w:r>
          </w:p>
        </w:tc>
        <w:tc>
          <w:tcPr>
            <w:tcW w:w="1455" w:type="dxa"/>
          </w:tcPr>
          <w:p w14:paraId="615306B0" w14:textId="77777777" w:rsidR="00742EB2" w:rsidRPr="00767A4F" w:rsidRDefault="00742EB2" w:rsidP="00B20ABC">
            <w:pPr>
              <w:rPr>
                <w:rFonts w:asciiTheme="minorHAnsi" w:hAnsiTheme="minorHAnsi" w:cstheme="minorHAnsi"/>
                <w:sz w:val="20"/>
                <w:szCs w:val="20"/>
              </w:rPr>
            </w:pPr>
            <w:r w:rsidRPr="00767A4F">
              <w:rPr>
                <w:rFonts w:asciiTheme="minorHAnsi" w:hAnsiTheme="minorHAnsi" w:cstheme="minorHAnsi"/>
                <w:sz w:val="20"/>
                <w:szCs w:val="20"/>
              </w:rPr>
              <w:t>47 days</w:t>
            </w:r>
          </w:p>
        </w:tc>
        <w:tc>
          <w:tcPr>
            <w:tcW w:w="1455" w:type="dxa"/>
          </w:tcPr>
          <w:p w14:paraId="49348599" w14:textId="77777777" w:rsidR="00742EB2" w:rsidRPr="00767A4F" w:rsidRDefault="00742EB2" w:rsidP="00B20ABC">
            <w:pPr>
              <w:rPr>
                <w:rFonts w:asciiTheme="minorHAnsi" w:hAnsiTheme="minorHAnsi" w:cstheme="minorHAnsi"/>
                <w:sz w:val="20"/>
                <w:szCs w:val="20"/>
              </w:rPr>
            </w:pPr>
            <w:r w:rsidRPr="00767A4F">
              <w:rPr>
                <w:rFonts w:asciiTheme="minorHAnsi" w:hAnsiTheme="minorHAnsi" w:cstheme="minorHAnsi"/>
                <w:sz w:val="20"/>
                <w:szCs w:val="20"/>
              </w:rPr>
              <w:t>No</w:t>
            </w:r>
          </w:p>
        </w:tc>
        <w:tc>
          <w:tcPr>
            <w:tcW w:w="1455" w:type="dxa"/>
          </w:tcPr>
          <w:p w14:paraId="7EF61B7D" w14:textId="77777777" w:rsidR="00742EB2" w:rsidRPr="00767A4F" w:rsidRDefault="00742EB2" w:rsidP="00B20ABC">
            <w:pPr>
              <w:rPr>
                <w:rFonts w:asciiTheme="minorHAnsi" w:hAnsiTheme="minorHAnsi" w:cstheme="minorHAnsi"/>
                <w:sz w:val="20"/>
                <w:szCs w:val="20"/>
              </w:rPr>
            </w:pPr>
            <w:r w:rsidRPr="00767A4F">
              <w:rPr>
                <w:rFonts w:asciiTheme="minorHAnsi" w:hAnsiTheme="minorHAnsi" w:cstheme="minorHAnsi"/>
                <w:sz w:val="20"/>
                <w:szCs w:val="20"/>
              </w:rPr>
              <w:t>7,516,932</w:t>
            </w:r>
          </w:p>
        </w:tc>
        <w:tc>
          <w:tcPr>
            <w:tcW w:w="1455" w:type="dxa"/>
          </w:tcPr>
          <w:p w14:paraId="4289939B" w14:textId="77777777" w:rsidR="00742EB2" w:rsidRPr="00767A4F" w:rsidRDefault="00742EB2" w:rsidP="00B20ABC">
            <w:pPr>
              <w:rPr>
                <w:rFonts w:asciiTheme="minorHAnsi" w:hAnsiTheme="minorHAnsi" w:cstheme="minorHAnsi"/>
                <w:sz w:val="20"/>
                <w:szCs w:val="20"/>
              </w:rPr>
            </w:pPr>
            <w:r w:rsidRPr="00767A4F">
              <w:rPr>
                <w:rFonts w:asciiTheme="minorHAnsi" w:hAnsiTheme="minorHAnsi" w:cstheme="minorHAnsi"/>
                <w:sz w:val="20"/>
                <w:szCs w:val="20"/>
              </w:rPr>
              <w:t>March 5, 2019</w:t>
            </w:r>
          </w:p>
        </w:tc>
      </w:tr>
      <w:tr w:rsidR="00742EB2" w:rsidRPr="00767A4F" w14:paraId="6D19FB6E" w14:textId="77777777" w:rsidTr="00767A4F">
        <w:trPr>
          <w:trHeight w:val="395"/>
          <w:jc w:val="center"/>
        </w:trPr>
        <w:tc>
          <w:tcPr>
            <w:tcW w:w="3685" w:type="dxa"/>
          </w:tcPr>
          <w:p w14:paraId="05927706" w14:textId="77777777" w:rsidR="00742EB2" w:rsidRPr="00767A4F" w:rsidRDefault="00742EB2" w:rsidP="00B20ABC">
            <w:pPr>
              <w:rPr>
                <w:rFonts w:asciiTheme="minorHAnsi" w:hAnsiTheme="minorHAnsi" w:cstheme="minorHAnsi"/>
                <w:sz w:val="20"/>
                <w:szCs w:val="20"/>
              </w:rPr>
            </w:pPr>
            <w:r w:rsidRPr="00767A4F">
              <w:rPr>
                <w:rFonts w:asciiTheme="minorHAnsi" w:hAnsiTheme="minorHAnsi" w:cstheme="minorHAnsi"/>
                <w:sz w:val="20"/>
                <w:szCs w:val="20"/>
              </w:rPr>
              <w:t>Security Services</w:t>
            </w:r>
          </w:p>
        </w:tc>
        <w:tc>
          <w:tcPr>
            <w:tcW w:w="1455" w:type="dxa"/>
          </w:tcPr>
          <w:p w14:paraId="5EECCE36" w14:textId="77777777" w:rsidR="00742EB2" w:rsidRPr="00767A4F" w:rsidRDefault="00742EB2" w:rsidP="00B20ABC">
            <w:pPr>
              <w:rPr>
                <w:rFonts w:asciiTheme="minorHAnsi" w:hAnsiTheme="minorHAnsi" w:cstheme="minorHAnsi"/>
                <w:sz w:val="20"/>
                <w:szCs w:val="20"/>
              </w:rPr>
            </w:pPr>
            <w:r w:rsidRPr="00767A4F">
              <w:rPr>
                <w:rFonts w:asciiTheme="minorHAnsi" w:hAnsiTheme="minorHAnsi" w:cstheme="minorHAnsi"/>
                <w:sz w:val="20"/>
                <w:szCs w:val="20"/>
              </w:rPr>
              <w:t xml:space="preserve">Simplified Procedure </w:t>
            </w:r>
          </w:p>
        </w:tc>
        <w:tc>
          <w:tcPr>
            <w:tcW w:w="1455" w:type="dxa"/>
          </w:tcPr>
          <w:p w14:paraId="3DAFE4D2" w14:textId="77777777" w:rsidR="00742EB2" w:rsidRPr="00767A4F" w:rsidRDefault="00742EB2" w:rsidP="00B20ABC">
            <w:pPr>
              <w:rPr>
                <w:rFonts w:asciiTheme="minorHAnsi" w:hAnsiTheme="minorHAnsi" w:cstheme="minorHAnsi"/>
                <w:sz w:val="20"/>
                <w:szCs w:val="20"/>
              </w:rPr>
            </w:pPr>
            <w:r w:rsidRPr="00767A4F">
              <w:rPr>
                <w:rFonts w:asciiTheme="minorHAnsi" w:hAnsiTheme="minorHAnsi" w:cstheme="minorHAnsi"/>
                <w:sz w:val="20"/>
                <w:szCs w:val="20"/>
              </w:rPr>
              <w:t>11 days</w:t>
            </w:r>
          </w:p>
        </w:tc>
        <w:tc>
          <w:tcPr>
            <w:tcW w:w="1455" w:type="dxa"/>
          </w:tcPr>
          <w:p w14:paraId="1FEA1678" w14:textId="77777777" w:rsidR="00742EB2" w:rsidRPr="00767A4F" w:rsidRDefault="00742EB2" w:rsidP="00B20ABC">
            <w:pPr>
              <w:rPr>
                <w:rFonts w:asciiTheme="minorHAnsi" w:hAnsiTheme="minorHAnsi" w:cstheme="minorHAnsi"/>
                <w:sz w:val="20"/>
                <w:szCs w:val="20"/>
              </w:rPr>
            </w:pPr>
            <w:r w:rsidRPr="00767A4F">
              <w:rPr>
                <w:rFonts w:asciiTheme="minorHAnsi" w:hAnsiTheme="minorHAnsi" w:cstheme="minorHAnsi"/>
                <w:sz w:val="20"/>
                <w:szCs w:val="20"/>
              </w:rPr>
              <w:t>20 days</w:t>
            </w:r>
          </w:p>
        </w:tc>
        <w:tc>
          <w:tcPr>
            <w:tcW w:w="1455" w:type="dxa"/>
          </w:tcPr>
          <w:p w14:paraId="726CCCB0" w14:textId="77777777" w:rsidR="00742EB2" w:rsidRPr="00767A4F" w:rsidRDefault="00742EB2" w:rsidP="00B20ABC">
            <w:pPr>
              <w:rPr>
                <w:rFonts w:asciiTheme="minorHAnsi" w:hAnsiTheme="minorHAnsi" w:cstheme="minorHAnsi"/>
                <w:sz w:val="20"/>
                <w:szCs w:val="20"/>
              </w:rPr>
            </w:pPr>
            <w:r w:rsidRPr="00767A4F">
              <w:rPr>
                <w:rFonts w:asciiTheme="minorHAnsi" w:hAnsiTheme="minorHAnsi" w:cstheme="minorHAnsi"/>
                <w:sz w:val="20"/>
                <w:szCs w:val="20"/>
              </w:rPr>
              <w:t>No</w:t>
            </w:r>
          </w:p>
        </w:tc>
        <w:tc>
          <w:tcPr>
            <w:tcW w:w="1455" w:type="dxa"/>
          </w:tcPr>
          <w:p w14:paraId="52F566A2" w14:textId="77777777" w:rsidR="00742EB2" w:rsidRPr="00767A4F" w:rsidRDefault="00742EB2" w:rsidP="00B20ABC">
            <w:pPr>
              <w:rPr>
                <w:rFonts w:asciiTheme="minorHAnsi" w:hAnsiTheme="minorHAnsi" w:cstheme="minorHAnsi"/>
                <w:sz w:val="20"/>
                <w:szCs w:val="20"/>
              </w:rPr>
            </w:pPr>
            <w:r w:rsidRPr="00767A4F">
              <w:rPr>
                <w:rFonts w:asciiTheme="minorHAnsi" w:hAnsiTheme="minorHAnsi" w:cstheme="minorHAnsi"/>
                <w:sz w:val="20"/>
                <w:szCs w:val="20"/>
              </w:rPr>
              <w:t>69,522</w:t>
            </w:r>
          </w:p>
        </w:tc>
        <w:tc>
          <w:tcPr>
            <w:tcW w:w="1455" w:type="dxa"/>
          </w:tcPr>
          <w:p w14:paraId="2B6F47DE" w14:textId="77777777" w:rsidR="00742EB2" w:rsidRPr="00767A4F" w:rsidRDefault="00742EB2" w:rsidP="00B20ABC">
            <w:pPr>
              <w:rPr>
                <w:rFonts w:asciiTheme="minorHAnsi" w:hAnsiTheme="minorHAnsi" w:cstheme="minorHAnsi"/>
                <w:sz w:val="20"/>
                <w:szCs w:val="20"/>
              </w:rPr>
            </w:pPr>
            <w:r w:rsidRPr="00767A4F">
              <w:rPr>
                <w:rFonts w:asciiTheme="minorHAnsi" w:hAnsiTheme="minorHAnsi" w:cstheme="minorHAnsi"/>
                <w:sz w:val="20"/>
                <w:szCs w:val="20"/>
              </w:rPr>
              <w:t>October 10, 2018</w:t>
            </w:r>
          </w:p>
        </w:tc>
      </w:tr>
      <w:tr w:rsidR="00742EB2" w:rsidRPr="00767A4F" w14:paraId="0C2D4D14" w14:textId="77777777" w:rsidTr="00767A4F">
        <w:trPr>
          <w:trHeight w:val="395"/>
          <w:jc w:val="center"/>
        </w:trPr>
        <w:tc>
          <w:tcPr>
            <w:tcW w:w="3685" w:type="dxa"/>
          </w:tcPr>
          <w:p w14:paraId="18CF9B6E" w14:textId="77777777" w:rsidR="00742EB2" w:rsidRPr="00767A4F" w:rsidRDefault="00742EB2" w:rsidP="00B20ABC">
            <w:pPr>
              <w:rPr>
                <w:rFonts w:asciiTheme="minorHAnsi" w:hAnsiTheme="minorHAnsi" w:cstheme="minorHAnsi"/>
                <w:sz w:val="20"/>
                <w:szCs w:val="20"/>
              </w:rPr>
            </w:pPr>
            <w:r w:rsidRPr="00767A4F">
              <w:rPr>
                <w:rFonts w:asciiTheme="minorHAnsi" w:hAnsiTheme="minorHAnsi" w:cstheme="minorHAnsi"/>
                <w:sz w:val="20"/>
                <w:szCs w:val="20"/>
              </w:rPr>
              <w:t>Security Services</w:t>
            </w:r>
          </w:p>
        </w:tc>
        <w:tc>
          <w:tcPr>
            <w:tcW w:w="1455" w:type="dxa"/>
          </w:tcPr>
          <w:p w14:paraId="6F8A9729" w14:textId="77777777" w:rsidR="00742EB2" w:rsidRPr="00767A4F" w:rsidRDefault="00742EB2" w:rsidP="00B20ABC">
            <w:pPr>
              <w:rPr>
                <w:rFonts w:asciiTheme="minorHAnsi" w:hAnsiTheme="minorHAnsi" w:cstheme="minorHAnsi"/>
                <w:sz w:val="20"/>
                <w:szCs w:val="20"/>
              </w:rPr>
            </w:pPr>
            <w:r w:rsidRPr="00767A4F">
              <w:rPr>
                <w:rFonts w:asciiTheme="minorHAnsi" w:hAnsiTheme="minorHAnsi" w:cstheme="minorHAnsi"/>
                <w:sz w:val="20"/>
                <w:szCs w:val="20"/>
              </w:rPr>
              <w:t>Simplified Procedure</w:t>
            </w:r>
          </w:p>
        </w:tc>
        <w:tc>
          <w:tcPr>
            <w:tcW w:w="1455" w:type="dxa"/>
          </w:tcPr>
          <w:p w14:paraId="32D5F5AF" w14:textId="77777777" w:rsidR="00742EB2" w:rsidRPr="00767A4F" w:rsidRDefault="00742EB2" w:rsidP="00B20ABC">
            <w:pPr>
              <w:rPr>
                <w:rFonts w:asciiTheme="minorHAnsi" w:hAnsiTheme="minorHAnsi" w:cstheme="minorHAnsi"/>
                <w:sz w:val="20"/>
                <w:szCs w:val="20"/>
              </w:rPr>
            </w:pPr>
            <w:r w:rsidRPr="00767A4F">
              <w:rPr>
                <w:rFonts w:asciiTheme="minorHAnsi" w:hAnsiTheme="minorHAnsi" w:cstheme="minorHAnsi"/>
                <w:sz w:val="20"/>
                <w:szCs w:val="20"/>
              </w:rPr>
              <w:t>12 days</w:t>
            </w:r>
          </w:p>
        </w:tc>
        <w:tc>
          <w:tcPr>
            <w:tcW w:w="1455" w:type="dxa"/>
          </w:tcPr>
          <w:p w14:paraId="553F02BB" w14:textId="77777777" w:rsidR="00742EB2" w:rsidRPr="00767A4F" w:rsidRDefault="00742EB2" w:rsidP="00B20ABC">
            <w:pPr>
              <w:rPr>
                <w:rFonts w:asciiTheme="minorHAnsi" w:hAnsiTheme="minorHAnsi" w:cstheme="minorHAnsi"/>
                <w:sz w:val="20"/>
                <w:szCs w:val="20"/>
              </w:rPr>
            </w:pPr>
            <w:r w:rsidRPr="00767A4F">
              <w:rPr>
                <w:rFonts w:asciiTheme="minorHAnsi" w:hAnsiTheme="minorHAnsi" w:cstheme="minorHAnsi"/>
                <w:sz w:val="20"/>
                <w:szCs w:val="20"/>
              </w:rPr>
              <w:t>31 days</w:t>
            </w:r>
          </w:p>
        </w:tc>
        <w:tc>
          <w:tcPr>
            <w:tcW w:w="1455" w:type="dxa"/>
          </w:tcPr>
          <w:p w14:paraId="6D5896B3" w14:textId="77777777" w:rsidR="00742EB2" w:rsidRPr="00767A4F" w:rsidRDefault="00742EB2" w:rsidP="00B20ABC">
            <w:pPr>
              <w:rPr>
                <w:rFonts w:asciiTheme="minorHAnsi" w:hAnsiTheme="minorHAnsi" w:cstheme="minorHAnsi"/>
                <w:sz w:val="20"/>
                <w:szCs w:val="20"/>
              </w:rPr>
            </w:pPr>
            <w:r w:rsidRPr="00767A4F">
              <w:rPr>
                <w:rFonts w:asciiTheme="minorHAnsi" w:hAnsiTheme="minorHAnsi" w:cstheme="minorHAnsi"/>
                <w:sz w:val="20"/>
                <w:szCs w:val="20"/>
              </w:rPr>
              <w:t>No</w:t>
            </w:r>
          </w:p>
        </w:tc>
        <w:tc>
          <w:tcPr>
            <w:tcW w:w="1455" w:type="dxa"/>
          </w:tcPr>
          <w:p w14:paraId="7A9A37E7" w14:textId="77777777" w:rsidR="00742EB2" w:rsidRPr="00767A4F" w:rsidRDefault="00742EB2" w:rsidP="00B20ABC">
            <w:pPr>
              <w:rPr>
                <w:rFonts w:asciiTheme="minorHAnsi" w:hAnsiTheme="minorHAnsi" w:cstheme="minorHAnsi"/>
                <w:sz w:val="20"/>
                <w:szCs w:val="20"/>
              </w:rPr>
            </w:pPr>
            <w:r w:rsidRPr="00767A4F">
              <w:rPr>
                <w:rFonts w:asciiTheme="minorHAnsi" w:hAnsiTheme="minorHAnsi" w:cstheme="minorHAnsi"/>
                <w:sz w:val="20"/>
                <w:szCs w:val="20"/>
              </w:rPr>
              <w:t>140,000</w:t>
            </w:r>
          </w:p>
        </w:tc>
        <w:tc>
          <w:tcPr>
            <w:tcW w:w="1455" w:type="dxa"/>
          </w:tcPr>
          <w:p w14:paraId="095F81E5" w14:textId="77777777" w:rsidR="00742EB2" w:rsidRPr="00767A4F" w:rsidRDefault="00742EB2" w:rsidP="00B20ABC">
            <w:pPr>
              <w:rPr>
                <w:rFonts w:asciiTheme="minorHAnsi" w:hAnsiTheme="minorHAnsi" w:cstheme="minorHAnsi"/>
                <w:sz w:val="20"/>
                <w:szCs w:val="20"/>
              </w:rPr>
            </w:pPr>
            <w:r w:rsidRPr="00767A4F">
              <w:rPr>
                <w:rFonts w:asciiTheme="minorHAnsi" w:hAnsiTheme="minorHAnsi" w:cstheme="minorHAnsi"/>
                <w:sz w:val="20"/>
                <w:szCs w:val="20"/>
              </w:rPr>
              <w:t>June 8, 2018</w:t>
            </w:r>
          </w:p>
        </w:tc>
      </w:tr>
      <w:tr w:rsidR="00742EB2" w:rsidRPr="00767A4F" w14:paraId="13D3B65C" w14:textId="77777777" w:rsidTr="00767A4F">
        <w:trPr>
          <w:trHeight w:val="395"/>
          <w:jc w:val="center"/>
        </w:trPr>
        <w:tc>
          <w:tcPr>
            <w:tcW w:w="3685" w:type="dxa"/>
          </w:tcPr>
          <w:p w14:paraId="40F2BF4C" w14:textId="77777777" w:rsidR="00742EB2" w:rsidRPr="00767A4F" w:rsidRDefault="00742EB2" w:rsidP="00B20ABC">
            <w:pPr>
              <w:rPr>
                <w:rFonts w:asciiTheme="minorHAnsi" w:hAnsiTheme="minorHAnsi" w:cstheme="minorHAnsi"/>
                <w:sz w:val="20"/>
                <w:szCs w:val="20"/>
              </w:rPr>
            </w:pPr>
            <w:r w:rsidRPr="00767A4F">
              <w:rPr>
                <w:rFonts w:asciiTheme="minorHAnsi" w:hAnsiTheme="minorHAnsi" w:cstheme="minorHAnsi"/>
                <w:sz w:val="20"/>
                <w:szCs w:val="20"/>
              </w:rPr>
              <w:t>Cleaning Services</w:t>
            </w:r>
          </w:p>
        </w:tc>
        <w:tc>
          <w:tcPr>
            <w:tcW w:w="1455" w:type="dxa"/>
          </w:tcPr>
          <w:p w14:paraId="3BA1A7F1" w14:textId="77777777" w:rsidR="00742EB2" w:rsidRPr="00767A4F" w:rsidRDefault="00742EB2" w:rsidP="00B20ABC">
            <w:pPr>
              <w:rPr>
                <w:rFonts w:asciiTheme="minorHAnsi" w:hAnsiTheme="minorHAnsi" w:cstheme="minorHAnsi"/>
                <w:sz w:val="20"/>
                <w:szCs w:val="20"/>
              </w:rPr>
            </w:pPr>
            <w:r w:rsidRPr="00767A4F">
              <w:rPr>
                <w:rFonts w:asciiTheme="minorHAnsi" w:hAnsiTheme="minorHAnsi" w:cstheme="minorHAnsi"/>
                <w:sz w:val="20"/>
                <w:szCs w:val="20"/>
              </w:rPr>
              <w:t>Simplified Procedure</w:t>
            </w:r>
          </w:p>
        </w:tc>
        <w:tc>
          <w:tcPr>
            <w:tcW w:w="1455" w:type="dxa"/>
          </w:tcPr>
          <w:p w14:paraId="43B4A084" w14:textId="77777777" w:rsidR="00742EB2" w:rsidRPr="00767A4F" w:rsidRDefault="00742EB2" w:rsidP="00B20ABC">
            <w:pPr>
              <w:rPr>
                <w:rFonts w:asciiTheme="minorHAnsi" w:hAnsiTheme="minorHAnsi" w:cstheme="minorHAnsi"/>
                <w:sz w:val="20"/>
                <w:szCs w:val="20"/>
              </w:rPr>
            </w:pPr>
            <w:r w:rsidRPr="00767A4F">
              <w:rPr>
                <w:rFonts w:asciiTheme="minorHAnsi" w:hAnsiTheme="minorHAnsi" w:cstheme="minorHAnsi"/>
                <w:sz w:val="20"/>
                <w:szCs w:val="20"/>
              </w:rPr>
              <w:t>12 days</w:t>
            </w:r>
          </w:p>
        </w:tc>
        <w:tc>
          <w:tcPr>
            <w:tcW w:w="1455" w:type="dxa"/>
          </w:tcPr>
          <w:p w14:paraId="037ECB3D" w14:textId="77777777" w:rsidR="00742EB2" w:rsidRPr="00767A4F" w:rsidRDefault="00742EB2" w:rsidP="00B20ABC">
            <w:pPr>
              <w:rPr>
                <w:rFonts w:asciiTheme="minorHAnsi" w:hAnsiTheme="minorHAnsi" w:cstheme="minorHAnsi"/>
                <w:sz w:val="20"/>
                <w:szCs w:val="20"/>
              </w:rPr>
            </w:pPr>
            <w:r w:rsidRPr="00767A4F">
              <w:rPr>
                <w:rFonts w:asciiTheme="minorHAnsi" w:hAnsiTheme="minorHAnsi" w:cstheme="minorHAnsi"/>
                <w:sz w:val="20"/>
                <w:szCs w:val="20"/>
              </w:rPr>
              <w:t>18 days</w:t>
            </w:r>
          </w:p>
        </w:tc>
        <w:tc>
          <w:tcPr>
            <w:tcW w:w="1455" w:type="dxa"/>
          </w:tcPr>
          <w:p w14:paraId="32478A20" w14:textId="77777777" w:rsidR="00742EB2" w:rsidRPr="00767A4F" w:rsidRDefault="00742EB2" w:rsidP="00B20ABC">
            <w:pPr>
              <w:rPr>
                <w:rFonts w:asciiTheme="minorHAnsi" w:hAnsiTheme="minorHAnsi" w:cstheme="minorHAnsi"/>
                <w:sz w:val="20"/>
                <w:szCs w:val="20"/>
              </w:rPr>
            </w:pPr>
            <w:r w:rsidRPr="00767A4F">
              <w:rPr>
                <w:rFonts w:asciiTheme="minorHAnsi" w:hAnsiTheme="minorHAnsi" w:cstheme="minorHAnsi"/>
                <w:sz w:val="20"/>
                <w:szCs w:val="20"/>
              </w:rPr>
              <w:t>No</w:t>
            </w:r>
          </w:p>
        </w:tc>
        <w:tc>
          <w:tcPr>
            <w:tcW w:w="1455" w:type="dxa"/>
          </w:tcPr>
          <w:p w14:paraId="7D8AB27B" w14:textId="77777777" w:rsidR="00742EB2" w:rsidRPr="00767A4F" w:rsidRDefault="00742EB2" w:rsidP="00B20ABC">
            <w:pPr>
              <w:rPr>
                <w:rFonts w:asciiTheme="minorHAnsi" w:hAnsiTheme="minorHAnsi" w:cstheme="minorHAnsi"/>
                <w:sz w:val="20"/>
                <w:szCs w:val="20"/>
              </w:rPr>
            </w:pPr>
            <w:r w:rsidRPr="00767A4F">
              <w:rPr>
                <w:rFonts w:asciiTheme="minorHAnsi" w:hAnsiTheme="minorHAnsi" w:cstheme="minorHAnsi"/>
                <w:sz w:val="20"/>
                <w:szCs w:val="20"/>
              </w:rPr>
              <w:t>154,815</w:t>
            </w:r>
          </w:p>
        </w:tc>
        <w:tc>
          <w:tcPr>
            <w:tcW w:w="1455" w:type="dxa"/>
          </w:tcPr>
          <w:p w14:paraId="4CEE161D" w14:textId="77777777" w:rsidR="00742EB2" w:rsidRPr="00767A4F" w:rsidRDefault="00742EB2" w:rsidP="00B20ABC">
            <w:pPr>
              <w:rPr>
                <w:rFonts w:asciiTheme="minorHAnsi" w:hAnsiTheme="minorHAnsi" w:cstheme="minorHAnsi"/>
                <w:sz w:val="20"/>
                <w:szCs w:val="20"/>
              </w:rPr>
            </w:pPr>
            <w:r w:rsidRPr="00767A4F">
              <w:rPr>
                <w:rFonts w:asciiTheme="minorHAnsi" w:hAnsiTheme="minorHAnsi" w:cstheme="minorHAnsi"/>
                <w:sz w:val="20"/>
                <w:szCs w:val="20"/>
              </w:rPr>
              <w:t>May 18, 2018</w:t>
            </w:r>
          </w:p>
        </w:tc>
      </w:tr>
      <w:tr w:rsidR="00742EB2" w:rsidRPr="00767A4F" w14:paraId="58C434F9" w14:textId="77777777" w:rsidTr="00767A4F">
        <w:trPr>
          <w:trHeight w:val="395"/>
          <w:jc w:val="center"/>
        </w:trPr>
        <w:tc>
          <w:tcPr>
            <w:tcW w:w="3685" w:type="dxa"/>
          </w:tcPr>
          <w:p w14:paraId="3C07A683" w14:textId="77777777" w:rsidR="00742EB2" w:rsidRPr="00767A4F" w:rsidRDefault="00742EB2" w:rsidP="00B20ABC">
            <w:pPr>
              <w:rPr>
                <w:rFonts w:asciiTheme="minorHAnsi" w:hAnsiTheme="minorHAnsi" w:cstheme="minorHAnsi"/>
                <w:sz w:val="20"/>
                <w:szCs w:val="20"/>
              </w:rPr>
            </w:pPr>
            <w:r w:rsidRPr="00767A4F">
              <w:rPr>
                <w:rFonts w:asciiTheme="minorHAnsi" w:hAnsiTheme="minorHAnsi" w:cstheme="minorHAnsi"/>
                <w:sz w:val="20"/>
                <w:szCs w:val="20"/>
              </w:rPr>
              <w:t>Transportation Services</w:t>
            </w:r>
          </w:p>
        </w:tc>
        <w:tc>
          <w:tcPr>
            <w:tcW w:w="1455" w:type="dxa"/>
          </w:tcPr>
          <w:p w14:paraId="0C8BC72F" w14:textId="77777777" w:rsidR="00742EB2" w:rsidRPr="00767A4F" w:rsidRDefault="00742EB2" w:rsidP="00B20ABC">
            <w:pPr>
              <w:rPr>
                <w:rFonts w:asciiTheme="minorHAnsi" w:hAnsiTheme="minorHAnsi" w:cstheme="minorHAnsi"/>
                <w:sz w:val="20"/>
                <w:szCs w:val="20"/>
              </w:rPr>
            </w:pPr>
            <w:r w:rsidRPr="00767A4F">
              <w:rPr>
                <w:rFonts w:asciiTheme="minorHAnsi" w:hAnsiTheme="minorHAnsi" w:cstheme="minorHAnsi"/>
                <w:sz w:val="20"/>
                <w:szCs w:val="20"/>
              </w:rPr>
              <w:t>Simplified Procedure</w:t>
            </w:r>
          </w:p>
        </w:tc>
        <w:tc>
          <w:tcPr>
            <w:tcW w:w="1455" w:type="dxa"/>
          </w:tcPr>
          <w:p w14:paraId="69651683" w14:textId="77777777" w:rsidR="00742EB2" w:rsidRPr="00767A4F" w:rsidRDefault="00742EB2" w:rsidP="00B20ABC">
            <w:pPr>
              <w:rPr>
                <w:rFonts w:asciiTheme="minorHAnsi" w:hAnsiTheme="minorHAnsi" w:cstheme="minorHAnsi"/>
                <w:sz w:val="20"/>
                <w:szCs w:val="20"/>
              </w:rPr>
            </w:pPr>
            <w:r w:rsidRPr="00767A4F">
              <w:rPr>
                <w:rFonts w:asciiTheme="minorHAnsi" w:hAnsiTheme="minorHAnsi" w:cstheme="minorHAnsi"/>
                <w:sz w:val="20"/>
                <w:szCs w:val="20"/>
              </w:rPr>
              <w:t>12 days</w:t>
            </w:r>
          </w:p>
        </w:tc>
        <w:tc>
          <w:tcPr>
            <w:tcW w:w="1455" w:type="dxa"/>
          </w:tcPr>
          <w:p w14:paraId="661D8185" w14:textId="77777777" w:rsidR="00742EB2" w:rsidRPr="00767A4F" w:rsidRDefault="00742EB2" w:rsidP="00B20ABC">
            <w:pPr>
              <w:rPr>
                <w:rFonts w:asciiTheme="minorHAnsi" w:hAnsiTheme="minorHAnsi" w:cstheme="minorHAnsi"/>
                <w:sz w:val="20"/>
                <w:szCs w:val="20"/>
              </w:rPr>
            </w:pPr>
            <w:r w:rsidRPr="00767A4F">
              <w:rPr>
                <w:rFonts w:asciiTheme="minorHAnsi" w:hAnsiTheme="minorHAnsi" w:cstheme="minorHAnsi"/>
                <w:sz w:val="20"/>
                <w:szCs w:val="20"/>
              </w:rPr>
              <w:t>70 days</w:t>
            </w:r>
          </w:p>
        </w:tc>
        <w:tc>
          <w:tcPr>
            <w:tcW w:w="1455" w:type="dxa"/>
          </w:tcPr>
          <w:p w14:paraId="14FEB4AB" w14:textId="77777777" w:rsidR="00742EB2" w:rsidRPr="00767A4F" w:rsidRDefault="00742EB2" w:rsidP="00B20ABC">
            <w:pPr>
              <w:rPr>
                <w:rFonts w:asciiTheme="minorHAnsi" w:hAnsiTheme="minorHAnsi" w:cstheme="minorHAnsi"/>
                <w:sz w:val="20"/>
                <w:szCs w:val="20"/>
              </w:rPr>
            </w:pPr>
            <w:r w:rsidRPr="00767A4F">
              <w:rPr>
                <w:rFonts w:asciiTheme="minorHAnsi" w:hAnsiTheme="minorHAnsi" w:cstheme="minorHAnsi"/>
                <w:sz w:val="20"/>
                <w:szCs w:val="20"/>
              </w:rPr>
              <w:t>No</w:t>
            </w:r>
          </w:p>
        </w:tc>
        <w:tc>
          <w:tcPr>
            <w:tcW w:w="1455" w:type="dxa"/>
          </w:tcPr>
          <w:p w14:paraId="0A65C670" w14:textId="77777777" w:rsidR="00742EB2" w:rsidRPr="00767A4F" w:rsidRDefault="00742EB2" w:rsidP="00B20ABC">
            <w:pPr>
              <w:rPr>
                <w:rFonts w:asciiTheme="minorHAnsi" w:hAnsiTheme="minorHAnsi" w:cstheme="minorHAnsi"/>
                <w:sz w:val="20"/>
                <w:szCs w:val="20"/>
              </w:rPr>
            </w:pPr>
            <w:r w:rsidRPr="00767A4F">
              <w:rPr>
                <w:rFonts w:asciiTheme="minorHAnsi" w:hAnsiTheme="minorHAnsi" w:cstheme="minorHAnsi"/>
                <w:sz w:val="20"/>
                <w:szCs w:val="20"/>
              </w:rPr>
              <w:t>444,000 (one FWA signed)</w:t>
            </w:r>
          </w:p>
        </w:tc>
        <w:tc>
          <w:tcPr>
            <w:tcW w:w="1455" w:type="dxa"/>
          </w:tcPr>
          <w:p w14:paraId="7D7A60A5" w14:textId="77777777" w:rsidR="00742EB2" w:rsidRPr="00767A4F" w:rsidRDefault="00742EB2" w:rsidP="00B20ABC">
            <w:pPr>
              <w:rPr>
                <w:rFonts w:asciiTheme="minorHAnsi" w:hAnsiTheme="minorHAnsi" w:cstheme="minorHAnsi"/>
                <w:sz w:val="20"/>
                <w:szCs w:val="20"/>
              </w:rPr>
            </w:pPr>
            <w:r w:rsidRPr="00767A4F">
              <w:rPr>
                <w:rFonts w:asciiTheme="minorHAnsi" w:hAnsiTheme="minorHAnsi" w:cstheme="minorHAnsi"/>
                <w:sz w:val="20"/>
                <w:szCs w:val="20"/>
              </w:rPr>
              <w:t>May 10, 2018</w:t>
            </w:r>
          </w:p>
        </w:tc>
      </w:tr>
      <w:tr w:rsidR="00742EB2" w:rsidRPr="00767A4F" w14:paraId="5A1DE15B" w14:textId="77777777" w:rsidTr="00767A4F">
        <w:trPr>
          <w:trHeight w:val="395"/>
          <w:jc w:val="center"/>
        </w:trPr>
        <w:tc>
          <w:tcPr>
            <w:tcW w:w="3685" w:type="dxa"/>
          </w:tcPr>
          <w:p w14:paraId="7A310A19" w14:textId="77777777" w:rsidR="00742EB2" w:rsidRPr="00767A4F" w:rsidRDefault="00742EB2" w:rsidP="00B20ABC">
            <w:pPr>
              <w:rPr>
                <w:rFonts w:asciiTheme="minorHAnsi" w:hAnsiTheme="minorHAnsi" w:cstheme="minorHAnsi"/>
                <w:sz w:val="20"/>
                <w:szCs w:val="20"/>
              </w:rPr>
            </w:pPr>
            <w:r w:rsidRPr="00767A4F">
              <w:rPr>
                <w:rFonts w:asciiTheme="minorHAnsi" w:hAnsiTheme="minorHAnsi" w:cstheme="minorHAnsi"/>
                <w:sz w:val="20"/>
                <w:szCs w:val="20"/>
              </w:rPr>
              <w:t>Communication Services</w:t>
            </w:r>
          </w:p>
        </w:tc>
        <w:tc>
          <w:tcPr>
            <w:tcW w:w="1455" w:type="dxa"/>
          </w:tcPr>
          <w:p w14:paraId="465D5286" w14:textId="77777777" w:rsidR="00742EB2" w:rsidRPr="00767A4F" w:rsidRDefault="00742EB2" w:rsidP="00B20ABC">
            <w:pPr>
              <w:rPr>
                <w:rFonts w:asciiTheme="minorHAnsi" w:hAnsiTheme="minorHAnsi" w:cstheme="minorHAnsi"/>
                <w:sz w:val="20"/>
                <w:szCs w:val="20"/>
              </w:rPr>
            </w:pPr>
            <w:r w:rsidRPr="00767A4F">
              <w:rPr>
                <w:rFonts w:asciiTheme="minorHAnsi" w:hAnsiTheme="minorHAnsi" w:cstheme="minorHAnsi"/>
                <w:sz w:val="20"/>
                <w:szCs w:val="20"/>
              </w:rPr>
              <w:t>Simplified Procedure</w:t>
            </w:r>
          </w:p>
        </w:tc>
        <w:tc>
          <w:tcPr>
            <w:tcW w:w="1455" w:type="dxa"/>
          </w:tcPr>
          <w:p w14:paraId="0533B8D3" w14:textId="77777777" w:rsidR="00742EB2" w:rsidRPr="00767A4F" w:rsidRDefault="00742EB2" w:rsidP="00B20ABC">
            <w:pPr>
              <w:rPr>
                <w:rFonts w:asciiTheme="minorHAnsi" w:hAnsiTheme="minorHAnsi" w:cstheme="minorHAnsi"/>
                <w:sz w:val="20"/>
                <w:szCs w:val="20"/>
              </w:rPr>
            </w:pPr>
            <w:r w:rsidRPr="00767A4F">
              <w:rPr>
                <w:rFonts w:asciiTheme="minorHAnsi" w:hAnsiTheme="minorHAnsi" w:cstheme="minorHAnsi"/>
                <w:sz w:val="20"/>
                <w:szCs w:val="20"/>
              </w:rPr>
              <w:t>14 days</w:t>
            </w:r>
          </w:p>
        </w:tc>
        <w:tc>
          <w:tcPr>
            <w:tcW w:w="1455" w:type="dxa"/>
          </w:tcPr>
          <w:p w14:paraId="2C461779" w14:textId="77777777" w:rsidR="00742EB2" w:rsidRPr="00767A4F" w:rsidRDefault="00742EB2" w:rsidP="00B20ABC">
            <w:pPr>
              <w:rPr>
                <w:rFonts w:asciiTheme="minorHAnsi" w:hAnsiTheme="minorHAnsi" w:cstheme="minorHAnsi"/>
                <w:sz w:val="20"/>
                <w:szCs w:val="20"/>
              </w:rPr>
            </w:pPr>
            <w:r w:rsidRPr="00767A4F">
              <w:rPr>
                <w:rFonts w:asciiTheme="minorHAnsi" w:hAnsiTheme="minorHAnsi" w:cstheme="minorHAnsi"/>
                <w:sz w:val="20"/>
                <w:szCs w:val="20"/>
              </w:rPr>
              <w:t>19 days</w:t>
            </w:r>
          </w:p>
        </w:tc>
        <w:tc>
          <w:tcPr>
            <w:tcW w:w="1455" w:type="dxa"/>
          </w:tcPr>
          <w:p w14:paraId="17FF45DD" w14:textId="77777777" w:rsidR="00742EB2" w:rsidRPr="00767A4F" w:rsidRDefault="00742EB2" w:rsidP="00B20ABC">
            <w:pPr>
              <w:rPr>
                <w:rFonts w:asciiTheme="minorHAnsi" w:hAnsiTheme="minorHAnsi" w:cstheme="minorHAnsi"/>
                <w:sz w:val="20"/>
                <w:szCs w:val="20"/>
              </w:rPr>
            </w:pPr>
            <w:r w:rsidRPr="00767A4F">
              <w:rPr>
                <w:rFonts w:asciiTheme="minorHAnsi" w:hAnsiTheme="minorHAnsi" w:cstheme="minorHAnsi"/>
                <w:sz w:val="20"/>
                <w:szCs w:val="20"/>
              </w:rPr>
              <w:t>No</w:t>
            </w:r>
          </w:p>
        </w:tc>
        <w:tc>
          <w:tcPr>
            <w:tcW w:w="1455" w:type="dxa"/>
          </w:tcPr>
          <w:p w14:paraId="3727FF02" w14:textId="77777777" w:rsidR="00742EB2" w:rsidRPr="00767A4F" w:rsidRDefault="00742EB2" w:rsidP="00B20ABC">
            <w:pPr>
              <w:rPr>
                <w:rFonts w:asciiTheme="minorHAnsi" w:hAnsiTheme="minorHAnsi" w:cstheme="minorHAnsi"/>
                <w:sz w:val="20"/>
                <w:szCs w:val="20"/>
              </w:rPr>
            </w:pPr>
            <w:r w:rsidRPr="00767A4F">
              <w:rPr>
                <w:rFonts w:asciiTheme="minorHAnsi" w:hAnsiTheme="minorHAnsi" w:cstheme="minorHAnsi"/>
                <w:sz w:val="20"/>
                <w:szCs w:val="20"/>
              </w:rPr>
              <w:t>124,814.59 (one FWA signed)</w:t>
            </w:r>
          </w:p>
        </w:tc>
        <w:tc>
          <w:tcPr>
            <w:tcW w:w="1455" w:type="dxa"/>
          </w:tcPr>
          <w:p w14:paraId="146ED3C2" w14:textId="77777777" w:rsidR="00742EB2" w:rsidRPr="00767A4F" w:rsidRDefault="00742EB2" w:rsidP="00B20ABC">
            <w:pPr>
              <w:rPr>
                <w:rFonts w:asciiTheme="minorHAnsi" w:hAnsiTheme="minorHAnsi" w:cstheme="minorHAnsi"/>
                <w:sz w:val="20"/>
                <w:szCs w:val="20"/>
              </w:rPr>
            </w:pPr>
            <w:r w:rsidRPr="00767A4F">
              <w:rPr>
                <w:rFonts w:asciiTheme="minorHAnsi" w:hAnsiTheme="minorHAnsi" w:cstheme="minorHAnsi"/>
                <w:sz w:val="20"/>
                <w:szCs w:val="20"/>
              </w:rPr>
              <w:t>February 1, 2018</w:t>
            </w:r>
          </w:p>
        </w:tc>
      </w:tr>
      <w:bookmarkEnd w:id="51"/>
    </w:tbl>
    <w:p w14:paraId="475B3673" w14:textId="77777777" w:rsidR="00D20E5C" w:rsidRPr="00767A4F" w:rsidRDefault="00D20E5C" w:rsidP="00D20E5C">
      <w:pPr>
        <w:rPr>
          <w:rFonts w:asciiTheme="minorHAnsi" w:hAnsiTheme="minorHAnsi" w:cstheme="minorHAnsi"/>
          <w:sz w:val="20"/>
          <w:szCs w:val="20"/>
        </w:rPr>
      </w:pPr>
    </w:p>
    <w:p w14:paraId="438CE31E" w14:textId="77777777" w:rsidR="008B1049" w:rsidRPr="00F316AC" w:rsidRDefault="008B1049">
      <w:pPr>
        <w:spacing w:after="160" w:line="259" w:lineRule="auto"/>
        <w:jc w:val="right"/>
        <w:rPr>
          <w:rFonts w:asciiTheme="minorHAnsi" w:hAnsiTheme="minorHAnsi" w:cstheme="minorHAnsi"/>
          <w:b/>
          <w:sz w:val="22"/>
        </w:rPr>
      </w:pPr>
    </w:p>
    <w:p w14:paraId="6B17D5B9" w14:textId="77777777" w:rsidR="008B1049" w:rsidRPr="00767A4F" w:rsidRDefault="008B1049">
      <w:pPr>
        <w:spacing w:after="160" w:line="259" w:lineRule="auto"/>
        <w:jc w:val="right"/>
        <w:rPr>
          <w:rFonts w:asciiTheme="minorHAnsi" w:hAnsiTheme="minorHAnsi" w:cstheme="minorHAnsi"/>
          <w:b/>
          <w:sz w:val="22"/>
        </w:rPr>
      </w:pPr>
    </w:p>
    <w:p w14:paraId="18EB52CB" w14:textId="77777777" w:rsidR="008B1049" w:rsidRPr="00767A4F" w:rsidRDefault="008B1049">
      <w:pPr>
        <w:spacing w:after="160" w:line="259" w:lineRule="auto"/>
        <w:jc w:val="right"/>
        <w:rPr>
          <w:rFonts w:asciiTheme="minorHAnsi" w:hAnsiTheme="minorHAnsi" w:cstheme="minorHAnsi"/>
          <w:b/>
          <w:sz w:val="22"/>
        </w:rPr>
      </w:pPr>
    </w:p>
    <w:p w14:paraId="5DEB7BBE" w14:textId="77777777" w:rsidR="008B1049" w:rsidRPr="00767A4F" w:rsidRDefault="008B1049">
      <w:pPr>
        <w:spacing w:after="160" w:line="259" w:lineRule="auto"/>
        <w:jc w:val="right"/>
        <w:rPr>
          <w:rFonts w:asciiTheme="minorHAnsi" w:hAnsiTheme="minorHAnsi" w:cstheme="minorHAnsi"/>
          <w:b/>
          <w:sz w:val="22"/>
        </w:rPr>
      </w:pPr>
    </w:p>
    <w:p w14:paraId="0A73CF04" w14:textId="77777777" w:rsidR="00F316AC" w:rsidRDefault="00F316AC">
      <w:pPr>
        <w:spacing w:after="200" w:line="276" w:lineRule="auto"/>
        <w:rPr>
          <w:rFonts w:asciiTheme="minorHAnsi" w:hAnsiTheme="minorHAnsi" w:cstheme="minorHAnsi"/>
          <w:b/>
          <w:sz w:val="22"/>
        </w:rPr>
      </w:pPr>
      <w:r>
        <w:rPr>
          <w:rFonts w:asciiTheme="minorHAnsi" w:hAnsiTheme="minorHAnsi" w:cstheme="minorHAnsi"/>
          <w:b/>
          <w:sz w:val="22"/>
        </w:rPr>
        <w:br w:type="page"/>
      </w:r>
    </w:p>
    <w:p w14:paraId="7961681E" w14:textId="2CDF37FE" w:rsidR="00D20E5C" w:rsidRPr="00F316AC" w:rsidRDefault="008B1049">
      <w:pPr>
        <w:spacing w:after="160" w:line="259" w:lineRule="auto"/>
        <w:jc w:val="right"/>
        <w:rPr>
          <w:rFonts w:asciiTheme="minorHAnsi" w:hAnsiTheme="minorHAnsi" w:cstheme="minorHAnsi"/>
          <w:b/>
          <w:sz w:val="22"/>
        </w:rPr>
      </w:pPr>
      <w:r w:rsidRPr="00F316AC">
        <w:rPr>
          <w:rFonts w:asciiTheme="minorHAnsi" w:hAnsiTheme="minorHAnsi" w:cstheme="minorHAnsi"/>
          <w:b/>
          <w:sz w:val="22"/>
        </w:rPr>
        <w:lastRenderedPageBreak/>
        <w:t>ANNEX 6</w:t>
      </w:r>
    </w:p>
    <w:p w14:paraId="6ECDE30C" w14:textId="34192CB8" w:rsidR="008B1049" w:rsidRPr="00767A4F" w:rsidRDefault="008B1049" w:rsidP="008B1049">
      <w:pPr>
        <w:rPr>
          <w:rFonts w:asciiTheme="minorHAnsi" w:eastAsia="Calibri" w:hAnsiTheme="minorHAnsi" w:cstheme="minorHAnsi"/>
          <w:b/>
          <w:bCs/>
          <w:sz w:val="22"/>
        </w:rPr>
      </w:pPr>
      <w:r w:rsidRPr="00767A4F">
        <w:rPr>
          <w:rFonts w:asciiTheme="minorHAnsi" w:eastAsia="Calibri" w:hAnsiTheme="minorHAnsi" w:cstheme="minorHAnsi"/>
          <w:b/>
          <w:bCs/>
          <w:sz w:val="22"/>
        </w:rPr>
        <w:t>Budgetary classification of Program Expenditures</w:t>
      </w:r>
    </w:p>
    <w:p w14:paraId="774614E7" w14:textId="77777777" w:rsidR="00E9443E" w:rsidRPr="00767A4F" w:rsidRDefault="00E9443E" w:rsidP="008B1049">
      <w:pPr>
        <w:rPr>
          <w:rFonts w:asciiTheme="minorHAnsi" w:eastAsia="Calibri" w:hAnsiTheme="minorHAnsi" w:cstheme="minorHAnsi"/>
          <w:b/>
          <w:bCs/>
          <w:sz w:val="22"/>
        </w:rPr>
      </w:pPr>
    </w:p>
    <w:tbl>
      <w:tblPr>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1701"/>
        <w:gridCol w:w="2268"/>
        <w:gridCol w:w="2410"/>
        <w:gridCol w:w="1843"/>
        <w:gridCol w:w="3402"/>
      </w:tblGrid>
      <w:tr w:rsidR="008B1049" w:rsidRPr="00767A4F" w14:paraId="3E5AD054" w14:textId="77777777" w:rsidTr="00273C9B">
        <w:trPr>
          <w:trHeight w:val="288"/>
          <w:tblHeader/>
        </w:trPr>
        <w:tc>
          <w:tcPr>
            <w:tcW w:w="2263" w:type="dxa"/>
            <w:noWrap/>
            <w:vAlign w:val="center"/>
            <w:hideMark/>
          </w:tcPr>
          <w:p w14:paraId="6B8C32DA" w14:textId="77777777" w:rsidR="008B1049" w:rsidRPr="00F316AC" w:rsidRDefault="008B1049" w:rsidP="00273C9B">
            <w:pPr>
              <w:pStyle w:val="Normal0"/>
              <w:widowControl w:val="0"/>
              <w:rPr>
                <w:rFonts w:cstheme="minorHAnsi"/>
                <w:b/>
                <w:sz w:val="20"/>
                <w:szCs w:val="20"/>
              </w:rPr>
            </w:pPr>
            <w:r w:rsidRPr="00F316AC">
              <w:rPr>
                <w:rFonts w:cstheme="minorHAnsi"/>
                <w:b/>
                <w:sz w:val="20"/>
                <w:szCs w:val="20"/>
              </w:rPr>
              <w:t>Expenditure item</w:t>
            </w:r>
          </w:p>
        </w:tc>
        <w:tc>
          <w:tcPr>
            <w:tcW w:w="1701" w:type="dxa"/>
            <w:noWrap/>
            <w:vAlign w:val="center"/>
          </w:tcPr>
          <w:p w14:paraId="7C87B9D2" w14:textId="77777777" w:rsidR="008B1049" w:rsidRPr="00767A4F" w:rsidRDefault="008B1049" w:rsidP="008B1049">
            <w:pPr>
              <w:pStyle w:val="Normal0"/>
              <w:widowControl w:val="0"/>
              <w:jc w:val="center"/>
              <w:rPr>
                <w:rFonts w:cstheme="minorHAnsi"/>
                <w:b/>
                <w:sz w:val="20"/>
                <w:szCs w:val="20"/>
              </w:rPr>
            </w:pPr>
            <w:r w:rsidRPr="00767A4F">
              <w:rPr>
                <w:rFonts w:cstheme="minorHAnsi"/>
                <w:b/>
                <w:sz w:val="20"/>
                <w:szCs w:val="20"/>
              </w:rPr>
              <w:t>Budget holder</w:t>
            </w:r>
          </w:p>
        </w:tc>
        <w:tc>
          <w:tcPr>
            <w:tcW w:w="2268" w:type="dxa"/>
            <w:noWrap/>
            <w:vAlign w:val="center"/>
          </w:tcPr>
          <w:p w14:paraId="7DF0AB64" w14:textId="77777777" w:rsidR="008B1049" w:rsidRPr="00767A4F" w:rsidRDefault="008B1049" w:rsidP="008B1049">
            <w:pPr>
              <w:pStyle w:val="Normal0"/>
              <w:widowControl w:val="0"/>
              <w:jc w:val="center"/>
              <w:rPr>
                <w:rFonts w:cstheme="minorHAnsi"/>
                <w:b/>
                <w:sz w:val="20"/>
                <w:szCs w:val="20"/>
              </w:rPr>
            </w:pPr>
            <w:r w:rsidRPr="00767A4F">
              <w:rPr>
                <w:rFonts w:cstheme="minorHAnsi"/>
                <w:b/>
                <w:sz w:val="20"/>
                <w:szCs w:val="20"/>
              </w:rPr>
              <w:t>Budget line item - functional</w:t>
            </w:r>
          </w:p>
        </w:tc>
        <w:tc>
          <w:tcPr>
            <w:tcW w:w="2410" w:type="dxa"/>
            <w:vAlign w:val="center"/>
          </w:tcPr>
          <w:p w14:paraId="14EC1025" w14:textId="77777777" w:rsidR="008B1049" w:rsidRPr="00767A4F" w:rsidRDefault="008B1049" w:rsidP="008B1049">
            <w:pPr>
              <w:pStyle w:val="Normal0"/>
              <w:widowControl w:val="0"/>
              <w:jc w:val="center"/>
              <w:rPr>
                <w:rFonts w:cstheme="minorHAnsi"/>
                <w:b/>
                <w:sz w:val="20"/>
                <w:szCs w:val="20"/>
              </w:rPr>
            </w:pPr>
            <w:r w:rsidRPr="00767A4F">
              <w:rPr>
                <w:rFonts w:cstheme="minorHAnsi"/>
                <w:b/>
                <w:sz w:val="20"/>
                <w:szCs w:val="20"/>
              </w:rPr>
              <w:t>Budget line item - economic</w:t>
            </w:r>
          </w:p>
        </w:tc>
        <w:tc>
          <w:tcPr>
            <w:tcW w:w="1843" w:type="dxa"/>
            <w:vAlign w:val="center"/>
          </w:tcPr>
          <w:p w14:paraId="3F3415D0" w14:textId="77777777" w:rsidR="008B1049" w:rsidRPr="00767A4F" w:rsidRDefault="008B1049" w:rsidP="008B1049">
            <w:pPr>
              <w:pStyle w:val="Normal0"/>
              <w:widowControl w:val="0"/>
              <w:jc w:val="center"/>
              <w:rPr>
                <w:rFonts w:cstheme="minorHAnsi"/>
                <w:b/>
                <w:sz w:val="20"/>
                <w:szCs w:val="20"/>
              </w:rPr>
            </w:pPr>
            <w:r w:rsidRPr="00767A4F">
              <w:rPr>
                <w:rFonts w:cstheme="minorHAnsi"/>
                <w:b/>
                <w:sz w:val="20"/>
                <w:szCs w:val="20"/>
              </w:rPr>
              <w:t>Budget code</w:t>
            </w:r>
          </w:p>
        </w:tc>
        <w:tc>
          <w:tcPr>
            <w:tcW w:w="3402" w:type="dxa"/>
            <w:vAlign w:val="center"/>
          </w:tcPr>
          <w:p w14:paraId="4C359325" w14:textId="77777777" w:rsidR="008B1049" w:rsidRPr="00767A4F" w:rsidRDefault="008B1049" w:rsidP="00273C9B">
            <w:pPr>
              <w:pStyle w:val="Normal0"/>
              <w:widowControl w:val="0"/>
              <w:rPr>
                <w:rFonts w:cstheme="minorHAnsi"/>
                <w:b/>
                <w:sz w:val="20"/>
                <w:szCs w:val="20"/>
              </w:rPr>
            </w:pPr>
            <w:r w:rsidRPr="00767A4F">
              <w:rPr>
                <w:rFonts w:cstheme="minorHAnsi"/>
                <w:b/>
                <w:sz w:val="20"/>
                <w:szCs w:val="20"/>
              </w:rPr>
              <w:t>Comments</w:t>
            </w:r>
          </w:p>
        </w:tc>
      </w:tr>
      <w:tr w:rsidR="008B1049" w:rsidRPr="00767A4F" w14:paraId="6C020B0C" w14:textId="77777777" w:rsidTr="00273C9B">
        <w:trPr>
          <w:trHeight w:val="288"/>
        </w:trPr>
        <w:tc>
          <w:tcPr>
            <w:tcW w:w="2263" w:type="dxa"/>
            <w:noWrap/>
            <w:vAlign w:val="center"/>
            <w:hideMark/>
          </w:tcPr>
          <w:p w14:paraId="3CF6F0D8" w14:textId="77777777" w:rsidR="008B1049" w:rsidRPr="00F316AC" w:rsidRDefault="008B1049" w:rsidP="00273C9B">
            <w:pPr>
              <w:pStyle w:val="Normal0"/>
              <w:widowControl w:val="0"/>
              <w:rPr>
                <w:rFonts w:cstheme="minorHAnsi"/>
                <w:sz w:val="20"/>
                <w:szCs w:val="20"/>
              </w:rPr>
            </w:pPr>
            <w:r w:rsidRPr="00F316AC">
              <w:rPr>
                <w:rFonts w:cstheme="minorHAnsi"/>
                <w:sz w:val="20"/>
                <w:szCs w:val="20"/>
              </w:rPr>
              <w:t>Family medicine services</w:t>
            </w:r>
          </w:p>
        </w:tc>
        <w:tc>
          <w:tcPr>
            <w:tcW w:w="1701" w:type="dxa"/>
            <w:noWrap/>
            <w:vAlign w:val="center"/>
          </w:tcPr>
          <w:p w14:paraId="68826F80" w14:textId="2A1FB333" w:rsidR="008B1049" w:rsidRPr="00767A4F" w:rsidRDefault="008B1049" w:rsidP="00E9443E">
            <w:pPr>
              <w:pStyle w:val="Normal0"/>
              <w:widowControl w:val="0"/>
              <w:jc w:val="center"/>
              <w:rPr>
                <w:rFonts w:cstheme="minorHAnsi"/>
                <w:sz w:val="20"/>
                <w:szCs w:val="20"/>
              </w:rPr>
            </w:pPr>
            <w:r w:rsidRPr="00767A4F">
              <w:rPr>
                <w:rFonts w:cstheme="minorHAnsi"/>
                <w:sz w:val="20"/>
                <w:szCs w:val="20"/>
              </w:rPr>
              <w:t>NHI</w:t>
            </w:r>
            <w:r w:rsidR="00E9443E" w:rsidRPr="00767A4F">
              <w:rPr>
                <w:rFonts w:cstheme="minorHAnsi"/>
                <w:sz w:val="20"/>
                <w:szCs w:val="20"/>
              </w:rPr>
              <w:t>H</w:t>
            </w:r>
          </w:p>
        </w:tc>
        <w:tc>
          <w:tcPr>
            <w:tcW w:w="2268" w:type="dxa"/>
            <w:noWrap/>
            <w:vAlign w:val="center"/>
          </w:tcPr>
          <w:p w14:paraId="6EFC63F4" w14:textId="77777777" w:rsidR="008B1049" w:rsidRPr="00767A4F" w:rsidRDefault="008B1049" w:rsidP="008B1049">
            <w:pPr>
              <w:pStyle w:val="Normal0"/>
              <w:widowControl w:val="0"/>
              <w:jc w:val="center"/>
              <w:rPr>
                <w:rFonts w:cstheme="minorHAnsi"/>
                <w:sz w:val="20"/>
                <w:szCs w:val="20"/>
              </w:rPr>
            </w:pPr>
            <w:r w:rsidRPr="00767A4F">
              <w:rPr>
                <w:rFonts w:cstheme="minorHAnsi"/>
                <w:sz w:val="20"/>
                <w:szCs w:val="20"/>
              </w:rPr>
              <w:t>Primary health care</w:t>
            </w:r>
          </w:p>
        </w:tc>
        <w:tc>
          <w:tcPr>
            <w:tcW w:w="2410" w:type="dxa"/>
            <w:vAlign w:val="center"/>
          </w:tcPr>
          <w:p w14:paraId="63937B67" w14:textId="77777777" w:rsidR="008B1049" w:rsidRPr="00767A4F" w:rsidRDefault="008B1049" w:rsidP="008B1049">
            <w:pPr>
              <w:pStyle w:val="Normal0"/>
              <w:widowControl w:val="0"/>
              <w:jc w:val="center"/>
              <w:rPr>
                <w:rFonts w:cstheme="minorHAnsi"/>
                <w:sz w:val="20"/>
                <w:szCs w:val="20"/>
              </w:rPr>
            </w:pPr>
            <w:r w:rsidRPr="00767A4F">
              <w:rPr>
                <w:rFonts w:cstheme="minorHAnsi"/>
                <w:sz w:val="20"/>
                <w:szCs w:val="20"/>
              </w:rPr>
              <w:t>Goods &amp; services</w:t>
            </w:r>
          </w:p>
        </w:tc>
        <w:tc>
          <w:tcPr>
            <w:tcW w:w="1843" w:type="dxa"/>
            <w:vAlign w:val="center"/>
          </w:tcPr>
          <w:p w14:paraId="2BF210AF" w14:textId="77777777" w:rsidR="008B1049" w:rsidRPr="00767A4F" w:rsidRDefault="008B1049" w:rsidP="008B1049">
            <w:pPr>
              <w:pStyle w:val="Normal0"/>
              <w:widowControl w:val="0"/>
              <w:jc w:val="center"/>
              <w:rPr>
                <w:rFonts w:cstheme="minorHAnsi"/>
                <w:sz w:val="20"/>
                <w:szCs w:val="20"/>
              </w:rPr>
            </w:pPr>
            <w:r w:rsidRPr="00767A4F">
              <w:rPr>
                <w:rFonts w:cstheme="minorHAnsi"/>
                <w:sz w:val="20"/>
                <w:szCs w:val="20"/>
              </w:rPr>
              <w:t>660401200109</w:t>
            </w:r>
          </w:p>
        </w:tc>
        <w:tc>
          <w:tcPr>
            <w:tcW w:w="3402" w:type="dxa"/>
            <w:vAlign w:val="center"/>
          </w:tcPr>
          <w:p w14:paraId="0076E37E" w14:textId="77777777" w:rsidR="008B1049" w:rsidRPr="00767A4F" w:rsidRDefault="008B1049" w:rsidP="00273C9B">
            <w:pPr>
              <w:pStyle w:val="Normal0"/>
              <w:widowControl w:val="0"/>
              <w:rPr>
                <w:rFonts w:cstheme="minorHAnsi"/>
                <w:sz w:val="20"/>
                <w:szCs w:val="20"/>
              </w:rPr>
            </w:pPr>
          </w:p>
        </w:tc>
      </w:tr>
      <w:tr w:rsidR="008B1049" w:rsidRPr="00767A4F" w14:paraId="02B2C95F" w14:textId="77777777" w:rsidTr="00273C9B">
        <w:trPr>
          <w:trHeight w:val="288"/>
        </w:trPr>
        <w:tc>
          <w:tcPr>
            <w:tcW w:w="2263" w:type="dxa"/>
            <w:noWrap/>
            <w:vAlign w:val="center"/>
            <w:hideMark/>
          </w:tcPr>
          <w:p w14:paraId="256EC6FF" w14:textId="77777777" w:rsidR="008B1049" w:rsidRPr="00F316AC" w:rsidRDefault="008B1049" w:rsidP="00273C9B">
            <w:pPr>
              <w:pStyle w:val="Normal0"/>
              <w:widowControl w:val="0"/>
              <w:rPr>
                <w:rFonts w:cstheme="minorHAnsi"/>
                <w:sz w:val="20"/>
                <w:szCs w:val="20"/>
              </w:rPr>
            </w:pPr>
            <w:r w:rsidRPr="00F316AC">
              <w:rPr>
                <w:rFonts w:cstheme="minorHAnsi"/>
                <w:sz w:val="20"/>
                <w:szCs w:val="20"/>
              </w:rPr>
              <w:t>Family medicine cost of services for uninsured</w:t>
            </w:r>
          </w:p>
        </w:tc>
        <w:tc>
          <w:tcPr>
            <w:tcW w:w="1701" w:type="dxa"/>
            <w:noWrap/>
            <w:vAlign w:val="center"/>
          </w:tcPr>
          <w:p w14:paraId="25D4D86A" w14:textId="3C9DE85C" w:rsidR="008B1049" w:rsidRPr="00767A4F" w:rsidRDefault="008B1049" w:rsidP="00E9443E">
            <w:pPr>
              <w:pStyle w:val="Normal0"/>
              <w:widowControl w:val="0"/>
              <w:jc w:val="center"/>
              <w:rPr>
                <w:rFonts w:cstheme="minorHAnsi"/>
                <w:sz w:val="20"/>
                <w:szCs w:val="20"/>
              </w:rPr>
            </w:pPr>
            <w:r w:rsidRPr="00767A4F">
              <w:rPr>
                <w:rFonts w:cstheme="minorHAnsi"/>
                <w:sz w:val="20"/>
                <w:szCs w:val="20"/>
              </w:rPr>
              <w:t>NHI</w:t>
            </w:r>
            <w:r w:rsidR="00E9443E" w:rsidRPr="00767A4F">
              <w:rPr>
                <w:rFonts w:cstheme="minorHAnsi"/>
                <w:sz w:val="20"/>
                <w:szCs w:val="20"/>
              </w:rPr>
              <w:t>H</w:t>
            </w:r>
          </w:p>
        </w:tc>
        <w:tc>
          <w:tcPr>
            <w:tcW w:w="2268" w:type="dxa"/>
            <w:vAlign w:val="center"/>
          </w:tcPr>
          <w:p w14:paraId="717F21B0" w14:textId="77777777" w:rsidR="008B1049" w:rsidRPr="00767A4F" w:rsidRDefault="008B1049" w:rsidP="008B1049">
            <w:pPr>
              <w:pStyle w:val="Normal0"/>
              <w:widowControl w:val="0"/>
              <w:jc w:val="center"/>
              <w:rPr>
                <w:rFonts w:cstheme="minorHAnsi"/>
                <w:sz w:val="20"/>
                <w:szCs w:val="20"/>
              </w:rPr>
            </w:pPr>
            <w:r w:rsidRPr="00767A4F">
              <w:rPr>
                <w:rFonts w:cstheme="minorHAnsi"/>
                <w:sz w:val="20"/>
                <w:szCs w:val="20"/>
              </w:rPr>
              <w:t>Subsidies from state budget</w:t>
            </w:r>
          </w:p>
        </w:tc>
        <w:tc>
          <w:tcPr>
            <w:tcW w:w="2410" w:type="dxa"/>
            <w:vAlign w:val="center"/>
          </w:tcPr>
          <w:p w14:paraId="353C4C35" w14:textId="77777777" w:rsidR="008B1049" w:rsidRPr="00767A4F" w:rsidRDefault="008B1049" w:rsidP="008B1049">
            <w:pPr>
              <w:pStyle w:val="Normal0"/>
              <w:widowControl w:val="0"/>
              <w:jc w:val="center"/>
              <w:rPr>
                <w:rFonts w:cstheme="minorHAnsi"/>
                <w:sz w:val="20"/>
                <w:szCs w:val="20"/>
              </w:rPr>
            </w:pPr>
            <w:r w:rsidRPr="00767A4F">
              <w:rPr>
                <w:rFonts w:cstheme="minorHAnsi"/>
                <w:sz w:val="20"/>
                <w:szCs w:val="20"/>
              </w:rPr>
              <w:t>Revenues</w:t>
            </w:r>
          </w:p>
        </w:tc>
        <w:tc>
          <w:tcPr>
            <w:tcW w:w="1843" w:type="dxa"/>
            <w:vAlign w:val="center"/>
          </w:tcPr>
          <w:p w14:paraId="65445D0D" w14:textId="77777777" w:rsidR="008B1049" w:rsidRPr="00767A4F" w:rsidRDefault="008B1049" w:rsidP="008B1049">
            <w:pPr>
              <w:pStyle w:val="Normal0"/>
              <w:widowControl w:val="0"/>
              <w:jc w:val="center"/>
              <w:rPr>
                <w:rFonts w:cstheme="minorHAnsi"/>
                <w:sz w:val="20"/>
                <w:szCs w:val="20"/>
              </w:rPr>
            </w:pPr>
            <w:r w:rsidRPr="00767A4F">
              <w:rPr>
                <w:rFonts w:cstheme="minorHAnsi"/>
                <w:sz w:val="20"/>
                <w:szCs w:val="20"/>
              </w:rPr>
              <w:t>42XX00</w:t>
            </w:r>
          </w:p>
        </w:tc>
        <w:tc>
          <w:tcPr>
            <w:tcW w:w="3402" w:type="dxa"/>
            <w:vAlign w:val="center"/>
          </w:tcPr>
          <w:p w14:paraId="0AB2A6B9" w14:textId="37B60365" w:rsidR="008B1049" w:rsidRPr="00767A4F" w:rsidRDefault="008B1049" w:rsidP="008B1049">
            <w:pPr>
              <w:pStyle w:val="Normal0"/>
              <w:widowControl w:val="0"/>
              <w:jc w:val="both"/>
              <w:rPr>
                <w:rFonts w:cstheme="minorHAnsi"/>
                <w:sz w:val="20"/>
                <w:szCs w:val="20"/>
              </w:rPr>
            </w:pPr>
            <w:r w:rsidRPr="00767A4F">
              <w:rPr>
                <w:rFonts w:cstheme="minorHAnsi"/>
                <w:sz w:val="20"/>
                <w:szCs w:val="20"/>
              </w:rPr>
              <w:t>The line item is on revenues. It has not been created yet. It will be included in the budget</w:t>
            </w:r>
            <w:r w:rsidR="00E9443E" w:rsidRPr="00767A4F">
              <w:rPr>
                <w:rFonts w:cstheme="minorHAnsi"/>
                <w:sz w:val="20"/>
                <w:szCs w:val="20"/>
              </w:rPr>
              <w:t>ary</w:t>
            </w:r>
            <w:r w:rsidRPr="00767A4F">
              <w:rPr>
                <w:rFonts w:cstheme="minorHAnsi"/>
                <w:sz w:val="20"/>
                <w:szCs w:val="20"/>
              </w:rPr>
              <w:t xml:space="preserve"> classification once the primary legislation is approved.</w:t>
            </w:r>
          </w:p>
        </w:tc>
      </w:tr>
      <w:tr w:rsidR="008B1049" w:rsidRPr="00767A4F" w14:paraId="2C2B60BA" w14:textId="77777777" w:rsidTr="00273C9B">
        <w:trPr>
          <w:trHeight w:val="288"/>
        </w:trPr>
        <w:tc>
          <w:tcPr>
            <w:tcW w:w="2263" w:type="dxa"/>
            <w:noWrap/>
            <w:vAlign w:val="center"/>
            <w:hideMark/>
          </w:tcPr>
          <w:p w14:paraId="1FE403E7" w14:textId="77777777" w:rsidR="008B1049" w:rsidRPr="00F316AC" w:rsidRDefault="008B1049" w:rsidP="00273C9B">
            <w:pPr>
              <w:pStyle w:val="Normal0"/>
              <w:widowControl w:val="0"/>
              <w:rPr>
                <w:rFonts w:cstheme="minorHAnsi"/>
                <w:sz w:val="20"/>
                <w:szCs w:val="20"/>
              </w:rPr>
            </w:pPr>
            <w:r w:rsidRPr="00F316AC">
              <w:rPr>
                <w:rFonts w:cstheme="minorHAnsi"/>
                <w:sz w:val="20"/>
                <w:szCs w:val="20"/>
              </w:rPr>
              <w:t>NHIH administration costs</w:t>
            </w:r>
          </w:p>
        </w:tc>
        <w:tc>
          <w:tcPr>
            <w:tcW w:w="1701" w:type="dxa"/>
            <w:noWrap/>
            <w:vAlign w:val="center"/>
          </w:tcPr>
          <w:p w14:paraId="097665DA" w14:textId="57A8DED4" w:rsidR="008B1049" w:rsidRPr="00767A4F" w:rsidRDefault="008B1049" w:rsidP="00E9443E">
            <w:pPr>
              <w:pStyle w:val="Normal0"/>
              <w:widowControl w:val="0"/>
              <w:jc w:val="center"/>
              <w:rPr>
                <w:rFonts w:cstheme="minorHAnsi"/>
                <w:sz w:val="20"/>
                <w:szCs w:val="20"/>
              </w:rPr>
            </w:pPr>
            <w:r w:rsidRPr="00767A4F">
              <w:rPr>
                <w:rFonts w:cstheme="minorHAnsi"/>
                <w:sz w:val="20"/>
                <w:szCs w:val="20"/>
              </w:rPr>
              <w:t>NHI</w:t>
            </w:r>
            <w:r w:rsidR="00E9443E" w:rsidRPr="00767A4F">
              <w:rPr>
                <w:rFonts w:cstheme="minorHAnsi"/>
                <w:sz w:val="20"/>
                <w:szCs w:val="20"/>
              </w:rPr>
              <w:t>H</w:t>
            </w:r>
          </w:p>
        </w:tc>
        <w:tc>
          <w:tcPr>
            <w:tcW w:w="2268" w:type="dxa"/>
            <w:noWrap/>
            <w:vAlign w:val="center"/>
          </w:tcPr>
          <w:p w14:paraId="1E2E17C4" w14:textId="77777777" w:rsidR="008B1049" w:rsidRPr="00767A4F" w:rsidRDefault="008B1049" w:rsidP="008B1049">
            <w:pPr>
              <w:pStyle w:val="Normal0"/>
              <w:widowControl w:val="0"/>
              <w:jc w:val="center"/>
              <w:rPr>
                <w:rFonts w:cstheme="minorHAnsi"/>
                <w:sz w:val="20"/>
                <w:szCs w:val="20"/>
              </w:rPr>
            </w:pPr>
            <w:r w:rsidRPr="00767A4F">
              <w:rPr>
                <w:rFonts w:cstheme="minorHAnsi"/>
                <w:sz w:val="20"/>
                <w:szCs w:val="20"/>
              </w:rPr>
              <w:t>Central administration</w:t>
            </w:r>
          </w:p>
        </w:tc>
        <w:tc>
          <w:tcPr>
            <w:tcW w:w="2410" w:type="dxa"/>
            <w:vAlign w:val="center"/>
          </w:tcPr>
          <w:p w14:paraId="69527D30" w14:textId="77777777" w:rsidR="008B1049" w:rsidRPr="00767A4F" w:rsidRDefault="008B1049" w:rsidP="008B1049">
            <w:pPr>
              <w:pStyle w:val="Normal0"/>
              <w:widowControl w:val="0"/>
              <w:jc w:val="center"/>
              <w:rPr>
                <w:rFonts w:cstheme="minorHAnsi"/>
                <w:sz w:val="20"/>
                <w:szCs w:val="20"/>
              </w:rPr>
            </w:pPr>
            <w:r w:rsidRPr="00767A4F">
              <w:rPr>
                <w:rFonts w:cstheme="minorHAnsi"/>
                <w:sz w:val="20"/>
                <w:szCs w:val="20"/>
              </w:rPr>
              <w:t>Personnel expenditure</w:t>
            </w:r>
          </w:p>
          <w:p w14:paraId="1C99831D" w14:textId="77777777" w:rsidR="008B1049" w:rsidRPr="00767A4F" w:rsidRDefault="008B1049" w:rsidP="008B1049">
            <w:pPr>
              <w:pStyle w:val="Normal0"/>
              <w:widowControl w:val="0"/>
              <w:jc w:val="center"/>
              <w:rPr>
                <w:rFonts w:cstheme="minorHAnsi"/>
                <w:sz w:val="20"/>
                <w:szCs w:val="20"/>
              </w:rPr>
            </w:pPr>
            <w:r w:rsidRPr="00767A4F">
              <w:rPr>
                <w:rFonts w:cstheme="minorHAnsi"/>
                <w:sz w:val="20"/>
                <w:szCs w:val="20"/>
              </w:rPr>
              <w:t>Goods &amp; services</w:t>
            </w:r>
          </w:p>
        </w:tc>
        <w:tc>
          <w:tcPr>
            <w:tcW w:w="1843" w:type="dxa"/>
            <w:vAlign w:val="center"/>
          </w:tcPr>
          <w:p w14:paraId="4847BFDC" w14:textId="77777777" w:rsidR="008B1049" w:rsidRPr="00767A4F" w:rsidRDefault="008B1049" w:rsidP="008B1049">
            <w:pPr>
              <w:pStyle w:val="Normal0"/>
              <w:widowControl w:val="0"/>
              <w:jc w:val="center"/>
              <w:rPr>
                <w:rFonts w:cstheme="minorHAnsi"/>
                <w:sz w:val="20"/>
                <w:szCs w:val="20"/>
              </w:rPr>
            </w:pPr>
            <w:r w:rsidRPr="00767A4F">
              <w:rPr>
                <w:rFonts w:cstheme="minorHAnsi"/>
                <w:sz w:val="20"/>
                <w:szCs w:val="20"/>
              </w:rPr>
              <w:t>66010010XXXX</w:t>
            </w:r>
          </w:p>
          <w:p w14:paraId="039829FA" w14:textId="77777777" w:rsidR="008B1049" w:rsidRPr="00767A4F" w:rsidRDefault="008B1049" w:rsidP="008B1049">
            <w:pPr>
              <w:pStyle w:val="Normal0"/>
              <w:widowControl w:val="0"/>
              <w:jc w:val="center"/>
              <w:rPr>
                <w:rFonts w:cstheme="minorHAnsi"/>
                <w:sz w:val="20"/>
                <w:szCs w:val="20"/>
              </w:rPr>
            </w:pPr>
            <w:r w:rsidRPr="00767A4F">
              <w:rPr>
                <w:rFonts w:cstheme="minorHAnsi"/>
                <w:sz w:val="20"/>
                <w:szCs w:val="20"/>
              </w:rPr>
              <w:t>66010020XXXX</w:t>
            </w:r>
          </w:p>
        </w:tc>
        <w:tc>
          <w:tcPr>
            <w:tcW w:w="3402" w:type="dxa"/>
            <w:vAlign w:val="center"/>
          </w:tcPr>
          <w:p w14:paraId="7F8F0122" w14:textId="77777777" w:rsidR="008B1049" w:rsidRPr="00767A4F" w:rsidRDefault="008B1049" w:rsidP="008B1049">
            <w:pPr>
              <w:pStyle w:val="Normal0"/>
              <w:widowControl w:val="0"/>
              <w:jc w:val="both"/>
              <w:rPr>
                <w:rFonts w:cstheme="minorHAnsi"/>
                <w:sz w:val="20"/>
                <w:szCs w:val="20"/>
              </w:rPr>
            </w:pPr>
            <w:r w:rsidRPr="00767A4F">
              <w:rPr>
                <w:rFonts w:cstheme="minorHAnsi"/>
                <w:sz w:val="20"/>
                <w:szCs w:val="20"/>
              </w:rPr>
              <w:t>All expenditure paragraphs associated with the specified codes</w:t>
            </w:r>
          </w:p>
        </w:tc>
      </w:tr>
      <w:tr w:rsidR="008B1049" w:rsidRPr="00767A4F" w14:paraId="1B7570D9" w14:textId="77777777" w:rsidTr="00273C9B">
        <w:trPr>
          <w:trHeight w:val="288"/>
        </w:trPr>
        <w:tc>
          <w:tcPr>
            <w:tcW w:w="2263" w:type="dxa"/>
            <w:noWrap/>
            <w:vAlign w:val="center"/>
            <w:hideMark/>
          </w:tcPr>
          <w:p w14:paraId="172A7E4A" w14:textId="77777777" w:rsidR="008B1049" w:rsidRPr="00F316AC" w:rsidRDefault="008B1049" w:rsidP="00273C9B">
            <w:pPr>
              <w:pStyle w:val="Normal0"/>
              <w:widowControl w:val="0"/>
              <w:rPr>
                <w:rFonts w:cstheme="minorHAnsi"/>
                <w:sz w:val="20"/>
                <w:szCs w:val="20"/>
              </w:rPr>
            </w:pPr>
            <w:r w:rsidRPr="00F316AC">
              <w:rPr>
                <w:rFonts w:cstheme="minorHAnsi"/>
                <w:sz w:val="20"/>
                <w:szCs w:val="20"/>
              </w:rPr>
              <w:t>Community nurses</w:t>
            </w:r>
          </w:p>
        </w:tc>
        <w:tc>
          <w:tcPr>
            <w:tcW w:w="1701" w:type="dxa"/>
            <w:noWrap/>
            <w:vAlign w:val="center"/>
          </w:tcPr>
          <w:p w14:paraId="543B91A2" w14:textId="77777777" w:rsidR="008B1049" w:rsidRPr="00767A4F" w:rsidRDefault="008B1049" w:rsidP="00E9443E">
            <w:pPr>
              <w:pStyle w:val="Normal0"/>
              <w:widowControl w:val="0"/>
              <w:jc w:val="center"/>
              <w:rPr>
                <w:rFonts w:cstheme="minorHAnsi"/>
                <w:sz w:val="20"/>
                <w:szCs w:val="20"/>
              </w:rPr>
            </w:pPr>
            <w:r w:rsidRPr="00767A4F">
              <w:rPr>
                <w:rFonts w:cstheme="minorHAnsi"/>
                <w:sz w:val="20"/>
                <w:szCs w:val="20"/>
              </w:rPr>
              <w:t>MoH</w:t>
            </w:r>
          </w:p>
        </w:tc>
        <w:tc>
          <w:tcPr>
            <w:tcW w:w="2268" w:type="dxa"/>
            <w:noWrap/>
            <w:vAlign w:val="center"/>
          </w:tcPr>
          <w:p w14:paraId="0C4EC8E6" w14:textId="77777777" w:rsidR="008B1049" w:rsidRPr="00767A4F" w:rsidRDefault="008B1049" w:rsidP="008B1049">
            <w:pPr>
              <w:pStyle w:val="Normal0"/>
              <w:widowControl w:val="0"/>
              <w:jc w:val="center"/>
              <w:rPr>
                <w:rFonts w:cstheme="minorHAnsi"/>
                <w:sz w:val="20"/>
                <w:szCs w:val="20"/>
              </w:rPr>
            </w:pPr>
            <w:r w:rsidRPr="00767A4F">
              <w:rPr>
                <w:rFonts w:cstheme="minorHAnsi"/>
                <w:sz w:val="20"/>
                <w:szCs w:val="20"/>
              </w:rPr>
              <w:t>Other institutions and health actions</w:t>
            </w:r>
          </w:p>
        </w:tc>
        <w:tc>
          <w:tcPr>
            <w:tcW w:w="2410" w:type="dxa"/>
            <w:vAlign w:val="center"/>
          </w:tcPr>
          <w:p w14:paraId="457DD940" w14:textId="77777777" w:rsidR="008B1049" w:rsidRPr="00767A4F" w:rsidRDefault="008B1049" w:rsidP="008B1049">
            <w:pPr>
              <w:pStyle w:val="Normal0"/>
              <w:widowControl w:val="0"/>
              <w:jc w:val="center"/>
              <w:rPr>
                <w:rFonts w:cstheme="minorHAnsi"/>
                <w:sz w:val="20"/>
                <w:szCs w:val="20"/>
              </w:rPr>
            </w:pPr>
            <w:r w:rsidRPr="00767A4F">
              <w:rPr>
                <w:rFonts w:cstheme="minorHAnsi"/>
                <w:sz w:val="20"/>
                <w:szCs w:val="20"/>
              </w:rPr>
              <w:t>Transfers from state budget to local budgets for health financing</w:t>
            </w:r>
          </w:p>
          <w:p w14:paraId="080440D9" w14:textId="77777777" w:rsidR="008B1049" w:rsidRPr="00767A4F" w:rsidRDefault="008B1049" w:rsidP="008B1049">
            <w:pPr>
              <w:pStyle w:val="Normal0"/>
              <w:widowControl w:val="0"/>
              <w:jc w:val="center"/>
              <w:rPr>
                <w:rFonts w:cstheme="minorHAnsi"/>
                <w:sz w:val="20"/>
                <w:szCs w:val="20"/>
              </w:rPr>
            </w:pPr>
            <w:r w:rsidRPr="00767A4F">
              <w:rPr>
                <w:rFonts w:cstheme="minorHAnsi"/>
                <w:sz w:val="20"/>
                <w:szCs w:val="20"/>
              </w:rPr>
              <w:t>Financing of medical assistance in school health units</w:t>
            </w:r>
          </w:p>
        </w:tc>
        <w:tc>
          <w:tcPr>
            <w:tcW w:w="1843" w:type="dxa"/>
            <w:vAlign w:val="center"/>
          </w:tcPr>
          <w:p w14:paraId="26387B15" w14:textId="77777777" w:rsidR="008B1049" w:rsidRPr="00767A4F" w:rsidRDefault="008B1049" w:rsidP="008B1049">
            <w:pPr>
              <w:pStyle w:val="Normal0"/>
              <w:widowControl w:val="0"/>
              <w:jc w:val="center"/>
              <w:rPr>
                <w:rFonts w:cstheme="minorHAnsi"/>
                <w:sz w:val="20"/>
                <w:szCs w:val="20"/>
              </w:rPr>
            </w:pPr>
            <w:r w:rsidRPr="00767A4F">
              <w:rPr>
                <w:rFonts w:cstheme="minorHAnsi"/>
                <w:sz w:val="20"/>
                <w:szCs w:val="20"/>
              </w:rPr>
              <w:t>665050510145</w:t>
            </w:r>
          </w:p>
          <w:p w14:paraId="5FD69B96" w14:textId="77777777" w:rsidR="008B1049" w:rsidRPr="00767A4F" w:rsidRDefault="008B1049" w:rsidP="008B1049">
            <w:pPr>
              <w:pStyle w:val="Normal0"/>
              <w:widowControl w:val="0"/>
              <w:jc w:val="center"/>
              <w:rPr>
                <w:rFonts w:cstheme="minorHAnsi"/>
                <w:sz w:val="20"/>
                <w:szCs w:val="20"/>
              </w:rPr>
            </w:pPr>
          </w:p>
          <w:p w14:paraId="471BA3DB" w14:textId="77777777" w:rsidR="008B1049" w:rsidRPr="00767A4F" w:rsidRDefault="008B1049" w:rsidP="008B1049">
            <w:pPr>
              <w:pStyle w:val="Normal0"/>
              <w:widowControl w:val="0"/>
              <w:jc w:val="center"/>
              <w:rPr>
                <w:rFonts w:cstheme="minorHAnsi"/>
                <w:sz w:val="20"/>
                <w:szCs w:val="20"/>
              </w:rPr>
            </w:pPr>
            <w:r w:rsidRPr="00767A4F">
              <w:rPr>
                <w:rFonts w:cstheme="minorHAnsi"/>
                <w:sz w:val="20"/>
                <w:szCs w:val="20"/>
              </w:rPr>
              <w:t>665050203300</w:t>
            </w:r>
          </w:p>
        </w:tc>
        <w:tc>
          <w:tcPr>
            <w:tcW w:w="3402" w:type="dxa"/>
            <w:vAlign w:val="center"/>
          </w:tcPr>
          <w:p w14:paraId="0A69E4A6" w14:textId="77777777" w:rsidR="008B1049" w:rsidRPr="00767A4F" w:rsidRDefault="008B1049" w:rsidP="00273C9B">
            <w:pPr>
              <w:pStyle w:val="Normal0"/>
              <w:widowControl w:val="0"/>
              <w:rPr>
                <w:rFonts w:cstheme="minorHAnsi"/>
                <w:sz w:val="20"/>
                <w:szCs w:val="20"/>
              </w:rPr>
            </w:pPr>
          </w:p>
        </w:tc>
      </w:tr>
      <w:tr w:rsidR="008B1049" w:rsidRPr="00767A4F" w14:paraId="3C012482" w14:textId="77777777" w:rsidTr="00273C9B">
        <w:trPr>
          <w:trHeight w:val="288"/>
        </w:trPr>
        <w:tc>
          <w:tcPr>
            <w:tcW w:w="2263" w:type="dxa"/>
            <w:noWrap/>
            <w:vAlign w:val="center"/>
            <w:hideMark/>
          </w:tcPr>
          <w:p w14:paraId="037705AF" w14:textId="77777777" w:rsidR="008B1049" w:rsidRPr="00767A4F" w:rsidRDefault="008B1049" w:rsidP="00273C9B">
            <w:pPr>
              <w:pStyle w:val="Normal0"/>
              <w:widowControl w:val="0"/>
              <w:rPr>
                <w:rFonts w:cstheme="minorHAnsi"/>
                <w:sz w:val="20"/>
                <w:szCs w:val="20"/>
              </w:rPr>
            </w:pPr>
            <w:r w:rsidRPr="00F316AC">
              <w:rPr>
                <w:rFonts w:cstheme="minorHAnsi"/>
                <w:sz w:val="20"/>
                <w:szCs w:val="20"/>
              </w:rPr>
              <w:t>MoH specialized units running costs</w:t>
            </w:r>
            <w:r w:rsidRPr="00767A4F">
              <w:rPr>
                <w:rFonts w:cstheme="minorHAnsi"/>
                <w:sz w:val="20"/>
                <w:szCs w:val="20"/>
              </w:rPr>
              <w:t xml:space="preserve"> (community care, pricing)</w:t>
            </w:r>
          </w:p>
        </w:tc>
        <w:tc>
          <w:tcPr>
            <w:tcW w:w="1701" w:type="dxa"/>
            <w:noWrap/>
            <w:vAlign w:val="center"/>
          </w:tcPr>
          <w:p w14:paraId="0821BDAE" w14:textId="77777777" w:rsidR="008B1049" w:rsidRPr="00767A4F" w:rsidRDefault="008B1049" w:rsidP="00E9443E">
            <w:pPr>
              <w:pStyle w:val="Normal0"/>
              <w:widowControl w:val="0"/>
              <w:jc w:val="center"/>
              <w:rPr>
                <w:rFonts w:cstheme="minorHAnsi"/>
                <w:sz w:val="20"/>
                <w:szCs w:val="20"/>
              </w:rPr>
            </w:pPr>
            <w:r w:rsidRPr="00767A4F">
              <w:rPr>
                <w:rFonts w:cstheme="minorHAnsi"/>
                <w:sz w:val="20"/>
                <w:szCs w:val="20"/>
              </w:rPr>
              <w:t>MoH</w:t>
            </w:r>
          </w:p>
        </w:tc>
        <w:tc>
          <w:tcPr>
            <w:tcW w:w="2268" w:type="dxa"/>
            <w:noWrap/>
            <w:vAlign w:val="center"/>
          </w:tcPr>
          <w:p w14:paraId="11766B0B" w14:textId="77777777" w:rsidR="008B1049" w:rsidRPr="00767A4F" w:rsidRDefault="008B1049" w:rsidP="008B1049">
            <w:pPr>
              <w:pStyle w:val="Normal0"/>
              <w:widowControl w:val="0"/>
              <w:jc w:val="center"/>
              <w:rPr>
                <w:rFonts w:cstheme="minorHAnsi"/>
                <w:sz w:val="20"/>
                <w:szCs w:val="20"/>
              </w:rPr>
            </w:pPr>
            <w:r w:rsidRPr="00767A4F">
              <w:rPr>
                <w:rFonts w:cstheme="minorHAnsi"/>
                <w:sz w:val="20"/>
                <w:szCs w:val="20"/>
              </w:rPr>
              <w:t>Central administration</w:t>
            </w:r>
          </w:p>
        </w:tc>
        <w:tc>
          <w:tcPr>
            <w:tcW w:w="2410" w:type="dxa"/>
            <w:vAlign w:val="center"/>
          </w:tcPr>
          <w:p w14:paraId="06F54CA2" w14:textId="77777777" w:rsidR="008B1049" w:rsidRPr="00767A4F" w:rsidRDefault="008B1049" w:rsidP="008B1049">
            <w:pPr>
              <w:pStyle w:val="Normal0"/>
              <w:widowControl w:val="0"/>
              <w:jc w:val="center"/>
              <w:rPr>
                <w:rFonts w:cstheme="minorHAnsi"/>
                <w:sz w:val="20"/>
                <w:szCs w:val="20"/>
              </w:rPr>
            </w:pPr>
            <w:r w:rsidRPr="00767A4F">
              <w:rPr>
                <w:rFonts w:cstheme="minorHAnsi"/>
                <w:sz w:val="20"/>
                <w:szCs w:val="20"/>
              </w:rPr>
              <w:t>Personnel expenditure</w:t>
            </w:r>
          </w:p>
        </w:tc>
        <w:tc>
          <w:tcPr>
            <w:tcW w:w="1843" w:type="dxa"/>
            <w:vAlign w:val="center"/>
          </w:tcPr>
          <w:p w14:paraId="0B8988D8" w14:textId="77777777" w:rsidR="008B1049" w:rsidRPr="00767A4F" w:rsidRDefault="008B1049" w:rsidP="008B1049">
            <w:pPr>
              <w:pStyle w:val="Normal0"/>
              <w:widowControl w:val="0"/>
              <w:jc w:val="center"/>
              <w:rPr>
                <w:rFonts w:cstheme="minorHAnsi"/>
                <w:sz w:val="20"/>
                <w:szCs w:val="20"/>
              </w:rPr>
            </w:pPr>
            <w:r w:rsidRPr="00767A4F">
              <w:rPr>
                <w:rFonts w:cstheme="minorHAnsi"/>
                <w:sz w:val="20"/>
                <w:szCs w:val="20"/>
              </w:rPr>
              <w:t>66010010XXXX</w:t>
            </w:r>
          </w:p>
        </w:tc>
        <w:tc>
          <w:tcPr>
            <w:tcW w:w="3402" w:type="dxa"/>
            <w:vAlign w:val="center"/>
          </w:tcPr>
          <w:p w14:paraId="36537D78" w14:textId="50AEDF07" w:rsidR="008B1049" w:rsidRPr="00767A4F" w:rsidRDefault="008B1049" w:rsidP="008B1049">
            <w:pPr>
              <w:pStyle w:val="Normal0"/>
              <w:widowControl w:val="0"/>
              <w:jc w:val="both"/>
              <w:rPr>
                <w:rFonts w:cstheme="minorHAnsi"/>
                <w:sz w:val="20"/>
                <w:szCs w:val="20"/>
              </w:rPr>
            </w:pPr>
            <w:r w:rsidRPr="00767A4F">
              <w:rPr>
                <w:rFonts w:cstheme="minorHAnsi"/>
                <w:sz w:val="20"/>
                <w:szCs w:val="20"/>
              </w:rPr>
              <w:t>The expenditure on the specified codes includes more personnel than</w:t>
            </w:r>
            <w:r w:rsidR="00E9443E" w:rsidRPr="00767A4F">
              <w:rPr>
                <w:rFonts w:cstheme="minorHAnsi"/>
                <w:sz w:val="20"/>
                <w:szCs w:val="20"/>
              </w:rPr>
              <w:t xml:space="preserve"> </w:t>
            </w:r>
            <w:r w:rsidR="00E9443E" w:rsidRPr="00767A4F">
              <w:rPr>
                <w:rFonts w:cstheme="minorHAnsi"/>
                <w:sz w:val="20"/>
                <w:szCs w:val="20"/>
              </w:rPr>
              <w:t>the one</w:t>
            </w:r>
            <w:r w:rsidRPr="00767A4F">
              <w:rPr>
                <w:rFonts w:cstheme="minorHAnsi"/>
                <w:sz w:val="20"/>
                <w:szCs w:val="20"/>
              </w:rPr>
              <w:t xml:space="preserve"> related to community care and pricing. For exact numbers, the budget department </w:t>
            </w:r>
            <w:r w:rsidR="00E9443E" w:rsidRPr="00767A4F">
              <w:rPr>
                <w:rFonts w:cstheme="minorHAnsi"/>
                <w:sz w:val="20"/>
                <w:szCs w:val="20"/>
              </w:rPr>
              <w:t xml:space="preserve">of MoH </w:t>
            </w:r>
            <w:r w:rsidRPr="00767A4F">
              <w:rPr>
                <w:rFonts w:cstheme="minorHAnsi"/>
                <w:sz w:val="20"/>
                <w:szCs w:val="20"/>
              </w:rPr>
              <w:t>should be approached.</w:t>
            </w:r>
          </w:p>
        </w:tc>
      </w:tr>
      <w:tr w:rsidR="008B1049" w:rsidRPr="00767A4F" w14:paraId="339ED61E" w14:textId="77777777" w:rsidTr="00273C9B">
        <w:trPr>
          <w:trHeight w:val="288"/>
        </w:trPr>
        <w:tc>
          <w:tcPr>
            <w:tcW w:w="2263" w:type="dxa"/>
            <w:noWrap/>
            <w:vAlign w:val="center"/>
          </w:tcPr>
          <w:p w14:paraId="12E266BF" w14:textId="77777777" w:rsidR="008B1049" w:rsidRPr="00767A4F" w:rsidRDefault="008B1049" w:rsidP="00273C9B">
            <w:pPr>
              <w:pStyle w:val="Normal0"/>
              <w:widowControl w:val="0"/>
              <w:rPr>
                <w:rFonts w:cstheme="minorHAnsi"/>
                <w:sz w:val="20"/>
                <w:szCs w:val="20"/>
              </w:rPr>
            </w:pPr>
            <w:r w:rsidRPr="00F316AC">
              <w:rPr>
                <w:rFonts w:cstheme="minorHAnsi"/>
                <w:sz w:val="20"/>
                <w:szCs w:val="20"/>
              </w:rPr>
              <w:t>MoH specialized units running costs</w:t>
            </w:r>
            <w:r w:rsidRPr="00767A4F">
              <w:rPr>
                <w:rFonts w:cstheme="minorHAnsi"/>
                <w:sz w:val="20"/>
                <w:szCs w:val="20"/>
              </w:rPr>
              <w:t xml:space="preserve"> (HTA)</w:t>
            </w:r>
          </w:p>
        </w:tc>
        <w:tc>
          <w:tcPr>
            <w:tcW w:w="1701" w:type="dxa"/>
            <w:noWrap/>
            <w:vAlign w:val="center"/>
          </w:tcPr>
          <w:p w14:paraId="128C66DC" w14:textId="77777777" w:rsidR="008B1049" w:rsidRPr="00767A4F" w:rsidRDefault="008B1049" w:rsidP="00273C9B">
            <w:pPr>
              <w:pStyle w:val="Normal0"/>
              <w:widowControl w:val="0"/>
              <w:rPr>
                <w:rFonts w:cstheme="minorHAnsi"/>
                <w:sz w:val="20"/>
                <w:szCs w:val="20"/>
              </w:rPr>
            </w:pPr>
            <w:r w:rsidRPr="00767A4F">
              <w:rPr>
                <w:rFonts w:cstheme="minorHAnsi"/>
                <w:sz w:val="20"/>
                <w:szCs w:val="20"/>
              </w:rPr>
              <w:t>MoH – National Agency for Medicines and Medical Devices</w:t>
            </w:r>
          </w:p>
        </w:tc>
        <w:tc>
          <w:tcPr>
            <w:tcW w:w="2268" w:type="dxa"/>
            <w:noWrap/>
            <w:vAlign w:val="center"/>
          </w:tcPr>
          <w:p w14:paraId="2F52C59D" w14:textId="77777777" w:rsidR="008B1049" w:rsidRPr="00767A4F" w:rsidRDefault="008B1049" w:rsidP="008B1049">
            <w:pPr>
              <w:pStyle w:val="Normal0"/>
              <w:widowControl w:val="0"/>
              <w:jc w:val="center"/>
              <w:rPr>
                <w:rFonts w:cstheme="minorHAnsi"/>
                <w:sz w:val="20"/>
                <w:szCs w:val="20"/>
              </w:rPr>
            </w:pPr>
            <w:r w:rsidRPr="00767A4F">
              <w:rPr>
                <w:rFonts w:cstheme="minorHAnsi"/>
                <w:sz w:val="20"/>
                <w:szCs w:val="20"/>
              </w:rPr>
              <w:t>Other institutions and health actions</w:t>
            </w:r>
          </w:p>
        </w:tc>
        <w:tc>
          <w:tcPr>
            <w:tcW w:w="2410" w:type="dxa"/>
            <w:vAlign w:val="center"/>
          </w:tcPr>
          <w:p w14:paraId="1573DAA6" w14:textId="77777777" w:rsidR="008B1049" w:rsidRPr="00767A4F" w:rsidRDefault="008B1049" w:rsidP="008B1049">
            <w:pPr>
              <w:pStyle w:val="Normal0"/>
              <w:widowControl w:val="0"/>
              <w:jc w:val="center"/>
              <w:rPr>
                <w:rFonts w:cstheme="minorHAnsi"/>
                <w:sz w:val="20"/>
                <w:szCs w:val="20"/>
              </w:rPr>
            </w:pPr>
            <w:r w:rsidRPr="00767A4F">
              <w:rPr>
                <w:rFonts w:cstheme="minorHAnsi"/>
                <w:sz w:val="20"/>
                <w:szCs w:val="20"/>
              </w:rPr>
              <w:t>Personnel expenditure</w:t>
            </w:r>
          </w:p>
        </w:tc>
        <w:tc>
          <w:tcPr>
            <w:tcW w:w="1843" w:type="dxa"/>
            <w:vAlign w:val="center"/>
          </w:tcPr>
          <w:p w14:paraId="1897D824" w14:textId="77777777" w:rsidR="008B1049" w:rsidRPr="00767A4F" w:rsidRDefault="008B1049" w:rsidP="008B1049">
            <w:pPr>
              <w:pStyle w:val="Normal0"/>
              <w:widowControl w:val="0"/>
              <w:jc w:val="center"/>
              <w:rPr>
                <w:rFonts w:cstheme="minorHAnsi"/>
                <w:sz w:val="20"/>
                <w:szCs w:val="20"/>
              </w:rPr>
            </w:pPr>
            <w:r w:rsidRPr="00767A4F">
              <w:rPr>
                <w:rFonts w:cstheme="minorHAnsi"/>
                <w:sz w:val="20"/>
                <w:szCs w:val="20"/>
              </w:rPr>
              <w:t>66505010XXXX</w:t>
            </w:r>
          </w:p>
        </w:tc>
        <w:tc>
          <w:tcPr>
            <w:tcW w:w="3402" w:type="dxa"/>
            <w:vAlign w:val="center"/>
          </w:tcPr>
          <w:p w14:paraId="144B9BA5" w14:textId="1F3DC177" w:rsidR="008B1049" w:rsidRPr="00767A4F" w:rsidRDefault="008B1049" w:rsidP="008B1049">
            <w:pPr>
              <w:pStyle w:val="Normal0"/>
              <w:widowControl w:val="0"/>
              <w:jc w:val="both"/>
              <w:rPr>
                <w:rFonts w:cstheme="minorHAnsi"/>
                <w:sz w:val="20"/>
                <w:szCs w:val="20"/>
              </w:rPr>
            </w:pPr>
            <w:r w:rsidRPr="00767A4F">
              <w:rPr>
                <w:rFonts w:cstheme="minorHAnsi"/>
                <w:sz w:val="20"/>
                <w:szCs w:val="20"/>
              </w:rPr>
              <w:t xml:space="preserve">The expenditure on the specified codes includes more personnel than </w:t>
            </w:r>
            <w:r w:rsidR="00E9443E" w:rsidRPr="00767A4F">
              <w:rPr>
                <w:rFonts w:cstheme="minorHAnsi"/>
                <w:sz w:val="20"/>
                <w:szCs w:val="20"/>
              </w:rPr>
              <w:t xml:space="preserve">the one </w:t>
            </w:r>
            <w:r w:rsidRPr="00767A4F">
              <w:rPr>
                <w:rFonts w:cstheme="minorHAnsi"/>
                <w:sz w:val="20"/>
                <w:szCs w:val="20"/>
              </w:rPr>
              <w:t xml:space="preserve">related to HTA. For exact numbers, the budget department </w:t>
            </w:r>
            <w:r w:rsidR="00E9443E" w:rsidRPr="00767A4F">
              <w:rPr>
                <w:rFonts w:cstheme="minorHAnsi"/>
                <w:sz w:val="20"/>
                <w:szCs w:val="20"/>
              </w:rPr>
              <w:t xml:space="preserve">of MoH </w:t>
            </w:r>
            <w:r w:rsidRPr="00767A4F">
              <w:rPr>
                <w:rFonts w:cstheme="minorHAnsi"/>
                <w:sz w:val="20"/>
                <w:szCs w:val="20"/>
              </w:rPr>
              <w:t>should be approached.</w:t>
            </w:r>
          </w:p>
        </w:tc>
      </w:tr>
      <w:tr w:rsidR="008B1049" w:rsidRPr="00767A4F" w14:paraId="208480C9" w14:textId="77777777" w:rsidTr="00273C9B">
        <w:trPr>
          <w:trHeight w:val="288"/>
        </w:trPr>
        <w:tc>
          <w:tcPr>
            <w:tcW w:w="2263" w:type="dxa"/>
            <w:noWrap/>
            <w:vAlign w:val="center"/>
            <w:hideMark/>
          </w:tcPr>
          <w:p w14:paraId="6F891A2E" w14:textId="77777777" w:rsidR="008B1049" w:rsidRPr="00F316AC" w:rsidRDefault="008B1049" w:rsidP="00273C9B">
            <w:pPr>
              <w:pStyle w:val="Normal0"/>
              <w:widowControl w:val="0"/>
              <w:rPr>
                <w:rFonts w:cstheme="minorHAnsi"/>
                <w:sz w:val="20"/>
                <w:szCs w:val="20"/>
              </w:rPr>
            </w:pPr>
            <w:r w:rsidRPr="00F316AC">
              <w:rPr>
                <w:rFonts w:cstheme="minorHAnsi"/>
                <w:sz w:val="20"/>
                <w:szCs w:val="20"/>
              </w:rPr>
              <w:lastRenderedPageBreak/>
              <w:t>ONAC running costs</w:t>
            </w:r>
          </w:p>
        </w:tc>
        <w:tc>
          <w:tcPr>
            <w:tcW w:w="1701" w:type="dxa"/>
            <w:noWrap/>
            <w:vAlign w:val="center"/>
          </w:tcPr>
          <w:p w14:paraId="79BE5C61" w14:textId="77777777" w:rsidR="008B1049" w:rsidRPr="00767A4F" w:rsidRDefault="008B1049" w:rsidP="00273C9B">
            <w:pPr>
              <w:pStyle w:val="Normal0"/>
              <w:widowControl w:val="0"/>
              <w:rPr>
                <w:rFonts w:cstheme="minorHAnsi"/>
                <w:sz w:val="20"/>
                <w:szCs w:val="20"/>
              </w:rPr>
            </w:pPr>
            <w:proofErr w:type="spellStart"/>
            <w:r w:rsidRPr="00767A4F">
              <w:rPr>
                <w:rFonts w:cstheme="minorHAnsi"/>
                <w:sz w:val="20"/>
                <w:szCs w:val="20"/>
              </w:rPr>
              <w:t>MoF</w:t>
            </w:r>
            <w:proofErr w:type="spellEnd"/>
            <w:r w:rsidRPr="00767A4F">
              <w:rPr>
                <w:rFonts w:cstheme="minorHAnsi"/>
                <w:sz w:val="20"/>
                <w:szCs w:val="20"/>
              </w:rPr>
              <w:t xml:space="preserve"> - ONAC</w:t>
            </w:r>
          </w:p>
        </w:tc>
        <w:tc>
          <w:tcPr>
            <w:tcW w:w="2268" w:type="dxa"/>
            <w:noWrap/>
            <w:vAlign w:val="center"/>
          </w:tcPr>
          <w:p w14:paraId="16EAF73E" w14:textId="77777777" w:rsidR="008B1049" w:rsidRPr="00767A4F" w:rsidRDefault="008B1049" w:rsidP="008B1049">
            <w:pPr>
              <w:pStyle w:val="Normal0"/>
              <w:widowControl w:val="0"/>
              <w:jc w:val="center"/>
              <w:rPr>
                <w:rFonts w:cstheme="minorHAnsi"/>
                <w:sz w:val="20"/>
                <w:szCs w:val="20"/>
              </w:rPr>
            </w:pPr>
            <w:r w:rsidRPr="00767A4F">
              <w:rPr>
                <w:rFonts w:cstheme="minorHAnsi"/>
                <w:sz w:val="20"/>
                <w:szCs w:val="20"/>
              </w:rPr>
              <w:t>Executive authorities</w:t>
            </w:r>
          </w:p>
        </w:tc>
        <w:tc>
          <w:tcPr>
            <w:tcW w:w="2410" w:type="dxa"/>
            <w:vAlign w:val="center"/>
          </w:tcPr>
          <w:p w14:paraId="4F1BBEB1" w14:textId="77777777" w:rsidR="008B1049" w:rsidRPr="00767A4F" w:rsidRDefault="008B1049" w:rsidP="008B1049">
            <w:pPr>
              <w:pStyle w:val="Normal0"/>
              <w:widowControl w:val="0"/>
              <w:jc w:val="center"/>
              <w:rPr>
                <w:rFonts w:cstheme="minorHAnsi"/>
                <w:sz w:val="20"/>
                <w:szCs w:val="20"/>
              </w:rPr>
            </w:pPr>
            <w:r w:rsidRPr="00767A4F">
              <w:rPr>
                <w:rFonts w:cstheme="minorHAnsi"/>
                <w:sz w:val="20"/>
                <w:szCs w:val="20"/>
              </w:rPr>
              <w:t>Personnel expenditure</w:t>
            </w:r>
          </w:p>
          <w:p w14:paraId="766F7CD7" w14:textId="77777777" w:rsidR="008B1049" w:rsidRPr="00767A4F" w:rsidRDefault="008B1049" w:rsidP="008B1049">
            <w:pPr>
              <w:pStyle w:val="Normal0"/>
              <w:widowControl w:val="0"/>
              <w:jc w:val="center"/>
              <w:rPr>
                <w:rFonts w:cstheme="minorHAnsi"/>
                <w:sz w:val="20"/>
                <w:szCs w:val="20"/>
              </w:rPr>
            </w:pPr>
            <w:r w:rsidRPr="00767A4F">
              <w:rPr>
                <w:rFonts w:cstheme="minorHAnsi"/>
                <w:sz w:val="20"/>
                <w:szCs w:val="20"/>
              </w:rPr>
              <w:t>Goods &amp; services</w:t>
            </w:r>
          </w:p>
        </w:tc>
        <w:tc>
          <w:tcPr>
            <w:tcW w:w="1843" w:type="dxa"/>
            <w:vAlign w:val="center"/>
          </w:tcPr>
          <w:p w14:paraId="2E153D91" w14:textId="77777777" w:rsidR="008B1049" w:rsidRPr="00767A4F" w:rsidRDefault="008B1049" w:rsidP="008B1049">
            <w:pPr>
              <w:pStyle w:val="Normal0"/>
              <w:widowControl w:val="0"/>
              <w:jc w:val="center"/>
              <w:rPr>
                <w:rFonts w:cstheme="minorHAnsi"/>
                <w:sz w:val="20"/>
                <w:szCs w:val="20"/>
              </w:rPr>
            </w:pPr>
            <w:r w:rsidRPr="00767A4F">
              <w:rPr>
                <w:rFonts w:cstheme="minorHAnsi"/>
                <w:sz w:val="20"/>
                <w:szCs w:val="20"/>
              </w:rPr>
              <w:t>51010310XXXX</w:t>
            </w:r>
          </w:p>
          <w:p w14:paraId="7FE7A815" w14:textId="77777777" w:rsidR="008B1049" w:rsidRPr="00767A4F" w:rsidRDefault="008B1049" w:rsidP="008B1049">
            <w:pPr>
              <w:pStyle w:val="Normal0"/>
              <w:widowControl w:val="0"/>
              <w:jc w:val="center"/>
              <w:rPr>
                <w:rFonts w:cstheme="minorHAnsi"/>
                <w:sz w:val="20"/>
                <w:szCs w:val="20"/>
              </w:rPr>
            </w:pPr>
            <w:r w:rsidRPr="00767A4F">
              <w:rPr>
                <w:rFonts w:cstheme="minorHAnsi"/>
                <w:sz w:val="20"/>
                <w:szCs w:val="20"/>
              </w:rPr>
              <w:t>51010020XXXX</w:t>
            </w:r>
          </w:p>
        </w:tc>
        <w:tc>
          <w:tcPr>
            <w:tcW w:w="3402" w:type="dxa"/>
            <w:vAlign w:val="center"/>
          </w:tcPr>
          <w:p w14:paraId="7528279C" w14:textId="77777777" w:rsidR="008B1049" w:rsidRPr="00767A4F" w:rsidRDefault="008B1049" w:rsidP="00273C9B">
            <w:pPr>
              <w:pStyle w:val="Normal0"/>
              <w:widowControl w:val="0"/>
              <w:rPr>
                <w:rFonts w:cstheme="minorHAnsi"/>
                <w:sz w:val="20"/>
                <w:szCs w:val="20"/>
              </w:rPr>
            </w:pPr>
            <w:r w:rsidRPr="00767A4F">
              <w:rPr>
                <w:rFonts w:cstheme="minorHAnsi"/>
                <w:sz w:val="20"/>
                <w:szCs w:val="20"/>
              </w:rPr>
              <w:t>All expenditure paragraphs associated with the specified codes</w:t>
            </w:r>
          </w:p>
        </w:tc>
      </w:tr>
      <w:tr w:rsidR="008B1049" w:rsidRPr="00767A4F" w14:paraId="465B2445" w14:textId="77777777" w:rsidTr="00273C9B">
        <w:trPr>
          <w:trHeight w:val="288"/>
        </w:trPr>
        <w:tc>
          <w:tcPr>
            <w:tcW w:w="2263" w:type="dxa"/>
            <w:noWrap/>
            <w:vAlign w:val="center"/>
          </w:tcPr>
          <w:p w14:paraId="164D7544" w14:textId="77777777" w:rsidR="008B1049" w:rsidRPr="00F316AC" w:rsidRDefault="008B1049" w:rsidP="00273C9B">
            <w:pPr>
              <w:pStyle w:val="Normal0"/>
              <w:keepNext/>
              <w:rPr>
                <w:rFonts w:cstheme="minorHAnsi"/>
                <w:sz w:val="20"/>
                <w:szCs w:val="20"/>
              </w:rPr>
            </w:pPr>
            <w:r w:rsidRPr="00F316AC">
              <w:rPr>
                <w:rFonts w:cstheme="minorHAnsi"/>
                <w:sz w:val="20"/>
                <w:szCs w:val="20"/>
              </w:rPr>
              <w:t>Data management integration</w:t>
            </w:r>
          </w:p>
        </w:tc>
        <w:tc>
          <w:tcPr>
            <w:tcW w:w="1701" w:type="dxa"/>
            <w:noWrap/>
            <w:vAlign w:val="center"/>
          </w:tcPr>
          <w:p w14:paraId="349867CD" w14:textId="77777777" w:rsidR="008B1049" w:rsidRPr="00767A4F" w:rsidRDefault="008B1049" w:rsidP="00E9443E">
            <w:pPr>
              <w:pStyle w:val="Normal0"/>
              <w:keepNext/>
              <w:jc w:val="center"/>
              <w:rPr>
                <w:rFonts w:cstheme="minorHAnsi"/>
                <w:sz w:val="20"/>
                <w:szCs w:val="20"/>
              </w:rPr>
            </w:pPr>
            <w:r w:rsidRPr="00767A4F">
              <w:rPr>
                <w:rFonts w:cstheme="minorHAnsi"/>
                <w:sz w:val="20"/>
                <w:szCs w:val="20"/>
              </w:rPr>
              <w:t>MoH</w:t>
            </w:r>
          </w:p>
        </w:tc>
        <w:tc>
          <w:tcPr>
            <w:tcW w:w="2268" w:type="dxa"/>
            <w:noWrap/>
            <w:vAlign w:val="center"/>
          </w:tcPr>
          <w:p w14:paraId="55D302DB" w14:textId="77777777" w:rsidR="008B1049" w:rsidRPr="00767A4F" w:rsidRDefault="008B1049" w:rsidP="008B1049">
            <w:pPr>
              <w:pStyle w:val="Normal0"/>
              <w:keepNext/>
              <w:jc w:val="center"/>
              <w:rPr>
                <w:rFonts w:cstheme="minorHAnsi"/>
                <w:sz w:val="20"/>
                <w:szCs w:val="20"/>
              </w:rPr>
            </w:pPr>
            <w:r w:rsidRPr="00767A4F">
              <w:rPr>
                <w:rFonts w:cstheme="minorHAnsi"/>
                <w:sz w:val="20"/>
                <w:szCs w:val="20"/>
              </w:rPr>
              <w:t>Central administration</w:t>
            </w:r>
          </w:p>
        </w:tc>
        <w:tc>
          <w:tcPr>
            <w:tcW w:w="2410" w:type="dxa"/>
            <w:vAlign w:val="center"/>
          </w:tcPr>
          <w:p w14:paraId="1B216E2B" w14:textId="77777777" w:rsidR="008B1049" w:rsidRPr="00767A4F" w:rsidRDefault="008B1049" w:rsidP="008B1049">
            <w:pPr>
              <w:pStyle w:val="Normal0"/>
              <w:keepNext/>
              <w:jc w:val="center"/>
              <w:rPr>
                <w:rFonts w:cstheme="minorHAnsi"/>
                <w:sz w:val="20"/>
                <w:szCs w:val="20"/>
              </w:rPr>
            </w:pPr>
            <w:r w:rsidRPr="00767A4F">
              <w:rPr>
                <w:rFonts w:cstheme="minorHAnsi"/>
                <w:sz w:val="20"/>
                <w:szCs w:val="20"/>
              </w:rPr>
              <w:t>Goods &amp; services</w:t>
            </w:r>
          </w:p>
          <w:p w14:paraId="6C8C1C98" w14:textId="77777777" w:rsidR="008B1049" w:rsidRPr="00767A4F" w:rsidRDefault="008B1049" w:rsidP="008B1049">
            <w:pPr>
              <w:pStyle w:val="Normal0"/>
              <w:keepNext/>
              <w:jc w:val="center"/>
              <w:rPr>
                <w:rFonts w:cstheme="minorHAnsi"/>
                <w:sz w:val="20"/>
                <w:szCs w:val="20"/>
              </w:rPr>
            </w:pPr>
            <w:r w:rsidRPr="00767A4F">
              <w:rPr>
                <w:rFonts w:cstheme="minorHAnsi"/>
                <w:sz w:val="20"/>
                <w:szCs w:val="20"/>
              </w:rPr>
              <w:t>Non-financial assets</w:t>
            </w:r>
          </w:p>
        </w:tc>
        <w:tc>
          <w:tcPr>
            <w:tcW w:w="1843" w:type="dxa"/>
            <w:vAlign w:val="center"/>
          </w:tcPr>
          <w:p w14:paraId="5631DD2B" w14:textId="77777777" w:rsidR="008B1049" w:rsidRPr="00767A4F" w:rsidRDefault="008B1049" w:rsidP="008B1049">
            <w:pPr>
              <w:pStyle w:val="Normal0"/>
              <w:keepNext/>
              <w:jc w:val="center"/>
              <w:rPr>
                <w:rFonts w:cstheme="minorHAnsi"/>
                <w:sz w:val="20"/>
                <w:szCs w:val="20"/>
              </w:rPr>
            </w:pPr>
            <w:r w:rsidRPr="00767A4F">
              <w:rPr>
                <w:rFonts w:cstheme="minorHAnsi"/>
                <w:sz w:val="20"/>
                <w:szCs w:val="20"/>
              </w:rPr>
              <w:t>660100200109</w:t>
            </w:r>
          </w:p>
          <w:p w14:paraId="51FE8E77" w14:textId="77777777" w:rsidR="008B1049" w:rsidRPr="00767A4F" w:rsidRDefault="008B1049" w:rsidP="008B1049">
            <w:pPr>
              <w:pStyle w:val="Normal0"/>
              <w:keepNext/>
              <w:jc w:val="center"/>
              <w:rPr>
                <w:rFonts w:cstheme="minorHAnsi"/>
                <w:sz w:val="20"/>
                <w:szCs w:val="20"/>
              </w:rPr>
            </w:pPr>
            <w:r w:rsidRPr="00767A4F">
              <w:rPr>
                <w:rFonts w:cstheme="minorHAnsi"/>
                <w:sz w:val="20"/>
                <w:szCs w:val="20"/>
              </w:rPr>
              <w:t>660100700103/ 660100700130</w:t>
            </w:r>
          </w:p>
        </w:tc>
        <w:tc>
          <w:tcPr>
            <w:tcW w:w="3402" w:type="dxa"/>
            <w:vAlign w:val="center"/>
          </w:tcPr>
          <w:p w14:paraId="2DAC4EE3" w14:textId="467E5048" w:rsidR="008B1049" w:rsidRPr="00767A4F" w:rsidRDefault="008B1049" w:rsidP="008B1049">
            <w:pPr>
              <w:pStyle w:val="Normal0"/>
              <w:keepNext/>
              <w:jc w:val="both"/>
              <w:rPr>
                <w:rFonts w:cstheme="minorHAnsi"/>
                <w:sz w:val="20"/>
                <w:szCs w:val="20"/>
              </w:rPr>
            </w:pPr>
            <w:r w:rsidRPr="00767A4F">
              <w:rPr>
                <w:rFonts w:cstheme="minorHAnsi"/>
                <w:sz w:val="20"/>
                <w:szCs w:val="20"/>
              </w:rPr>
              <w:t>The expenditure on the specified codes includes more items than those related to data management. For exact numbers, the budget department</w:t>
            </w:r>
            <w:r w:rsidRPr="00767A4F">
              <w:rPr>
                <w:rFonts w:cstheme="minorHAnsi"/>
                <w:sz w:val="20"/>
                <w:szCs w:val="20"/>
              </w:rPr>
              <w:t xml:space="preserve"> of MoH</w:t>
            </w:r>
            <w:r w:rsidRPr="00767A4F">
              <w:rPr>
                <w:rFonts w:cstheme="minorHAnsi"/>
                <w:sz w:val="20"/>
                <w:szCs w:val="20"/>
              </w:rPr>
              <w:t xml:space="preserve"> should be approached.</w:t>
            </w:r>
          </w:p>
        </w:tc>
      </w:tr>
      <w:tr w:rsidR="008B1049" w:rsidRPr="00767A4F" w14:paraId="14731865" w14:textId="77777777" w:rsidTr="00273C9B">
        <w:trPr>
          <w:trHeight w:val="288"/>
        </w:trPr>
        <w:tc>
          <w:tcPr>
            <w:tcW w:w="2263" w:type="dxa"/>
            <w:noWrap/>
            <w:vAlign w:val="center"/>
            <w:hideMark/>
          </w:tcPr>
          <w:p w14:paraId="318B41AF" w14:textId="77777777" w:rsidR="008B1049" w:rsidRPr="00F316AC" w:rsidRDefault="008B1049" w:rsidP="00273C9B">
            <w:pPr>
              <w:pStyle w:val="Normal0"/>
              <w:keepNext/>
              <w:rPr>
                <w:rFonts w:cstheme="minorHAnsi"/>
                <w:sz w:val="20"/>
                <w:szCs w:val="20"/>
              </w:rPr>
            </w:pPr>
            <w:r w:rsidRPr="00F316AC">
              <w:rPr>
                <w:rFonts w:cstheme="minorHAnsi"/>
                <w:sz w:val="20"/>
                <w:szCs w:val="20"/>
              </w:rPr>
              <w:t>Data management integration</w:t>
            </w:r>
          </w:p>
        </w:tc>
        <w:tc>
          <w:tcPr>
            <w:tcW w:w="1701" w:type="dxa"/>
            <w:noWrap/>
            <w:vAlign w:val="center"/>
          </w:tcPr>
          <w:p w14:paraId="4663AF84" w14:textId="77777777" w:rsidR="008B1049" w:rsidRPr="00767A4F" w:rsidRDefault="008B1049" w:rsidP="00E9443E">
            <w:pPr>
              <w:pStyle w:val="Normal0"/>
              <w:keepNext/>
              <w:jc w:val="center"/>
              <w:rPr>
                <w:rFonts w:cstheme="minorHAnsi"/>
                <w:sz w:val="20"/>
                <w:szCs w:val="20"/>
              </w:rPr>
            </w:pPr>
            <w:r w:rsidRPr="00767A4F">
              <w:rPr>
                <w:rFonts w:cstheme="minorHAnsi"/>
                <w:sz w:val="20"/>
                <w:szCs w:val="20"/>
              </w:rPr>
              <w:t>NHIF</w:t>
            </w:r>
          </w:p>
        </w:tc>
        <w:tc>
          <w:tcPr>
            <w:tcW w:w="2268" w:type="dxa"/>
            <w:noWrap/>
            <w:vAlign w:val="center"/>
          </w:tcPr>
          <w:p w14:paraId="795125BA" w14:textId="77777777" w:rsidR="008B1049" w:rsidRPr="00767A4F" w:rsidRDefault="008B1049" w:rsidP="008B1049">
            <w:pPr>
              <w:pStyle w:val="Normal0"/>
              <w:keepNext/>
              <w:jc w:val="center"/>
              <w:rPr>
                <w:rFonts w:cstheme="minorHAnsi"/>
                <w:sz w:val="20"/>
                <w:szCs w:val="20"/>
              </w:rPr>
            </w:pPr>
            <w:r w:rsidRPr="00767A4F">
              <w:rPr>
                <w:rFonts w:cstheme="minorHAnsi"/>
                <w:sz w:val="20"/>
                <w:szCs w:val="20"/>
              </w:rPr>
              <w:t>Central administration</w:t>
            </w:r>
          </w:p>
        </w:tc>
        <w:tc>
          <w:tcPr>
            <w:tcW w:w="2410" w:type="dxa"/>
            <w:vAlign w:val="center"/>
          </w:tcPr>
          <w:p w14:paraId="39215B6A" w14:textId="77777777" w:rsidR="008B1049" w:rsidRPr="00767A4F" w:rsidRDefault="008B1049" w:rsidP="008B1049">
            <w:pPr>
              <w:pStyle w:val="Normal0"/>
              <w:keepNext/>
              <w:jc w:val="center"/>
              <w:rPr>
                <w:rFonts w:cstheme="minorHAnsi"/>
                <w:sz w:val="20"/>
                <w:szCs w:val="20"/>
              </w:rPr>
            </w:pPr>
            <w:r w:rsidRPr="00767A4F">
              <w:rPr>
                <w:rFonts w:cstheme="minorHAnsi"/>
                <w:sz w:val="20"/>
                <w:szCs w:val="20"/>
              </w:rPr>
              <w:t>Goods &amp; services</w:t>
            </w:r>
          </w:p>
          <w:p w14:paraId="4FBCBB50" w14:textId="77777777" w:rsidR="008B1049" w:rsidRPr="00767A4F" w:rsidRDefault="008B1049" w:rsidP="008B1049">
            <w:pPr>
              <w:pStyle w:val="Normal0"/>
              <w:keepNext/>
              <w:jc w:val="center"/>
              <w:rPr>
                <w:rFonts w:cstheme="minorHAnsi"/>
                <w:sz w:val="20"/>
                <w:szCs w:val="20"/>
              </w:rPr>
            </w:pPr>
            <w:r w:rsidRPr="00767A4F">
              <w:rPr>
                <w:rFonts w:cstheme="minorHAnsi"/>
                <w:sz w:val="20"/>
                <w:szCs w:val="20"/>
              </w:rPr>
              <w:t>Non-financial assets</w:t>
            </w:r>
          </w:p>
        </w:tc>
        <w:tc>
          <w:tcPr>
            <w:tcW w:w="1843" w:type="dxa"/>
            <w:vAlign w:val="center"/>
          </w:tcPr>
          <w:p w14:paraId="166AC2AF" w14:textId="77777777" w:rsidR="008B1049" w:rsidRPr="00767A4F" w:rsidRDefault="008B1049" w:rsidP="008B1049">
            <w:pPr>
              <w:pStyle w:val="Normal0"/>
              <w:keepNext/>
              <w:jc w:val="center"/>
              <w:rPr>
                <w:rFonts w:cstheme="minorHAnsi"/>
                <w:sz w:val="20"/>
                <w:szCs w:val="20"/>
              </w:rPr>
            </w:pPr>
            <w:r w:rsidRPr="00767A4F">
              <w:rPr>
                <w:rFonts w:cstheme="minorHAnsi"/>
                <w:sz w:val="20"/>
                <w:szCs w:val="20"/>
              </w:rPr>
              <w:t>660100200109</w:t>
            </w:r>
          </w:p>
          <w:p w14:paraId="18BB6627" w14:textId="77777777" w:rsidR="008B1049" w:rsidRPr="00767A4F" w:rsidRDefault="008B1049" w:rsidP="008B1049">
            <w:pPr>
              <w:pStyle w:val="Normal0"/>
              <w:keepNext/>
              <w:jc w:val="center"/>
              <w:rPr>
                <w:rFonts w:cstheme="minorHAnsi"/>
                <w:sz w:val="20"/>
                <w:szCs w:val="20"/>
              </w:rPr>
            </w:pPr>
            <w:r w:rsidRPr="00767A4F">
              <w:rPr>
                <w:rFonts w:cstheme="minorHAnsi"/>
                <w:sz w:val="20"/>
                <w:szCs w:val="20"/>
              </w:rPr>
              <w:t>660100700103/ 660100700130</w:t>
            </w:r>
          </w:p>
        </w:tc>
        <w:tc>
          <w:tcPr>
            <w:tcW w:w="3402" w:type="dxa"/>
            <w:vAlign w:val="center"/>
          </w:tcPr>
          <w:p w14:paraId="684AB0F2" w14:textId="5E2B8861" w:rsidR="008B1049" w:rsidRPr="00767A4F" w:rsidRDefault="008B1049" w:rsidP="008B1049">
            <w:pPr>
              <w:pStyle w:val="Normal0"/>
              <w:keepNext/>
              <w:jc w:val="both"/>
              <w:rPr>
                <w:rFonts w:cstheme="minorHAnsi"/>
                <w:sz w:val="20"/>
                <w:szCs w:val="20"/>
              </w:rPr>
            </w:pPr>
            <w:r w:rsidRPr="00767A4F">
              <w:rPr>
                <w:rFonts w:cstheme="minorHAnsi"/>
                <w:sz w:val="20"/>
                <w:szCs w:val="20"/>
              </w:rPr>
              <w:t>The expenditure on the specified codes includes more items than those related to data management. For exact numbers, the budget department</w:t>
            </w:r>
            <w:r w:rsidRPr="00767A4F">
              <w:rPr>
                <w:rFonts w:cstheme="minorHAnsi"/>
                <w:sz w:val="20"/>
                <w:szCs w:val="20"/>
              </w:rPr>
              <w:t xml:space="preserve"> of NHIH</w:t>
            </w:r>
            <w:r w:rsidRPr="00767A4F">
              <w:rPr>
                <w:rFonts w:cstheme="minorHAnsi"/>
                <w:sz w:val="20"/>
                <w:szCs w:val="20"/>
              </w:rPr>
              <w:t xml:space="preserve"> should be approached.</w:t>
            </w:r>
          </w:p>
        </w:tc>
      </w:tr>
      <w:tr w:rsidR="008B1049" w:rsidRPr="00767A4F" w14:paraId="74D0C851" w14:textId="77777777" w:rsidTr="00273C9B">
        <w:trPr>
          <w:trHeight w:val="288"/>
        </w:trPr>
        <w:tc>
          <w:tcPr>
            <w:tcW w:w="2263" w:type="dxa"/>
            <w:noWrap/>
            <w:vAlign w:val="center"/>
            <w:hideMark/>
          </w:tcPr>
          <w:p w14:paraId="1E7BA46C" w14:textId="77777777" w:rsidR="008B1049" w:rsidRPr="00767A4F" w:rsidRDefault="008B1049" w:rsidP="00273C9B">
            <w:pPr>
              <w:pStyle w:val="Normal0"/>
              <w:keepNext/>
              <w:rPr>
                <w:rFonts w:cstheme="minorHAnsi"/>
                <w:sz w:val="20"/>
                <w:szCs w:val="20"/>
              </w:rPr>
            </w:pPr>
            <w:r w:rsidRPr="00F316AC">
              <w:rPr>
                <w:rFonts w:cstheme="minorHAnsi"/>
                <w:sz w:val="20"/>
                <w:szCs w:val="20"/>
              </w:rPr>
              <w:t>De minimis aid scheme supp</w:t>
            </w:r>
            <w:r w:rsidRPr="00767A4F">
              <w:rPr>
                <w:rFonts w:cstheme="minorHAnsi"/>
                <w:sz w:val="20"/>
                <w:szCs w:val="20"/>
              </w:rPr>
              <w:t>orting primary health care services</w:t>
            </w:r>
          </w:p>
        </w:tc>
        <w:tc>
          <w:tcPr>
            <w:tcW w:w="1701" w:type="dxa"/>
            <w:noWrap/>
            <w:vAlign w:val="center"/>
          </w:tcPr>
          <w:p w14:paraId="085F92E3" w14:textId="77777777" w:rsidR="008B1049" w:rsidRPr="00767A4F" w:rsidRDefault="008B1049" w:rsidP="00E9443E">
            <w:pPr>
              <w:pStyle w:val="Normal0"/>
              <w:keepNext/>
              <w:jc w:val="center"/>
              <w:rPr>
                <w:rFonts w:cstheme="minorHAnsi"/>
                <w:sz w:val="20"/>
                <w:szCs w:val="20"/>
              </w:rPr>
            </w:pPr>
            <w:r w:rsidRPr="00767A4F">
              <w:rPr>
                <w:rFonts w:cstheme="minorHAnsi"/>
                <w:sz w:val="20"/>
                <w:szCs w:val="20"/>
              </w:rPr>
              <w:t>MoH</w:t>
            </w:r>
          </w:p>
        </w:tc>
        <w:tc>
          <w:tcPr>
            <w:tcW w:w="2268" w:type="dxa"/>
            <w:noWrap/>
            <w:vAlign w:val="center"/>
          </w:tcPr>
          <w:p w14:paraId="5592C529" w14:textId="77777777" w:rsidR="008B1049" w:rsidRPr="00767A4F" w:rsidRDefault="008B1049" w:rsidP="008B1049">
            <w:pPr>
              <w:pStyle w:val="Normal0"/>
              <w:keepNext/>
              <w:jc w:val="center"/>
              <w:rPr>
                <w:rFonts w:cstheme="minorHAnsi"/>
                <w:sz w:val="20"/>
                <w:szCs w:val="20"/>
              </w:rPr>
            </w:pPr>
            <w:r w:rsidRPr="00767A4F">
              <w:rPr>
                <w:rFonts w:cstheme="minorHAnsi"/>
                <w:sz w:val="20"/>
                <w:szCs w:val="20"/>
              </w:rPr>
              <w:t>Central administration</w:t>
            </w:r>
          </w:p>
        </w:tc>
        <w:tc>
          <w:tcPr>
            <w:tcW w:w="2410" w:type="dxa"/>
            <w:vAlign w:val="center"/>
          </w:tcPr>
          <w:p w14:paraId="7AA2A6A9" w14:textId="77777777" w:rsidR="008B1049" w:rsidRPr="00767A4F" w:rsidRDefault="008B1049" w:rsidP="008B1049">
            <w:pPr>
              <w:pStyle w:val="Normal0"/>
              <w:keepNext/>
              <w:jc w:val="center"/>
              <w:rPr>
                <w:rFonts w:cstheme="minorHAnsi"/>
                <w:sz w:val="20"/>
                <w:szCs w:val="20"/>
              </w:rPr>
            </w:pPr>
            <w:r w:rsidRPr="00767A4F">
              <w:rPr>
                <w:rFonts w:cstheme="minorHAnsi"/>
                <w:sz w:val="20"/>
                <w:szCs w:val="20"/>
              </w:rPr>
              <w:t>Other transfers</w:t>
            </w:r>
          </w:p>
        </w:tc>
        <w:tc>
          <w:tcPr>
            <w:tcW w:w="1843" w:type="dxa"/>
            <w:vAlign w:val="center"/>
          </w:tcPr>
          <w:p w14:paraId="4CE08965" w14:textId="77777777" w:rsidR="008B1049" w:rsidRPr="00767A4F" w:rsidRDefault="008B1049" w:rsidP="008B1049">
            <w:pPr>
              <w:pStyle w:val="Normal0"/>
              <w:keepNext/>
              <w:jc w:val="center"/>
              <w:rPr>
                <w:rFonts w:cstheme="minorHAnsi"/>
                <w:sz w:val="20"/>
                <w:szCs w:val="20"/>
              </w:rPr>
            </w:pPr>
            <w:r w:rsidRPr="00767A4F">
              <w:rPr>
                <w:rFonts w:cstheme="minorHAnsi"/>
                <w:sz w:val="20"/>
                <w:szCs w:val="20"/>
              </w:rPr>
              <w:t>6601005501XX</w:t>
            </w:r>
          </w:p>
        </w:tc>
        <w:tc>
          <w:tcPr>
            <w:tcW w:w="3402" w:type="dxa"/>
            <w:vAlign w:val="center"/>
          </w:tcPr>
          <w:p w14:paraId="5D03C606" w14:textId="77777777" w:rsidR="008B1049" w:rsidRPr="00767A4F" w:rsidRDefault="008B1049" w:rsidP="008B1049">
            <w:pPr>
              <w:pStyle w:val="Normal0"/>
              <w:keepNext/>
              <w:jc w:val="both"/>
              <w:rPr>
                <w:rFonts w:cstheme="minorHAnsi"/>
                <w:sz w:val="20"/>
                <w:szCs w:val="20"/>
              </w:rPr>
            </w:pPr>
            <w:r w:rsidRPr="00767A4F">
              <w:rPr>
                <w:rFonts w:cstheme="minorHAnsi"/>
                <w:sz w:val="20"/>
                <w:szCs w:val="20"/>
              </w:rPr>
              <w:t>Line item not created yet until legislation is approved.</w:t>
            </w:r>
          </w:p>
        </w:tc>
      </w:tr>
    </w:tbl>
    <w:p w14:paraId="08A1BA19" w14:textId="77777777" w:rsidR="008B1049" w:rsidRPr="00767A4F" w:rsidRDefault="008B1049" w:rsidP="008B1049">
      <w:pPr>
        <w:rPr>
          <w:rFonts w:asciiTheme="minorHAnsi" w:hAnsiTheme="minorHAnsi" w:cstheme="minorHAnsi"/>
        </w:rPr>
      </w:pPr>
    </w:p>
    <w:p w14:paraId="3E7A2443" w14:textId="77777777" w:rsidR="008B1049" w:rsidRPr="00F316AC" w:rsidRDefault="008B1049">
      <w:pPr>
        <w:spacing w:after="160" w:line="259" w:lineRule="auto"/>
        <w:jc w:val="right"/>
        <w:rPr>
          <w:rFonts w:asciiTheme="minorHAnsi" w:hAnsiTheme="minorHAnsi" w:cstheme="minorHAnsi"/>
          <w:b/>
          <w:sz w:val="22"/>
        </w:rPr>
      </w:pPr>
    </w:p>
    <w:p w14:paraId="20D1B65B" w14:textId="77777777" w:rsidR="008B1049" w:rsidRPr="008B1049" w:rsidRDefault="008B1049" w:rsidP="008B1049">
      <w:pPr>
        <w:spacing w:after="160" w:line="259" w:lineRule="auto"/>
        <w:jc w:val="right"/>
        <w:rPr>
          <w:rFonts w:asciiTheme="minorHAnsi" w:hAnsiTheme="minorHAnsi" w:cstheme="minorHAnsi"/>
          <w:sz w:val="22"/>
        </w:rPr>
      </w:pPr>
    </w:p>
    <w:sectPr w:rsidR="008B1049" w:rsidRPr="008B1049" w:rsidSect="006C054E">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4AA9E7" w14:textId="77777777" w:rsidR="00CB7102" w:rsidRDefault="00CB7102" w:rsidP="00AD5EDB">
      <w:r>
        <w:separator/>
      </w:r>
    </w:p>
  </w:endnote>
  <w:endnote w:type="continuationSeparator" w:id="0">
    <w:p w14:paraId="4B5BC5CD" w14:textId="77777777" w:rsidR="00CB7102" w:rsidRDefault="00CB7102" w:rsidP="00AD5E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Bold">
    <w:altName w:val="Calibri"/>
    <w:panose1 w:val="00000000000000000000"/>
    <w:charset w:val="00"/>
    <w:family w:val="auto"/>
    <w:notTrueType/>
    <w:pitch w:val="default"/>
    <w:sig w:usb0="00000003" w:usb1="00000000" w:usb2="00000000" w:usb3="00000000" w:csb0="00000001" w:csb1="00000000"/>
  </w:font>
  <w:font w:name="Times New Roman Bold">
    <w:panose1 w:val="020208030705050203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amp;quo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8F7B81" w14:textId="77777777" w:rsidR="00273C9B" w:rsidRDefault="00273C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0126CD" w14:textId="77777777" w:rsidR="00273C9B" w:rsidRDefault="00273C9B">
    <w:pPr>
      <w:pStyle w:val="Footer"/>
      <w:jc w:val="center"/>
    </w:pPr>
  </w:p>
  <w:p w14:paraId="360126CE" w14:textId="77777777" w:rsidR="00273C9B" w:rsidRDefault="00273C9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90F6B2" w14:textId="77777777" w:rsidR="00273C9B" w:rsidRDefault="00273C9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6504945"/>
      <w:docPartObj>
        <w:docPartGallery w:val="Page Numbers (Bottom of Page)"/>
        <w:docPartUnique/>
      </w:docPartObj>
    </w:sdtPr>
    <w:sdtEndPr>
      <w:rPr>
        <w:noProof/>
      </w:rPr>
    </w:sdtEndPr>
    <w:sdtContent>
      <w:p w14:paraId="360126CF" w14:textId="77777777" w:rsidR="00273C9B" w:rsidRDefault="00273C9B">
        <w:pPr>
          <w:pStyle w:val="Footer"/>
          <w:jc w:val="center"/>
        </w:pPr>
        <w:r>
          <w:fldChar w:fldCharType="begin"/>
        </w:r>
        <w:r>
          <w:instrText xml:space="preserve"> PAGE   \* MERGEFORMAT </w:instrText>
        </w:r>
        <w:r>
          <w:fldChar w:fldCharType="separate"/>
        </w:r>
        <w:r>
          <w:rPr>
            <w:noProof/>
          </w:rPr>
          <w:t>i</w:t>
        </w:r>
        <w:r>
          <w:rPr>
            <w:noProof/>
          </w:rPr>
          <w:fldChar w:fldCharType="end"/>
        </w:r>
      </w:p>
    </w:sdtContent>
  </w:sdt>
  <w:p w14:paraId="360126D0" w14:textId="77777777" w:rsidR="00273C9B" w:rsidRDefault="00273C9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3515576"/>
      <w:docPartObj>
        <w:docPartGallery w:val="Page Numbers (Bottom of Page)"/>
        <w:docPartUnique/>
      </w:docPartObj>
    </w:sdtPr>
    <w:sdtEndPr>
      <w:rPr>
        <w:noProof/>
      </w:rPr>
    </w:sdtEndPr>
    <w:sdtContent>
      <w:p w14:paraId="360126D1" w14:textId="77777777" w:rsidR="00273C9B" w:rsidRDefault="00273C9B">
        <w:pPr>
          <w:pStyle w:val="Footer"/>
          <w:jc w:val="center"/>
        </w:pPr>
        <w:r>
          <w:fldChar w:fldCharType="begin"/>
        </w:r>
        <w:r>
          <w:instrText xml:space="preserve"> PAGE   \* MERGEFORMAT </w:instrText>
        </w:r>
        <w:r>
          <w:fldChar w:fldCharType="separate"/>
        </w:r>
        <w:r>
          <w:rPr>
            <w:noProof/>
          </w:rPr>
          <w:t>56</w:t>
        </w:r>
        <w:r>
          <w:rPr>
            <w:noProof/>
          </w:rPr>
          <w:fldChar w:fldCharType="end"/>
        </w:r>
      </w:p>
    </w:sdtContent>
  </w:sdt>
  <w:p w14:paraId="360126D2" w14:textId="77777777" w:rsidR="00273C9B" w:rsidRDefault="00273C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A5207A" w14:textId="77777777" w:rsidR="00CB7102" w:rsidRDefault="00CB7102" w:rsidP="00AD5EDB">
      <w:r>
        <w:separator/>
      </w:r>
    </w:p>
  </w:footnote>
  <w:footnote w:type="continuationSeparator" w:id="0">
    <w:p w14:paraId="1EAF07D9" w14:textId="77777777" w:rsidR="00CB7102" w:rsidRDefault="00CB7102" w:rsidP="00AD5EDB">
      <w:r>
        <w:continuationSeparator/>
      </w:r>
    </w:p>
  </w:footnote>
  <w:footnote w:id="1">
    <w:p w14:paraId="4540FC50" w14:textId="77777777" w:rsidR="00273C9B" w:rsidRPr="00FF31E4" w:rsidRDefault="00273C9B" w:rsidP="008F4155">
      <w:pPr>
        <w:pStyle w:val="FootnoteText"/>
        <w:rPr>
          <w:rFonts w:asciiTheme="minorHAnsi" w:hAnsiTheme="minorHAnsi" w:cstheme="minorHAnsi"/>
        </w:rPr>
      </w:pPr>
      <w:r w:rsidRPr="00FF31E4">
        <w:rPr>
          <w:rStyle w:val="FootnoteReference"/>
          <w:rFonts w:asciiTheme="minorHAnsi" w:hAnsiTheme="minorHAnsi" w:cstheme="minorHAnsi"/>
        </w:rPr>
        <w:footnoteRef/>
      </w:r>
      <w:r w:rsidRPr="00FF31E4">
        <w:rPr>
          <w:rFonts w:asciiTheme="minorHAnsi" w:hAnsiTheme="minorHAnsi" w:cstheme="minorHAnsi"/>
        </w:rPr>
        <w:t xml:space="preserve"> Projects with a total value of Ron 100 million or more.</w:t>
      </w:r>
    </w:p>
  </w:footnote>
  <w:footnote w:id="2">
    <w:p w14:paraId="139FA157" w14:textId="77777777" w:rsidR="00273C9B" w:rsidRPr="00660E27" w:rsidRDefault="00273C9B" w:rsidP="00660E27">
      <w:pPr>
        <w:jc w:val="both"/>
        <w:rPr>
          <w:rFonts w:ascii="Calibri" w:hAnsi="Calibri" w:cs="Calibri"/>
          <w:sz w:val="20"/>
          <w:szCs w:val="20"/>
        </w:rPr>
      </w:pPr>
      <w:r>
        <w:rPr>
          <w:rStyle w:val="FootnoteReference"/>
        </w:rPr>
        <w:footnoteRef/>
      </w:r>
      <w:r>
        <w:t xml:space="preserve"> </w:t>
      </w:r>
      <w:r w:rsidRPr="00660E27">
        <w:rPr>
          <w:rFonts w:ascii="Calibri" w:hAnsi="Calibri" w:cs="Calibri"/>
          <w:sz w:val="20"/>
          <w:szCs w:val="20"/>
        </w:rPr>
        <w:t>Macroeconomic forecasts are prepared by the National Commission for Prognosis (CNP), coordinated by the MoPF.</w:t>
      </w:r>
    </w:p>
  </w:footnote>
  <w:footnote w:id="3">
    <w:p w14:paraId="6DFD3369" w14:textId="77777777" w:rsidR="00273C9B" w:rsidRPr="00660E27" w:rsidRDefault="00273C9B" w:rsidP="00660E27">
      <w:pPr>
        <w:jc w:val="both"/>
        <w:rPr>
          <w:rFonts w:ascii="Calibri" w:hAnsi="Calibri" w:cs="Calibri"/>
          <w:sz w:val="20"/>
          <w:szCs w:val="20"/>
        </w:rPr>
      </w:pPr>
      <w:r w:rsidRPr="00660E27">
        <w:rPr>
          <w:rFonts w:ascii="Calibri" w:hAnsi="Calibri" w:cs="Calibri"/>
          <w:sz w:val="20"/>
          <w:szCs w:val="20"/>
        </w:rPr>
        <w:footnoteRef/>
      </w:r>
      <w:r w:rsidRPr="00660E27">
        <w:rPr>
          <w:rFonts w:ascii="Calibri" w:hAnsi="Calibri" w:cs="Calibri"/>
          <w:sz w:val="20"/>
          <w:szCs w:val="20"/>
        </w:rPr>
        <w:t xml:space="preserve"> The National Agency for Fiscal Administration (ANAF), which is subordinated to MoPF, administers taxes.</w:t>
      </w:r>
    </w:p>
  </w:footnote>
  <w:footnote w:id="4">
    <w:p w14:paraId="1132FC08" w14:textId="77777777" w:rsidR="00273C9B" w:rsidRDefault="00273C9B" w:rsidP="004F5F37">
      <w:pPr>
        <w:pStyle w:val="FootnoteText"/>
      </w:pPr>
      <w:r w:rsidRPr="003905CC">
        <w:rPr>
          <w:rStyle w:val="FootnoteReference"/>
          <w:sz w:val="18"/>
          <w:szCs w:val="18"/>
        </w:rPr>
        <w:footnoteRef/>
      </w:r>
      <w:r w:rsidRPr="003905CC">
        <w:rPr>
          <w:sz w:val="18"/>
          <w:szCs w:val="18"/>
        </w:rPr>
        <w:t xml:space="preserve"> </w:t>
      </w:r>
      <w:hyperlink r:id="rId1" w:history="1">
        <w:r w:rsidRPr="003905CC">
          <w:rPr>
            <w:rStyle w:val="Hyperlink"/>
            <w:sz w:val="18"/>
            <w:szCs w:val="18"/>
          </w:rPr>
          <w:t>http://www.curteadeconturi.ro/Publicatii/Raport_special_Audit_Intern.pdf</w:t>
        </w:r>
      </w:hyperlink>
    </w:p>
  </w:footnote>
  <w:footnote w:id="5">
    <w:p w14:paraId="77F8F8F8" w14:textId="0C8C44F3" w:rsidR="00273C9B" w:rsidRDefault="00273C9B" w:rsidP="00E034B3">
      <w:pPr>
        <w:pStyle w:val="FootnoteText"/>
        <w:rPr>
          <w:szCs w:val="18"/>
        </w:rPr>
      </w:pPr>
      <w:r>
        <w:rPr>
          <w:rStyle w:val="FootnoteReference"/>
        </w:rPr>
        <w:footnoteRef/>
      </w:r>
      <w:r>
        <w:t xml:space="preserve"> </w:t>
      </w:r>
      <w:hyperlink r:id="rId2" w:anchor="table" w:history="1">
        <w:r w:rsidRPr="00920CE5">
          <w:rPr>
            <w:rStyle w:val="Hyperlink"/>
            <w:szCs w:val="18"/>
          </w:rPr>
          <w:t>https://www.transparency.org/news/feature/corruption_perceptions_index_2017#table</w:t>
        </w:r>
      </w:hyperlink>
    </w:p>
    <w:p w14:paraId="78416C91" w14:textId="77777777" w:rsidR="00273C9B" w:rsidRDefault="00273C9B" w:rsidP="00E034B3">
      <w:pPr>
        <w:pStyle w:val="FootnoteText"/>
        <w:rPr>
          <w:szCs w:val="18"/>
        </w:rPr>
      </w:pPr>
    </w:p>
  </w:footnote>
  <w:footnote w:id="6">
    <w:p w14:paraId="1B4EAA02" w14:textId="77777777" w:rsidR="00273C9B" w:rsidRPr="00E034B3" w:rsidRDefault="00273C9B" w:rsidP="00E40610">
      <w:pPr>
        <w:jc w:val="both"/>
        <w:rPr>
          <w:rFonts w:asciiTheme="minorHAnsi" w:hAnsiTheme="minorHAnsi" w:cstheme="minorHAnsi"/>
          <w:sz w:val="19"/>
          <w:szCs w:val="19"/>
        </w:rPr>
      </w:pPr>
      <w:r>
        <w:rPr>
          <w:rStyle w:val="FootnoteReference"/>
        </w:rPr>
        <w:footnoteRef/>
      </w:r>
      <w:r>
        <w:t xml:space="preserve"> </w:t>
      </w:r>
      <w:r w:rsidRPr="00E034B3">
        <w:rPr>
          <w:rFonts w:asciiTheme="minorHAnsi" w:hAnsiTheme="minorHAnsi" w:cstheme="minorHAnsi"/>
          <w:sz w:val="19"/>
          <w:szCs w:val="19"/>
        </w:rPr>
        <w:t>When the bribe or the illegal gain is higher than EUR 10,000; damage incurred is higher than EUR 200,000; corruption deeds done by public interest persons such as deputies, senators, members of the Government, state secretaries, mayors, national companies, etc.</w:t>
      </w:r>
    </w:p>
    <w:p w14:paraId="33DCDF80" w14:textId="77777777" w:rsidR="00273C9B" w:rsidRPr="00E034B3" w:rsidRDefault="00273C9B" w:rsidP="00E40610">
      <w:pPr>
        <w:pStyle w:val="FootnoteText"/>
        <w:jc w:val="both"/>
        <w:rPr>
          <w:sz w:val="19"/>
          <w:szCs w:val="19"/>
        </w:rPr>
      </w:pPr>
    </w:p>
  </w:footnote>
  <w:footnote w:id="7">
    <w:p w14:paraId="1C522688" w14:textId="77777777" w:rsidR="00273C9B" w:rsidRDefault="00273C9B" w:rsidP="00E40610">
      <w:pPr>
        <w:pStyle w:val="FootnoteText"/>
      </w:pPr>
      <w:r>
        <w:rPr>
          <w:rStyle w:val="FootnoteReference"/>
        </w:rPr>
        <w:footnoteRef/>
      </w:r>
      <w:r>
        <w:t xml:space="preserve"> </w:t>
      </w:r>
      <w:r w:rsidRPr="00E034B3">
        <w:rPr>
          <w:rFonts w:asciiTheme="minorHAnsi" w:hAnsiTheme="minorHAnsi" w:cstheme="minorHAnsi"/>
          <w:sz w:val="19"/>
          <w:szCs w:val="19"/>
        </w:rPr>
        <w:t>Annual Report of DNA for 2018:</w:t>
      </w:r>
      <w:r>
        <w:t xml:space="preserve">  </w:t>
      </w:r>
      <w:hyperlink r:id="rId3" w:history="1">
        <w:r w:rsidRPr="00920CE5">
          <w:rPr>
            <w:rStyle w:val="Hyperlink"/>
          </w:rPr>
          <w:t>http://www.pna.ro/obiect2.jsp?id=376</w:t>
        </w:r>
      </w:hyperlink>
    </w:p>
    <w:p w14:paraId="169CFB29" w14:textId="77777777" w:rsidR="00273C9B" w:rsidRDefault="00273C9B" w:rsidP="00E40610">
      <w:pPr>
        <w:pStyle w:val="FootnoteText"/>
      </w:pPr>
    </w:p>
  </w:footnote>
  <w:footnote w:id="8">
    <w:p w14:paraId="0B401BB9" w14:textId="77777777" w:rsidR="00273C9B" w:rsidRDefault="00273C9B" w:rsidP="00F12060">
      <w:pPr>
        <w:pStyle w:val="FootnoteText"/>
      </w:pPr>
      <w:r>
        <w:rPr>
          <w:rStyle w:val="FootnoteReference"/>
        </w:rPr>
        <w:footnoteRef/>
      </w:r>
      <w:r>
        <w:t xml:space="preserve"> </w:t>
      </w:r>
      <w:hyperlink r:id="rId4" w:history="1">
        <w:r w:rsidRPr="00920CE5">
          <w:rPr>
            <w:rStyle w:val="Hyperlink"/>
          </w:rPr>
          <w:t>https://ec.europa.eu/anti-fraud/sites/antifraud/files/olaf_report_2017_en.pdf</w:t>
        </w:r>
      </w:hyperlink>
    </w:p>
    <w:p w14:paraId="35743FBB" w14:textId="77777777" w:rsidR="00273C9B" w:rsidRDefault="00273C9B" w:rsidP="00F12060">
      <w:pPr>
        <w:pStyle w:val="FootnoteText"/>
      </w:pPr>
    </w:p>
  </w:footnote>
  <w:footnote w:id="9">
    <w:p w14:paraId="662EA2DD" w14:textId="77777777" w:rsidR="00273C9B" w:rsidRDefault="00273C9B" w:rsidP="00E034B3">
      <w:pPr>
        <w:pStyle w:val="FootnoteText"/>
      </w:pPr>
      <w:r>
        <w:rPr>
          <w:rStyle w:val="FootnoteReference"/>
        </w:rPr>
        <w:footnoteRef/>
      </w:r>
      <w:r>
        <w:t xml:space="preserve"> file:///C:/Users/wb309782/Desktop/PforR/20170928_study_on_healthcare_corruption_en.pdf</w:t>
      </w:r>
    </w:p>
  </w:footnote>
  <w:footnote w:id="10">
    <w:p w14:paraId="5D6348EE" w14:textId="77777777" w:rsidR="00273C9B" w:rsidRDefault="00273C9B" w:rsidP="00812895">
      <w:pPr>
        <w:pStyle w:val="FootnoteText"/>
      </w:pPr>
      <w:r>
        <w:rPr>
          <w:rStyle w:val="FootnoteReference"/>
        </w:rPr>
        <w:footnoteRef/>
      </w:r>
      <w:r>
        <w:t xml:space="preserve"> Updated study on corruption in the healthcare  sector in Romania, 2017 </w:t>
      </w:r>
      <w:hyperlink r:id="rId5" w:history="1">
        <w:r w:rsidRPr="001E655F">
          <w:rPr>
            <w:rStyle w:val="Hyperlink"/>
          </w:rPr>
          <w:t>https://ec.europa.eu/home-affairs/sites/homeaffairs/files/20170928_study_on_healthcare_corruption_en.pdf</w:t>
        </w:r>
      </w:hyperlink>
    </w:p>
    <w:p w14:paraId="44F1AC9A" w14:textId="77777777" w:rsidR="00273C9B" w:rsidRDefault="00273C9B" w:rsidP="00812895">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20B87B" w14:textId="77777777" w:rsidR="00273C9B" w:rsidRDefault="00273C9B">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9D2EF9" w14:textId="77777777" w:rsidR="00273C9B" w:rsidRDefault="00273C9B">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0126D9" w14:textId="77777777" w:rsidR="00273C9B" w:rsidRPr="00F60E6E" w:rsidRDefault="00273C9B" w:rsidP="00F60E6E">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1E8DB" w14:textId="77777777" w:rsidR="00273C9B" w:rsidRDefault="00273C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1574716"/>
      <w:docPartObj>
        <w:docPartGallery w:val="Watermarks"/>
        <w:docPartUnique/>
      </w:docPartObj>
    </w:sdtPr>
    <w:sdtContent>
      <w:p w14:paraId="5104D0E6" w14:textId="7EBCF15F" w:rsidR="00273C9B" w:rsidRDefault="00273C9B">
        <w:pPr>
          <w:pStyle w:val="Header"/>
        </w:pPr>
        <w:r>
          <w:rPr>
            <w:noProof/>
          </w:rPr>
          <w:pict w14:anchorId="6D54F54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0060517"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EE7CD7" w14:textId="77777777" w:rsidR="00273C9B" w:rsidRDefault="00273C9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940FA7" w14:textId="77777777" w:rsidR="00273C9B" w:rsidRDefault="00273C9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646030" w14:textId="77777777" w:rsidR="00273C9B" w:rsidRDefault="00273C9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9F6BC5" w14:textId="77777777" w:rsidR="00273C9B" w:rsidRDefault="00273C9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BB6D0F" w14:textId="77777777" w:rsidR="00273C9B" w:rsidRDefault="00273C9B">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753553" w14:textId="77777777" w:rsidR="00273C9B" w:rsidRDefault="00273C9B">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5745B9" w14:textId="77777777" w:rsidR="00273C9B" w:rsidRDefault="00273C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A55D8"/>
    <w:multiLevelType w:val="hybridMultilevel"/>
    <w:tmpl w:val="76E24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C7594"/>
    <w:multiLevelType w:val="hybridMultilevel"/>
    <w:tmpl w:val="11F892E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4505FC"/>
    <w:multiLevelType w:val="hybridMultilevel"/>
    <w:tmpl w:val="92EC064A"/>
    <w:lvl w:ilvl="0" w:tplc="FC76E666">
      <w:start w:val="1"/>
      <w:numFmt w:val="decimal"/>
      <w:lvlText w:val="%1."/>
      <w:lvlJc w:val="left"/>
      <w:pPr>
        <w:ind w:left="360" w:hanging="360"/>
      </w:pPr>
      <w:rPr>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D3965DC"/>
    <w:multiLevelType w:val="hybridMultilevel"/>
    <w:tmpl w:val="C6262104"/>
    <w:lvl w:ilvl="0" w:tplc="93B897B2">
      <w:start w:val="16"/>
      <w:numFmt w:val="decimal"/>
      <w:lvlText w:val="%1."/>
      <w:lvlJc w:val="left"/>
      <w:pPr>
        <w:ind w:left="360" w:hanging="360"/>
      </w:pPr>
      <w:rPr>
        <w:rFonts w:asciiTheme="minorHAnsi" w:hAnsiTheme="minorHAnsi" w:cstheme="minorHAnsi" w:hint="default"/>
        <w:b w:val="0"/>
        <w:color w:val="000000" w:themeColor="text1"/>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397362"/>
    <w:multiLevelType w:val="hybridMultilevel"/>
    <w:tmpl w:val="4630FA88"/>
    <w:lvl w:ilvl="0" w:tplc="20A83324">
      <w:start w:val="1"/>
      <w:numFmt w:val="decimal"/>
      <w:lvlText w:val="%1."/>
      <w:lvlJc w:val="left"/>
      <w:pPr>
        <w:ind w:left="810" w:hanging="360"/>
      </w:pPr>
      <w:rPr>
        <w:rFonts w:ascii="Times New Roman" w:hAnsi="Times New Roman" w:cs="Times New Roman" w:hint="default"/>
        <w:b w:val="0"/>
        <w:i w:val="0"/>
      </w:rPr>
    </w:lvl>
    <w:lvl w:ilvl="1" w:tplc="FB8A6804">
      <w:start w:val="1"/>
      <w:numFmt w:val="lowerRoman"/>
      <w:lvlText w:val="(%2)"/>
      <w:lvlJc w:val="left"/>
      <w:pPr>
        <w:ind w:left="1440" w:hanging="360"/>
      </w:pPr>
      <w:rPr>
        <w:rFonts w:ascii="Times New Roman" w:eastAsia="Times New Roman"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600C8E"/>
    <w:multiLevelType w:val="hybridMultilevel"/>
    <w:tmpl w:val="595EE486"/>
    <w:lvl w:ilvl="0" w:tplc="7BBAFC6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F418ED"/>
    <w:multiLevelType w:val="hybridMultilevel"/>
    <w:tmpl w:val="DFFEB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1D6718"/>
    <w:multiLevelType w:val="hybridMultilevel"/>
    <w:tmpl w:val="C116EC7E"/>
    <w:lvl w:ilvl="0" w:tplc="0EA42BC8">
      <w:start w:val="1"/>
      <w:numFmt w:val="decimal"/>
      <w:lvlText w:val="%1."/>
      <w:lvlJc w:val="left"/>
      <w:pPr>
        <w:ind w:left="720" w:hanging="360"/>
      </w:pPr>
    </w:lvl>
    <w:lvl w:ilvl="1" w:tplc="139CAD6A">
      <w:start w:val="1"/>
      <w:numFmt w:val="lowerLetter"/>
      <w:lvlText w:val="%2."/>
      <w:lvlJc w:val="left"/>
      <w:pPr>
        <w:ind w:left="1440" w:hanging="360"/>
      </w:pPr>
    </w:lvl>
    <w:lvl w:ilvl="2" w:tplc="67E66BB0">
      <w:start w:val="1"/>
      <w:numFmt w:val="lowerRoman"/>
      <w:lvlText w:val="%3."/>
      <w:lvlJc w:val="right"/>
      <w:pPr>
        <w:ind w:left="2160" w:hanging="180"/>
      </w:pPr>
    </w:lvl>
    <w:lvl w:ilvl="3" w:tplc="DAAC9DB0">
      <w:start w:val="1"/>
      <w:numFmt w:val="decimal"/>
      <w:lvlText w:val="%4."/>
      <w:lvlJc w:val="left"/>
      <w:pPr>
        <w:ind w:left="2880" w:hanging="360"/>
      </w:pPr>
    </w:lvl>
    <w:lvl w:ilvl="4" w:tplc="001EF25C">
      <w:start w:val="1"/>
      <w:numFmt w:val="lowerLetter"/>
      <w:lvlText w:val="%5."/>
      <w:lvlJc w:val="left"/>
      <w:pPr>
        <w:ind w:left="3600" w:hanging="360"/>
      </w:pPr>
    </w:lvl>
    <w:lvl w:ilvl="5" w:tplc="4A8C2CE4">
      <w:start w:val="1"/>
      <w:numFmt w:val="lowerRoman"/>
      <w:lvlText w:val="%6."/>
      <w:lvlJc w:val="right"/>
      <w:pPr>
        <w:ind w:left="4320" w:hanging="180"/>
      </w:pPr>
    </w:lvl>
    <w:lvl w:ilvl="6" w:tplc="A5984686">
      <w:start w:val="1"/>
      <w:numFmt w:val="decimal"/>
      <w:lvlText w:val="%7."/>
      <w:lvlJc w:val="left"/>
      <w:pPr>
        <w:ind w:left="5040" w:hanging="360"/>
      </w:pPr>
    </w:lvl>
    <w:lvl w:ilvl="7" w:tplc="E0C22D04">
      <w:start w:val="1"/>
      <w:numFmt w:val="lowerLetter"/>
      <w:lvlText w:val="%8."/>
      <w:lvlJc w:val="left"/>
      <w:pPr>
        <w:ind w:left="5760" w:hanging="360"/>
      </w:pPr>
    </w:lvl>
    <w:lvl w:ilvl="8" w:tplc="6908F4CE">
      <w:start w:val="1"/>
      <w:numFmt w:val="lowerRoman"/>
      <w:lvlText w:val="%9."/>
      <w:lvlJc w:val="right"/>
      <w:pPr>
        <w:ind w:left="6480" w:hanging="180"/>
      </w:pPr>
    </w:lvl>
  </w:abstractNum>
  <w:abstractNum w:abstractNumId="8" w15:restartNumberingAfterBreak="0">
    <w:nsid w:val="180F2AED"/>
    <w:multiLevelType w:val="hybridMultilevel"/>
    <w:tmpl w:val="C532B34C"/>
    <w:lvl w:ilvl="0" w:tplc="04090001">
      <w:start w:val="1"/>
      <w:numFmt w:val="bullet"/>
      <w:lvlText w:val=""/>
      <w:lvlJc w:val="left"/>
      <w:pPr>
        <w:ind w:left="720" w:hanging="360"/>
      </w:pPr>
      <w:rPr>
        <w:rFonts w:ascii="Symbol" w:hAnsi="Symbol" w:hint="default"/>
      </w:rPr>
    </w:lvl>
    <w:lvl w:ilvl="1" w:tplc="FED493C8">
      <w:numFmt w:val="bullet"/>
      <w:lvlText w:val="•"/>
      <w:lvlJc w:val="left"/>
      <w:pPr>
        <w:ind w:left="1800" w:hanging="72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287650"/>
    <w:multiLevelType w:val="hybridMultilevel"/>
    <w:tmpl w:val="18223032"/>
    <w:lvl w:ilvl="0" w:tplc="0409000F">
      <w:start w:val="1"/>
      <w:numFmt w:val="decimal"/>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19DD631D"/>
    <w:multiLevelType w:val="hybridMultilevel"/>
    <w:tmpl w:val="F9222904"/>
    <w:lvl w:ilvl="0" w:tplc="85044F5E">
      <w:start w:val="1"/>
      <w:numFmt w:val="decimal"/>
      <w:lvlText w:val="%1."/>
      <w:lvlJc w:val="left"/>
      <w:pPr>
        <w:ind w:left="450" w:hanging="360"/>
      </w:pPr>
      <w:rPr>
        <w:rFonts w:ascii="Calibri-Bold" w:hAnsi="Calibri-Bold" w:cs="Calibri-Bold" w:hint="default"/>
        <w:b w:val="0"/>
        <w:color w:val="auto"/>
        <w:sz w:val="22"/>
        <w:szCs w:val="22"/>
      </w:rPr>
    </w:lvl>
    <w:lvl w:ilvl="1" w:tplc="2774E36C" w:tentative="1">
      <w:start w:val="1"/>
      <w:numFmt w:val="lowerLetter"/>
      <w:lvlText w:val="%2."/>
      <w:lvlJc w:val="left"/>
      <w:pPr>
        <w:ind w:left="1170" w:hanging="360"/>
      </w:pPr>
    </w:lvl>
    <w:lvl w:ilvl="2" w:tplc="22B00590" w:tentative="1">
      <w:start w:val="1"/>
      <w:numFmt w:val="lowerRoman"/>
      <w:lvlText w:val="%3."/>
      <w:lvlJc w:val="right"/>
      <w:pPr>
        <w:ind w:left="1890" w:hanging="180"/>
      </w:pPr>
    </w:lvl>
    <w:lvl w:ilvl="3" w:tplc="B1BE5B84" w:tentative="1">
      <w:start w:val="1"/>
      <w:numFmt w:val="decimal"/>
      <w:lvlText w:val="%4."/>
      <w:lvlJc w:val="left"/>
      <w:pPr>
        <w:ind w:left="2610" w:hanging="360"/>
      </w:pPr>
    </w:lvl>
    <w:lvl w:ilvl="4" w:tplc="2F60D476" w:tentative="1">
      <w:start w:val="1"/>
      <w:numFmt w:val="lowerLetter"/>
      <w:lvlText w:val="%5."/>
      <w:lvlJc w:val="left"/>
      <w:pPr>
        <w:ind w:left="3330" w:hanging="360"/>
      </w:pPr>
    </w:lvl>
    <w:lvl w:ilvl="5" w:tplc="67E88DA0" w:tentative="1">
      <w:start w:val="1"/>
      <w:numFmt w:val="lowerRoman"/>
      <w:lvlText w:val="%6."/>
      <w:lvlJc w:val="right"/>
      <w:pPr>
        <w:ind w:left="4050" w:hanging="180"/>
      </w:pPr>
    </w:lvl>
    <w:lvl w:ilvl="6" w:tplc="A1A848F6" w:tentative="1">
      <w:start w:val="1"/>
      <w:numFmt w:val="decimal"/>
      <w:lvlText w:val="%7."/>
      <w:lvlJc w:val="left"/>
      <w:pPr>
        <w:ind w:left="4770" w:hanging="360"/>
      </w:pPr>
    </w:lvl>
    <w:lvl w:ilvl="7" w:tplc="92F64C9C" w:tentative="1">
      <w:start w:val="1"/>
      <w:numFmt w:val="lowerLetter"/>
      <w:lvlText w:val="%8."/>
      <w:lvlJc w:val="left"/>
      <w:pPr>
        <w:ind w:left="5490" w:hanging="360"/>
      </w:pPr>
    </w:lvl>
    <w:lvl w:ilvl="8" w:tplc="632AC492" w:tentative="1">
      <w:start w:val="1"/>
      <w:numFmt w:val="lowerRoman"/>
      <w:lvlText w:val="%9."/>
      <w:lvlJc w:val="right"/>
      <w:pPr>
        <w:ind w:left="6210" w:hanging="180"/>
      </w:pPr>
    </w:lvl>
  </w:abstractNum>
  <w:abstractNum w:abstractNumId="11" w15:restartNumberingAfterBreak="0">
    <w:nsid w:val="1C046B03"/>
    <w:multiLevelType w:val="hybridMultilevel"/>
    <w:tmpl w:val="F4DE8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B620AC"/>
    <w:multiLevelType w:val="hybridMultilevel"/>
    <w:tmpl w:val="705CFC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9E71DB7"/>
    <w:multiLevelType w:val="hybridMultilevel"/>
    <w:tmpl w:val="3C341970"/>
    <w:lvl w:ilvl="0" w:tplc="5184A260">
      <w:start w:val="1"/>
      <w:numFmt w:val="decimal"/>
      <w:lvlText w:val="%1."/>
      <w:lvlJc w:val="left"/>
      <w:pPr>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662207"/>
    <w:multiLevelType w:val="hybridMultilevel"/>
    <w:tmpl w:val="F7C02DAE"/>
    <w:lvl w:ilvl="0" w:tplc="9282299E">
      <w:start w:val="1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2000BC5"/>
    <w:multiLevelType w:val="hybridMultilevel"/>
    <w:tmpl w:val="53C64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4E0BD6"/>
    <w:multiLevelType w:val="hybridMultilevel"/>
    <w:tmpl w:val="06C28C52"/>
    <w:lvl w:ilvl="0" w:tplc="DEB424EE">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AF58F4"/>
    <w:multiLevelType w:val="hybridMultilevel"/>
    <w:tmpl w:val="B5A624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A6A30AB"/>
    <w:multiLevelType w:val="hybridMultilevel"/>
    <w:tmpl w:val="74740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7309A6"/>
    <w:multiLevelType w:val="hybridMultilevel"/>
    <w:tmpl w:val="9C1C7E4A"/>
    <w:lvl w:ilvl="0" w:tplc="15DE698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45529C6"/>
    <w:multiLevelType w:val="hybridMultilevel"/>
    <w:tmpl w:val="F948D568"/>
    <w:lvl w:ilvl="0" w:tplc="C554A71E">
      <w:start w:val="1"/>
      <w:numFmt w:val="bullet"/>
      <w:lvlText w:val=""/>
      <w:lvlJc w:val="left"/>
      <w:pPr>
        <w:ind w:left="720" w:hanging="360"/>
      </w:pPr>
      <w:rPr>
        <w:rFonts w:ascii="Symbol" w:hAnsi="Symbol" w:hint="default"/>
      </w:rPr>
    </w:lvl>
    <w:lvl w:ilvl="1" w:tplc="A8A2C378" w:tentative="1">
      <w:start w:val="1"/>
      <w:numFmt w:val="bullet"/>
      <w:lvlText w:val="o"/>
      <w:lvlJc w:val="left"/>
      <w:pPr>
        <w:ind w:left="1440" w:hanging="360"/>
      </w:pPr>
      <w:rPr>
        <w:rFonts w:ascii="Courier New" w:hAnsi="Courier New" w:cs="Courier New" w:hint="default"/>
      </w:rPr>
    </w:lvl>
    <w:lvl w:ilvl="2" w:tplc="68D2B2AE" w:tentative="1">
      <w:start w:val="1"/>
      <w:numFmt w:val="bullet"/>
      <w:lvlText w:val=""/>
      <w:lvlJc w:val="left"/>
      <w:pPr>
        <w:ind w:left="2160" w:hanging="360"/>
      </w:pPr>
      <w:rPr>
        <w:rFonts w:ascii="Wingdings" w:hAnsi="Wingdings" w:hint="default"/>
      </w:rPr>
    </w:lvl>
    <w:lvl w:ilvl="3" w:tplc="3EE42C7E" w:tentative="1">
      <w:start w:val="1"/>
      <w:numFmt w:val="bullet"/>
      <w:lvlText w:val=""/>
      <w:lvlJc w:val="left"/>
      <w:pPr>
        <w:ind w:left="2880" w:hanging="360"/>
      </w:pPr>
      <w:rPr>
        <w:rFonts w:ascii="Symbol" w:hAnsi="Symbol" w:hint="default"/>
      </w:rPr>
    </w:lvl>
    <w:lvl w:ilvl="4" w:tplc="587AC786" w:tentative="1">
      <w:start w:val="1"/>
      <w:numFmt w:val="bullet"/>
      <w:lvlText w:val="o"/>
      <w:lvlJc w:val="left"/>
      <w:pPr>
        <w:ind w:left="3600" w:hanging="360"/>
      </w:pPr>
      <w:rPr>
        <w:rFonts w:ascii="Courier New" w:hAnsi="Courier New" w:cs="Courier New" w:hint="default"/>
      </w:rPr>
    </w:lvl>
    <w:lvl w:ilvl="5" w:tplc="1816439E" w:tentative="1">
      <w:start w:val="1"/>
      <w:numFmt w:val="bullet"/>
      <w:lvlText w:val=""/>
      <w:lvlJc w:val="left"/>
      <w:pPr>
        <w:ind w:left="4320" w:hanging="360"/>
      </w:pPr>
      <w:rPr>
        <w:rFonts w:ascii="Wingdings" w:hAnsi="Wingdings" w:hint="default"/>
      </w:rPr>
    </w:lvl>
    <w:lvl w:ilvl="6" w:tplc="928A592C" w:tentative="1">
      <w:start w:val="1"/>
      <w:numFmt w:val="bullet"/>
      <w:lvlText w:val=""/>
      <w:lvlJc w:val="left"/>
      <w:pPr>
        <w:ind w:left="5040" w:hanging="360"/>
      </w:pPr>
      <w:rPr>
        <w:rFonts w:ascii="Symbol" w:hAnsi="Symbol" w:hint="default"/>
      </w:rPr>
    </w:lvl>
    <w:lvl w:ilvl="7" w:tplc="89F4F536" w:tentative="1">
      <w:start w:val="1"/>
      <w:numFmt w:val="bullet"/>
      <w:lvlText w:val="o"/>
      <w:lvlJc w:val="left"/>
      <w:pPr>
        <w:ind w:left="5760" w:hanging="360"/>
      </w:pPr>
      <w:rPr>
        <w:rFonts w:ascii="Courier New" w:hAnsi="Courier New" w:cs="Courier New" w:hint="default"/>
      </w:rPr>
    </w:lvl>
    <w:lvl w:ilvl="8" w:tplc="A99E8C1A" w:tentative="1">
      <w:start w:val="1"/>
      <w:numFmt w:val="bullet"/>
      <w:lvlText w:val=""/>
      <w:lvlJc w:val="left"/>
      <w:pPr>
        <w:ind w:left="6480" w:hanging="360"/>
      </w:pPr>
      <w:rPr>
        <w:rFonts w:ascii="Wingdings" w:hAnsi="Wingdings" w:hint="default"/>
      </w:rPr>
    </w:lvl>
  </w:abstractNum>
  <w:abstractNum w:abstractNumId="21" w15:restartNumberingAfterBreak="0">
    <w:nsid w:val="776124AA"/>
    <w:multiLevelType w:val="multilevel"/>
    <w:tmpl w:val="2C1A3A66"/>
    <w:lvl w:ilvl="0">
      <w:start w:val="1"/>
      <w:numFmt w:val="upperLetter"/>
      <w:pStyle w:val="PforRStyle1"/>
      <w:lvlText w:val="%1."/>
      <w:lvlJc w:val="left"/>
      <w:pPr>
        <w:ind w:left="360" w:hanging="360"/>
      </w:pPr>
      <w:rPr>
        <w:rFonts w:asciiTheme="minorHAnsi" w:hAnsiTheme="minorHAnsi" w:cstheme="minorHAnsi" w:hint="default"/>
        <w:b/>
        <w:i w:val="0"/>
        <w:sz w:val="24"/>
      </w:rPr>
    </w:lvl>
    <w:lvl w:ilvl="1">
      <w:start w:val="1"/>
      <w:numFmt w:val="decimal"/>
      <w:lvlText w:val="%1%2."/>
      <w:lvlJc w:val="left"/>
      <w:pPr>
        <w:ind w:left="1080" w:hanging="360"/>
      </w:pPr>
      <w:rPr>
        <w:rFonts w:ascii="Times New Roman Bold" w:hAnsi="Times New Roman Bold" w:hint="default"/>
        <w:b/>
        <w:i w:val="0"/>
        <w:sz w:val="24"/>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2" w15:restartNumberingAfterBreak="0">
    <w:nsid w:val="7D8C45B3"/>
    <w:multiLevelType w:val="multilevel"/>
    <w:tmpl w:val="A1444C64"/>
    <w:lvl w:ilvl="0">
      <w:start w:val="2"/>
      <w:numFmt w:val="upperLetter"/>
      <w:lvlText w:val="%1."/>
      <w:lvlJc w:val="left"/>
      <w:pPr>
        <w:ind w:left="720" w:hanging="360"/>
      </w:pPr>
      <w:rPr>
        <w:rFonts w:ascii="Times New Roman Bold" w:hAnsi="Times New Roman Bold" w:hint="default"/>
        <w:b/>
        <w:i w:val="0"/>
        <w:sz w:val="24"/>
      </w:rPr>
    </w:lvl>
    <w:lvl w:ilvl="1">
      <w:start w:val="1"/>
      <w:numFmt w:val="decimal"/>
      <w:pStyle w:val="PforRStyle2"/>
      <w:lvlText w:val="%1%2."/>
      <w:lvlJc w:val="left"/>
      <w:pPr>
        <w:ind w:left="360" w:hanging="360"/>
      </w:pPr>
      <w:rPr>
        <w:rFonts w:ascii="Times New Roman Bold" w:hAnsi="Times New Roman Bold" w:hint="default"/>
        <w:b/>
        <w:i w:val="0"/>
        <w:sz w:val="20"/>
        <w:szCs w:val="2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7F152443"/>
    <w:multiLevelType w:val="hybridMultilevel"/>
    <w:tmpl w:val="B7FCEB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1"/>
  </w:num>
  <w:num w:numId="2">
    <w:abstractNumId w:val="22"/>
  </w:num>
  <w:num w:numId="3">
    <w:abstractNumId w:val="18"/>
  </w:num>
  <w:num w:numId="4">
    <w:abstractNumId w:val="23"/>
  </w:num>
  <w:num w:numId="5">
    <w:abstractNumId w:val="22"/>
  </w:num>
  <w:num w:numId="6">
    <w:abstractNumId w:val="22"/>
  </w:num>
  <w:num w:numId="7">
    <w:abstractNumId w:val="5"/>
  </w:num>
  <w:num w:numId="8">
    <w:abstractNumId w:val="19"/>
  </w:num>
  <w:num w:numId="9">
    <w:abstractNumId w:val="22"/>
  </w:num>
  <w:num w:numId="10">
    <w:abstractNumId w:val="8"/>
  </w:num>
  <w:num w:numId="11">
    <w:abstractNumId w:val="15"/>
  </w:num>
  <w:num w:numId="12">
    <w:abstractNumId w:val="22"/>
  </w:num>
  <w:num w:numId="13">
    <w:abstractNumId w:val="22"/>
  </w:num>
  <w:num w:numId="14">
    <w:abstractNumId w:val="22"/>
  </w:num>
  <w:num w:numId="15">
    <w:abstractNumId w:val="6"/>
  </w:num>
  <w:num w:numId="16">
    <w:abstractNumId w:val="22"/>
  </w:num>
  <w:num w:numId="17">
    <w:abstractNumId w:val="22"/>
  </w:num>
  <w:num w:numId="18">
    <w:abstractNumId w:val="22"/>
  </w:num>
  <w:num w:numId="19">
    <w:abstractNumId w:val="22"/>
  </w:num>
  <w:num w:numId="20">
    <w:abstractNumId w:val="22"/>
  </w:num>
  <w:num w:numId="21">
    <w:abstractNumId w:val="22"/>
  </w:num>
  <w:num w:numId="22">
    <w:abstractNumId w:val="22"/>
  </w:num>
  <w:num w:numId="23">
    <w:abstractNumId w:val="22"/>
  </w:num>
  <w:num w:numId="24">
    <w:abstractNumId w:val="22"/>
  </w:num>
  <w:num w:numId="25">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 w:numId="27">
    <w:abstractNumId w:val="13"/>
  </w:num>
  <w:num w:numId="28">
    <w:abstractNumId w:val="9"/>
  </w:num>
  <w:num w:numId="29">
    <w:abstractNumId w:val="11"/>
  </w:num>
  <w:num w:numId="30">
    <w:abstractNumId w:val="0"/>
  </w:num>
  <w:num w:numId="31">
    <w:abstractNumId w:val="4"/>
  </w:num>
  <w:num w:numId="32">
    <w:abstractNumId w:val="3"/>
  </w:num>
  <w:num w:numId="33">
    <w:abstractNumId w:val="10"/>
  </w:num>
  <w:num w:numId="34">
    <w:abstractNumId w:val="12"/>
  </w:num>
  <w:num w:numId="35">
    <w:abstractNumId w:val="2"/>
  </w:num>
  <w:num w:numId="36">
    <w:abstractNumId w:val="22"/>
  </w:num>
  <w:num w:numId="37">
    <w:abstractNumId w:val="1"/>
  </w:num>
  <w:num w:numId="38">
    <w:abstractNumId w:val="17"/>
  </w:num>
  <w:num w:numId="39">
    <w:abstractNumId w:val="22"/>
  </w:num>
  <w:num w:numId="40">
    <w:abstractNumId w:val="22"/>
  </w:num>
  <w:num w:numId="41">
    <w:abstractNumId w:val="16"/>
  </w:num>
  <w:num w:numId="42">
    <w:abstractNumId w:val="22"/>
  </w:num>
  <w:num w:numId="43">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2"/>
  </w:num>
  <w:num w:numId="45">
    <w:abstractNumId w:val="22"/>
  </w:num>
  <w:num w:numId="46">
    <w:abstractNumId w:val="20"/>
  </w:num>
  <w:num w:numId="4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EDB"/>
    <w:rsid w:val="000007CE"/>
    <w:rsid w:val="000010DE"/>
    <w:rsid w:val="00001826"/>
    <w:rsid w:val="00002B06"/>
    <w:rsid w:val="00002C3D"/>
    <w:rsid w:val="00002EE6"/>
    <w:rsid w:val="00003C23"/>
    <w:rsid w:val="00004264"/>
    <w:rsid w:val="0000547C"/>
    <w:rsid w:val="000059A9"/>
    <w:rsid w:val="00005B8A"/>
    <w:rsid w:val="000068F4"/>
    <w:rsid w:val="00007B34"/>
    <w:rsid w:val="00007F48"/>
    <w:rsid w:val="000101F2"/>
    <w:rsid w:val="00011D64"/>
    <w:rsid w:val="0001268E"/>
    <w:rsid w:val="00012C39"/>
    <w:rsid w:val="00013045"/>
    <w:rsid w:val="000150D2"/>
    <w:rsid w:val="00015309"/>
    <w:rsid w:val="00016564"/>
    <w:rsid w:val="0001738A"/>
    <w:rsid w:val="000177E2"/>
    <w:rsid w:val="00017F78"/>
    <w:rsid w:val="000210BB"/>
    <w:rsid w:val="000218D1"/>
    <w:rsid w:val="00021D6B"/>
    <w:rsid w:val="00023128"/>
    <w:rsid w:val="0002582E"/>
    <w:rsid w:val="00025BE2"/>
    <w:rsid w:val="000260AE"/>
    <w:rsid w:val="000300D3"/>
    <w:rsid w:val="00030DC2"/>
    <w:rsid w:val="00032C5C"/>
    <w:rsid w:val="0003348F"/>
    <w:rsid w:val="000334E9"/>
    <w:rsid w:val="00035381"/>
    <w:rsid w:val="00035A03"/>
    <w:rsid w:val="0003679C"/>
    <w:rsid w:val="00037ABF"/>
    <w:rsid w:val="00040164"/>
    <w:rsid w:val="000406BD"/>
    <w:rsid w:val="000410BB"/>
    <w:rsid w:val="000416FE"/>
    <w:rsid w:val="000426E2"/>
    <w:rsid w:val="000444CD"/>
    <w:rsid w:val="00045844"/>
    <w:rsid w:val="0004686E"/>
    <w:rsid w:val="00047477"/>
    <w:rsid w:val="000478B8"/>
    <w:rsid w:val="0005042E"/>
    <w:rsid w:val="0005102C"/>
    <w:rsid w:val="000511C8"/>
    <w:rsid w:val="00051527"/>
    <w:rsid w:val="0005287E"/>
    <w:rsid w:val="00052DFF"/>
    <w:rsid w:val="000533F3"/>
    <w:rsid w:val="0005466A"/>
    <w:rsid w:val="00054B3F"/>
    <w:rsid w:val="00054D32"/>
    <w:rsid w:val="00054EE5"/>
    <w:rsid w:val="00055EBD"/>
    <w:rsid w:val="00055F97"/>
    <w:rsid w:val="00056737"/>
    <w:rsid w:val="00056799"/>
    <w:rsid w:val="00063B21"/>
    <w:rsid w:val="000644E2"/>
    <w:rsid w:val="000649C5"/>
    <w:rsid w:val="00064D25"/>
    <w:rsid w:val="00066119"/>
    <w:rsid w:val="000667FA"/>
    <w:rsid w:val="00066B69"/>
    <w:rsid w:val="000675FE"/>
    <w:rsid w:val="000707C4"/>
    <w:rsid w:val="000723A9"/>
    <w:rsid w:val="00072C56"/>
    <w:rsid w:val="00075144"/>
    <w:rsid w:val="00075B4A"/>
    <w:rsid w:val="0007795C"/>
    <w:rsid w:val="00077F09"/>
    <w:rsid w:val="000802D7"/>
    <w:rsid w:val="000812F2"/>
    <w:rsid w:val="00083024"/>
    <w:rsid w:val="00083E60"/>
    <w:rsid w:val="000861E1"/>
    <w:rsid w:val="000863AB"/>
    <w:rsid w:val="00086525"/>
    <w:rsid w:val="00086AA5"/>
    <w:rsid w:val="000872A5"/>
    <w:rsid w:val="00087388"/>
    <w:rsid w:val="0008788C"/>
    <w:rsid w:val="0009298B"/>
    <w:rsid w:val="0009312D"/>
    <w:rsid w:val="000934C4"/>
    <w:rsid w:val="000940AC"/>
    <w:rsid w:val="00094647"/>
    <w:rsid w:val="00094A73"/>
    <w:rsid w:val="00094D7B"/>
    <w:rsid w:val="00095BD7"/>
    <w:rsid w:val="00096FC8"/>
    <w:rsid w:val="00097FCC"/>
    <w:rsid w:val="000A0811"/>
    <w:rsid w:val="000A09C0"/>
    <w:rsid w:val="000A0C22"/>
    <w:rsid w:val="000A0CB4"/>
    <w:rsid w:val="000A581A"/>
    <w:rsid w:val="000A6374"/>
    <w:rsid w:val="000A6755"/>
    <w:rsid w:val="000A6824"/>
    <w:rsid w:val="000A690F"/>
    <w:rsid w:val="000A6E73"/>
    <w:rsid w:val="000A713D"/>
    <w:rsid w:val="000B16AB"/>
    <w:rsid w:val="000B1B5D"/>
    <w:rsid w:val="000B1DD7"/>
    <w:rsid w:val="000B266B"/>
    <w:rsid w:val="000B331C"/>
    <w:rsid w:val="000B34ED"/>
    <w:rsid w:val="000B3877"/>
    <w:rsid w:val="000B3CDE"/>
    <w:rsid w:val="000B4BE2"/>
    <w:rsid w:val="000B4DA0"/>
    <w:rsid w:val="000B53BE"/>
    <w:rsid w:val="000B5C21"/>
    <w:rsid w:val="000B6CA2"/>
    <w:rsid w:val="000B7099"/>
    <w:rsid w:val="000C1C72"/>
    <w:rsid w:val="000C1E65"/>
    <w:rsid w:val="000C28B7"/>
    <w:rsid w:val="000C3D10"/>
    <w:rsid w:val="000C42C7"/>
    <w:rsid w:val="000C4A76"/>
    <w:rsid w:val="000C5176"/>
    <w:rsid w:val="000C5AAE"/>
    <w:rsid w:val="000C63FF"/>
    <w:rsid w:val="000D181A"/>
    <w:rsid w:val="000D2987"/>
    <w:rsid w:val="000D2BC3"/>
    <w:rsid w:val="000D3369"/>
    <w:rsid w:val="000D413C"/>
    <w:rsid w:val="000D4A83"/>
    <w:rsid w:val="000D4AF7"/>
    <w:rsid w:val="000D54CC"/>
    <w:rsid w:val="000D599E"/>
    <w:rsid w:val="000D6515"/>
    <w:rsid w:val="000D6A33"/>
    <w:rsid w:val="000D6D5B"/>
    <w:rsid w:val="000D7764"/>
    <w:rsid w:val="000D7E2B"/>
    <w:rsid w:val="000E08FA"/>
    <w:rsid w:val="000E0ED7"/>
    <w:rsid w:val="000E1887"/>
    <w:rsid w:val="000E19DC"/>
    <w:rsid w:val="000E1AA3"/>
    <w:rsid w:val="000E2925"/>
    <w:rsid w:val="000E3096"/>
    <w:rsid w:val="000E315E"/>
    <w:rsid w:val="000E3511"/>
    <w:rsid w:val="000E3770"/>
    <w:rsid w:val="000E41F7"/>
    <w:rsid w:val="000E563C"/>
    <w:rsid w:val="000E5D04"/>
    <w:rsid w:val="000E6B24"/>
    <w:rsid w:val="000E771D"/>
    <w:rsid w:val="000F054E"/>
    <w:rsid w:val="000F0B37"/>
    <w:rsid w:val="000F0FCB"/>
    <w:rsid w:val="000F1560"/>
    <w:rsid w:val="000F2908"/>
    <w:rsid w:val="000F2933"/>
    <w:rsid w:val="000F351E"/>
    <w:rsid w:val="000F3738"/>
    <w:rsid w:val="000F376A"/>
    <w:rsid w:val="000F377C"/>
    <w:rsid w:val="000F3CA3"/>
    <w:rsid w:val="000F537B"/>
    <w:rsid w:val="000F5C55"/>
    <w:rsid w:val="000F5EB1"/>
    <w:rsid w:val="000F6A1C"/>
    <w:rsid w:val="000F6ADC"/>
    <w:rsid w:val="000F6DFD"/>
    <w:rsid w:val="000F7D85"/>
    <w:rsid w:val="00101041"/>
    <w:rsid w:val="001016FA"/>
    <w:rsid w:val="00101F14"/>
    <w:rsid w:val="00101F72"/>
    <w:rsid w:val="001039FF"/>
    <w:rsid w:val="001066ED"/>
    <w:rsid w:val="00106B7F"/>
    <w:rsid w:val="00106D1E"/>
    <w:rsid w:val="001105FF"/>
    <w:rsid w:val="00110ECB"/>
    <w:rsid w:val="001116F1"/>
    <w:rsid w:val="00111D95"/>
    <w:rsid w:val="001132BF"/>
    <w:rsid w:val="00113860"/>
    <w:rsid w:val="00114919"/>
    <w:rsid w:val="001157AE"/>
    <w:rsid w:val="00115FC8"/>
    <w:rsid w:val="00116180"/>
    <w:rsid w:val="0011694C"/>
    <w:rsid w:val="001169A0"/>
    <w:rsid w:val="0012007D"/>
    <w:rsid w:val="001202A8"/>
    <w:rsid w:val="00120FCB"/>
    <w:rsid w:val="0012164B"/>
    <w:rsid w:val="001244F2"/>
    <w:rsid w:val="00124F57"/>
    <w:rsid w:val="00127879"/>
    <w:rsid w:val="00127AED"/>
    <w:rsid w:val="001303AC"/>
    <w:rsid w:val="001310E9"/>
    <w:rsid w:val="00132FBD"/>
    <w:rsid w:val="001337A7"/>
    <w:rsid w:val="00133C60"/>
    <w:rsid w:val="00134C7C"/>
    <w:rsid w:val="00136B8F"/>
    <w:rsid w:val="0013784F"/>
    <w:rsid w:val="001404D4"/>
    <w:rsid w:val="001404E3"/>
    <w:rsid w:val="001410DE"/>
    <w:rsid w:val="00141514"/>
    <w:rsid w:val="00141642"/>
    <w:rsid w:val="001416A4"/>
    <w:rsid w:val="0014304C"/>
    <w:rsid w:val="001434DC"/>
    <w:rsid w:val="0014401B"/>
    <w:rsid w:val="00144BD4"/>
    <w:rsid w:val="00144CFE"/>
    <w:rsid w:val="001452D2"/>
    <w:rsid w:val="00145C30"/>
    <w:rsid w:val="00146158"/>
    <w:rsid w:val="001461A1"/>
    <w:rsid w:val="00146650"/>
    <w:rsid w:val="001466D7"/>
    <w:rsid w:val="0014690B"/>
    <w:rsid w:val="00146C2C"/>
    <w:rsid w:val="00147396"/>
    <w:rsid w:val="00147471"/>
    <w:rsid w:val="00151800"/>
    <w:rsid w:val="00152054"/>
    <w:rsid w:val="00153A99"/>
    <w:rsid w:val="001549AC"/>
    <w:rsid w:val="00154A3C"/>
    <w:rsid w:val="00155B7F"/>
    <w:rsid w:val="00155F83"/>
    <w:rsid w:val="00156A05"/>
    <w:rsid w:val="00156E16"/>
    <w:rsid w:val="00157D28"/>
    <w:rsid w:val="001602FF"/>
    <w:rsid w:val="00160B02"/>
    <w:rsid w:val="00161AEA"/>
    <w:rsid w:val="00161DA8"/>
    <w:rsid w:val="00162EBA"/>
    <w:rsid w:val="00163D5C"/>
    <w:rsid w:val="00164239"/>
    <w:rsid w:val="001648EA"/>
    <w:rsid w:val="00164960"/>
    <w:rsid w:val="00164EC1"/>
    <w:rsid w:val="001656CD"/>
    <w:rsid w:val="00166F60"/>
    <w:rsid w:val="00166F67"/>
    <w:rsid w:val="00167CCD"/>
    <w:rsid w:val="00167DA7"/>
    <w:rsid w:val="00167FD0"/>
    <w:rsid w:val="00172978"/>
    <w:rsid w:val="00174315"/>
    <w:rsid w:val="00174728"/>
    <w:rsid w:val="0017575F"/>
    <w:rsid w:val="001766EA"/>
    <w:rsid w:val="0017767F"/>
    <w:rsid w:val="00182141"/>
    <w:rsid w:val="001826AE"/>
    <w:rsid w:val="001827A0"/>
    <w:rsid w:val="001831DB"/>
    <w:rsid w:val="001831E5"/>
    <w:rsid w:val="001844D3"/>
    <w:rsid w:val="00184F49"/>
    <w:rsid w:val="001859B3"/>
    <w:rsid w:val="00186D9A"/>
    <w:rsid w:val="001876ED"/>
    <w:rsid w:val="00190ACF"/>
    <w:rsid w:val="00191B1E"/>
    <w:rsid w:val="00191C98"/>
    <w:rsid w:val="001932E1"/>
    <w:rsid w:val="00194643"/>
    <w:rsid w:val="00194BC7"/>
    <w:rsid w:val="00195481"/>
    <w:rsid w:val="0019689C"/>
    <w:rsid w:val="00196ABD"/>
    <w:rsid w:val="00196BD3"/>
    <w:rsid w:val="00196C22"/>
    <w:rsid w:val="001A04C9"/>
    <w:rsid w:val="001A0CB8"/>
    <w:rsid w:val="001A347B"/>
    <w:rsid w:val="001A4205"/>
    <w:rsid w:val="001A4449"/>
    <w:rsid w:val="001A4E15"/>
    <w:rsid w:val="001A54D1"/>
    <w:rsid w:val="001A5661"/>
    <w:rsid w:val="001A61F6"/>
    <w:rsid w:val="001A6B29"/>
    <w:rsid w:val="001A74F9"/>
    <w:rsid w:val="001B2738"/>
    <w:rsid w:val="001B2C14"/>
    <w:rsid w:val="001B2EE9"/>
    <w:rsid w:val="001B40E9"/>
    <w:rsid w:val="001B4E1C"/>
    <w:rsid w:val="001B67DD"/>
    <w:rsid w:val="001B7084"/>
    <w:rsid w:val="001C15B6"/>
    <w:rsid w:val="001C282B"/>
    <w:rsid w:val="001C2FC5"/>
    <w:rsid w:val="001C38DF"/>
    <w:rsid w:val="001C4C67"/>
    <w:rsid w:val="001C50C7"/>
    <w:rsid w:val="001C5287"/>
    <w:rsid w:val="001C587A"/>
    <w:rsid w:val="001C6B55"/>
    <w:rsid w:val="001C7F21"/>
    <w:rsid w:val="001D06F4"/>
    <w:rsid w:val="001D1D3D"/>
    <w:rsid w:val="001D2729"/>
    <w:rsid w:val="001D33E0"/>
    <w:rsid w:val="001D4282"/>
    <w:rsid w:val="001D4382"/>
    <w:rsid w:val="001D43CF"/>
    <w:rsid w:val="001D442D"/>
    <w:rsid w:val="001D55AC"/>
    <w:rsid w:val="001D5913"/>
    <w:rsid w:val="001D7823"/>
    <w:rsid w:val="001E0F85"/>
    <w:rsid w:val="001E1A6B"/>
    <w:rsid w:val="001E22A2"/>
    <w:rsid w:val="001E540E"/>
    <w:rsid w:val="001E5E7B"/>
    <w:rsid w:val="001F0E06"/>
    <w:rsid w:val="001F1FB3"/>
    <w:rsid w:val="001F27DF"/>
    <w:rsid w:val="001F2F92"/>
    <w:rsid w:val="001F3CB3"/>
    <w:rsid w:val="001F3D53"/>
    <w:rsid w:val="001F4947"/>
    <w:rsid w:val="001F4FB0"/>
    <w:rsid w:val="001F5044"/>
    <w:rsid w:val="001F54F3"/>
    <w:rsid w:val="001F5CB9"/>
    <w:rsid w:val="001F5DA2"/>
    <w:rsid w:val="001F6036"/>
    <w:rsid w:val="001F6148"/>
    <w:rsid w:val="001F7FDD"/>
    <w:rsid w:val="002002BE"/>
    <w:rsid w:val="00203A01"/>
    <w:rsid w:val="00205CC9"/>
    <w:rsid w:val="00206957"/>
    <w:rsid w:val="0020700A"/>
    <w:rsid w:val="002070D3"/>
    <w:rsid w:val="002075E9"/>
    <w:rsid w:val="00210D20"/>
    <w:rsid w:val="0021133E"/>
    <w:rsid w:val="00211782"/>
    <w:rsid w:val="00211A6A"/>
    <w:rsid w:val="00212B0D"/>
    <w:rsid w:val="00212F79"/>
    <w:rsid w:val="002136AB"/>
    <w:rsid w:val="00213863"/>
    <w:rsid w:val="0021595E"/>
    <w:rsid w:val="00215A38"/>
    <w:rsid w:val="00216718"/>
    <w:rsid w:val="0021704F"/>
    <w:rsid w:val="00217B2D"/>
    <w:rsid w:val="00220EAD"/>
    <w:rsid w:val="0022230E"/>
    <w:rsid w:val="002236DD"/>
    <w:rsid w:val="002238BA"/>
    <w:rsid w:val="002242AE"/>
    <w:rsid w:val="00224398"/>
    <w:rsid w:val="0022490E"/>
    <w:rsid w:val="00225E09"/>
    <w:rsid w:val="00225E53"/>
    <w:rsid w:val="00226BE9"/>
    <w:rsid w:val="002270BF"/>
    <w:rsid w:val="00230064"/>
    <w:rsid w:val="00230071"/>
    <w:rsid w:val="002314C8"/>
    <w:rsid w:val="0023264F"/>
    <w:rsid w:val="00233412"/>
    <w:rsid w:val="002345BA"/>
    <w:rsid w:val="00234E92"/>
    <w:rsid w:val="00235457"/>
    <w:rsid w:val="00235933"/>
    <w:rsid w:val="0023599F"/>
    <w:rsid w:val="00236EAE"/>
    <w:rsid w:val="00237B0D"/>
    <w:rsid w:val="002407EA"/>
    <w:rsid w:val="0024090E"/>
    <w:rsid w:val="00240F9E"/>
    <w:rsid w:val="002417F7"/>
    <w:rsid w:val="00241D89"/>
    <w:rsid w:val="002438EF"/>
    <w:rsid w:val="00243B42"/>
    <w:rsid w:val="002442D8"/>
    <w:rsid w:val="002443A5"/>
    <w:rsid w:val="00245E9E"/>
    <w:rsid w:val="0024677C"/>
    <w:rsid w:val="00246A1E"/>
    <w:rsid w:val="00247207"/>
    <w:rsid w:val="00247371"/>
    <w:rsid w:val="00250273"/>
    <w:rsid w:val="002511CA"/>
    <w:rsid w:val="00251778"/>
    <w:rsid w:val="00252215"/>
    <w:rsid w:val="002525AE"/>
    <w:rsid w:val="002530AB"/>
    <w:rsid w:val="00253CF4"/>
    <w:rsid w:val="00254193"/>
    <w:rsid w:val="002556E5"/>
    <w:rsid w:val="00255C0F"/>
    <w:rsid w:val="00257013"/>
    <w:rsid w:val="00257763"/>
    <w:rsid w:val="00260054"/>
    <w:rsid w:val="00260A4E"/>
    <w:rsid w:val="00262F8A"/>
    <w:rsid w:val="002638CB"/>
    <w:rsid w:val="00263DF7"/>
    <w:rsid w:val="00264144"/>
    <w:rsid w:val="00265092"/>
    <w:rsid w:val="0026587C"/>
    <w:rsid w:val="0026609A"/>
    <w:rsid w:val="00267038"/>
    <w:rsid w:val="00270FD2"/>
    <w:rsid w:val="00271F07"/>
    <w:rsid w:val="0027239B"/>
    <w:rsid w:val="0027241E"/>
    <w:rsid w:val="002725C3"/>
    <w:rsid w:val="00272DF6"/>
    <w:rsid w:val="0027395D"/>
    <w:rsid w:val="00273BAD"/>
    <w:rsid w:val="00273C9B"/>
    <w:rsid w:val="0027461F"/>
    <w:rsid w:val="00274D29"/>
    <w:rsid w:val="0027694B"/>
    <w:rsid w:val="00277CFF"/>
    <w:rsid w:val="00277D41"/>
    <w:rsid w:val="002806A6"/>
    <w:rsid w:val="00281BE7"/>
    <w:rsid w:val="002829F9"/>
    <w:rsid w:val="00282C0E"/>
    <w:rsid w:val="00282D4C"/>
    <w:rsid w:val="00284599"/>
    <w:rsid w:val="002855B0"/>
    <w:rsid w:val="00286FEC"/>
    <w:rsid w:val="00291220"/>
    <w:rsid w:val="0029180B"/>
    <w:rsid w:val="0029457B"/>
    <w:rsid w:val="00294644"/>
    <w:rsid w:val="00294DB8"/>
    <w:rsid w:val="00295DCC"/>
    <w:rsid w:val="002960B7"/>
    <w:rsid w:val="002964D7"/>
    <w:rsid w:val="00296686"/>
    <w:rsid w:val="002A0129"/>
    <w:rsid w:val="002A1939"/>
    <w:rsid w:val="002A2A77"/>
    <w:rsid w:val="002A4525"/>
    <w:rsid w:val="002A4EB8"/>
    <w:rsid w:val="002A536E"/>
    <w:rsid w:val="002A5A7E"/>
    <w:rsid w:val="002A63FD"/>
    <w:rsid w:val="002A723E"/>
    <w:rsid w:val="002A787F"/>
    <w:rsid w:val="002B0304"/>
    <w:rsid w:val="002B0590"/>
    <w:rsid w:val="002B05F8"/>
    <w:rsid w:val="002B0B55"/>
    <w:rsid w:val="002B224F"/>
    <w:rsid w:val="002B3E80"/>
    <w:rsid w:val="002B4388"/>
    <w:rsid w:val="002B5840"/>
    <w:rsid w:val="002B6C2D"/>
    <w:rsid w:val="002B79C7"/>
    <w:rsid w:val="002C050F"/>
    <w:rsid w:val="002C2B3B"/>
    <w:rsid w:val="002C4C0E"/>
    <w:rsid w:val="002C546D"/>
    <w:rsid w:val="002C57A7"/>
    <w:rsid w:val="002C6587"/>
    <w:rsid w:val="002C6A93"/>
    <w:rsid w:val="002C6D69"/>
    <w:rsid w:val="002C747F"/>
    <w:rsid w:val="002C7FA5"/>
    <w:rsid w:val="002D0730"/>
    <w:rsid w:val="002D08DA"/>
    <w:rsid w:val="002D2370"/>
    <w:rsid w:val="002D2857"/>
    <w:rsid w:val="002D2FF0"/>
    <w:rsid w:val="002D41D6"/>
    <w:rsid w:val="002D4CD2"/>
    <w:rsid w:val="002D5A2C"/>
    <w:rsid w:val="002D7711"/>
    <w:rsid w:val="002D7C06"/>
    <w:rsid w:val="002D7E3B"/>
    <w:rsid w:val="002E2A81"/>
    <w:rsid w:val="002E4648"/>
    <w:rsid w:val="002E55D1"/>
    <w:rsid w:val="002E565C"/>
    <w:rsid w:val="002E60A4"/>
    <w:rsid w:val="002E6111"/>
    <w:rsid w:val="002E6E68"/>
    <w:rsid w:val="002E7D7E"/>
    <w:rsid w:val="002F15B6"/>
    <w:rsid w:val="002F173A"/>
    <w:rsid w:val="002F2B00"/>
    <w:rsid w:val="002F3C0E"/>
    <w:rsid w:val="002F44FF"/>
    <w:rsid w:val="002F57E7"/>
    <w:rsid w:val="002F66F4"/>
    <w:rsid w:val="002F756F"/>
    <w:rsid w:val="002F7BD5"/>
    <w:rsid w:val="0030172A"/>
    <w:rsid w:val="003018EF"/>
    <w:rsid w:val="00301C25"/>
    <w:rsid w:val="00305575"/>
    <w:rsid w:val="00305A94"/>
    <w:rsid w:val="00306475"/>
    <w:rsid w:val="00306EE2"/>
    <w:rsid w:val="00307228"/>
    <w:rsid w:val="00307FF8"/>
    <w:rsid w:val="00310079"/>
    <w:rsid w:val="00310272"/>
    <w:rsid w:val="003104A9"/>
    <w:rsid w:val="003104AA"/>
    <w:rsid w:val="003107F4"/>
    <w:rsid w:val="00311E3E"/>
    <w:rsid w:val="003128C9"/>
    <w:rsid w:val="00313439"/>
    <w:rsid w:val="00313472"/>
    <w:rsid w:val="0031534B"/>
    <w:rsid w:val="003172A8"/>
    <w:rsid w:val="00317A42"/>
    <w:rsid w:val="00317EB9"/>
    <w:rsid w:val="00317F97"/>
    <w:rsid w:val="003208F0"/>
    <w:rsid w:val="00320E19"/>
    <w:rsid w:val="00320F87"/>
    <w:rsid w:val="00321A0B"/>
    <w:rsid w:val="003223C6"/>
    <w:rsid w:val="00322EF5"/>
    <w:rsid w:val="00323720"/>
    <w:rsid w:val="003238BF"/>
    <w:rsid w:val="00324002"/>
    <w:rsid w:val="0032447B"/>
    <w:rsid w:val="00325F57"/>
    <w:rsid w:val="003260D3"/>
    <w:rsid w:val="0032627C"/>
    <w:rsid w:val="00326ED8"/>
    <w:rsid w:val="0032770C"/>
    <w:rsid w:val="00327AB0"/>
    <w:rsid w:val="0033320D"/>
    <w:rsid w:val="003339C8"/>
    <w:rsid w:val="003344E1"/>
    <w:rsid w:val="003353E1"/>
    <w:rsid w:val="00335428"/>
    <w:rsid w:val="003357B6"/>
    <w:rsid w:val="00336116"/>
    <w:rsid w:val="00336C52"/>
    <w:rsid w:val="00337A68"/>
    <w:rsid w:val="00340384"/>
    <w:rsid w:val="00340CCC"/>
    <w:rsid w:val="003418A4"/>
    <w:rsid w:val="00341D24"/>
    <w:rsid w:val="00343FFA"/>
    <w:rsid w:val="003447A9"/>
    <w:rsid w:val="00344BF9"/>
    <w:rsid w:val="00345A78"/>
    <w:rsid w:val="003476BC"/>
    <w:rsid w:val="0035023F"/>
    <w:rsid w:val="00350AA4"/>
    <w:rsid w:val="0035157A"/>
    <w:rsid w:val="00351F59"/>
    <w:rsid w:val="003533CB"/>
    <w:rsid w:val="003549FC"/>
    <w:rsid w:val="003560D1"/>
    <w:rsid w:val="00356195"/>
    <w:rsid w:val="00356D3C"/>
    <w:rsid w:val="00356E01"/>
    <w:rsid w:val="00357FC7"/>
    <w:rsid w:val="00360A74"/>
    <w:rsid w:val="00360D77"/>
    <w:rsid w:val="003613C0"/>
    <w:rsid w:val="00361792"/>
    <w:rsid w:val="0036192F"/>
    <w:rsid w:val="0036334E"/>
    <w:rsid w:val="00363E4B"/>
    <w:rsid w:val="00365049"/>
    <w:rsid w:val="00365ED3"/>
    <w:rsid w:val="0036608F"/>
    <w:rsid w:val="00367AA5"/>
    <w:rsid w:val="00367C77"/>
    <w:rsid w:val="003723B7"/>
    <w:rsid w:val="0037279A"/>
    <w:rsid w:val="00374827"/>
    <w:rsid w:val="00374855"/>
    <w:rsid w:val="0037502D"/>
    <w:rsid w:val="00375626"/>
    <w:rsid w:val="00375915"/>
    <w:rsid w:val="00375ABD"/>
    <w:rsid w:val="00375C3E"/>
    <w:rsid w:val="00376C76"/>
    <w:rsid w:val="00377554"/>
    <w:rsid w:val="003814EC"/>
    <w:rsid w:val="003818B0"/>
    <w:rsid w:val="0038227A"/>
    <w:rsid w:val="003830AF"/>
    <w:rsid w:val="0038542D"/>
    <w:rsid w:val="003876FB"/>
    <w:rsid w:val="00387896"/>
    <w:rsid w:val="003904EF"/>
    <w:rsid w:val="00391D91"/>
    <w:rsid w:val="00393E15"/>
    <w:rsid w:val="003945B6"/>
    <w:rsid w:val="003945EA"/>
    <w:rsid w:val="00394FBA"/>
    <w:rsid w:val="00395AC7"/>
    <w:rsid w:val="00397174"/>
    <w:rsid w:val="0039774D"/>
    <w:rsid w:val="003A02E2"/>
    <w:rsid w:val="003A0BAF"/>
    <w:rsid w:val="003A219D"/>
    <w:rsid w:val="003A4675"/>
    <w:rsid w:val="003A52C7"/>
    <w:rsid w:val="003A58F1"/>
    <w:rsid w:val="003A5F39"/>
    <w:rsid w:val="003A604B"/>
    <w:rsid w:val="003A6554"/>
    <w:rsid w:val="003A6C1F"/>
    <w:rsid w:val="003A6D99"/>
    <w:rsid w:val="003B02BE"/>
    <w:rsid w:val="003B06B2"/>
    <w:rsid w:val="003B0DC1"/>
    <w:rsid w:val="003B12FF"/>
    <w:rsid w:val="003B13FD"/>
    <w:rsid w:val="003B163A"/>
    <w:rsid w:val="003B1710"/>
    <w:rsid w:val="003B1D3A"/>
    <w:rsid w:val="003B2463"/>
    <w:rsid w:val="003B316F"/>
    <w:rsid w:val="003B3E09"/>
    <w:rsid w:val="003B4C4E"/>
    <w:rsid w:val="003B54A2"/>
    <w:rsid w:val="003B5F30"/>
    <w:rsid w:val="003B649A"/>
    <w:rsid w:val="003B6AD9"/>
    <w:rsid w:val="003B7651"/>
    <w:rsid w:val="003C187A"/>
    <w:rsid w:val="003C341A"/>
    <w:rsid w:val="003C37DF"/>
    <w:rsid w:val="003C46B3"/>
    <w:rsid w:val="003C517E"/>
    <w:rsid w:val="003C5C9E"/>
    <w:rsid w:val="003C6C79"/>
    <w:rsid w:val="003C7305"/>
    <w:rsid w:val="003D10D0"/>
    <w:rsid w:val="003D1953"/>
    <w:rsid w:val="003D211C"/>
    <w:rsid w:val="003D363B"/>
    <w:rsid w:val="003D4EDC"/>
    <w:rsid w:val="003D58BC"/>
    <w:rsid w:val="003D5B5B"/>
    <w:rsid w:val="003D6968"/>
    <w:rsid w:val="003D6A2D"/>
    <w:rsid w:val="003E0A86"/>
    <w:rsid w:val="003E0D6B"/>
    <w:rsid w:val="003E11F7"/>
    <w:rsid w:val="003E274A"/>
    <w:rsid w:val="003E38ED"/>
    <w:rsid w:val="003E3C9A"/>
    <w:rsid w:val="003E4A0A"/>
    <w:rsid w:val="003E5092"/>
    <w:rsid w:val="003E5D6D"/>
    <w:rsid w:val="003E7052"/>
    <w:rsid w:val="003E76DF"/>
    <w:rsid w:val="003E788C"/>
    <w:rsid w:val="003F0B48"/>
    <w:rsid w:val="003F0BB9"/>
    <w:rsid w:val="003F0F18"/>
    <w:rsid w:val="003F129B"/>
    <w:rsid w:val="003F2456"/>
    <w:rsid w:val="003F27B1"/>
    <w:rsid w:val="003F351D"/>
    <w:rsid w:val="003F6886"/>
    <w:rsid w:val="003F72D5"/>
    <w:rsid w:val="003F7A28"/>
    <w:rsid w:val="004003A8"/>
    <w:rsid w:val="004012C5"/>
    <w:rsid w:val="004013AA"/>
    <w:rsid w:val="004014CF"/>
    <w:rsid w:val="00401F69"/>
    <w:rsid w:val="0040216F"/>
    <w:rsid w:val="004028B3"/>
    <w:rsid w:val="00402E32"/>
    <w:rsid w:val="0040438D"/>
    <w:rsid w:val="00405A1E"/>
    <w:rsid w:val="00406560"/>
    <w:rsid w:val="00410708"/>
    <w:rsid w:val="00412902"/>
    <w:rsid w:val="00412F64"/>
    <w:rsid w:val="00413393"/>
    <w:rsid w:val="00414218"/>
    <w:rsid w:val="00414391"/>
    <w:rsid w:val="0041577E"/>
    <w:rsid w:val="00415E89"/>
    <w:rsid w:val="00417192"/>
    <w:rsid w:val="00417BE7"/>
    <w:rsid w:val="00417D45"/>
    <w:rsid w:val="004200BF"/>
    <w:rsid w:val="00420853"/>
    <w:rsid w:val="00421C94"/>
    <w:rsid w:val="00421DB3"/>
    <w:rsid w:val="0042201A"/>
    <w:rsid w:val="0042270B"/>
    <w:rsid w:val="00422D48"/>
    <w:rsid w:val="004247CA"/>
    <w:rsid w:val="00427B0D"/>
    <w:rsid w:val="00427F43"/>
    <w:rsid w:val="00430246"/>
    <w:rsid w:val="00430E42"/>
    <w:rsid w:val="0043146D"/>
    <w:rsid w:val="00432AA0"/>
    <w:rsid w:val="00433DAA"/>
    <w:rsid w:val="004348EE"/>
    <w:rsid w:val="00436914"/>
    <w:rsid w:val="00436B11"/>
    <w:rsid w:val="00436F19"/>
    <w:rsid w:val="00437166"/>
    <w:rsid w:val="00437436"/>
    <w:rsid w:val="00437672"/>
    <w:rsid w:val="00437853"/>
    <w:rsid w:val="00441FC9"/>
    <w:rsid w:val="004422DF"/>
    <w:rsid w:val="00442C7A"/>
    <w:rsid w:val="0044314F"/>
    <w:rsid w:val="00445455"/>
    <w:rsid w:val="00445A67"/>
    <w:rsid w:val="004470C5"/>
    <w:rsid w:val="00447524"/>
    <w:rsid w:val="00450606"/>
    <w:rsid w:val="00450668"/>
    <w:rsid w:val="0045114C"/>
    <w:rsid w:val="00451D00"/>
    <w:rsid w:val="00452AD0"/>
    <w:rsid w:val="004534FB"/>
    <w:rsid w:val="004544C2"/>
    <w:rsid w:val="00454EEE"/>
    <w:rsid w:val="00455971"/>
    <w:rsid w:val="0045643F"/>
    <w:rsid w:val="00456CD9"/>
    <w:rsid w:val="00456E54"/>
    <w:rsid w:val="00456ECB"/>
    <w:rsid w:val="00460703"/>
    <w:rsid w:val="004610D4"/>
    <w:rsid w:val="0046262B"/>
    <w:rsid w:val="00463180"/>
    <w:rsid w:val="00463412"/>
    <w:rsid w:val="004643A9"/>
    <w:rsid w:val="004654D4"/>
    <w:rsid w:val="00465CAB"/>
    <w:rsid w:val="00466183"/>
    <w:rsid w:val="0046761D"/>
    <w:rsid w:val="0046775B"/>
    <w:rsid w:val="00467BB0"/>
    <w:rsid w:val="004706F7"/>
    <w:rsid w:val="0047294F"/>
    <w:rsid w:val="004733AD"/>
    <w:rsid w:val="00474188"/>
    <w:rsid w:val="00474880"/>
    <w:rsid w:val="00474ED1"/>
    <w:rsid w:val="004759D0"/>
    <w:rsid w:val="00476E49"/>
    <w:rsid w:val="0047724E"/>
    <w:rsid w:val="004802D1"/>
    <w:rsid w:val="00481828"/>
    <w:rsid w:val="00483616"/>
    <w:rsid w:val="004838FE"/>
    <w:rsid w:val="0048395C"/>
    <w:rsid w:val="0048488B"/>
    <w:rsid w:val="00485676"/>
    <w:rsid w:val="00485AD2"/>
    <w:rsid w:val="00486702"/>
    <w:rsid w:val="0048721F"/>
    <w:rsid w:val="00490004"/>
    <w:rsid w:val="00490B27"/>
    <w:rsid w:val="00491F2A"/>
    <w:rsid w:val="00492720"/>
    <w:rsid w:val="00492DBD"/>
    <w:rsid w:val="00492EA0"/>
    <w:rsid w:val="00493722"/>
    <w:rsid w:val="00493D43"/>
    <w:rsid w:val="0049443D"/>
    <w:rsid w:val="00495932"/>
    <w:rsid w:val="00495E30"/>
    <w:rsid w:val="00496972"/>
    <w:rsid w:val="00496E8A"/>
    <w:rsid w:val="004A2A7A"/>
    <w:rsid w:val="004A3049"/>
    <w:rsid w:val="004A3596"/>
    <w:rsid w:val="004A51A1"/>
    <w:rsid w:val="004B02B0"/>
    <w:rsid w:val="004B052C"/>
    <w:rsid w:val="004B3497"/>
    <w:rsid w:val="004B3EE1"/>
    <w:rsid w:val="004B4901"/>
    <w:rsid w:val="004B4ACC"/>
    <w:rsid w:val="004B7654"/>
    <w:rsid w:val="004B7F07"/>
    <w:rsid w:val="004C00A4"/>
    <w:rsid w:val="004C050A"/>
    <w:rsid w:val="004C1CC2"/>
    <w:rsid w:val="004C1DBB"/>
    <w:rsid w:val="004C2D16"/>
    <w:rsid w:val="004C3577"/>
    <w:rsid w:val="004C3592"/>
    <w:rsid w:val="004C3805"/>
    <w:rsid w:val="004C5541"/>
    <w:rsid w:val="004C6C8E"/>
    <w:rsid w:val="004C75C6"/>
    <w:rsid w:val="004C7610"/>
    <w:rsid w:val="004C7CCF"/>
    <w:rsid w:val="004C7EE1"/>
    <w:rsid w:val="004D100B"/>
    <w:rsid w:val="004D1EBF"/>
    <w:rsid w:val="004D320C"/>
    <w:rsid w:val="004D342B"/>
    <w:rsid w:val="004D37CA"/>
    <w:rsid w:val="004D47CD"/>
    <w:rsid w:val="004E0B00"/>
    <w:rsid w:val="004E10AA"/>
    <w:rsid w:val="004E3981"/>
    <w:rsid w:val="004E4011"/>
    <w:rsid w:val="004E42D4"/>
    <w:rsid w:val="004E4460"/>
    <w:rsid w:val="004E4FE0"/>
    <w:rsid w:val="004E576C"/>
    <w:rsid w:val="004E5808"/>
    <w:rsid w:val="004E5FC6"/>
    <w:rsid w:val="004E7D90"/>
    <w:rsid w:val="004E7F6A"/>
    <w:rsid w:val="004F133A"/>
    <w:rsid w:val="004F154E"/>
    <w:rsid w:val="004F15DD"/>
    <w:rsid w:val="004F2113"/>
    <w:rsid w:val="004F2D6D"/>
    <w:rsid w:val="004F2E39"/>
    <w:rsid w:val="004F329C"/>
    <w:rsid w:val="004F41C2"/>
    <w:rsid w:val="004F4BF2"/>
    <w:rsid w:val="004F4E76"/>
    <w:rsid w:val="004F5EF4"/>
    <w:rsid w:val="004F5F37"/>
    <w:rsid w:val="00500676"/>
    <w:rsid w:val="0050135A"/>
    <w:rsid w:val="0050141D"/>
    <w:rsid w:val="00502B67"/>
    <w:rsid w:val="00503F16"/>
    <w:rsid w:val="0050409F"/>
    <w:rsid w:val="00505007"/>
    <w:rsid w:val="00505E0B"/>
    <w:rsid w:val="0050772B"/>
    <w:rsid w:val="00512398"/>
    <w:rsid w:val="00513A41"/>
    <w:rsid w:val="00513FB5"/>
    <w:rsid w:val="00514273"/>
    <w:rsid w:val="00514285"/>
    <w:rsid w:val="00514FBA"/>
    <w:rsid w:val="0051524D"/>
    <w:rsid w:val="0051532D"/>
    <w:rsid w:val="0051772E"/>
    <w:rsid w:val="00517809"/>
    <w:rsid w:val="00517F0E"/>
    <w:rsid w:val="0052094B"/>
    <w:rsid w:val="005210C7"/>
    <w:rsid w:val="00521ABB"/>
    <w:rsid w:val="00522F61"/>
    <w:rsid w:val="005230A9"/>
    <w:rsid w:val="00523BD1"/>
    <w:rsid w:val="00526B59"/>
    <w:rsid w:val="005310B9"/>
    <w:rsid w:val="00531122"/>
    <w:rsid w:val="00531FA3"/>
    <w:rsid w:val="00531FD4"/>
    <w:rsid w:val="00534AE7"/>
    <w:rsid w:val="00534B60"/>
    <w:rsid w:val="00535C31"/>
    <w:rsid w:val="005369F6"/>
    <w:rsid w:val="00536A30"/>
    <w:rsid w:val="00541324"/>
    <w:rsid w:val="005426CB"/>
    <w:rsid w:val="00543AAE"/>
    <w:rsid w:val="00543E58"/>
    <w:rsid w:val="005450EE"/>
    <w:rsid w:val="00546288"/>
    <w:rsid w:val="00546BEC"/>
    <w:rsid w:val="0054714F"/>
    <w:rsid w:val="00547380"/>
    <w:rsid w:val="00547392"/>
    <w:rsid w:val="0054792B"/>
    <w:rsid w:val="005479BD"/>
    <w:rsid w:val="00547AFB"/>
    <w:rsid w:val="00547F2E"/>
    <w:rsid w:val="00547F6C"/>
    <w:rsid w:val="00550399"/>
    <w:rsid w:val="005535B3"/>
    <w:rsid w:val="00553C25"/>
    <w:rsid w:val="00554286"/>
    <w:rsid w:val="00556C6A"/>
    <w:rsid w:val="00560A66"/>
    <w:rsid w:val="00560EF8"/>
    <w:rsid w:val="00561425"/>
    <w:rsid w:val="00562E1D"/>
    <w:rsid w:val="00563E5E"/>
    <w:rsid w:val="00564EEE"/>
    <w:rsid w:val="00566315"/>
    <w:rsid w:val="00566B26"/>
    <w:rsid w:val="00567D1D"/>
    <w:rsid w:val="00571389"/>
    <w:rsid w:val="00572A2D"/>
    <w:rsid w:val="00574537"/>
    <w:rsid w:val="00574F62"/>
    <w:rsid w:val="0057512C"/>
    <w:rsid w:val="00575EF8"/>
    <w:rsid w:val="005766A8"/>
    <w:rsid w:val="005767C3"/>
    <w:rsid w:val="005778AA"/>
    <w:rsid w:val="00577C33"/>
    <w:rsid w:val="00577C5A"/>
    <w:rsid w:val="00577C94"/>
    <w:rsid w:val="0058076D"/>
    <w:rsid w:val="00581574"/>
    <w:rsid w:val="0058256E"/>
    <w:rsid w:val="00582FAE"/>
    <w:rsid w:val="005833DC"/>
    <w:rsid w:val="00583AC0"/>
    <w:rsid w:val="005840AA"/>
    <w:rsid w:val="00586A96"/>
    <w:rsid w:val="00587CBA"/>
    <w:rsid w:val="005900B0"/>
    <w:rsid w:val="005917E3"/>
    <w:rsid w:val="00591A97"/>
    <w:rsid w:val="00591C4C"/>
    <w:rsid w:val="00595748"/>
    <w:rsid w:val="00595E53"/>
    <w:rsid w:val="005964AA"/>
    <w:rsid w:val="00596E5F"/>
    <w:rsid w:val="005974B8"/>
    <w:rsid w:val="00597CF1"/>
    <w:rsid w:val="005A1AEA"/>
    <w:rsid w:val="005A2898"/>
    <w:rsid w:val="005A2E94"/>
    <w:rsid w:val="005A3F87"/>
    <w:rsid w:val="005A53D8"/>
    <w:rsid w:val="005A57BA"/>
    <w:rsid w:val="005A5E73"/>
    <w:rsid w:val="005A5EC2"/>
    <w:rsid w:val="005A64C8"/>
    <w:rsid w:val="005A6AFD"/>
    <w:rsid w:val="005A79D9"/>
    <w:rsid w:val="005A7FD0"/>
    <w:rsid w:val="005B0330"/>
    <w:rsid w:val="005B0AAC"/>
    <w:rsid w:val="005B2862"/>
    <w:rsid w:val="005B3276"/>
    <w:rsid w:val="005B3A00"/>
    <w:rsid w:val="005B3D16"/>
    <w:rsid w:val="005B487E"/>
    <w:rsid w:val="005B56CE"/>
    <w:rsid w:val="005B626B"/>
    <w:rsid w:val="005B62A7"/>
    <w:rsid w:val="005B6AE6"/>
    <w:rsid w:val="005B6C80"/>
    <w:rsid w:val="005B71D9"/>
    <w:rsid w:val="005C061C"/>
    <w:rsid w:val="005C2B07"/>
    <w:rsid w:val="005C335D"/>
    <w:rsid w:val="005C702D"/>
    <w:rsid w:val="005C7187"/>
    <w:rsid w:val="005C7A32"/>
    <w:rsid w:val="005D0678"/>
    <w:rsid w:val="005D0C83"/>
    <w:rsid w:val="005D270A"/>
    <w:rsid w:val="005D3C58"/>
    <w:rsid w:val="005D432D"/>
    <w:rsid w:val="005D476C"/>
    <w:rsid w:val="005D752E"/>
    <w:rsid w:val="005E2E33"/>
    <w:rsid w:val="005E2E4E"/>
    <w:rsid w:val="005E4647"/>
    <w:rsid w:val="005E4BFA"/>
    <w:rsid w:val="005E6EB6"/>
    <w:rsid w:val="005E7C74"/>
    <w:rsid w:val="005F0553"/>
    <w:rsid w:val="005F07CE"/>
    <w:rsid w:val="005F32EE"/>
    <w:rsid w:val="005F402B"/>
    <w:rsid w:val="005F41EF"/>
    <w:rsid w:val="005F43A5"/>
    <w:rsid w:val="005F466B"/>
    <w:rsid w:val="005F48EE"/>
    <w:rsid w:val="005F4C2C"/>
    <w:rsid w:val="005F53C9"/>
    <w:rsid w:val="005F5FA4"/>
    <w:rsid w:val="005F6439"/>
    <w:rsid w:val="005F66B5"/>
    <w:rsid w:val="005F6C87"/>
    <w:rsid w:val="005F79EA"/>
    <w:rsid w:val="005F7C29"/>
    <w:rsid w:val="00600C0B"/>
    <w:rsid w:val="00600F1C"/>
    <w:rsid w:val="006014D6"/>
    <w:rsid w:val="006018C9"/>
    <w:rsid w:val="006018E9"/>
    <w:rsid w:val="00601AD6"/>
    <w:rsid w:val="00602432"/>
    <w:rsid w:val="00603A32"/>
    <w:rsid w:val="006046DF"/>
    <w:rsid w:val="00605602"/>
    <w:rsid w:val="00606F75"/>
    <w:rsid w:val="00607116"/>
    <w:rsid w:val="006071C3"/>
    <w:rsid w:val="006071E2"/>
    <w:rsid w:val="0060734F"/>
    <w:rsid w:val="00607835"/>
    <w:rsid w:val="00610474"/>
    <w:rsid w:val="0061094B"/>
    <w:rsid w:val="00612F01"/>
    <w:rsid w:val="00613737"/>
    <w:rsid w:val="00613B01"/>
    <w:rsid w:val="00613B85"/>
    <w:rsid w:val="006140D5"/>
    <w:rsid w:val="00614530"/>
    <w:rsid w:val="006148BB"/>
    <w:rsid w:val="006151F2"/>
    <w:rsid w:val="006154BD"/>
    <w:rsid w:val="00615826"/>
    <w:rsid w:val="006159FA"/>
    <w:rsid w:val="006169A7"/>
    <w:rsid w:val="00616F24"/>
    <w:rsid w:val="0061776F"/>
    <w:rsid w:val="00617C73"/>
    <w:rsid w:val="00620ADF"/>
    <w:rsid w:val="006237BB"/>
    <w:rsid w:val="006242D5"/>
    <w:rsid w:val="006249B5"/>
    <w:rsid w:val="00624C4F"/>
    <w:rsid w:val="00627416"/>
    <w:rsid w:val="006308E2"/>
    <w:rsid w:val="00630A11"/>
    <w:rsid w:val="0063189E"/>
    <w:rsid w:val="006319CD"/>
    <w:rsid w:val="00631E61"/>
    <w:rsid w:val="00631FC3"/>
    <w:rsid w:val="006338BC"/>
    <w:rsid w:val="006339E1"/>
    <w:rsid w:val="00633EEF"/>
    <w:rsid w:val="006342B2"/>
    <w:rsid w:val="00635381"/>
    <w:rsid w:val="006353A1"/>
    <w:rsid w:val="00635EE5"/>
    <w:rsid w:val="0063655A"/>
    <w:rsid w:val="006368DB"/>
    <w:rsid w:val="00636F30"/>
    <w:rsid w:val="00640282"/>
    <w:rsid w:val="00640F96"/>
    <w:rsid w:val="0064125C"/>
    <w:rsid w:val="00642043"/>
    <w:rsid w:val="006425E7"/>
    <w:rsid w:val="00642D7D"/>
    <w:rsid w:val="00645E1F"/>
    <w:rsid w:val="00646E4D"/>
    <w:rsid w:val="00647198"/>
    <w:rsid w:val="00647D11"/>
    <w:rsid w:val="00651C72"/>
    <w:rsid w:val="00652B9A"/>
    <w:rsid w:val="0065342B"/>
    <w:rsid w:val="006537FB"/>
    <w:rsid w:val="00653975"/>
    <w:rsid w:val="00654010"/>
    <w:rsid w:val="006542FA"/>
    <w:rsid w:val="00654384"/>
    <w:rsid w:val="00654458"/>
    <w:rsid w:val="00655411"/>
    <w:rsid w:val="0065545B"/>
    <w:rsid w:val="006574C0"/>
    <w:rsid w:val="0066080B"/>
    <w:rsid w:val="00660AFA"/>
    <w:rsid w:val="00660E27"/>
    <w:rsid w:val="0066185C"/>
    <w:rsid w:val="0066288E"/>
    <w:rsid w:val="006647F4"/>
    <w:rsid w:val="00664E1F"/>
    <w:rsid w:val="006650F2"/>
    <w:rsid w:val="00665FBB"/>
    <w:rsid w:val="0066616A"/>
    <w:rsid w:val="00666279"/>
    <w:rsid w:val="00666A9C"/>
    <w:rsid w:val="00666DF7"/>
    <w:rsid w:val="00667225"/>
    <w:rsid w:val="006708B4"/>
    <w:rsid w:val="0067093C"/>
    <w:rsid w:val="00670A60"/>
    <w:rsid w:val="00672FAC"/>
    <w:rsid w:val="00673100"/>
    <w:rsid w:val="006742FF"/>
    <w:rsid w:val="00674DC5"/>
    <w:rsid w:val="006772E7"/>
    <w:rsid w:val="0067731B"/>
    <w:rsid w:val="00677453"/>
    <w:rsid w:val="006812E1"/>
    <w:rsid w:val="00681B77"/>
    <w:rsid w:val="00683A1F"/>
    <w:rsid w:val="00684D0A"/>
    <w:rsid w:val="00685858"/>
    <w:rsid w:val="00685EF8"/>
    <w:rsid w:val="00685FCC"/>
    <w:rsid w:val="0069071B"/>
    <w:rsid w:val="00690BB9"/>
    <w:rsid w:val="006929EB"/>
    <w:rsid w:val="00694B1C"/>
    <w:rsid w:val="006957F7"/>
    <w:rsid w:val="0069661A"/>
    <w:rsid w:val="00697689"/>
    <w:rsid w:val="006A034A"/>
    <w:rsid w:val="006A1069"/>
    <w:rsid w:val="006A1886"/>
    <w:rsid w:val="006A26BC"/>
    <w:rsid w:val="006A3D6C"/>
    <w:rsid w:val="006A48A4"/>
    <w:rsid w:val="006A56A0"/>
    <w:rsid w:val="006B00ED"/>
    <w:rsid w:val="006B027D"/>
    <w:rsid w:val="006B08B6"/>
    <w:rsid w:val="006B3403"/>
    <w:rsid w:val="006B355F"/>
    <w:rsid w:val="006B436E"/>
    <w:rsid w:val="006B4798"/>
    <w:rsid w:val="006B47F0"/>
    <w:rsid w:val="006B5B5D"/>
    <w:rsid w:val="006B5D3D"/>
    <w:rsid w:val="006B604A"/>
    <w:rsid w:val="006B6419"/>
    <w:rsid w:val="006B6457"/>
    <w:rsid w:val="006B64A5"/>
    <w:rsid w:val="006B6EB6"/>
    <w:rsid w:val="006B6F4C"/>
    <w:rsid w:val="006B771D"/>
    <w:rsid w:val="006B79E2"/>
    <w:rsid w:val="006B7FD7"/>
    <w:rsid w:val="006C054E"/>
    <w:rsid w:val="006C0E81"/>
    <w:rsid w:val="006C0EC0"/>
    <w:rsid w:val="006C1336"/>
    <w:rsid w:val="006C1832"/>
    <w:rsid w:val="006C226C"/>
    <w:rsid w:val="006C2DF9"/>
    <w:rsid w:val="006C408E"/>
    <w:rsid w:val="006C4420"/>
    <w:rsid w:val="006C5445"/>
    <w:rsid w:val="006C696C"/>
    <w:rsid w:val="006C7A4C"/>
    <w:rsid w:val="006C7B72"/>
    <w:rsid w:val="006D0798"/>
    <w:rsid w:val="006D09F2"/>
    <w:rsid w:val="006D1876"/>
    <w:rsid w:val="006D1F11"/>
    <w:rsid w:val="006D2057"/>
    <w:rsid w:val="006D3B87"/>
    <w:rsid w:val="006D3F3E"/>
    <w:rsid w:val="006D49AB"/>
    <w:rsid w:val="006D4E62"/>
    <w:rsid w:val="006D6198"/>
    <w:rsid w:val="006D7435"/>
    <w:rsid w:val="006D7786"/>
    <w:rsid w:val="006D79C1"/>
    <w:rsid w:val="006D7E3B"/>
    <w:rsid w:val="006E04EB"/>
    <w:rsid w:val="006E159F"/>
    <w:rsid w:val="006E24AF"/>
    <w:rsid w:val="006E2825"/>
    <w:rsid w:val="006E2A08"/>
    <w:rsid w:val="006E409C"/>
    <w:rsid w:val="006E5054"/>
    <w:rsid w:val="006E795F"/>
    <w:rsid w:val="006F07D9"/>
    <w:rsid w:val="006F0E09"/>
    <w:rsid w:val="006F282A"/>
    <w:rsid w:val="006F38BE"/>
    <w:rsid w:val="006F3DC8"/>
    <w:rsid w:val="006F5265"/>
    <w:rsid w:val="006F589E"/>
    <w:rsid w:val="006F5F20"/>
    <w:rsid w:val="006F7099"/>
    <w:rsid w:val="006F78BA"/>
    <w:rsid w:val="006F7DC1"/>
    <w:rsid w:val="00702116"/>
    <w:rsid w:val="00702B0A"/>
    <w:rsid w:val="00703269"/>
    <w:rsid w:val="00703D9E"/>
    <w:rsid w:val="00703F9E"/>
    <w:rsid w:val="00704ABE"/>
    <w:rsid w:val="007051C8"/>
    <w:rsid w:val="00710A5B"/>
    <w:rsid w:val="0071156F"/>
    <w:rsid w:val="00711EFC"/>
    <w:rsid w:val="00712076"/>
    <w:rsid w:val="00712252"/>
    <w:rsid w:val="00712309"/>
    <w:rsid w:val="0071245D"/>
    <w:rsid w:val="0071339C"/>
    <w:rsid w:val="00714394"/>
    <w:rsid w:val="0071463A"/>
    <w:rsid w:val="0071469D"/>
    <w:rsid w:val="00715547"/>
    <w:rsid w:val="00717997"/>
    <w:rsid w:val="00717CA9"/>
    <w:rsid w:val="007200E7"/>
    <w:rsid w:val="00721BCB"/>
    <w:rsid w:val="007222EB"/>
    <w:rsid w:val="007224F6"/>
    <w:rsid w:val="00722AE8"/>
    <w:rsid w:val="007233F0"/>
    <w:rsid w:val="00726770"/>
    <w:rsid w:val="00726D9C"/>
    <w:rsid w:val="007278CF"/>
    <w:rsid w:val="0072795B"/>
    <w:rsid w:val="00727984"/>
    <w:rsid w:val="00727C6B"/>
    <w:rsid w:val="00731518"/>
    <w:rsid w:val="0073204E"/>
    <w:rsid w:val="00732528"/>
    <w:rsid w:val="007325C6"/>
    <w:rsid w:val="00732BF8"/>
    <w:rsid w:val="00733A3D"/>
    <w:rsid w:val="00734827"/>
    <w:rsid w:val="0073499E"/>
    <w:rsid w:val="00734B18"/>
    <w:rsid w:val="007354C6"/>
    <w:rsid w:val="0073555A"/>
    <w:rsid w:val="007355F7"/>
    <w:rsid w:val="00735711"/>
    <w:rsid w:val="00741D4E"/>
    <w:rsid w:val="00742EB2"/>
    <w:rsid w:val="00743258"/>
    <w:rsid w:val="00745523"/>
    <w:rsid w:val="007504C0"/>
    <w:rsid w:val="007505A9"/>
    <w:rsid w:val="007507B7"/>
    <w:rsid w:val="0075144B"/>
    <w:rsid w:val="00751886"/>
    <w:rsid w:val="007519A9"/>
    <w:rsid w:val="00751D36"/>
    <w:rsid w:val="007537A1"/>
    <w:rsid w:val="00755BAD"/>
    <w:rsid w:val="00755F5E"/>
    <w:rsid w:val="00756682"/>
    <w:rsid w:val="007569A0"/>
    <w:rsid w:val="00757ADD"/>
    <w:rsid w:val="007601E8"/>
    <w:rsid w:val="007606A6"/>
    <w:rsid w:val="007627B4"/>
    <w:rsid w:val="00762BB9"/>
    <w:rsid w:val="00763433"/>
    <w:rsid w:val="00764AC5"/>
    <w:rsid w:val="007654B4"/>
    <w:rsid w:val="00766940"/>
    <w:rsid w:val="00767A4F"/>
    <w:rsid w:val="00767DCB"/>
    <w:rsid w:val="00767DE0"/>
    <w:rsid w:val="007708E2"/>
    <w:rsid w:val="007709F3"/>
    <w:rsid w:val="00770A8D"/>
    <w:rsid w:val="007710E1"/>
    <w:rsid w:val="0077174C"/>
    <w:rsid w:val="00771D6A"/>
    <w:rsid w:val="00771E5C"/>
    <w:rsid w:val="00772909"/>
    <w:rsid w:val="007739B5"/>
    <w:rsid w:val="0077423F"/>
    <w:rsid w:val="00775675"/>
    <w:rsid w:val="00775A98"/>
    <w:rsid w:val="00780679"/>
    <w:rsid w:val="00780E8C"/>
    <w:rsid w:val="00781331"/>
    <w:rsid w:val="00781ACE"/>
    <w:rsid w:val="00782984"/>
    <w:rsid w:val="007839AD"/>
    <w:rsid w:val="0078574F"/>
    <w:rsid w:val="0078593D"/>
    <w:rsid w:val="007863BD"/>
    <w:rsid w:val="00786409"/>
    <w:rsid w:val="00786A56"/>
    <w:rsid w:val="007875DD"/>
    <w:rsid w:val="00787BCD"/>
    <w:rsid w:val="00790ACA"/>
    <w:rsid w:val="00790D42"/>
    <w:rsid w:val="00790D57"/>
    <w:rsid w:val="00791298"/>
    <w:rsid w:val="00791706"/>
    <w:rsid w:val="0079181C"/>
    <w:rsid w:val="00792722"/>
    <w:rsid w:val="007929DC"/>
    <w:rsid w:val="007931D7"/>
    <w:rsid w:val="00793C63"/>
    <w:rsid w:val="00794515"/>
    <w:rsid w:val="00794C35"/>
    <w:rsid w:val="00794EF7"/>
    <w:rsid w:val="0079558F"/>
    <w:rsid w:val="00795DB5"/>
    <w:rsid w:val="00796D8A"/>
    <w:rsid w:val="007A1178"/>
    <w:rsid w:val="007A1422"/>
    <w:rsid w:val="007A1C66"/>
    <w:rsid w:val="007A1FD8"/>
    <w:rsid w:val="007A3170"/>
    <w:rsid w:val="007A3FB2"/>
    <w:rsid w:val="007A5014"/>
    <w:rsid w:val="007A52A7"/>
    <w:rsid w:val="007A5A84"/>
    <w:rsid w:val="007A710C"/>
    <w:rsid w:val="007A7452"/>
    <w:rsid w:val="007A7C12"/>
    <w:rsid w:val="007B39DF"/>
    <w:rsid w:val="007B4BF4"/>
    <w:rsid w:val="007B4D1E"/>
    <w:rsid w:val="007B59C1"/>
    <w:rsid w:val="007B5BDA"/>
    <w:rsid w:val="007B6C25"/>
    <w:rsid w:val="007B7662"/>
    <w:rsid w:val="007B7D97"/>
    <w:rsid w:val="007C0847"/>
    <w:rsid w:val="007C0A72"/>
    <w:rsid w:val="007C0DFE"/>
    <w:rsid w:val="007C3862"/>
    <w:rsid w:val="007C4247"/>
    <w:rsid w:val="007C47D1"/>
    <w:rsid w:val="007C600C"/>
    <w:rsid w:val="007C6CEA"/>
    <w:rsid w:val="007D1CDE"/>
    <w:rsid w:val="007D26CF"/>
    <w:rsid w:val="007D2D93"/>
    <w:rsid w:val="007D2FB4"/>
    <w:rsid w:val="007D3164"/>
    <w:rsid w:val="007D39B2"/>
    <w:rsid w:val="007D4E5E"/>
    <w:rsid w:val="007D51D2"/>
    <w:rsid w:val="007D6F75"/>
    <w:rsid w:val="007D7046"/>
    <w:rsid w:val="007D73F3"/>
    <w:rsid w:val="007D7446"/>
    <w:rsid w:val="007D7964"/>
    <w:rsid w:val="007E089A"/>
    <w:rsid w:val="007E24DF"/>
    <w:rsid w:val="007E490E"/>
    <w:rsid w:val="007E51F1"/>
    <w:rsid w:val="007E598C"/>
    <w:rsid w:val="007E6163"/>
    <w:rsid w:val="007E7838"/>
    <w:rsid w:val="007F00C0"/>
    <w:rsid w:val="007F07B7"/>
    <w:rsid w:val="007F0807"/>
    <w:rsid w:val="007F0EB1"/>
    <w:rsid w:val="007F1B51"/>
    <w:rsid w:val="007F1CDE"/>
    <w:rsid w:val="007F2645"/>
    <w:rsid w:val="007F29EC"/>
    <w:rsid w:val="007F2EDB"/>
    <w:rsid w:val="007F3202"/>
    <w:rsid w:val="007F48B9"/>
    <w:rsid w:val="007F4FF8"/>
    <w:rsid w:val="007F5D10"/>
    <w:rsid w:val="007F5D80"/>
    <w:rsid w:val="007F7C48"/>
    <w:rsid w:val="007F7DAB"/>
    <w:rsid w:val="008013A6"/>
    <w:rsid w:val="008016AD"/>
    <w:rsid w:val="0080179C"/>
    <w:rsid w:val="00801BF8"/>
    <w:rsid w:val="0080221E"/>
    <w:rsid w:val="00802FFD"/>
    <w:rsid w:val="00803645"/>
    <w:rsid w:val="008056CF"/>
    <w:rsid w:val="00805A2C"/>
    <w:rsid w:val="00806FF9"/>
    <w:rsid w:val="008070EC"/>
    <w:rsid w:val="008077D3"/>
    <w:rsid w:val="00807B62"/>
    <w:rsid w:val="00807DDF"/>
    <w:rsid w:val="0081007C"/>
    <w:rsid w:val="00812578"/>
    <w:rsid w:val="00812895"/>
    <w:rsid w:val="00812BCC"/>
    <w:rsid w:val="00813DD3"/>
    <w:rsid w:val="008143CC"/>
    <w:rsid w:val="00814DDD"/>
    <w:rsid w:val="00814FC4"/>
    <w:rsid w:val="0081550F"/>
    <w:rsid w:val="00816341"/>
    <w:rsid w:val="00816F40"/>
    <w:rsid w:val="008174F5"/>
    <w:rsid w:val="00820642"/>
    <w:rsid w:val="008208AA"/>
    <w:rsid w:val="008208AB"/>
    <w:rsid w:val="008208F3"/>
    <w:rsid w:val="008209B4"/>
    <w:rsid w:val="00822376"/>
    <w:rsid w:val="00822BB1"/>
    <w:rsid w:val="00822D81"/>
    <w:rsid w:val="008233E0"/>
    <w:rsid w:val="008241B2"/>
    <w:rsid w:val="00824EE2"/>
    <w:rsid w:val="00825B3C"/>
    <w:rsid w:val="0082650B"/>
    <w:rsid w:val="00826D98"/>
    <w:rsid w:val="0082700F"/>
    <w:rsid w:val="008278E4"/>
    <w:rsid w:val="00830A22"/>
    <w:rsid w:val="00830F37"/>
    <w:rsid w:val="008310CD"/>
    <w:rsid w:val="00831346"/>
    <w:rsid w:val="008318C0"/>
    <w:rsid w:val="0083205B"/>
    <w:rsid w:val="008327EE"/>
    <w:rsid w:val="00833C1A"/>
    <w:rsid w:val="00834043"/>
    <w:rsid w:val="00834B67"/>
    <w:rsid w:val="00835584"/>
    <w:rsid w:val="0084212F"/>
    <w:rsid w:val="00842EB2"/>
    <w:rsid w:val="00844389"/>
    <w:rsid w:val="00844F23"/>
    <w:rsid w:val="00846720"/>
    <w:rsid w:val="0084683C"/>
    <w:rsid w:val="0084704E"/>
    <w:rsid w:val="0085036C"/>
    <w:rsid w:val="00851785"/>
    <w:rsid w:val="008519A9"/>
    <w:rsid w:val="008521B1"/>
    <w:rsid w:val="00852C49"/>
    <w:rsid w:val="00852E47"/>
    <w:rsid w:val="008543FC"/>
    <w:rsid w:val="00854C51"/>
    <w:rsid w:val="00855207"/>
    <w:rsid w:val="008576E7"/>
    <w:rsid w:val="00857975"/>
    <w:rsid w:val="0086038E"/>
    <w:rsid w:val="00860E00"/>
    <w:rsid w:val="008639FD"/>
    <w:rsid w:val="00866B1E"/>
    <w:rsid w:val="00867176"/>
    <w:rsid w:val="00867607"/>
    <w:rsid w:val="00867621"/>
    <w:rsid w:val="00867F02"/>
    <w:rsid w:val="00871590"/>
    <w:rsid w:val="00871DF1"/>
    <w:rsid w:val="008729DA"/>
    <w:rsid w:val="008729F3"/>
    <w:rsid w:val="00872EE4"/>
    <w:rsid w:val="00873249"/>
    <w:rsid w:val="00873D4F"/>
    <w:rsid w:val="00874887"/>
    <w:rsid w:val="00874A58"/>
    <w:rsid w:val="00875A1C"/>
    <w:rsid w:val="00876585"/>
    <w:rsid w:val="00876A4D"/>
    <w:rsid w:val="0088072A"/>
    <w:rsid w:val="00881ADA"/>
    <w:rsid w:val="00881DFD"/>
    <w:rsid w:val="00883B11"/>
    <w:rsid w:val="00885A3B"/>
    <w:rsid w:val="00885D0F"/>
    <w:rsid w:val="00886626"/>
    <w:rsid w:val="008869C1"/>
    <w:rsid w:val="00886CBE"/>
    <w:rsid w:val="00890254"/>
    <w:rsid w:val="00890FD7"/>
    <w:rsid w:val="00892B4E"/>
    <w:rsid w:val="00893FB8"/>
    <w:rsid w:val="008945E0"/>
    <w:rsid w:val="008952D5"/>
    <w:rsid w:val="00895999"/>
    <w:rsid w:val="008963E7"/>
    <w:rsid w:val="008977DE"/>
    <w:rsid w:val="008A0DFA"/>
    <w:rsid w:val="008A17E7"/>
    <w:rsid w:val="008A1E39"/>
    <w:rsid w:val="008A3BDD"/>
    <w:rsid w:val="008A5BD5"/>
    <w:rsid w:val="008A745B"/>
    <w:rsid w:val="008B0638"/>
    <w:rsid w:val="008B1049"/>
    <w:rsid w:val="008B16AD"/>
    <w:rsid w:val="008B1917"/>
    <w:rsid w:val="008B19EF"/>
    <w:rsid w:val="008B1CD8"/>
    <w:rsid w:val="008B2008"/>
    <w:rsid w:val="008B25ED"/>
    <w:rsid w:val="008B3AEC"/>
    <w:rsid w:val="008B4E96"/>
    <w:rsid w:val="008B7CDC"/>
    <w:rsid w:val="008B7DCE"/>
    <w:rsid w:val="008B7F4A"/>
    <w:rsid w:val="008C098F"/>
    <w:rsid w:val="008C0A21"/>
    <w:rsid w:val="008C0EFA"/>
    <w:rsid w:val="008C13AF"/>
    <w:rsid w:val="008C20AB"/>
    <w:rsid w:val="008C2118"/>
    <w:rsid w:val="008C27F6"/>
    <w:rsid w:val="008C29C4"/>
    <w:rsid w:val="008C2B53"/>
    <w:rsid w:val="008C398D"/>
    <w:rsid w:val="008C3D32"/>
    <w:rsid w:val="008C3E77"/>
    <w:rsid w:val="008C5422"/>
    <w:rsid w:val="008C5712"/>
    <w:rsid w:val="008C6D24"/>
    <w:rsid w:val="008C6D62"/>
    <w:rsid w:val="008C6E98"/>
    <w:rsid w:val="008C7C1F"/>
    <w:rsid w:val="008D0738"/>
    <w:rsid w:val="008D2A4A"/>
    <w:rsid w:val="008D305E"/>
    <w:rsid w:val="008D4F8F"/>
    <w:rsid w:val="008D54B5"/>
    <w:rsid w:val="008D5A9C"/>
    <w:rsid w:val="008D741A"/>
    <w:rsid w:val="008D7E52"/>
    <w:rsid w:val="008E0856"/>
    <w:rsid w:val="008E089A"/>
    <w:rsid w:val="008E0FE2"/>
    <w:rsid w:val="008E123D"/>
    <w:rsid w:val="008E14D8"/>
    <w:rsid w:val="008E1A89"/>
    <w:rsid w:val="008E29D1"/>
    <w:rsid w:val="008E4A61"/>
    <w:rsid w:val="008E59E6"/>
    <w:rsid w:val="008E6A28"/>
    <w:rsid w:val="008E7AF0"/>
    <w:rsid w:val="008E7EC8"/>
    <w:rsid w:val="008F01A9"/>
    <w:rsid w:val="008F4155"/>
    <w:rsid w:val="008F6481"/>
    <w:rsid w:val="008F6EBF"/>
    <w:rsid w:val="008F726F"/>
    <w:rsid w:val="008F7495"/>
    <w:rsid w:val="008F7912"/>
    <w:rsid w:val="009003C0"/>
    <w:rsid w:val="00900561"/>
    <w:rsid w:val="009008C1"/>
    <w:rsid w:val="00901B7D"/>
    <w:rsid w:val="009021EE"/>
    <w:rsid w:val="00904F9A"/>
    <w:rsid w:val="00905077"/>
    <w:rsid w:val="009050DA"/>
    <w:rsid w:val="00905259"/>
    <w:rsid w:val="00906E46"/>
    <w:rsid w:val="00907B36"/>
    <w:rsid w:val="00910008"/>
    <w:rsid w:val="00910E7B"/>
    <w:rsid w:val="00911547"/>
    <w:rsid w:val="009132FB"/>
    <w:rsid w:val="0091445C"/>
    <w:rsid w:val="00914785"/>
    <w:rsid w:val="0091519E"/>
    <w:rsid w:val="009155CD"/>
    <w:rsid w:val="00915C50"/>
    <w:rsid w:val="00916684"/>
    <w:rsid w:val="009179F6"/>
    <w:rsid w:val="00917B97"/>
    <w:rsid w:val="00917DAE"/>
    <w:rsid w:val="00920CD6"/>
    <w:rsid w:val="00922477"/>
    <w:rsid w:val="009234FF"/>
    <w:rsid w:val="009249AF"/>
    <w:rsid w:val="00925FF6"/>
    <w:rsid w:val="0092751E"/>
    <w:rsid w:val="009276C0"/>
    <w:rsid w:val="00931E57"/>
    <w:rsid w:val="009326DC"/>
    <w:rsid w:val="00935FC3"/>
    <w:rsid w:val="009362DB"/>
    <w:rsid w:val="00941472"/>
    <w:rsid w:val="00941B6E"/>
    <w:rsid w:val="0094258C"/>
    <w:rsid w:val="00944AAF"/>
    <w:rsid w:val="00945C19"/>
    <w:rsid w:val="00946FCF"/>
    <w:rsid w:val="0094737F"/>
    <w:rsid w:val="00951121"/>
    <w:rsid w:val="009512A5"/>
    <w:rsid w:val="0095270F"/>
    <w:rsid w:val="009527E4"/>
    <w:rsid w:val="00952C56"/>
    <w:rsid w:val="00952DFA"/>
    <w:rsid w:val="00953122"/>
    <w:rsid w:val="009534FB"/>
    <w:rsid w:val="0095353D"/>
    <w:rsid w:val="00954CD1"/>
    <w:rsid w:val="00954F92"/>
    <w:rsid w:val="00954FDE"/>
    <w:rsid w:val="00955550"/>
    <w:rsid w:val="009557E1"/>
    <w:rsid w:val="009564F9"/>
    <w:rsid w:val="00956872"/>
    <w:rsid w:val="00956F2B"/>
    <w:rsid w:val="009570AF"/>
    <w:rsid w:val="00957825"/>
    <w:rsid w:val="009614DF"/>
    <w:rsid w:val="00961E29"/>
    <w:rsid w:val="00962A31"/>
    <w:rsid w:val="00962EE4"/>
    <w:rsid w:val="00963326"/>
    <w:rsid w:val="009640EA"/>
    <w:rsid w:val="00965777"/>
    <w:rsid w:val="0096693B"/>
    <w:rsid w:val="00966E6C"/>
    <w:rsid w:val="009670AA"/>
    <w:rsid w:val="00967468"/>
    <w:rsid w:val="0096785F"/>
    <w:rsid w:val="00970089"/>
    <w:rsid w:val="00971556"/>
    <w:rsid w:val="00971923"/>
    <w:rsid w:val="0097201C"/>
    <w:rsid w:val="0097478B"/>
    <w:rsid w:val="009753A6"/>
    <w:rsid w:val="00975BEB"/>
    <w:rsid w:val="009766FF"/>
    <w:rsid w:val="009769DD"/>
    <w:rsid w:val="00976B0A"/>
    <w:rsid w:val="0098055B"/>
    <w:rsid w:val="00982A0D"/>
    <w:rsid w:val="00983BAF"/>
    <w:rsid w:val="00984905"/>
    <w:rsid w:val="00984B4F"/>
    <w:rsid w:val="00984F7D"/>
    <w:rsid w:val="00985153"/>
    <w:rsid w:val="009855D8"/>
    <w:rsid w:val="00985817"/>
    <w:rsid w:val="00985A63"/>
    <w:rsid w:val="00986073"/>
    <w:rsid w:val="0098728E"/>
    <w:rsid w:val="00990212"/>
    <w:rsid w:val="009902A6"/>
    <w:rsid w:val="009906F1"/>
    <w:rsid w:val="009908AE"/>
    <w:rsid w:val="00991EDD"/>
    <w:rsid w:val="00992FC0"/>
    <w:rsid w:val="009942B0"/>
    <w:rsid w:val="00995381"/>
    <w:rsid w:val="00997353"/>
    <w:rsid w:val="00997F20"/>
    <w:rsid w:val="009A021E"/>
    <w:rsid w:val="009A02BB"/>
    <w:rsid w:val="009A0DA6"/>
    <w:rsid w:val="009A2E8A"/>
    <w:rsid w:val="009A39C0"/>
    <w:rsid w:val="009A4360"/>
    <w:rsid w:val="009A5FAA"/>
    <w:rsid w:val="009A6B4D"/>
    <w:rsid w:val="009A7BDE"/>
    <w:rsid w:val="009A7EE1"/>
    <w:rsid w:val="009B0E34"/>
    <w:rsid w:val="009B1C14"/>
    <w:rsid w:val="009B23F0"/>
    <w:rsid w:val="009B251C"/>
    <w:rsid w:val="009B267F"/>
    <w:rsid w:val="009B295B"/>
    <w:rsid w:val="009B339D"/>
    <w:rsid w:val="009B40B5"/>
    <w:rsid w:val="009B487D"/>
    <w:rsid w:val="009B6F66"/>
    <w:rsid w:val="009B7B25"/>
    <w:rsid w:val="009C06DD"/>
    <w:rsid w:val="009C1EBE"/>
    <w:rsid w:val="009C2370"/>
    <w:rsid w:val="009C279B"/>
    <w:rsid w:val="009C3E03"/>
    <w:rsid w:val="009C5E75"/>
    <w:rsid w:val="009C7F81"/>
    <w:rsid w:val="009D075F"/>
    <w:rsid w:val="009D2364"/>
    <w:rsid w:val="009D2A20"/>
    <w:rsid w:val="009D332E"/>
    <w:rsid w:val="009D3678"/>
    <w:rsid w:val="009D424E"/>
    <w:rsid w:val="009D4DF7"/>
    <w:rsid w:val="009D5DE7"/>
    <w:rsid w:val="009D6964"/>
    <w:rsid w:val="009D706A"/>
    <w:rsid w:val="009E05C4"/>
    <w:rsid w:val="009E0A39"/>
    <w:rsid w:val="009E10E2"/>
    <w:rsid w:val="009E4455"/>
    <w:rsid w:val="009F1105"/>
    <w:rsid w:val="009F239F"/>
    <w:rsid w:val="009F26A2"/>
    <w:rsid w:val="009F2A75"/>
    <w:rsid w:val="009F570C"/>
    <w:rsid w:val="009F606C"/>
    <w:rsid w:val="009F6724"/>
    <w:rsid w:val="009F75C9"/>
    <w:rsid w:val="009F7998"/>
    <w:rsid w:val="00A00F42"/>
    <w:rsid w:val="00A02682"/>
    <w:rsid w:val="00A02A57"/>
    <w:rsid w:val="00A030CB"/>
    <w:rsid w:val="00A03D1A"/>
    <w:rsid w:val="00A04735"/>
    <w:rsid w:val="00A052EF"/>
    <w:rsid w:val="00A05FBA"/>
    <w:rsid w:val="00A06B55"/>
    <w:rsid w:val="00A06BAB"/>
    <w:rsid w:val="00A07BBE"/>
    <w:rsid w:val="00A12145"/>
    <w:rsid w:val="00A128CF"/>
    <w:rsid w:val="00A1460E"/>
    <w:rsid w:val="00A14699"/>
    <w:rsid w:val="00A14E6E"/>
    <w:rsid w:val="00A154AB"/>
    <w:rsid w:val="00A15C03"/>
    <w:rsid w:val="00A16008"/>
    <w:rsid w:val="00A16156"/>
    <w:rsid w:val="00A1687A"/>
    <w:rsid w:val="00A171E3"/>
    <w:rsid w:val="00A179D1"/>
    <w:rsid w:val="00A200E6"/>
    <w:rsid w:val="00A202D2"/>
    <w:rsid w:val="00A20FC9"/>
    <w:rsid w:val="00A21F2F"/>
    <w:rsid w:val="00A22320"/>
    <w:rsid w:val="00A2338C"/>
    <w:rsid w:val="00A2448A"/>
    <w:rsid w:val="00A248BA"/>
    <w:rsid w:val="00A258A1"/>
    <w:rsid w:val="00A26EB9"/>
    <w:rsid w:val="00A30250"/>
    <w:rsid w:val="00A30DD5"/>
    <w:rsid w:val="00A3264B"/>
    <w:rsid w:val="00A33C02"/>
    <w:rsid w:val="00A343DC"/>
    <w:rsid w:val="00A34A8C"/>
    <w:rsid w:val="00A34F00"/>
    <w:rsid w:val="00A34FDD"/>
    <w:rsid w:val="00A35215"/>
    <w:rsid w:val="00A40127"/>
    <w:rsid w:val="00A40628"/>
    <w:rsid w:val="00A4082C"/>
    <w:rsid w:val="00A41344"/>
    <w:rsid w:val="00A41E28"/>
    <w:rsid w:val="00A421E6"/>
    <w:rsid w:val="00A436C1"/>
    <w:rsid w:val="00A43E69"/>
    <w:rsid w:val="00A45B84"/>
    <w:rsid w:val="00A45E91"/>
    <w:rsid w:val="00A45F78"/>
    <w:rsid w:val="00A46152"/>
    <w:rsid w:val="00A461C3"/>
    <w:rsid w:val="00A469BB"/>
    <w:rsid w:val="00A47EFE"/>
    <w:rsid w:val="00A5012E"/>
    <w:rsid w:val="00A5072D"/>
    <w:rsid w:val="00A5098C"/>
    <w:rsid w:val="00A5106B"/>
    <w:rsid w:val="00A515D5"/>
    <w:rsid w:val="00A523C7"/>
    <w:rsid w:val="00A5264F"/>
    <w:rsid w:val="00A52B6D"/>
    <w:rsid w:val="00A531C5"/>
    <w:rsid w:val="00A53C09"/>
    <w:rsid w:val="00A54194"/>
    <w:rsid w:val="00A5464A"/>
    <w:rsid w:val="00A554BA"/>
    <w:rsid w:val="00A55F56"/>
    <w:rsid w:val="00A56230"/>
    <w:rsid w:val="00A57C33"/>
    <w:rsid w:val="00A60230"/>
    <w:rsid w:val="00A608AB"/>
    <w:rsid w:val="00A60D3F"/>
    <w:rsid w:val="00A62F65"/>
    <w:rsid w:val="00A64F4F"/>
    <w:rsid w:val="00A66854"/>
    <w:rsid w:val="00A672A4"/>
    <w:rsid w:val="00A708B8"/>
    <w:rsid w:val="00A7109A"/>
    <w:rsid w:val="00A71587"/>
    <w:rsid w:val="00A7174C"/>
    <w:rsid w:val="00A71A1F"/>
    <w:rsid w:val="00A72EB7"/>
    <w:rsid w:val="00A73444"/>
    <w:rsid w:val="00A74519"/>
    <w:rsid w:val="00A74A8F"/>
    <w:rsid w:val="00A74D47"/>
    <w:rsid w:val="00A7521F"/>
    <w:rsid w:val="00A767A1"/>
    <w:rsid w:val="00A77BB5"/>
    <w:rsid w:val="00A77BC5"/>
    <w:rsid w:val="00A77FE3"/>
    <w:rsid w:val="00A80B1A"/>
    <w:rsid w:val="00A81FC2"/>
    <w:rsid w:val="00A842EB"/>
    <w:rsid w:val="00A8569D"/>
    <w:rsid w:val="00A862F7"/>
    <w:rsid w:val="00A867FC"/>
    <w:rsid w:val="00A90187"/>
    <w:rsid w:val="00A90BB2"/>
    <w:rsid w:val="00A91592"/>
    <w:rsid w:val="00A9194F"/>
    <w:rsid w:val="00A937CD"/>
    <w:rsid w:val="00A943DA"/>
    <w:rsid w:val="00A961B1"/>
    <w:rsid w:val="00A96434"/>
    <w:rsid w:val="00A965D7"/>
    <w:rsid w:val="00A96891"/>
    <w:rsid w:val="00AA1F10"/>
    <w:rsid w:val="00AA29BE"/>
    <w:rsid w:val="00AA3A9D"/>
    <w:rsid w:val="00AA58CE"/>
    <w:rsid w:val="00AA5950"/>
    <w:rsid w:val="00AA6E5C"/>
    <w:rsid w:val="00AA7108"/>
    <w:rsid w:val="00AB1314"/>
    <w:rsid w:val="00AB1D78"/>
    <w:rsid w:val="00AB1ED0"/>
    <w:rsid w:val="00AB21EA"/>
    <w:rsid w:val="00AB2637"/>
    <w:rsid w:val="00AB30A0"/>
    <w:rsid w:val="00AB36EF"/>
    <w:rsid w:val="00AB3B25"/>
    <w:rsid w:val="00AB5668"/>
    <w:rsid w:val="00AB627F"/>
    <w:rsid w:val="00AB7316"/>
    <w:rsid w:val="00AC1CB5"/>
    <w:rsid w:val="00AC2AB7"/>
    <w:rsid w:val="00AC35AA"/>
    <w:rsid w:val="00AC3B13"/>
    <w:rsid w:val="00AC4986"/>
    <w:rsid w:val="00AC4D55"/>
    <w:rsid w:val="00AC51E4"/>
    <w:rsid w:val="00AC54D6"/>
    <w:rsid w:val="00AC5B1F"/>
    <w:rsid w:val="00AC6CED"/>
    <w:rsid w:val="00AC7735"/>
    <w:rsid w:val="00AD0029"/>
    <w:rsid w:val="00AD0449"/>
    <w:rsid w:val="00AD1C16"/>
    <w:rsid w:val="00AD2248"/>
    <w:rsid w:val="00AD26B0"/>
    <w:rsid w:val="00AD27E1"/>
    <w:rsid w:val="00AD3E1D"/>
    <w:rsid w:val="00AD4231"/>
    <w:rsid w:val="00AD47FE"/>
    <w:rsid w:val="00AD5476"/>
    <w:rsid w:val="00AD5E64"/>
    <w:rsid w:val="00AD5EDB"/>
    <w:rsid w:val="00AD77A3"/>
    <w:rsid w:val="00AE01F4"/>
    <w:rsid w:val="00AE0DE9"/>
    <w:rsid w:val="00AE16C8"/>
    <w:rsid w:val="00AE1C72"/>
    <w:rsid w:val="00AE3DF1"/>
    <w:rsid w:val="00AE4769"/>
    <w:rsid w:val="00AE4C65"/>
    <w:rsid w:val="00AE6EDD"/>
    <w:rsid w:val="00AE746A"/>
    <w:rsid w:val="00AE7F10"/>
    <w:rsid w:val="00AF1562"/>
    <w:rsid w:val="00AF16A5"/>
    <w:rsid w:val="00AF3669"/>
    <w:rsid w:val="00AF413A"/>
    <w:rsid w:val="00AF43E8"/>
    <w:rsid w:val="00AF5F7A"/>
    <w:rsid w:val="00AF6678"/>
    <w:rsid w:val="00AF72C6"/>
    <w:rsid w:val="00AF785E"/>
    <w:rsid w:val="00B005F5"/>
    <w:rsid w:val="00B00846"/>
    <w:rsid w:val="00B01452"/>
    <w:rsid w:val="00B0237E"/>
    <w:rsid w:val="00B02EBB"/>
    <w:rsid w:val="00B0304B"/>
    <w:rsid w:val="00B03D5F"/>
    <w:rsid w:val="00B0419B"/>
    <w:rsid w:val="00B046B4"/>
    <w:rsid w:val="00B04814"/>
    <w:rsid w:val="00B0600C"/>
    <w:rsid w:val="00B061F9"/>
    <w:rsid w:val="00B0714C"/>
    <w:rsid w:val="00B073C0"/>
    <w:rsid w:val="00B07755"/>
    <w:rsid w:val="00B078B5"/>
    <w:rsid w:val="00B07AAD"/>
    <w:rsid w:val="00B100A5"/>
    <w:rsid w:val="00B10EC0"/>
    <w:rsid w:val="00B11007"/>
    <w:rsid w:val="00B11056"/>
    <w:rsid w:val="00B11850"/>
    <w:rsid w:val="00B12D14"/>
    <w:rsid w:val="00B12FA3"/>
    <w:rsid w:val="00B1509A"/>
    <w:rsid w:val="00B15321"/>
    <w:rsid w:val="00B16251"/>
    <w:rsid w:val="00B16D98"/>
    <w:rsid w:val="00B16EDF"/>
    <w:rsid w:val="00B17FBA"/>
    <w:rsid w:val="00B20235"/>
    <w:rsid w:val="00B20970"/>
    <w:rsid w:val="00B20ABC"/>
    <w:rsid w:val="00B21A16"/>
    <w:rsid w:val="00B21A3F"/>
    <w:rsid w:val="00B22661"/>
    <w:rsid w:val="00B22F7D"/>
    <w:rsid w:val="00B2501D"/>
    <w:rsid w:val="00B25192"/>
    <w:rsid w:val="00B2559C"/>
    <w:rsid w:val="00B25637"/>
    <w:rsid w:val="00B25C46"/>
    <w:rsid w:val="00B27AB2"/>
    <w:rsid w:val="00B30F5C"/>
    <w:rsid w:val="00B31405"/>
    <w:rsid w:val="00B318C9"/>
    <w:rsid w:val="00B31ACF"/>
    <w:rsid w:val="00B32F59"/>
    <w:rsid w:val="00B3426D"/>
    <w:rsid w:val="00B36C22"/>
    <w:rsid w:val="00B37545"/>
    <w:rsid w:val="00B37624"/>
    <w:rsid w:val="00B37854"/>
    <w:rsid w:val="00B37946"/>
    <w:rsid w:val="00B37C07"/>
    <w:rsid w:val="00B403B1"/>
    <w:rsid w:val="00B411ED"/>
    <w:rsid w:val="00B418EC"/>
    <w:rsid w:val="00B41D21"/>
    <w:rsid w:val="00B45F45"/>
    <w:rsid w:val="00B4690B"/>
    <w:rsid w:val="00B46AD0"/>
    <w:rsid w:val="00B46B8D"/>
    <w:rsid w:val="00B47266"/>
    <w:rsid w:val="00B50530"/>
    <w:rsid w:val="00B511A4"/>
    <w:rsid w:val="00B53594"/>
    <w:rsid w:val="00B54D13"/>
    <w:rsid w:val="00B554D9"/>
    <w:rsid w:val="00B55DC5"/>
    <w:rsid w:val="00B607E0"/>
    <w:rsid w:val="00B617E0"/>
    <w:rsid w:val="00B61AF9"/>
    <w:rsid w:val="00B6413F"/>
    <w:rsid w:val="00B64A8E"/>
    <w:rsid w:val="00B65500"/>
    <w:rsid w:val="00B65A0C"/>
    <w:rsid w:val="00B65A8F"/>
    <w:rsid w:val="00B66189"/>
    <w:rsid w:val="00B67174"/>
    <w:rsid w:val="00B70052"/>
    <w:rsid w:val="00B70189"/>
    <w:rsid w:val="00B705A0"/>
    <w:rsid w:val="00B71820"/>
    <w:rsid w:val="00B72FB7"/>
    <w:rsid w:val="00B74476"/>
    <w:rsid w:val="00B74608"/>
    <w:rsid w:val="00B7526E"/>
    <w:rsid w:val="00B759EA"/>
    <w:rsid w:val="00B762A4"/>
    <w:rsid w:val="00B8017D"/>
    <w:rsid w:val="00B81428"/>
    <w:rsid w:val="00B82BF6"/>
    <w:rsid w:val="00B83179"/>
    <w:rsid w:val="00B8384D"/>
    <w:rsid w:val="00B84F1E"/>
    <w:rsid w:val="00B84FB2"/>
    <w:rsid w:val="00B85A4E"/>
    <w:rsid w:val="00B85D74"/>
    <w:rsid w:val="00B8644E"/>
    <w:rsid w:val="00B86A99"/>
    <w:rsid w:val="00B8712C"/>
    <w:rsid w:val="00B877D2"/>
    <w:rsid w:val="00B90D7F"/>
    <w:rsid w:val="00B91C70"/>
    <w:rsid w:val="00B927AA"/>
    <w:rsid w:val="00B92A82"/>
    <w:rsid w:val="00B92BAF"/>
    <w:rsid w:val="00B94AD5"/>
    <w:rsid w:val="00B94B43"/>
    <w:rsid w:val="00B95143"/>
    <w:rsid w:val="00B951DC"/>
    <w:rsid w:val="00B958DD"/>
    <w:rsid w:val="00B95E7B"/>
    <w:rsid w:val="00B975D0"/>
    <w:rsid w:val="00B97D7C"/>
    <w:rsid w:val="00BA0016"/>
    <w:rsid w:val="00BA0044"/>
    <w:rsid w:val="00BA03F1"/>
    <w:rsid w:val="00BA07A5"/>
    <w:rsid w:val="00BA20BA"/>
    <w:rsid w:val="00BA3CD8"/>
    <w:rsid w:val="00BA419A"/>
    <w:rsid w:val="00BA5231"/>
    <w:rsid w:val="00BA7256"/>
    <w:rsid w:val="00BA739E"/>
    <w:rsid w:val="00BA7CAB"/>
    <w:rsid w:val="00BB00E0"/>
    <w:rsid w:val="00BB05D5"/>
    <w:rsid w:val="00BB06BF"/>
    <w:rsid w:val="00BB07E9"/>
    <w:rsid w:val="00BB08FC"/>
    <w:rsid w:val="00BB13CA"/>
    <w:rsid w:val="00BB392D"/>
    <w:rsid w:val="00BB4592"/>
    <w:rsid w:val="00BB47C6"/>
    <w:rsid w:val="00BB6D8D"/>
    <w:rsid w:val="00BB70ED"/>
    <w:rsid w:val="00BB77F1"/>
    <w:rsid w:val="00BB79F6"/>
    <w:rsid w:val="00BC124C"/>
    <w:rsid w:val="00BC12E8"/>
    <w:rsid w:val="00BC1D0C"/>
    <w:rsid w:val="00BC222A"/>
    <w:rsid w:val="00BC2850"/>
    <w:rsid w:val="00BC2BA4"/>
    <w:rsid w:val="00BC2D82"/>
    <w:rsid w:val="00BC3663"/>
    <w:rsid w:val="00BC3C88"/>
    <w:rsid w:val="00BC3E4E"/>
    <w:rsid w:val="00BC4987"/>
    <w:rsid w:val="00BC52A9"/>
    <w:rsid w:val="00BC53E0"/>
    <w:rsid w:val="00BC5633"/>
    <w:rsid w:val="00BC58AF"/>
    <w:rsid w:val="00BC6718"/>
    <w:rsid w:val="00BC7079"/>
    <w:rsid w:val="00BC7351"/>
    <w:rsid w:val="00BD0F39"/>
    <w:rsid w:val="00BD1671"/>
    <w:rsid w:val="00BD2568"/>
    <w:rsid w:val="00BD36BD"/>
    <w:rsid w:val="00BD43DC"/>
    <w:rsid w:val="00BD4D92"/>
    <w:rsid w:val="00BD51B6"/>
    <w:rsid w:val="00BD54D2"/>
    <w:rsid w:val="00BD60E6"/>
    <w:rsid w:val="00BD70B1"/>
    <w:rsid w:val="00BE0C01"/>
    <w:rsid w:val="00BE32EC"/>
    <w:rsid w:val="00BE4168"/>
    <w:rsid w:val="00BE635F"/>
    <w:rsid w:val="00BE774B"/>
    <w:rsid w:val="00BF0776"/>
    <w:rsid w:val="00BF0AC0"/>
    <w:rsid w:val="00BF1BB0"/>
    <w:rsid w:val="00BF213A"/>
    <w:rsid w:val="00BF3440"/>
    <w:rsid w:val="00BF3FD9"/>
    <w:rsid w:val="00BF4C8C"/>
    <w:rsid w:val="00BF52C3"/>
    <w:rsid w:val="00BF5EC6"/>
    <w:rsid w:val="00BF729E"/>
    <w:rsid w:val="00BF794C"/>
    <w:rsid w:val="00BF7EAB"/>
    <w:rsid w:val="00BF7F48"/>
    <w:rsid w:val="00C00B5F"/>
    <w:rsid w:val="00C00FF6"/>
    <w:rsid w:val="00C014C4"/>
    <w:rsid w:val="00C01C2B"/>
    <w:rsid w:val="00C01E24"/>
    <w:rsid w:val="00C02818"/>
    <w:rsid w:val="00C02BA7"/>
    <w:rsid w:val="00C037CD"/>
    <w:rsid w:val="00C03E06"/>
    <w:rsid w:val="00C03FCB"/>
    <w:rsid w:val="00C041EB"/>
    <w:rsid w:val="00C0498F"/>
    <w:rsid w:val="00C059AE"/>
    <w:rsid w:val="00C059C5"/>
    <w:rsid w:val="00C06838"/>
    <w:rsid w:val="00C07A3F"/>
    <w:rsid w:val="00C13F0F"/>
    <w:rsid w:val="00C14056"/>
    <w:rsid w:val="00C15B6F"/>
    <w:rsid w:val="00C16F61"/>
    <w:rsid w:val="00C1789C"/>
    <w:rsid w:val="00C202C0"/>
    <w:rsid w:val="00C2332D"/>
    <w:rsid w:val="00C23E0C"/>
    <w:rsid w:val="00C24764"/>
    <w:rsid w:val="00C2480E"/>
    <w:rsid w:val="00C24A13"/>
    <w:rsid w:val="00C25B52"/>
    <w:rsid w:val="00C26010"/>
    <w:rsid w:val="00C26BE7"/>
    <w:rsid w:val="00C26E03"/>
    <w:rsid w:val="00C270C9"/>
    <w:rsid w:val="00C27A72"/>
    <w:rsid w:val="00C27B0E"/>
    <w:rsid w:val="00C30584"/>
    <w:rsid w:val="00C305BA"/>
    <w:rsid w:val="00C309CF"/>
    <w:rsid w:val="00C32F48"/>
    <w:rsid w:val="00C358B6"/>
    <w:rsid w:val="00C35F13"/>
    <w:rsid w:val="00C3660D"/>
    <w:rsid w:val="00C377A8"/>
    <w:rsid w:val="00C40269"/>
    <w:rsid w:val="00C40ADF"/>
    <w:rsid w:val="00C41122"/>
    <w:rsid w:val="00C4137D"/>
    <w:rsid w:val="00C416F8"/>
    <w:rsid w:val="00C42020"/>
    <w:rsid w:val="00C451C7"/>
    <w:rsid w:val="00C4524E"/>
    <w:rsid w:val="00C45C60"/>
    <w:rsid w:val="00C462C1"/>
    <w:rsid w:val="00C468EB"/>
    <w:rsid w:val="00C47DF1"/>
    <w:rsid w:val="00C50568"/>
    <w:rsid w:val="00C51204"/>
    <w:rsid w:val="00C51763"/>
    <w:rsid w:val="00C519F0"/>
    <w:rsid w:val="00C52191"/>
    <w:rsid w:val="00C52308"/>
    <w:rsid w:val="00C52C02"/>
    <w:rsid w:val="00C53883"/>
    <w:rsid w:val="00C53B92"/>
    <w:rsid w:val="00C54408"/>
    <w:rsid w:val="00C55AF3"/>
    <w:rsid w:val="00C55BC5"/>
    <w:rsid w:val="00C56F93"/>
    <w:rsid w:val="00C577AF"/>
    <w:rsid w:val="00C60DC5"/>
    <w:rsid w:val="00C6120C"/>
    <w:rsid w:val="00C62310"/>
    <w:rsid w:val="00C63A77"/>
    <w:rsid w:val="00C63D51"/>
    <w:rsid w:val="00C6406B"/>
    <w:rsid w:val="00C64263"/>
    <w:rsid w:val="00C6433F"/>
    <w:rsid w:val="00C64612"/>
    <w:rsid w:val="00C64CB6"/>
    <w:rsid w:val="00C656D7"/>
    <w:rsid w:val="00C65A9B"/>
    <w:rsid w:val="00C663A7"/>
    <w:rsid w:val="00C66E03"/>
    <w:rsid w:val="00C674AC"/>
    <w:rsid w:val="00C674D5"/>
    <w:rsid w:val="00C67AD3"/>
    <w:rsid w:val="00C67E71"/>
    <w:rsid w:val="00C7185B"/>
    <w:rsid w:val="00C724A4"/>
    <w:rsid w:val="00C72687"/>
    <w:rsid w:val="00C72923"/>
    <w:rsid w:val="00C72DF2"/>
    <w:rsid w:val="00C73657"/>
    <w:rsid w:val="00C738B8"/>
    <w:rsid w:val="00C744B8"/>
    <w:rsid w:val="00C74E9D"/>
    <w:rsid w:val="00C773E0"/>
    <w:rsid w:val="00C81D0E"/>
    <w:rsid w:val="00C82EF8"/>
    <w:rsid w:val="00C83D1D"/>
    <w:rsid w:val="00C84104"/>
    <w:rsid w:val="00C84231"/>
    <w:rsid w:val="00C8570C"/>
    <w:rsid w:val="00C85730"/>
    <w:rsid w:val="00C85A9A"/>
    <w:rsid w:val="00C86463"/>
    <w:rsid w:val="00C864E8"/>
    <w:rsid w:val="00C86972"/>
    <w:rsid w:val="00C93009"/>
    <w:rsid w:val="00C93A85"/>
    <w:rsid w:val="00C93B97"/>
    <w:rsid w:val="00C94C24"/>
    <w:rsid w:val="00C96301"/>
    <w:rsid w:val="00C96A02"/>
    <w:rsid w:val="00C976E0"/>
    <w:rsid w:val="00C97712"/>
    <w:rsid w:val="00CA0191"/>
    <w:rsid w:val="00CA0B71"/>
    <w:rsid w:val="00CA1C94"/>
    <w:rsid w:val="00CA2AEE"/>
    <w:rsid w:val="00CA2DDD"/>
    <w:rsid w:val="00CA366D"/>
    <w:rsid w:val="00CA46BE"/>
    <w:rsid w:val="00CA595F"/>
    <w:rsid w:val="00CA5D9E"/>
    <w:rsid w:val="00CB02FD"/>
    <w:rsid w:val="00CB0848"/>
    <w:rsid w:val="00CB0A10"/>
    <w:rsid w:val="00CB14B4"/>
    <w:rsid w:val="00CB1EBD"/>
    <w:rsid w:val="00CB2120"/>
    <w:rsid w:val="00CB289D"/>
    <w:rsid w:val="00CB2C28"/>
    <w:rsid w:val="00CB3DE3"/>
    <w:rsid w:val="00CB7102"/>
    <w:rsid w:val="00CC1A42"/>
    <w:rsid w:val="00CC1CCC"/>
    <w:rsid w:val="00CC1DC7"/>
    <w:rsid w:val="00CC2C04"/>
    <w:rsid w:val="00CC492F"/>
    <w:rsid w:val="00CC6620"/>
    <w:rsid w:val="00CC751F"/>
    <w:rsid w:val="00CD07C2"/>
    <w:rsid w:val="00CD09CE"/>
    <w:rsid w:val="00CD0C0F"/>
    <w:rsid w:val="00CD0ED9"/>
    <w:rsid w:val="00CD2AC8"/>
    <w:rsid w:val="00CD36ED"/>
    <w:rsid w:val="00CD45DD"/>
    <w:rsid w:val="00CD4F7F"/>
    <w:rsid w:val="00CD524A"/>
    <w:rsid w:val="00CD576C"/>
    <w:rsid w:val="00CD5A3D"/>
    <w:rsid w:val="00CD5F84"/>
    <w:rsid w:val="00CD6C1C"/>
    <w:rsid w:val="00CD6DEC"/>
    <w:rsid w:val="00CE0274"/>
    <w:rsid w:val="00CE0805"/>
    <w:rsid w:val="00CE0EC3"/>
    <w:rsid w:val="00CE3870"/>
    <w:rsid w:val="00CE4B9C"/>
    <w:rsid w:val="00CE4BCC"/>
    <w:rsid w:val="00CE4F29"/>
    <w:rsid w:val="00CE60DA"/>
    <w:rsid w:val="00CE6277"/>
    <w:rsid w:val="00CE650E"/>
    <w:rsid w:val="00CE687E"/>
    <w:rsid w:val="00CE6C1C"/>
    <w:rsid w:val="00CE70C6"/>
    <w:rsid w:val="00CE730C"/>
    <w:rsid w:val="00CF016F"/>
    <w:rsid w:val="00CF0224"/>
    <w:rsid w:val="00CF0AD1"/>
    <w:rsid w:val="00CF16DB"/>
    <w:rsid w:val="00CF16E7"/>
    <w:rsid w:val="00CF5A9A"/>
    <w:rsid w:val="00CF7257"/>
    <w:rsid w:val="00D01683"/>
    <w:rsid w:val="00D01F94"/>
    <w:rsid w:val="00D0217B"/>
    <w:rsid w:val="00D02205"/>
    <w:rsid w:val="00D026C9"/>
    <w:rsid w:val="00D02D5E"/>
    <w:rsid w:val="00D034F3"/>
    <w:rsid w:val="00D04A95"/>
    <w:rsid w:val="00D055D1"/>
    <w:rsid w:val="00D05BE3"/>
    <w:rsid w:val="00D06146"/>
    <w:rsid w:val="00D06162"/>
    <w:rsid w:val="00D06472"/>
    <w:rsid w:val="00D070AA"/>
    <w:rsid w:val="00D0772D"/>
    <w:rsid w:val="00D0774B"/>
    <w:rsid w:val="00D07D5A"/>
    <w:rsid w:val="00D10D30"/>
    <w:rsid w:val="00D11A09"/>
    <w:rsid w:val="00D12016"/>
    <w:rsid w:val="00D1252F"/>
    <w:rsid w:val="00D135E4"/>
    <w:rsid w:val="00D14659"/>
    <w:rsid w:val="00D15A89"/>
    <w:rsid w:val="00D15DF6"/>
    <w:rsid w:val="00D16AF6"/>
    <w:rsid w:val="00D16BA4"/>
    <w:rsid w:val="00D17149"/>
    <w:rsid w:val="00D17FE0"/>
    <w:rsid w:val="00D20022"/>
    <w:rsid w:val="00D20060"/>
    <w:rsid w:val="00D203E9"/>
    <w:rsid w:val="00D20E5C"/>
    <w:rsid w:val="00D22E27"/>
    <w:rsid w:val="00D245DF"/>
    <w:rsid w:val="00D2750F"/>
    <w:rsid w:val="00D30689"/>
    <w:rsid w:val="00D30C0F"/>
    <w:rsid w:val="00D30D5A"/>
    <w:rsid w:val="00D31132"/>
    <w:rsid w:val="00D332DE"/>
    <w:rsid w:val="00D402E8"/>
    <w:rsid w:val="00D409B2"/>
    <w:rsid w:val="00D46F17"/>
    <w:rsid w:val="00D47890"/>
    <w:rsid w:val="00D506C6"/>
    <w:rsid w:val="00D51028"/>
    <w:rsid w:val="00D51D93"/>
    <w:rsid w:val="00D524C1"/>
    <w:rsid w:val="00D52B24"/>
    <w:rsid w:val="00D52CDF"/>
    <w:rsid w:val="00D530CC"/>
    <w:rsid w:val="00D5317C"/>
    <w:rsid w:val="00D532FB"/>
    <w:rsid w:val="00D53383"/>
    <w:rsid w:val="00D535DD"/>
    <w:rsid w:val="00D54279"/>
    <w:rsid w:val="00D561D8"/>
    <w:rsid w:val="00D5722E"/>
    <w:rsid w:val="00D575D9"/>
    <w:rsid w:val="00D5787F"/>
    <w:rsid w:val="00D578BF"/>
    <w:rsid w:val="00D57CFA"/>
    <w:rsid w:val="00D57F5B"/>
    <w:rsid w:val="00D600BC"/>
    <w:rsid w:val="00D60251"/>
    <w:rsid w:val="00D60391"/>
    <w:rsid w:val="00D6068F"/>
    <w:rsid w:val="00D60CCC"/>
    <w:rsid w:val="00D612BA"/>
    <w:rsid w:val="00D626A1"/>
    <w:rsid w:val="00D6294C"/>
    <w:rsid w:val="00D6296C"/>
    <w:rsid w:val="00D62AA9"/>
    <w:rsid w:val="00D62AB7"/>
    <w:rsid w:val="00D6326B"/>
    <w:rsid w:val="00D632BE"/>
    <w:rsid w:val="00D6363E"/>
    <w:rsid w:val="00D637C6"/>
    <w:rsid w:val="00D638C8"/>
    <w:rsid w:val="00D65482"/>
    <w:rsid w:val="00D665A3"/>
    <w:rsid w:val="00D67A75"/>
    <w:rsid w:val="00D71613"/>
    <w:rsid w:val="00D7216D"/>
    <w:rsid w:val="00D72CDA"/>
    <w:rsid w:val="00D731DA"/>
    <w:rsid w:val="00D73F64"/>
    <w:rsid w:val="00D755D4"/>
    <w:rsid w:val="00D767EE"/>
    <w:rsid w:val="00D76931"/>
    <w:rsid w:val="00D80FFC"/>
    <w:rsid w:val="00D81018"/>
    <w:rsid w:val="00D810F6"/>
    <w:rsid w:val="00D81245"/>
    <w:rsid w:val="00D81831"/>
    <w:rsid w:val="00D81A49"/>
    <w:rsid w:val="00D81D26"/>
    <w:rsid w:val="00D830F6"/>
    <w:rsid w:val="00D839B0"/>
    <w:rsid w:val="00D84374"/>
    <w:rsid w:val="00D84670"/>
    <w:rsid w:val="00D8476A"/>
    <w:rsid w:val="00D85181"/>
    <w:rsid w:val="00D85CEB"/>
    <w:rsid w:val="00D86E9D"/>
    <w:rsid w:val="00D86EFD"/>
    <w:rsid w:val="00D875F7"/>
    <w:rsid w:val="00D87AC3"/>
    <w:rsid w:val="00D91D86"/>
    <w:rsid w:val="00D91F25"/>
    <w:rsid w:val="00D92501"/>
    <w:rsid w:val="00D927E4"/>
    <w:rsid w:val="00D945D8"/>
    <w:rsid w:val="00D95FF3"/>
    <w:rsid w:val="00DA0196"/>
    <w:rsid w:val="00DA0A7E"/>
    <w:rsid w:val="00DA186A"/>
    <w:rsid w:val="00DA1956"/>
    <w:rsid w:val="00DA1AE0"/>
    <w:rsid w:val="00DA2473"/>
    <w:rsid w:val="00DA349F"/>
    <w:rsid w:val="00DA3DA2"/>
    <w:rsid w:val="00DA5229"/>
    <w:rsid w:val="00DA58EA"/>
    <w:rsid w:val="00DA59AB"/>
    <w:rsid w:val="00DA726F"/>
    <w:rsid w:val="00DA7B7D"/>
    <w:rsid w:val="00DB0E96"/>
    <w:rsid w:val="00DB17CA"/>
    <w:rsid w:val="00DB367F"/>
    <w:rsid w:val="00DB45C6"/>
    <w:rsid w:val="00DB5453"/>
    <w:rsid w:val="00DB5572"/>
    <w:rsid w:val="00DB5CE6"/>
    <w:rsid w:val="00DB71D5"/>
    <w:rsid w:val="00DB7275"/>
    <w:rsid w:val="00DC0C31"/>
    <w:rsid w:val="00DC2225"/>
    <w:rsid w:val="00DC35CD"/>
    <w:rsid w:val="00DC3F4E"/>
    <w:rsid w:val="00DC4FEC"/>
    <w:rsid w:val="00DC55EF"/>
    <w:rsid w:val="00DC67CD"/>
    <w:rsid w:val="00DC7BD9"/>
    <w:rsid w:val="00DD2A2B"/>
    <w:rsid w:val="00DD2B0A"/>
    <w:rsid w:val="00DD33BA"/>
    <w:rsid w:val="00DD35E8"/>
    <w:rsid w:val="00DD3740"/>
    <w:rsid w:val="00DD384E"/>
    <w:rsid w:val="00DD394B"/>
    <w:rsid w:val="00DD3BE0"/>
    <w:rsid w:val="00DD49FF"/>
    <w:rsid w:val="00DD4B1E"/>
    <w:rsid w:val="00DD4C57"/>
    <w:rsid w:val="00DD5259"/>
    <w:rsid w:val="00DD58B3"/>
    <w:rsid w:val="00DD6CC1"/>
    <w:rsid w:val="00DD7018"/>
    <w:rsid w:val="00DD7EE5"/>
    <w:rsid w:val="00DE0DA3"/>
    <w:rsid w:val="00DE1142"/>
    <w:rsid w:val="00DE192E"/>
    <w:rsid w:val="00DE1C7C"/>
    <w:rsid w:val="00DE3030"/>
    <w:rsid w:val="00DE4732"/>
    <w:rsid w:val="00DE4B3F"/>
    <w:rsid w:val="00DE4E45"/>
    <w:rsid w:val="00DE6639"/>
    <w:rsid w:val="00DE6838"/>
    <w:rsid w:val="00DE68A0"/>
    <w:rsid w:val="00DE7839"/>
    <w:rsid w:val="00DE7C12"/>
    <w:rsid w:val="00DF00D2"/>
    <w:rsid w:val="00DF198F"/>
    <w:rsid w:val="00DF285A"/>
    <w:rsid w:val="00DF3855"/>
    <w:rsid w:val="00DF468F"/>
    <w:rsid w:val="00DF55C4"/>
    <w:rsid w:val="00DF55E9"/>
    <w:rsid w:val="00DF5D28"/>
    <w:rsid w:val="00DF625F"/>
    <w:rsid w:val="00DF6BA1"/>
    <w:rsid w:val="00DF6CB7"/>
    <w:rsid w:val="00DF7A47"/>
    <w:rsid w:val="00E014E5"/>
    <w:rsid w:val="00E0213B"/>
    <w:rsid w:val="00E02860"/>
    <w:rsid w:val="00E02864"/>
    <w:rsid w:val="00E02C13"/>
    <w:rsid w:val="00E034B3"/>
    <w:rsid w:val="00E03980"/>
    <w:rsid w:val="00E03F5E"/>
    <w:rsid w:val="00E04641"/>
    <w:rsid w:val="00E05670"/>
    <w:rsid w:val="00E07496"/>
    <w:rsid w:val="00E11938"/>
    <w:rsid w:val="00E1258A"/>
    <w:rsid w:val="00E12741"/>
    <w:rsid w:val="00E14E0F"/>
    <w:rsid w:val="00E15342"/>
    <w:rsid w:val="00E17CB5"/>
    <w:rsid w:val="00E20064"/>
    <w:rsid w:val="00E21784"/>
    <w:rsid w:val="00E22B24"/>
    <w:rsid w:val="00E26917"/>
    <w:rsid w:val="00E3000C"/>
    <w:rsid w:val="00E30612"/>
    <w:rsid w:val="00E30D6D"/>
    <w:rsid w:val="00E31166"/>
    <w:rsid w:val="00E31670"/>
    <w:rsid w:val="00E31ED0"/>
    <w:rsid w:val="00E32BE7"/>
    <w:rsid w:val="00E33991"/>
    <w:rsid w:val="00E34783"/>
    <w:rsid w:val="00E35ACD"/>
    <w:rsid w:val="00E37190"/>
    <w:rsid w:val="00E40610"/>
    <w:rsid w:val="00E40886"/>
    <w:rsid w:val="00E40D30"/>
    <w:rsid w:val="00E44C53"/>
    <w:rsid w:val="00E44FA4"/>
    <w:rsid w:val="00E454E8"/>
    <w:rsid w:val="00E45CB0"/>
    <w:rsid w:val="00E46771"/>
    <w:rsid w:val="00E46A02"/>
    <w:rsid w:val="00E470B0"/>
    <w:rsid w:val="00E473DA"/>
    <w:rsid w:val="00E47FE7"/>
    <w:rsid w:val="00E514B6"/>
    <w:rsid w:val="00E5247E"/>
    <w:rsid w:val="00E53034"/>
    <w:rsid w:val="00E53257"/>
    <w:rsid w:val="00E5473D"/>
    <w:rsid w:val="00E55F95"/>
    <w:rsid w:val="00E56F71"/>
    <w:rsid w:val="00E57EB5"/>
    <w:rsid w:val="00E600A1"/>
    <w:rsid w:val="00E60774"/>
    <w:rsid w:val="00E62A20"/>
    <w:rsid w:val="00E63226"/>
    <w:rsid w:val="00E6368D"/>
    <w:rsid w:val="00E63CF7"/>
    <w:rsid w:val="00E64B68"/>
    <w:rsid w:val="00E653BF"/>
    <w:rsid w:val="00E655F0"/>
    <w:rsid w:val="00E656A3"/>
    <w:rsid w:val="00E66230"/>
    <w:rsid w:val="00E6690D"/>
    <w:rsid w:val="00E67B42"/>
    <w:rsid w:val="00E67F8E"/>
    <w:rsid w:val="00E70E81"/>
    <w:rsid w:val="00E722F1"/>
    <w:rsid w:val="00E72608"/>
    <w:rsid w:val="00E74211"/>
    <w:rsid w:val="00E744AF"/>
    <w:rsid w:val="00E74807"/>
    <w:rsid w:val="00E814EC"/>
    <w:rsid w:val="00E825C8"/>
    <w:rsid w:val="00E829C8"/>
    <w:rsid w:val="00E83D15"/>
    <w:rsid w:val="00E8485C"/>
    <w:rsid w:val="00E84ECF"/>
    <w:rsid w:val="00E86E2B"/>
    <w:rsid w:val="00E86F7B"/>
    <w:rsid w:val="00E87B3A"/>
    <w:rsid w:val="00E901A0"/>
    <w:rsid w:val="00E9052D"/>
    <w:rsid w:val="00E90707"/>
    <w:rsid w:val="00E91C2B"/>
    <w:rsid w:val="00E92197"/>
    <w:rsid w:val="00E9280D"/>
    <w:rsid w:val="00E92B52"/>
    <w:rsid w:val="00E93750"/>
    <w:rsid w:val="00E93E59"/>
    <w:rsid w:val="00E9443E"/>
    <w:rsid w:val="00E94899"/>
    <w:rsid w:val="00E952D2"/>
    <w:rsid w:val="00E96C02"/>
    <w:rsid w:val="00E97218"/>
    <w:rsid w:val="00E97F1C"/>
    <w:rsid w:val="00EA04B6"/>
    <w:rsid w:val="00EA0E90"/>
    <w:rsid w:val="00EA14E3"/>
    <w:rsid w:val="00EA2CA5"/>
    <w:rsid w:val="00EA358A"/>
    <w:rsid w:val="00EA40C2"/>
    <w:rsid w:val="00EA4EE6"/>
    <w:rsid w:val="00EA52C6"/>
    <w:rsid w:val="00EA58DF"/>
    <w:rsid w:val="00EA5905"/>
    <w:rsid w:val="00EA6173"/>
    <w:rsid w:val="00EA796D"/>
    <w:rsid w:val="00EA7DB0"/>
    <w:rsid w:val="00EB1C90"/>
    <w:rsid w:val="00EB2050"/>
    <w:rsid w:val="00EB37BC"/>
    <w:rsid w:val="00EB3F37"/>
    <w:rsid w:val="00EB6E69"/>
    <w:rsid w:val="00EB6F68"/>
    <w:rsid w:val="00EB70DA"/>
    <w:rsid w:val="00EB7A7A"/>
    <w:rsid w:val="00EB7F5B"/>
    <w:rsid w:val="00EC0178"/>
    <w:rsid w:val="00EC0902"/>
    <w:rsid w:val="00EC2E02"/>
    <w:rsid w:val="00EC33B0"/>
    <w:rsid w:val="00EC3581"/>
    <w:rsid w:val="00EC4749"/>
    <w:rsid w:val="00EC4D31"/>
    <w:rsid w:val="00EC4E16"/>
    <w:rsid w:val="00EC5792"/>
    <w:rsid w:val="00EC584B"/>
    <w:rsid w:val="00EC6980"/>
    <w:rsid w:val="00EC6BE0"/>
    <w:rsid w:val="00EC70A2"/>
    <w:rsid w:val="00EC7A2B"/>
    <w:rsid w:val="00EC7D04"/>
    <w:rsid w:val="00ED02E9"/>
    <w:rsid w:val="00ED0C42"/>
    <w:rsid w:val="00ED1CEA"/>
    <w:rsid w:val="00ED1D7C"/>
    <w:rsid w:val="00ED1F58"/>
    <w:rsid w:val="00ED4204"/>
    <w:rsid w:val="00ED4EE2"/>
    <w:rsid w:val="00ED5C45"/>
    <w:rsid w:val="00ED6A9E"/>
    <w:rsid w:val="00ED6E31"/>
    <w:rsid w:val="00ED78FB"/>
    <w:rsid w:val="00EE0248"/>
    <w:rsid w:val="00EE084D"/>
    <w:rsid w:val="00EE0A7E"/>
    <w:rsid w:val="00EE194D"/>
    <w:rsid w:val="00EE3C0F"/>
    <w:rsid w:val="00EE40BB"/>
    <w:rsid w:val="00EE4C54"/>
    <w:rsid w:val="00EE65AF"/>
    <w:rsid w:val="00EE6FFE"/>
    <w:rsid w:val="00EE7BE5"/>
    <w:rsid w:val="00EF1548"/>
    <w:rsid w:val="00EF1A0D"/>
    <w:rsid w:val="00EF217D"/>
    <w:rsid w:val="00EF4C57"/>
    <w:rsid w:val="00EF5147"/>
    <w:rsid w:val="00EF65B3"/>
    <w:rsid w:val="00EF68BA"/>
    <w:rsid w:val="00EF72E6"/>
    <w:rsid w:val="00EF7933"/>
    <w:rsid w:val="00EF7C5B"/>
    <w:rsid w:val="00F00306"/>
    <w:rsid w:val="00F00F70"/>
    <w:rsid w:val="00F01657"/>
    <w:rsid w:val="00F01D3E"/>
    <w:rsid w:val="00F01FD6"/>
    <w:rsid w:val="00F0289B"/>
    <w:rsid w:val="00F02B70"/>
    <w:rsid w:val="00F02CEC"/>
    <w:rsid w:val="00F03E83"/>
    <w:rsid w:val="00F03F7F"/>
    <w:rsid w:val="00F046B1"/>
    <w:rsid w:val="00F0485E"/>
    <w:rsid w:val="00F04B83"/>
    <w:rsid w:val="00F05B6C"/>
    <w:rsid w:val="00F0630B"/>
    <w:rsid w:val="00F063E8"/>
    <w:rsid w:val="00F1141C"/>
    <w:rsid w:val="00F11AE3"/>
    <w:rsid w:val="00F12060"/>
    <w:rsid w:val="00F1277E"/>
    <w:rsid w:val="00F1326C"/>
    <w:rsid w:val="00F14463"/>
    <w:rsid w:val="00F14C87"/>
    <w:rsid w:val="00F14D4E"/>
    <w:rsid w:val="00F15586"/>
    <w:rsid w:val="00F16188"/>
    <w:rsid w:val="00F17C34"/>
    <w:rsid w:val="00F20672"/>
    <w:rsid w:val="00F2109D"/>
    <w:rsid w:val="00F222E2"/>
    <w:rsid w:val="00F23874"/>
    <w:rsid w:val="00F24C9B"/>
    <w:rsid w:val="00F2527D"/>
    <w:rsid w:val="00F27034"/>
    <w:rsid w:val="00F27386"/>
    <w:rsid w:val="00F27702"/>
    <w:rsid w:val="00F30190"/>
    <w:rsid w:val="00F311E1"/>
    <w:rsid w:val="00F316AC"/>
    <w:rsid w:val="00F31C83"/>
    <w:rsid w:val="00F31D90"/>
    <w:rsid w:val="00F34302"/>
    <w:rsid w:val="00F34373"/>
    <w:rsid w:val="00F361AB"/>
    <w:rsid w:val="00F3631E"/>
    <w:rsid w:val="00F36AB9"/>
    <w:rsid w:val="00F36CB1"/>
    <w:rsid w:val="00F372FE"/>
    <w:rsid w:val="00F37EFA"/>
    <w:rsid w:val="00F40279"/>
    <w:rsid w:val="00F42700"/>
    <w:rsid w:val="00F42C4C"/>
    <w:rsid w:val="00F4358E"/>
    <w:rsid w:val="00F43A00"/>
    <w:rsid w:val="00F43CBB"/>
    <w:rsid w:val="00F43F75"/>
    <w:rsid w:val="00F44170"/>
    <w:rsid w:val="00F44969"/>
    <w:rsid w:val="00F45F53"/>
    <w:rsid w:val="00F47F8C"/>
    <w:rsid w:val="00F50ED2"/>
    <w:rsid w:val="00F5120E"/>
    <w:rsid w:val="00F518BA"/>
    <w:rsid w:val="00F5239A"/>
    <w:rsid w:val="00F5331C"/>
    <w:rsid w:val="00F5349B"/>
    <w:rsid w:val="00F5362B"/>
    <w:rsid w:val="00F53FDC"/>
    <w:rsid w:val="00F5421F"/>
    <w:rsid w:val="00F55B08"/>
    <w:rsid w:val="00F571E4"/>
    <w:rsid w:val="00F603E2"/>
    <w:rsid w:val="00F60E6E"/>
    <w:rsid w:val="00F611BE"/>
    <w:rsid w:val="00F61933"/>
    <w:rsid w:val="00F65C44"/>
    <w:rsid w:val="00F65D4A"/>
    <w:rsid w:val="00F661CC"/>
    <w:rsid w:val="00F70BD7"/>
    <w:rsid w:val="00F72E65"/>
    <w:rsid w:val="00F73B3F"/>
    <w:rsid w:val="00F73C11"/>
    <w:rsid w:val="00F73F65"/>
    <w:rsid w:val="00F73FDC"/>
    <w:rsid w:val="00F7564A"/>
    <w:rsid w:val="00F7646A"/>
    <w:rsid w:val="00F76875"/>
    <w:rsid w:val="00F768D6"/>
    <w:rsid w:val="00F76C46"/>
    <w:rsid w:val="00F76D43"/>
    <w:rsid w:val="00F76EF3"/>
    <w:rsid w:val="00F777E0"/>
    <w:rsid w:val="00F82272"/>
    <w:rsid w:val="00F83139"/>
    <w:rsid w:val="00F84426"/>
    <w:rsid w:val="00F84C0A"/>
    <w:rsid w:val="00F85156"/>
    <w:rsid w:val="00F873AA"/>
    <w:rsid w:val="00F87655"/>
    <w:rsid w:val="00F900C6"/>
    <w:rsid w:val="00F9036D"/>
    <w:rsid w:val="00F90D5D"/>
    <w:rsid w:val="00F91166"/>
    <w:rsid w:val="00F923DF"/>
    <w:rsid w:val="00F93067"/>
    <w:rsid w:val="00F936BD"/>
    <w:rsid w:val="00F93E70"/>
    <w:rsid w:val="00F94B5F"/>
    <w:rsid w:val="00F95861"/>
    <w:rsid w:val="00F96CD8"/>
    <w:rsid w:val="00F97F0D"/>
    <w:rsid w:val="00FA03B3"/>
    <w:rsid w:val="00FA0CD8"/>
    <w:rsid w:val="00FA1F74"/>
    <w:rsid w:val="00FA201D"/>
    <w:rsid w:val="00FA2AFF"/>
    <w:rsid w:val="00FA3212"/>
    <w:rsid w:val="00FA3F82"/>
    <w:rsid w:val="00FA4CFC"/>
    <w:rsid w:val="00FA50DF"/>
    <w:rsid w:val="00FA5252"/>
    <w:rsid w:val="00FA53C5"/>
    <w:rsid w:val="00FA6D8B"/>
    <w:rsid w:val="00FB0EA6"/>
    <w:rsid w:val="00FB0EED"/>
    <w:rsid w:val="00FB1438"/>
    <w:rsid w:val="00FB159C"/>
    <w:rsid w:val="00FB17FD"/>
    <w:rsid w:val="00FB1F0F"/>
    <w:rsid w:val="00FB23BD"/>
    <w:rsid w:val="00FB2A6B"/>
    <w:rsid w:val="00FB2B9C"/>
    <w:rsid w:val="00FB2D82"/>
    <w:rsid w:val="00FB4676"/>
    <w:rsid w:val="00FB5C5A"/>
    <w:rsid w:val="00FB6B83"/>
    <w:rsid w:val="00FB7024"/>
    <w:rsid w:val="00FB7A77"/>
    <w:rsid w:val="00FC0B7C"/>
    <w:rsid w:val="00FC0BD2"/>
    <w:rsid w:val="00FC43F6"/>
    <w:rsid w:val="00FC537F"/>
    <w:rsid w:val="00FC5751"/>
    <w:rsid w:val="00FC6535"/>
    <w:rsid w:val="00FC6E95"/>
    <w:rsid w:val="00FC77BE"/>
    <w:rsid w:val="00FD06DD"/>
    <w:rsid w:val="00FD0901"/>
    <w:rsid w:val="00FD094B"/>
    <w:rsid w:val="00FD0CBC"/>
    <w:rsid w:val="00FD1E2F"/>
    <w:rsid w:val="00FD2635"/>
    <w:rsid w:val="00FD2A7D"/>
    <w:rsid w:val="00FD2C86"/>
    <w:rsid w:val="00FD44B8"/>
    <w:rsid w:val="00FD4EC6"/>
    <w:rsid w:val="00FD5BBB"/>
    <w:rsid w:val="00FD6071"/>
    <w:rsid w:val="00FD764F"/>
    <w:rsid w:val="00FE0369"/>
    <w:rsid w:val="00FE0849"/>
    <w:rsid w:val="00FE0B23"/>
    <w:rsid w:val="00FE0BF8"/>
    <w:rsid w:val="00FE0C20"/>
    <w:rsid w:val="00FE15D9"/>
    <w:rsid w:val="00FE21C0"/>
    <w:rsid w:val="00FE4370"/>
    <w:rsid w:val="00FE46E6"/>
    <w:rsid w:val="00FE54C6"/>
    <w:rsid w:val="00FE6089"/>
    <w:rsid w:val="00FF16B9"/>
    <w:rsid w:val="00FF2031"/>
    <w:rsid w:val="00FF2CEE"/>
    <w:rsid w:val="00FF31E4"/>
    <w:rsid w:val="00FF34D6"/>
    <w:rsid w:val="00FF3B49"/>
    <w:rsid w:val="00FF4BFB"/>
    <w:rsid w:val="00FF5BD8"/>
    <w:rsid w:val="00FF6519"/>
    <w:rsid w:val="00FF7360"/>
    <w:rsid w:val="00FF7800"/>
    <w:rsid w:val="018E6164"/>
    <w:rsid w:val="02B34DA3"/>
    <w:rsid w:val="031ECE95"/>
    <w:rsid w:val="039041B9"/>
    <w:rsid w:val="04A2E335"/>
    <w:rsid w:val="059EEA64"/>
    <w:rsid w:val="06B5AA8A"/>
    <w:rsid w:val="06D19056"/>
    <w:rsid w:val="0971A3E8"/>
    <w:rsid w:val="09C50C9B"/>
    <w:rsid w:val="0AB87173"/>
    <w:rsid w:val="0BD76B80"/>
    <w:rsid w:val="0E09B925"/>
    <w:rsid w:val="0EF19EB5"/>
    <w:rsid w:val="0F3F6C9C"/>
    <w:rsid w:val="0F7EA62C"/>
    <w:rsid w:val="126AF4F0"/>
    <w:rsid w:val="130A3A77"/>
    <w:rsid w:val="136A420E"/>
    <w:rsid w:val="13AF524A"/>
    <w:rsid w:val="15EE38E6"/>
    <w:rsid w:val="166F4E75"/>
    <w:rsid w:val="1849784E"/>
    <w:rsid w:val="187A9B7B"/>
    <w:rsid w:val="19114882"/>
    <w:rsid w:val="193FF90C"/>
    <w:rsid w:val="1A2FCFA0"/>
    <w:rsid w:val="1A43F94F"/>
    <w:rsid w:val="1ADD8ABD"/>
    <w:rsid w:val="1AEDCB23"/>
    <w:rsid w:val="1B6E2781"/>
    <w:rsid w:val="1C4B8B75"/>
    <w:rsid w:val="1E0F5D53"/>
    <w:rsid w:val="1F15C476"/>
    <w:rsid w:val="1F43E4E8"/>
    <w:rsid w:val="1F7885FE"/>
    <w:rsid w:val="1F7B7221"/>
    <w:rsid w:val="20FA1FC4"/>
    <w:rsid w:val="211E5312"/>
    <w:rsid w:val="21DE1CE0"/>
    <w:rsid w:val="22000B09"/>
    <w:rsid w:val="22724100"/>
    <w:rsid w:val="25EDE41C"/>
    <w:rsid w:val="26138B7C"/>
    <w:rsid w:val="28D162D0"/>
    <w:rsid w:val="2B746285"/>
    <w:rsid w:val="2C66EB94"/>
    <w:rsid w:val="2D3FD3EB"/>
    <w:rsid w:val="2E36D33C"/>
    <w:rsid w:val="2F5A3734"/>
    <w:rsid w:val="3053B9E4"/>
    <w:rsid w:val="33495188"/>
    <w:rsid w:val="33FE504E"/>
    <w:rsid w:val="379780AB"/>
    <w:rsid w:val="384DAA74"/>
    <w:rsid w:val="3E387D73"/>
    <w:rsid w:val="412C7BC9"/>
    <w:rsid w:val="43E0620E"/>
    <w:rsid w:val="4563C5A6"/>
    <w:rsid w:val="4963A8E9"/>
    <w:rsid w:val="4AC6A024"/>
    <w:rsid w:val="4AE6746A"/>
    <w:rsid w:val="4E773315"/>
    <w:rsid w:val="4F9E38CA"/>
    <w:rsid w:val="50B990D7"/>
    <w:rsid w:val="5388A345"/>
    <w:rsid w:val="545199A4"/>
    <w:rsid w:val="546BB7A2"/>
    <w:rsid w:val="55F56531"/>
    <w:rsid w:val="57254AE6"/>
    <w:rsid w:val="5733CC0F"/>
    <w:rsid w:val="595C7A8E"/>
    <w:rsid w:val="596CE7FA"/>
    <w:rsid w:val="5EDFE7F7"/>
    <w:rsid w:val="5F2A2D30"/>
    <w:rsid w:val="65FA986F"/>
    <w:rsid w:val="66E8C95E"/>
    <w:rsid w:val="66F3CB65"/>
    <w:rsid w:val="67146211"/>
    <w:rsid w:val="67153127"/>
    <w:rsid w:val="67324424"/>
    <w:rsid w:val="69274C17"/>
    <w:rsid w:val="6D68F023"/>
    <w:rsid w:val="6DF59F8D"/>
    <w:rsid w:val="6EC548C5"/>
    <w:rsid w:val="6F1ACC8E"/>
    <w:rsid w:val="70EA7DA4"/>
    <w:rsid w:val="71397860"/>
    <w:rsid w:val="717C951A"/>
    <w:rsid w:val="736518DE"/>
    <w:rsid w:val="73B1314B"/>
    <w:rsid w:val="741BA453"/>
    <w:rsid w:val="742B732D"/>
    <w:rsid w:val="74390FC5"/>
    <w:rsid w:val="76BA4B8C"/>
    <w:rsid w:val="773BB04F"/>
    <w:rsid w:val="7915D1EE"/>
    <w:rsid w:val="7A46EAAB"/>
    <w:rsid w:val="7A927A01"/>
    <w:rsid w:val="7BD81FC7"/>
    <w:rsid w:val="7C472454"/>
    <w:rsid w:val="7CB7F88A"/>
    <w:rsid w:val="7D8AD28F"/>
    <w:rsid w:val="7EEB5918"/>
    <w:rsid w:val="7F643F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6011297"/>
  <w15:docId w15:val="{267F7D4A-0E00-4221-9559-D7724664A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2AB7"/>
    <w:pPr>
      <w:spacing w:after="0" w:line="240" w:lineRule="auto"/>
    </w:pPr>
    <w:rPr>
      <w:rFonts w:ascii="Times New Roman" w:hAnsi="Times New Roman"/>
      <w:sz w:val="24"/>
    </w:rPr>
  </w:style>
  <w:style w:type="paragraph" w:styleId="Heading1">
    <w:name w:val="heading 1"/>
    <w:basedOn w:val="Normal"/>
    <w:next w:val="Normal"/>
    <w:link w:val="Heading1Char"/>
    <w:uiPriority w:val="9"/>
    <w:qFormat/>
    <w:rsid w:val="008F726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8F726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62F6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D5EDB"/>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s,Colorful List - Accent 11,List Bullet Mary,List Paragraph (numbered (a)),List Paragraph Char Char Char,List Paragraph nowy,List Paragraph1,Liste 1,Medium Grid 1 - Accent 21,Numbered List Paragraph,References,ReferencesCxSpLast,lp1"/>
    <w:basedOn w:val="Normal"/>
    <w:link w:val="ListParagraphChar"/>
    <w:uiPriority w:val="34"/>
    <w:qFormat/>
    <w:rsid w:val="00AD5EDB"/>
    <w:pPr>
      <w:spacing w:after="200" w:line="276" w:lineRule="auto"/>
      <w:ind w:left="720"/>
      <w:contextualSpacing/>
    </w:pPr>
    <w:rPr>
      <w:rFonts w:asciiTheme="minorHAnsi" w:eastAsiaTheme="minorEastAsia" w:hAnsiTheme="minorHAnsi"/>
      <w:sz w:val="22"/>
    </w:rPr>
  </w:style>
  <w:style w:type="paragraph" w:styleId="Header">
    <w:name w:val="header"/>
    <w:basedOn w:val="Normal"/>
    <w:link w:val="HeaderChar"/>
    <w:uiPriority w:val="99"/>
    <w:unhideWhenUsed/>
    <w:rsid w:val="00AD5EDB"/>
    <w:pPr>
      <w:tabs>
        <w:tab w:val="center" w:pos="4680"/>
        <w:tab w:val="right" w:pos="9360"/>
      </w:tabs>
    </w:pPr>
  </w:style>
  <w:style w:type="character" w:customStyle="1" w:styleId="HeaderChar">
    <w:name w:val="Header Char"/>
    <w:basedOn w:val="DefaultParagraphFont"/>
    <w:link w:val="Header"/>
    <w:uiPriority w:val="99"/>
    <w:rsid w:val="00AD5EDB"/>
    <w:rPr>
      <w:rFonts w:ascii="Times New Roman" w:hAnsi="Times New Roman"/>
      <w:sz w:val="24"/>
    </w:rPr>
  </w:style>
  <w:style w:type="paragraph" w:styleId="Footer">
    <w:name w:val="footer"/>
    <w:basedOn w:val="Normal"/>
    <w:link w:val="FooterChar"/>
    <w:uiPriority w:val="99"/>
    <w:unhideWhenUsed/>
    <w:rsid w:val="00AD5EDB"/>
    <w:pPr>
      <w:tabs>
        <w:tab w:val="center" w:pos="4680"/>
        <w:tab w:val="right" w:pos="9360"/>
      </w:tabs>
    </w:pPr>
  </w:style>
  <w:style w:type="character" w:customStyle="1" w:styleId="FooterChar">
    <w:name w:val="Footer Char"/>
    <w:basedOn w:val="DefaultParagraphFont"/>
    <w:link w:val="Footer"/>
    <w:uiPriority w:val="99"/>
    <w:rsid w:val="00AD5EDB"/>
    <w:rPr>
      <w:rFonts w:ascii="Times New Roman" w:hAnsi="Times New Roman"/>
      <w:sz w:val="24"/>
    </w:rPr>
  </w:style>
  <w:style w:type="paragraph" w:styleId="EndnoteText">
    <w:name w:val="endnote text"/>
    <w:basedOn w:val="Normal"/>
    <w:link w:val="EndnoteTextChar"/>
    <w:uiPriority w:val="99"/>
    <w:semiHidden/>
    <w:unhideWhenUsed/>
    <w:rsid w:val="005C335D"/>
    <w:rPr>
      <w:sz w:val="20"/>
      <w:szCs w:val="20"/>
    </w:rPr>
  </w:style>
  <w:style w:type="character" w:customStyle="1" w:styleId="EndnoteTextChar">
    <w:name w:val="Endnote Text Char"/>
    <w:basedOn w:val="DefaultParagraphFont"/>
    <w:link w:val="EndnoteText"/>
    <w:uiPriority w:val="99"/>
    <w:semiHidden/>
    <w:rsid w:val="005C335D"/>
    <w:rPr>
      <w:rFonts w:ascii="Times New Roman" w:hAnsi="Times New Roman"/>
      <w:sz w:val="20"/>
      <w:szCs w:val="20"/>
    </w:rPr>
  </w:style>
  <w:style w:type="character" w:styleId="EndnoteReference">
    <w:name w:val="endnote reference"/>
    <w:basedOn w:val="DefaultParagraphFont"/>
    <w:uiPriority w:val="99"/>
    <w:semiHidden/>
    <w:unhideWhenUsed/>
    <w:rsid w:val="005C335D"/>
    <w:rPr>
      <w:vertAlign w:val="superscript"/>
    </w:rPr>
  </w:style>
  <w:style w:type="paragraph" w:styleId="FootnoteText">
    <w:name w:val="footnote text"/>
    <w:aliases w:val="single space,footnote text,fn,FOOTNOTES,Char,Footnote text Char Char,Footnote text,Footnote Text Char Char Char Char Char Char,Footnote Text Char Char Char Char1,Footnote Text Char Char Char Char Char1,Fußnotentext Char,ft,FA Fu Car Car C"/>
    <w:basedOn w:val="Normal"/>
    <w:link w:val="FootnoteTextChar"/>
    <w:unhideWhenUsed/>
    <w:qFormat/>
    <w:rsid w:val="005C335D"/>
    <w:rPr>
      <w:sz w:val="20"/>
      <w:szCs w:val="20"/>
    </w:rPr>
  </w:style>
  <w:style w:type="character" w:customStyle="1" w:styleId="FootnoteTextChar">
    <w:name w:val="Footnote Text Char"/>
    <w:aliases w:val="single space Char,footnote text Char,fn Char,FOOTNOTES Char,Char Char,Footnote text Char Char Char,Footnote text Char,Footnote Text Char Char Char Char Char Char Char,Footnote Text Char Char Char Char1 Char,Fußnotentext Char Char"/>
    <w:basedOn w:val="DefaultParagraphFont"/>
    <w:link w:val="FootnoteText"/>
    <w:rsid w:val="005C335D"/>
    <w:rPr>
      <w:rFonts w:ascii="Times New Roman" w:hAnsi="Times New Roman"/>
      <w:sz w:val="20"/>
      <w:szCs w:val="20"/>
    </w:rPr>
  </w:style>
  <w:style w:type="character" w:styleId="FootnoteReference">
    <w:name w:val="footnote reference"/>
    <w:aliases w:val="16 Point,Superscript 6 Point,ftref, BVI fnr,BVI fnr,Footnote Reference Number,Footnote Reference_LVL6,Footnote Reference_LVL61,Footnote Reference_LVL62,Footnote Reference_LVL63,Footnote Reference_LVL64,fr,Знак сноски-FN,Char Char1,Ref"/>
    <w:basedOn w:val="DefaultParagraphFont"/>
    <w:link w:val="BVIfnrCarCarCarCarChar"/>
    <w:uiPriority w:val="99"/>
    <w:unhideWhenUsed/>
    <w:qFormat/>
    <w:rsid w:val="005C335D"/>
    <w:rPr>
      <w:vertAlign w:val="superscript"/>
    </w:rPr>
  </w:style>
  <w:style w:type="paragraph" w:customStyle="1" w:styleId="PKFNormalNumbered">
    <w:name w:val="PKF Normal Numbered"/>
    <w:basedOn w:val="Normal"/>
    <w:uiPriority w:val="99"/>
    <w:rsid w:val="00B37C07"/>
    <w:pPr>
      <w:tabs>
        <w:tab w:val="num" w:pos="851"/>
        <w:tab w:val="left" w:pos="1701"/>
        <w:tab w:val="left" w:pos="2552"/>
        <w:tab w:val="left" w:pos="3402"/>
        <w:tab w:val="left" w:pos="4253"/>
        <w:tab w:val="left" w:pos="5103"/>
        <w:tab w:val="left" w:pos="5954"/>
        <w:tab w:val="left" w:pos="6804"/>
      </w:tabs>
      <w:spacing w:after="180" w:line="360" w:lineRule="auto"/>
      <w:ind w:left="851" w:hanging="851"/>
      <w:jc w:val="both"/>
    </w:pPr>
    <w:rPr>
      <w:rFonts w:ascii="Arial" w:eastAsia="Times New Roman" w:hAnsi="Arial" w:cs="Times New Roman"/>
      <w:sz w:val="20"/>
      <w:szCs w:val="20"/>
      <w:lang w:val="en-GB" w:eastAsia="en-GB"/>
    </w:rPr>
  </w:style>
  <w:style w:type="paragraph" w:customStyle="1" w:styleId="PKFHeading2Numbered">
    <w:name w:val="PKF Heading 2 Numbered"/>
    <w:basedOn w:val="Normal"/>
    <w:next w:val="PKFNormalNumbered"/>
    <w:uiPriority w:val="99"/>
    <w:rsid w:val="00B37C07"/>
    <w:pPr>
      <w:tabs>
        <w:tab w:val="left" w:pos="851"/>
        <w:tab w:val="left" w:pos="1701"/>
        <w:tab w:val="left" w:pos="2552"/>
        <w:tab w:val="left" w:pos="3402"/>
        <w:tab w:val="left" w:pos="4253"/>
        <w:tab w:val="left" w:pos="5103"/>
        <w:tab w:val="left" w:pos="5954"/>
        <w:tab w:val="left" w:pos="6804"/>
      </w:tabs>
      <w:spacing w:after="180" w:line="360" w:lineRule="auto"/>
      <w:ind w:left="851"/>
      <w:jc w:val="both"/>
      <w:outlineLvl w:val="1"/>
    </w:pPr>
    <w:rPr>
      <w:rFonts w:ascii="Arial" w:eastAsia="Times New Roman" w:hAnsi="Arial" w:cs="Times New Roman"/>
      <w:b/>
      <w:color w:val="0E2B8D"/>
      <w:sz w:val="28"/>
      <w:szCs w:val="28"/>
      <w:lang w:val="en-GB" w:eastAsia="en-GB"/>
    </w:rPr>
  </w:style>
  <w:style w:type="character" w:customStyle="1" w:styleId="ListParagraphChar">
    <w:name w:val="List Paragraph Char"/>
    <w:aliases w:val="Bullets Char,Colorful List - Accent 11 Char,List Bullet Mary Char,List Paragraph (numbered (a)) Char,List Paragraph Char Char Char Char,List Paragraph nowy Char,List Paragraph1 Char,Liste 1 Char,Medium Grid 1 - Accent 21 Char"/>
    <w:link w:val="ListParagraph"/>
    <w:uiPriority w:val="34"/>
    <w:qFormat/>
    <w:locked/>
    <w:rsid w:val="00B37C07"/>
    <w:rPr>
      <w:rFonts w:eastAsiaTheme="minorEastAsia"/>
    </w:rPr>
  </w:style>
  <w:style w:type="paragraph" w:styleId="BalloonText">
    <w:name w:val="Balloon Text"/>
    <w:basedOn w:val="Normal"/>
    <w:link w:val="BalloonTextChar"/>
    <w:uiPriority w:val="99"/>
    <w:semiHidden/>
    <w:unhideWhenUsed/>
    <w:rsid w:val="00B37C07"/>
    <w:rPr>
      <w:rFonts w:ascii="Tahoma" w:eastAsiaTheme="minorEastAsia" w:hAnsi="Tahoma" w:cs="Tahoma"/>
      <w:sz w:val="16"/>
      <w:szCs w:val="16"/>
    </w:rPr>
  </w:style>
  <w:style w:type="character" w:customStyle="1" w:styleId="BalloonTextChar">
    <w:name w:val="Balloon Text Char"/>
    <w:basedOn w:val="DefaultParagraphFont"/>
    <w:link w:val="BalloonText"/>
    <w:uiPriority w:val="99"/>
    <w:semiHidden/>
    <w:rsid w:val="00B37C07"/>
    <w:rPr>
      <w:rFonts w:ascii="Tahoma" w:eastAsiaTheme="minorEastAsia" w:hAnsi="Tahoma" w:cs="Tahoma"/>
      <w:sz w:val="16"/>
      <w:szCs w:val="16"/>
    </w:rPr>
  </w:style>
  <w:style w:type="paragraph" w:styleId="NormalWeb">
    <w:name w:val="Normal (Web)"/>
    <w:basedOn w:val="Normal"/>
    <w:uiPriority w:val="99"/>
    <w:unhideWhenUsed/>
    <w:rsid w:val="00B37C07"/>
    <w:pPr>
      <w:spacing w:before="100" w:beforeAutospacing="1" w:after="100" w:afterAutospacing="1"/>
    </w:pPr>
    <w:rPr>
      <w:rFonts w:eastAsia="Times New Roman" w:cs="Times New Roman"/>
      <w:szCs w:val="24"/>
    </w:rPr>
  </w:style>
  <w:style w:type="character" w:styleId="Hyperlink">
    <w:name w:val="Hyperlink"/>
    <w:basedOn w:val="DefaultParagraphFont"/>
    <w:uiPriority w:val="99"/>
    <w:unhideWhenUsed/>
    <w:rsid w:val="00B37C07"/>
    <w:rPr>
      <w:color w:val="0000FF"/>
      <w:u w:val="single"/>
    </w:rPr>
  </w:style>
  <w:style w:type="paragraph" w:customStyle="1" w:styleId="Default">
    <w:name w:val="Default"/>
    <w:rsid w:val="00B37C07"/>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customStyle="1" w:styleId="AAMNormalChar">
    <w:name w:val="AAM_Normal Char"/>
    <w:link w:val="AAMNormal"/>
    <w:uiPriority w:val="99"/>
    <w:locked/>
    <w:rsid w:val="0048395C"/>
    <w:rPr>
      <w:rFonts w:ascii="Franklin Gothic Book" w:hAnsi="Franklin Gothic Book"/>
      <w:sz w:val="20"/>
      <w:szCs w:val="20"/>
    </w:rPr>
  </w:style>
  <w:style w:type="paragraph" w:customStyle="1" w:styleId="AAMNormal">
    <w:name w:val="AAM_Normal"/>
    <w:basedOn w:val="Normal"/>
    <w:link w:val="AAMNormalChar"/>
    <w:uiPriority w:val="99"/>
    <w:rsid w:val="0048395C"/>
    <w:pPr>
      <w:spacing w:before="60" w:after="120" w:line="280" w:lineRule="atLeast"/>
      <w:jc w:val="both"/>
    </w:pPr>
    <w:rPr>
      <w:rFonts w:ascii="Franklin Gothic Book" w:hAnsi="Franklin Gothic Book"/>
      <w:sz w:val="20"/>
      <w:szCs w:val="20"/>
    </w:rPr>
  </w:style>
  <w:style w:type="character" w:customStyle="1" w:styleId="hps">
    <w:name w:val="hps"/>
    <w:uiPriority w:val="99"/>
    <w:rsid w:val="0048395C"/>
  </w:style>
  <w:style w:type="paragraph" w:styleId="TOC2">
    <w:name w:val="toc 2"/>
    <w:basedOn w:val="Normal"/>
    <w:next w:val="Normal"/>
    <w:autoRedefine/>
    <w:uiPriority w:val="39"/>
    <w:unhideWhenUsed/>
    <w:rsid w:val="008F726F"/>
    <w:pPr>
      <w:spacing w:after="100"/>
      <w:ind w:left="240"/>
    </w:pPr>
  </w:style>
  <w:style w:type="paragraph" w:customStyle="1" w:styleId="PforRStyle1">
    <w:name w:val="PforR Style1"/>
    <w:basedOn w:val="ListParagraph"/>
    <w:link w:val="PforRStyle1Char"/>
    <w:qFormat/>
    <w:rsid w:val="008F726F"/>
    <w:pPr>
      <w:numPr>
        <w:numId w:val="1"/>
      </w:numPr>
      <w:ind w:left="0" w:firstLine="0"/>
    </w:pPr>
    <w:rPr>
      <w:rFonts w:ascii="Times New Roman Bold" w:hAnsi="Times New Roman Bold" w:cs="Times New Roman"/>
      <w:b/>
      <w:smallCaps/>
      <w:sz w:val="24"/>
      <w:szCs w:val="24"/>
      <w:u w:val="single"/>
    </w:rPr>
  </w:style>
  <w:style w:type="paragraph" w:customStyle="1" w:styleId="PforRStyle2">
    <w:name w:val="PforR Style2"/>
    <w:basedOn w:val="ListParagraph"/>
    <w:link w:val="PforRStyle2Char"/>
    <w:qFormat/>
    <w:rsid w:val="008F726F"/>
    <w:pPr>
      <w:numPr>
        <w:ilvl w:val="1"/>
        <w:numId w:val="2"/>
      </w:numPr>
    </w:pPr>
    <w:rPr>
      <w:rFonts w:ascii="Times New Roman Bold" w:hAnsi="Times New Roman Bold" w:cs="Times New Roman"/>
      <w:b/>
      <w:smallCaps/>
      <w:sz w:val="24"/>
      <w:szCs w:val="24"/>
    </w:rPr>
  </w:style>
  <w:style w:type="character" w:customStyle="1" w:styleId="PforRStyle1Char">
    <w:name w:val="PforR Style1 Char"/>
    <w:basedOn w:val="ListParagraphChar"/>
    <w:link w:val="PforRStyle1"/>
    <w:rsid w:val="008F726F"/>
    <w:rPr>
      <w:rFonts w:ascii="Times New Roman Bold" w:eastAsiaTheme="minorEastAsia" w:hAnsi="Times New Roman Bold" w:cs="Times New Roman"/>
      <w:b/>
      <w:smallCaps/>
      <w:sz w:val="24"/>
      <w:szCs w:val="24"/>
      <w:u w:val="single"/>
    </w:rPr>
  </w:style>
  <w:style w:type="character" w:customStyle="1" w:styleId="Heading1Char">
    <w:name w:val="Heading 1 Char"/>
    <w:basedOn w:val="DefaultParagraphFont"/>
    <w:link w:val="Heading1"/>
    <w:uiPriority w:val="9"/>
    <w:rsid w:val="008F726F"/>
    <w:rPr>
      <w:rFonts w:asciiTheme="majorHAnsi" w:eastAsiaTheme="majorEastAsia" w:hAnsiTheme="majorHAnsi" w:cstheme="majorBidi"/>
      <w:b/>
      <w:bCs/>
      <w:color w:val="365F91" w:themeColor="accent1" w:themeShade="BF"/>
      <w:sz w:val="28"/>
      <w:szCs w:val="28"/>
    </w:rPr>
  </w:style>
  <w:style w:type="character" w:customStyle="1" w:styleId="PforRStyle2Char">
    <w:name w:val="PforR Style2 Char"/>
    <w:basedOn w:val="ListParagraphChar"/>
    <w:link w:val="PforRStyle2"/>
    <w:rsid w:val="008F726F"/>
    <w:rPr>
      <w:rFonts w:ascii="Times New Roman Bold" w:eastAsiaTheme="minorEastAsia" w:hAnsi="Times New Roman Bold" w:cs="Times New Roman"/>
      <w:b/>
      <w:smallCaps/>
      <w:sz w:val="24"/>
      <w:szCs w:val="24"/>
    </w:rPr>
  </w:style>
  <w:style w:type="paragraph" w:styleId="TOC1">
    <w:name w:val="toc 1"/>
    <w:basedOn w:val="Normal"/>
    <w:next w:val="Normal"/>
    <w:autoRedefine/>
    <w:uiPriority w:val="39"/>
    <w:unhideWhenUsed/>
    <w:rsid w:val="00A62F65"/>
    <w:pPr>
      <w:tabs>
        <w:tab w:val="left" w:pos="660"/>
        <w:tab w:val="right" w:leader="dot" w:pos="9350"/>
      </w:tabs>
      <w:spacing w:after="120"/>
    </w:pPr>
    <w:rPr>
      <w:rFonts w:ascii="Times New Roman Bold" w:hAnsi="Times New Roman Bold"/>
      <w:b/>
      <w:smallCaps/>
    </w:rPr>
  </w:style>
  <w:style w:type="character" w:customStyle="1" w:styleId="Heading2Char">
    <w:name w:val="Heading 2 Char"/>
    <w:basedOn w:val="DefaultParagraphFont"/>
    <w:link w:val="Heading2"/>
    <w:rsid w:val="008F726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62F65"/>
    <w:rPr>
      <w:rFonts w:asciiTheme="majorHAnsi" w:eastAsiaTheme="majorEastAsia" w:hAnsiTheme="majorHAnsi" w:cstheme="majorBidi"/>
      <w:b/>
      <w:bCs/>
      <w:color w:val="4F81BD" w:themeColor="accent1"/>
      <w:sz w:val="24"/>
    </w:rPr>
  </w:style>
  <w:style w:type="paragraph" w:styleId="NoSpacing">
    <w:name w:val="No Spacing"/>
    <w:link w:val="NoSpacingChar"/>
    <w:uiPriority w:val="99"/>
    <w:qFormat/>
    <w:rsid w:val="00610474"/>
    <w:pPr>
      <w:spacing w:after="0" w:line="240" w:lineRule="auto"/>
    </w:pPr>
    <w:rPr>
      <w:rFonts w:eastAsiaTheme="minorEastAsia"/>
    </w:rPr>
  </w:style>
  <w:style w:type="character" w:customStyle="1" w:styleId="NoSpacingChar">
    <w:name w:val="No Spacing Char"/>
    <w:basedOn w:val="DefaultParagraphFont"/>
    <w:link w:val="NoSpacing"/>
    <w:uiPriority w:val="99"/>
    <w:rsid w:val="00610474"/>
    <w:rPr>
      <w:rFonts w:eastAsiaTheme="minorEastAsia"/>
    </w:rPr>
  </w:style>
  <w:style w:type="character" w:styleId="CommentReference">
    <w:name w:val="annotation reference"/>
    <w:basedOn w:val="DefaultParagraphFont"/>
    <w:uiPriority w:val="99"/>
    <w:unhideWhenUsed/>
    <w:rsid w:val="00610474"/>
    <w:rPr>
      <w:sz w:val="16"/>
      <w:szCs w:val="16"/>
    </w:rPr>
  </w:style>
  <w:style w:type="paragraph" w:customStyle="1" w:styleId="bullet">
    <w:name w:val="bullet"/>
    <w:basedOn w:val="Normal"/>
    <w:rsid w:val="00610474"/>
    <w:pPr>
      <w:spacing w:before="100" w:beforeAutospacing="1" w:after="100" w:afterAutospacing="1"/>
    </w:pPr>
    <w:rPr>
      <w:rFonts w:eastAsia="Calibri" w:cs="Times New Roman"/>
      <w:szCs w:val="24"/>
      <w:lang w:val="es-ES" w:eastAsia="es-ES"/>
    </w:rPr>
  </w:style>
  <w:style w:type="character" w:styleId="UnresolvedMention">
    <w:name w:val="Unresolved Mention"/>
    <w:basedOn w:val="DefaultParagraphFont"/>
    <w:uiPriority w:val="99"/>
    <w:semiHidden/>
    <w:unhideWhenUsed/>
    <w:rsid w:val="00194643"/>
    <w:rPr>
      <w:color w:val="605E5C"/>
      <w:shd w:val="clear" w:color="auto" w:fill="E1DFDD"/>
    </w:rPr>
  </w:style>
  <w:style w:type="paragraph" w:styleId="CommentText">
    <w:name w:val="annotation text"/>
    <w:basedOn w:val="Normal"/>
    <w:link w:val="CommentTextChar"/>
    <w:uiPriority w:val="99"/>
    <w:unhideWhenUsed/>
    <w:rsid w:val="004E4FE0"/>
    <w:rPr>
      <w:sz w:val="20"/>
      <w:szCs w:val="20"/>
    </w:rPr>
  </w:style>
  <w:style w:type="character" w:customStyle="1" w:styleId="CommentTextChar">
    <w:name w:val="Comment Text Char"/>
    <w:basedOn w:val="DefaultParagraphFont"/>
    <w:link w:val="CommentText"/>
    <w:uiPriority w:val="99"/>
    <w:rsid w:val="004E4FE0"/>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4E4FE0"/>
    <w:rPr>
      <w:b/>
      <w:bCs/>
    </w:rPr>
  </w:style>
  <w:style w:type="character" w:customStyle="1" w:styleId="CommentSubjectChar">
    <w:name w:val="Comment Subject Char"/>
    <w:basedOn w:val="CommentTextChar"/>
    <w:link w:val="CommentSubject"/>
    <w:uiPriority w:val="99"/>
    <w:semiHidden/>
    <w:rsid w:val="004E4FE0"/>
    <w:rPr>
      <w:rFonts w:ascii="Times New Roman" w:hAnsi="Times New Roman"/>
      <w:b/>
      <w:bCs/>
      <w:sz w:val="20"/>
      <w:szCs w:val="20"/>
    </w:rPr>
  </w:style>
  <w:style w:type="paragraph" w:customStyle="1" w:styleId="BVIfnrCarCarCarCarChar">
    <w:name w:val="BVI fnr Car Car Car Car Char"/>
    <w:aliases w:val="BVI fnr Car,BVI fnr Car Car"/>
    <w:basedOn w:val="Normal"/>
    <w:link w:val="FootnoteReference"/>
    <w:uiPriority w:val="99"/>
    <w:rsid w:val="00E034B3"/>
    <w:pPr>
      <w:widowControl w:val="0"/>
      <w:adjustRightInd w:val="0"/>
      <w:spacing w:after="160" w:line="240" w:lineRule="exact"/>
      <w:jc w:val="both"/>
    </w:pPr>
    <w:rPr>
      <w:rFonts w:asciiTheme="minorHAnsi" w:hAnsiTheme="minorHAnsi"/>
      <w:sz w:val="22"/>
      <w:vertAlign w:val="superscript"/>
    </w:rPr>
  </w:style>
  <w:style w:type="paragraph" w:customStyle="1" w:styleId="ftrefCaracterCaracterCaracter">
    <w:name w:val="ftref Caracter Caracter Caracter"/>
    <w:aliases w:val="Footnote reference number Caracter Caracter Caracter,Footnote symbol Caracter Caracter Caracter,Footnotes refss Caracter Caracter Caracter,Fussnota Caracter Caracter Caracter"/>
    <w:basedOn w:val="Normal"/>
    <w:uiPriority w:val="99"/>
    <w:rsid w:val="00812895"/>
    <w:pPr>
      <w:spacing w:after="160" w:line="240" w:lineRule="exact"/>
      <w:jc w:val="both"/>
    </w:pPr>
    <w:rPr>
      <w:rFonts w:asciiTheme="minorHAnsi" w:hAnsiTheme="minorHAnsi"/>
      <w:sz w:val="22"/>
      <w:vertAlign w:val="superscript"/>
    </w:rPr>
  </w:style>
  <w:style w:type="table" w:customStyle="1" w:styleId="TableGrid1">
    <w:name w:val="Table Grid1"/>
    <w:basedOn w:val="TableNormal"/>
    <w:next w:val="TableGrid"/>
    <w:uiPriority w:val="39"/>
    <w:rsid w:val="00842E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7C60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colorat-Accentuare1Caracter">
    <w:name w:val="Listă colorată - Accentuare 1 Caracter"/>
    <w:aliases w:val="123 List Paragraph Caracter,Bullet Caracter,Bullet paras Caracter,Bullets Caracter,Ha Caracter,List Paragraph (numbered (a)) Caracter,List Paragraph nowy Caracter,List Paragraph1 Caracter,List_Paragraph Caracter"/>
    <w:uiPriority w:val="99"/>
    <w:qFormat/>
    <w:locked/>
    <w:rsid w:val="00E30612"/>
    <w:rPr>
      <w:sz w:val="22"/>
      <w:szCs w:val="22"/>
      <w:lang w:val="ro-RO"/>
    </w:rPr>
  </w:style>
  <w:style w:type="paragraph" w:customStyle="1" w:styleId="Normal0">
    <w:name w:val="Normal_0"/>
    <w:link w:val="Normal0Char"/>
    <w:qFormat/>
    <w:rsid w:val="009D4DF7"/>
    <w:pPr>
      <w:spacing w:after="160" w:line="259" w:lineRule="auto"/>
    </w:pPr>
  </w:style>
  <w:style w:type="character" w:customStyle="1" w:styleId="Normal0Char">
    <w:name w:val="Normal_0 Char"/>
    <w:basedOn w:val="DefaultParagraphFont"/>
    <w:link w:val="Normal0"/>
    <w:rsid w:val="009D4DF7"/>
  </w:style>
  <w:style w:type="paragraph" w:customStyle="1" w:styleId="tablestyle">
    <w:name w:val="table style"/>
    <w:basedOn w:val="Normal0"/>
    <w:link w:val="tablestyleChar"/>
    <w:uiPriority w:val="99"/>
    <w:qFormat/>
    <w:rsid w:val="00624C4F"/>
    <w:pPr>
      <w:spacing w:after="0" w:line="240" w:lineRule="auto"/>
      <w:jc w:val="center"/>
    </w:pPr>
  </w:style>
  <w:style w:type="character" w:customStyle="1" w:styleId="tablestyleChar">
    <w:name w:val="table style Char"/>
    <w:basedOn w:val="Normal0Char"/>
    <w:link w:val="tablestyle"/>
    <w:uiPriority w:val="99"/>
    <w:rsid w:val="00624C4F"/>
  </w:style>
  <w:style w:type="table" w:customStyle="1" w:styleId="TableGrid7">
    <w:name w:val="Table Grid7"/>
    <w:basedOn w:val="TableNormal"/>
    <w:next w:val="TableGrid"/>
    <w:uiPriority w:val="39"/>
    <w:rsid w:val="002A723E"/>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20">
    <w:name w:val="Font Style220"/>
    <w:basedOn w:val="DefaultParagraphFont"/>
    <w:uiPriority w:val="99"/>
    <w:rsid w:val="001D33E0"/>
    <w:rPr>
      <w:rFonts w:ascii="Times New Roman" w:hAnsi="Times New Roman" w:cs="Times New Roman" w:hint="default"/>
      <w:color w:val="000000"/>
    </w:rPr>
  </w:style>
  <w:style w:type="paragraph" w:styleId="Revision">
    <w:name w:val="Revision"/>
    <w:hidden/>
    <w:uiPriority w:val="99"/>
    <w:semiHidden/>
    <w:rsid w:val="000C5AAE"/>
    <w:pPr>
      <w:spacing w:after="0" w:line="240" w:lineRule="auto"/>
    </w:pPr>
    <w:rPr>
      <w:rFonts w:ascii="Times New Roman" w:hAnsi="Times New Roman"/>
      <w:sz w:val="24"/>
    </w:rPr>
  </w:style>
  <w:style w:type="paragraph" w:customStyle="1" w:styleId="paragraph">
    <w:name w:val="paragraph"/>
    <w:basedOn w:val="Normal"/>
    <w:rsid w:val="00BC1D0C"/>
    <w:pPr>
      <w:spacing w:before="100" w:beforeAutospacing="1" w:after="100" w:afterAutospacing="1"/>
    </w:pPr>
    <w:rPr>
      <w:rFonts w:eastAsia="Times New Roman" w:cs="Times New Roman"/>
      <w:szCs w:val="24"/>
    </w:rPr>
  </w:style>
  <w:style w:type="character" w:customStyle="1" w:styleId="normaltextrun">
    <w:name w:val="normaltextrun"/>
    <w:basedOn w:val="DefaultParagraphFont"/>
    <w:rsid w:val="00BC1D0C"/>
  </w:style>
  <w:style w:type="character" w:customStyle="1" w:styleId="advancedproofingissue">
    <w:name w:val="advancedproofingissue"/>
    <w:basedOn w:val="DefaultParagraphFont"/>
    <w:rsid w:val="00BC1D0C"/>
  </w:style>
  <w:style w:type="character" w:customStyle="1" w:styleId="eop">
    <w:name w:val="eop"/>
    <w:basedOn w:val="DefaultParagraphFont"/>
    <w:rsid w:val="00BC1D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550889">
      <w:bodyDiv w:val="1"/>
      <w:marLeft w:val="0"/>
      <w:marRight w:val="0"/>
      <w:marTop w:val="0"/>
      <w:marBottom w:val="0"/>
      <w:divBdr>
        <w:top w:val="none" w:sz="0" w:space="0" w:color="auto"/>
        <w:left w:val="none" w:sz="0" w:space="0" w:color="auto"/>
        <w:bottom w:val="none" w:sz="0" w:space="0" w:color="auto"/>
        <w:right w:val="none" w:sz="0" w:space="0" w:color="auto"/>
      </w:divBdr>
    </w:div>
    <w:div w:id="702099591">
      <w:bodyDiv w:val="1"/>
      <w:marLeft w:val="0"/>
      <w:marRight w:val="0"/>
      <w:marTop w:val="0"/>
      <w:marBottom w:val="0"/>
      <w:divBdr>
        <w:top w:val="none" w:sz="0" w:space="0" w:color="auto"/>
        <w:left w:val="none" w:sz="0" w:space="0" w:color="auto"/>
        <w:bottom w:val="none" w:sz="0" w:space="0" w:color="auto"/>
        <w:right w:val="none" w:sz="0" w:space="0" w:color="auto"/>
      </w:divBdr>
    </w:div>
    <w:div w:id="783158857">
      <w:bodyDiv w:val="1"/>
      <w:marLeft w:val="0"/>
      <w:marRight w:val="0"/>
      <w:marTop w:val="0"/>
      <w:marBottom w:val="0"/>
      <w:divBdr>
        <w:top w:val="none" w:sz="0" w:space="0" w:color="auto"/>
        <w:left w:val="none" w:sz="0" w:space="0" w:color="auto"/>
        <w:bottom w:val="none" w:sz="0" w:space="0" w:color="auto"/>
        <w:right w:val="none" w:sz="0" w:space="0" w:color="auto"/>
      </w:divBdr>
    </w:div>
    <w:div w:id="1030254497">
      <w:bodyDiv w:val="1"/>
      <w:marLeft w:val="0"/>
      <w:marRight w:val="0"/>
      <w:marTop w:val="0"/>
      <w:marBottom w:val="0"/>
      <w:divBdr>
        <w:top w:val="none" w:sz="0" w:space="0" w:color="auto"/>
        <w:left w:val="none" w:sz="0" w:space="0" w:color="auto"/>
        <w:bottom w:val="none" w:sz="0" w:space="0" w:color="auto"/>
        <w:right w:val="none" w:sz="0" w:space="0" w:color="auto"/>
      </w:divBdr>
    </w:div>
    <w:div w:id="1046761416">
      <w:bodyDiv w:val="1"/>
      <w:marLeft w:val="0"/>
      <w:marRight w:val="0"/>
      <w:marTop w:val="0"/>
      <w:marBottom w:val="0"/>
      <w:divBdr>
        <w:top w:val="none" w:sz="0" w:space="0" w:color="auto"/>
        <w:left w:val="none" w:sz="0" w:space="0" w:color="auto"/>
        <w:bottom w:val="none" w:sz="0" w:space="0" w:color="auto"/>
        <w:right w:val="none" w:sz="0" w:space="0" w:color="auto"/>
      </w:divBdr>
    </w:div>
    <w:div w:id="1564750508">
      <w:bodyDiv w:val="1"/>
      <w:marLeft w:val="0"/>
      <w:marRight w:val="0"/>
      <w:marTop w:val="0"/>
      <w:marBottom w:val="0"/>
      <w:divBdr>
        <w:top w:val="none" w:sz="0" w:space="0" w:color="auto"/>
        <w:left w:val="none" w:sz="0" w:space="0" w:color="auto"/>
        <w:bottom w:val="none" w:sz="0" w:space="0" w:color="auto"/>
        <w:right w:val="none" w:sz="0" w:space="0" w:color="auto"/>
      </w:divBdr>
    </w:div>
    <w:div w:id="1656376914">
      <w:bodyDiv w:val="1"/>
      <w:marLeft w:val="0"/>
      <w:marRight w:val="0"/>
      <w:marTop w:val="0"/>
      <w:marBottom w:val="0"/>
      <w:divBdr>
        <w:top w:val="none" w:sz="0" w:space="0" w:color="auto"/>
        <w:left w:val="none" w:sz="0" w:space="0" w:color="auto"/>
        <w:bottom w:val="none" w:sz="0" w:space="0" w:color="auto"/>
        <w:right w:val="none" w:sz="0" w:space="0" w:color="auto"/>
      </w:divBdr>
    </w:div>
    <w:div w:id="1934702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www.ms.ro" TargetMode="External"/><Relationship Id="rId26" Type="http://schemas.openxmlformats.org/officeDocument/2006/relationships/header" Target="header10.xml"/><Relationship Id="rId21" Type="http://schemas.openxmlformats.org/officeDocument/2006/relationships/hyperlink" Target="http://www.worldbank.org/debarr" TargetMode="External"/><Relationship Id="rId34"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http://sicap-prod.e-licitatie.ro/pub" TargetMode="External"/><Relationship Id="rId29" Type="http://schemas.openxmlformats.org/officeDocument/2006/relationships/hyperlink" Target="http://www.worldbank.org/debar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5.xml"/><Relationship Id="rId32" Type="http://schemas.openxmlformats.org/officeDocument/2006/relationships/fontTable" Target="fontTable.xml"/><Relationship Id="rId37" Type="http://schemas.openxmlformats.org/officeDocument/2006/relationships/customXml" Target="../customXml/item5.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customXml" Target="../customXml/item4.xml"/><Relationship Id="rId10" Type="http://schemas.openxmlformats.org/officeDocument/2006/relationships/footer" Target="footer1.xml"/><Relationship Id="rId19" Type="http://schemas.openxmlformats.org/officeDocument/2006/relationships/hyperlink" Target="http://www.cnas.ro" TargetMode="External"/><Relationship Id="rId31"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image" Target="media/image1.emf"/><Relationship Id="rId35" Type="http://schemas.openxmlformats.org/officeDocument/2006/relationships/customXml" Target="../customXml/item3.xml"/><Relationship Id="rId8" Type="http://schemas.openxmlformats.org/officeDocument/2006/relationships/header" Target="header1.xm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3" Type="http://schemas.openxmlformats.org/officeDocument/2006/relationships/hyperlink" Target="http://www.pna.ro/obiect2.jsp?id=376" TargetMode="External"/><Relationship Id="rId2" Type="http://schemas.openxmlformats.org/officeDocument/2006/relationships/hyperlink" Target="https://www.transparency.org/news/feature/corruption_perceptions_index_2017" TargetMode="External"/><Relationship Id="rId1" Type="http://schemas.openxmlformats.org/officeDocument/2006/relationships/hyperlink" Target="http://www.curteadeconturi.ro/Publicatii/Raport_special_Audit_Intern.pdf" TargetMode="External"/><Relationship Id="rId5" Type="http://schemas.openxmlformats.org/officeDocument/2006/relationships/hyperlink" Target="https://ec.europa.eu/home-affairs/sites/homeaffairs/files/20170928_study_on_healthcare_corruption_en.pdf" TargetMode="External"/><Relationship Id="rId4" Type="http://schemas.openxmlformats.org/officeDocument/2006/relationships/hyperlink" Target="https://ec.europa.eu/anti-fraud/sites/antifraud/files/olaf_report_2017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BOpsProjectDoc" ma:contentTypeID="0x01010054E0FEF4951F9D49A6F48A35419983C700410FAB39E259EB459208A43A1085C9DD" ma:contentTypeVersion="3" ma:contentTypeDescription="" ma:contentTypeScope="" ma:versionID="1ba491dca7aa06d88df6aa565d4e06fc">
  <xsd:schema xmlns:xsd="http://www.w3.org/2001/XMLSchema" xmlns:xs="http://www.w3.org/2001/XMLSchema" xmlns:p="http://schemas.microsoft.com/office/2006/metadata/properties" xmlns:ns2="b99a068c-3844-4a16-badd-77233eea0529" targetNamespace="http://schemas.microsoft.com/office/2006/metadata/properties" ma:root="true" ma:fieldsID="fda24a9677bb9d21e2f1b3e6e3d6658a" ns2:_="">
    <xsd:import namespace="b99a068c-3844-4a16-badd-77233eea0529"/>
    <xsd:element name="properties">
      <xsd:complexType>
        <xsd:sequence>
          <xsd:element name="documentManagement">
            <xsd:complexType>
              <xsd:all>
                <xsd:element ref="ns2:ProjectID" minOccurs="0"/>
                <xsd:element ref="ns2:Stage" minOccurs="0"/>
                <xsd:element ref="ns2:Package" minOccurs="0"/>
                <xsd:element ref="ns2:DocumentType" minOccurs="0"/>
                <xsd:element ref="ns2:SortOrder" minOccurs="0"/>
                <xsd:element ref="ns2:AttachmentType" minOccurs="0"/>
                <xsd:element ref="ns2:Abstract" minOccurs="0"/>
                <xsd:element ref="ns2:SecurityClassification" minOccurs="0"/>
                <xsd:element ref="ns2:Cordis_x0020_ID" minOccurs="0"/>
                <xsd:element ref="ns2:Task_x0020_ID" minOccurs="0"/>
                <xsd:element ref="ns2:DependentDoc" minOccurs="0"/>
                <xsd:element ref="ns2:DeliverableID" minOccurs="0"/>
                <xsd:element ref="ns2:RefreshDate" minOccurs="0"/>
                <xsd:element ref="ns2:DocStatus" minOccurs="0"/>
                <xsd:element ref="ns2:ApprovedVersion" minOccurs="0"/>
                <xsd:element ref="ns2:DisclosedVersion" minOccurs="0"/>
                <xsd:element ref="ns2:HasUserUploaded" minOccurs="0"/>
                <xsd:element ref="ns2:IsMandatory" minOccurs="0"/>
                <xsd:element ref="ns2:IsTemplate" minOccurs="0"/>
                <xsd:element ref="ns2:SAPStage" minOccurs="0"/>
                <xsd:element ref="ns2:Authors" minOccurs="0"/>
                <xsd:element ref="ns2:DocAuthors" minOccurs="0"/>
                <xsd:element ref="ns2:DocumentDate" minOccurs="0"/>
                <xsd:element ref="ns2:PolicyExceptions" minOccurs="0"/>
                <xsd:element ref="ns2:WBDocType" minOccurs="0"/>
                <xsd:element ref="ns2:LockStatus" minOccurs="0"/>
                <xsd:element ref="ns2:DocumentAction" minOccurs="0"/>
                <xsd:element ref="ns2:IsHidden" minOccurs="0"/>
                <xsd:element ref="ns2:TemplateDocVersion" minOccurs="0"/>
                <xsd:element ref="ns2:SequenceNu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9a068c-3844-4a16-badd-77233eea0529" elementFormDefault="qualified">
    <xsd:import namespace="http://schemas.microsoft.com/office/2006/documentManagement/types"/>
    <xsd:import namespace="http://schemas.microsoft.com/office/infopath/2007/PartnerControls"/>
    <xsd:element name="ProjectID" ma:index="8" nillable="true" ma:displayName="ProjectID" ma:internalName="ProjectID">
      <xsd:simpleType>
        <xsd:restriction base="dms:Text">
          <xsd:maxLength value="255"/>
        </xsd:restriction>
      </xsd:simpleType>
    </xsd:element>
    <xsd:element name="Stage" ma:index="9" nillable="true" ma:displayName="Stage" ma:internalName="Stage">
      <xsd:simpleType>
        <xsd:restriction base="dms:Text">
          <xsd:maxLength value="255"/>
        </xsd:restriction>
      </xsd:simpleType>
    </xsd:element>
    <xsd:element name="Package" ma:index="10" nillable="true" ma:displayName="Package" ma:default="1" ma:internalName="Package">
      <xsd:simpleType>
        <xsd:restriction base="dms:Boolean"/>
      </xsd:simpleType>
    </xsd:element>
    <xsd:element name="DocumentType" ma:index="11" nillable="true" ma:displayName="DocumentType" ma:internalName="DocumentType">
      <xsd:simpleType>
        <xsd:restriction base="dms:Text">
          <xsd:maxLength value="255"/>
        </xsd:restriction>
      </xsd:simpleType>
    </xsd:element>
    <xsd:element name="SortOrder" ma:index="12" nillable="true" ma:displayName="SortOrder" ma:internalName="SortOrder">
      <xsd:simpleType>
        <xsd:restriction base="dms:Number"/>
      </xsd:simpleType>
    </xsd:element>
    <xsd:element name="AttachmentType" ma:index="13" nillable="true" ma:displayName="AttachmentType" ma:internalName="AttachmentType">
      <xsd:simpleType>
        <xsd:restriction base="dms:Text">
          <xsd:maxLength value="255"/>
        </xsd:restriction>
      </xsd:simpleType>
    </xsd:element>
    <xsd:element name="Abstract" ma:index="14" nillable="true" ma:displayName="Abstract" ma:internalName="Abstract">
      <xsd:simpleType>
        <xsd:restriction base="dms:Note"/>
      </xsd:simpleType>
    </xsd:element>
    <xsd:element name="SecurityClassification" ma:index="15" nillable="true" ma:displayName="SecurityClassification" ma:format="Dropdown" ma:internalName="SecurityClassification">
      <xsd:simpleType>
        <xsd:restriction base="dms:Choice">
          <xsd:enumeration value="Official use only"/>
          <xsd:enumeration value="Public"/>
        </xsd:restriction>
      </xsd:simpleType>
    </xsd:element>
    <xsd:element name="Cordis_x0020_ID" ma:index="16" nillable="true" ma:displayName="Cordis ID" ma:internalName="Cordis_x0020_ID">
      <xsd:simpleType>
        <xsd:restriction base="dms:Note"/>
      </xsd:simpleType>
    </xsd:element>
    <xsd:element name="Task_x0020_ID" ma:index="17" nillable="true" ma:displayName="Task ID" ma:internalName="Task_x0020_ID">
      <xsd:simpleType>
        <xsd:restriction base="dms:Note"/>
      </xsd:simpleType>
    </xsd:element>
    <xsd:element name="DependentDoc" ma:index="18" nillable="true" ma:displayName="DependentDoc" ma:internalName="DependentDoc">
      <xsd:simpleType>
        <xsd:restriction base="dms:Note"/>
      </xsd:simpleType>
    </xsd:element>
    <xsd:element name="DeliverableID" ma:index="19" nillable="true" ma:displayName="DeliverableID" ma:internalName="DeliverableID">
      <xsd:simpleType>
        <xsd:restriction base="dms:Note"/>
      </xsd:simpleType>
    </xsd:element>
    <xsd:element name="RefreshDate" ma:index="20" nillable="true" ma:displayName="RefreshDate" ma:format="DateTime" ma:internalName="RefreshDate">
      <xsd:simpleType>
        <xsd:restriction base="dms:DateTime"/>
      </xsd:simpleType>
    </xsd:element>
    <xsd:element name="DocStatus" ma:index="21" nillable="true" ma:displayName="DocStatus" ma:internalName="DocStatus">
      <xsd:simpleType>
        <xsd:restriction base="dms:Text">
          <xsd:maxLength value="255"/>
        </xsd:restriction>
      </xsd:simpleType>
    </xsd:element>
    <xsd:element name="ApprovedVersion" ma:index="22" nillable="true" ma:displayName="ApprovedVersion" ma:internalName="ApprovedVersion">
      <xsd:simpleType>
        <xsd:restriction base="dms:Text">
          <xsd:maxLength value="255"/>
        </xsd:restriction>
      </xsd:simpleType>
    </xsd:element>
    <xsd:element name="DisclosedVersion" ma:index="23" nillable="true" ma:displayName="DisclosedVersion" ma:internalName="DisclosedVersion">
      <xsd:simpleType>
        <xsd:restriction base="dms:Note"/>
      </xsd:simpleType>
    </xsd:element>
    <xsd:element name="HasUserUploaded" ma:index="24" nillable="true" ma:displayName="HasUserUploaded" ma:default="0" ma:internalName="HasUserUploaded">
      <xsd:simpleType>
        <xsd:restriction base="dms:Boolean"/>
      </xsd:simpleType>
    </xsd:element>
    <xsd:element name="IsMandatory" ma:index="25" nillable="true" ma:displayName="IsMandatory" ma:default="0" ma:internalName="IsMandatory">
      <xsd:simpleType>
        <xsd:restriction base="dms:Boolean"/>
      </xsd:simpleType>
    </xsd:element>
    <xsd:element name="IsTemplate" ma:index="26" nillable="true" ma:displayName="IsTemplate" ma:default="0" ma:internalName="IsTemplate">
      <xsd:simpleType>
        <xsd:restriction base="dms:Boolean"/>
      </xsd:simpleType>
    </xsd:element>
    <xsd:element name="SAPStage" ma:index="27" nillable="true" ma:displayName="SAPStage" ma:internalName="SAPStage">
      <xsd:simpleType>
        <xsd:restriction base="dms:Text">
          <xsd:maxLength value="255"/>
        </xsd:restriction>
      </xsd:simpleType>
    </xsd:element>
    <xsd:element name="Authors" ma:index="28" nillable="true" ma:displayName="Authors" ma:list="UserInfo" ma:SharePointGroup="0" ma:internalName="Autho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Authors" ma:index="29" nillable="true" ma:displayName="DocAuthors" ma:internalName="DocAuthors">
      <xsd:simpleType>
        <xsd:restriction base="dms:Note">
          <xsd:maxLength value="255"/>
        </xsd:restriction>
      </xsd:simpleType>
    </xsd:element>
    <xsd:element name="DocumentDate" ma:index="30" nillable="true" ma:displayName="DocumentDate" ma:format="DateOnly" ma:internalName="DocumentDate">
      <xsd:simpleType>
        <xsd:restriction base="dms:DateTime"/>
      </xsd:simpleType>
    </xsd:element>
    <xsd:element name="PolicyExceptions" ma:index="31" nillable="true" ma:displayName="PolicyExceptions" ma:internalName="PolicyExceptions">
      <xsd:simpleType>
        <xsd:restriction base="dms:Note">
          <xsd:maxLength value="255"/>
        </xsd:restriction>
      </xsd:simpleType>
    </xsd:element>
    <xsd:element name="WBDocType" ma:index="32" nillable="true" ma:displayName="WBDocType" ma:internalName="WBDocType">
      <xsd:simpleType>
        <xsd:restriction base="dms:Text">
          <xsd:maxLength value="255"/>
        </xsd:restriction>
      </xsd:simpleType>
    </xsd:element>
    <xsd:element name="LockStatus" ma:index="33" nillable="true" ma:displayName="LockStatus" ma:internalName="LockStatus">
      <xsd:simpleType>
        <xsd:restriction base="dms:Text">
          <xsd:maxLength value="255"/>
        </xsd:restriction>
      </xsd:simpleType>
    </xsd:element>
    <xsd:element name="DocumentAction" ma:index="34" nillable="true" ma:displayName="DocumentAction" ma:internalName="DocumentAction">
      <xsd:simpleType>
        <xsd:restriction base="dms:Text">
          <xsd:maxLength value="255"/>
        </xsd:restriction>
      </xsd:simpleType>
    </xsd:element>
    <xsd:element name="IsHidden" ma:index="35" nillable="true" ma:displayName="IsHidden" ma:default="0" ma:internalName="IsHidden">
      <xsd:simpleType>
        <xsd:restriction base="dms:Boolean"/>
      </xsd:simpleType>
    </xsd:element>
    <xsd:element name="TemplateDocVersion" ma:index="36" nillable="true" ma:displayName="TemplateDocVersion" ma:internalName="TemplateDocVersion">
      <xsd:simpleType>
        <xsd:restriction base="dms:Text">
          <xsd:maxLength value="255"/>
        </xsd:restriction>
      </xsd:simpleType>
    </xsd:element>
    <xsd:element name="SequenceNum" ma:index="37" nillable="true" ma:displayName="SequenceNum" ma:internalName="SequenceNum">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ocAuthors xmlns="b99a068c-3844-4a16-badd-77233eea0529">000374489:Zinaida Korableva:zkorableva@worldbank.org;</DocAuthors>
    <Authors xmlns="b99a068c-3844-4a16-badd-77233eea0529">
      <UserInfo>
        <DisplayName>i:0#.w|wb\wb374489</DisplayName>
        <AccountId>7218</AccountId>
        <AccountType/>
      </UserInfo>
      <UserInfo>
        <DisplayName/>
        <AccountId xsi:nil="true"/>
        <AccountType/>
      </UserInfo>
    </Authors>
    <SequenceNum xmlns="b99a068c-3844-4a16-badd-77233eea0529" xsi:nil="true"/>
    <Cordis_x0020_ID xmlns="b99a068c-3844-4a16-badd-77233eea0529">ITM00331</Cordis_x0020_ID>
    <Stage xmlns="b99a068c-3844-4a16-badd-77233eea0529">NEG</Stage>
    <PolicyExceptions xmlns="b99a068c-3844-4a16-badd-77233eea0529" xsi:nil="true"/>
    <IsTemplate xmlns="b99a068c-3844-4a16-badd-77233eea0529">false</IsTemplate>
    <HasUserUploaded xmlns="b99a068c-3844-4a16-badd-77233eea0529">true</HasUserUploaded>
    <DocumentDate xmlns="b99a068c-3844-4a16-badd-77233eea0529">2019-06-27T04:00:00+00:00</DocumentDate>
    <WBDocType xmlns="b99a068c-3844-4a16-badd-77233eea0529">Final Fiduciary Systems Assessment</WBDocType>
    <SecurityClassification xmlns="b99a068c-3844-4a16-badd-77233eea0529">Public</SecurityClassification>
    <DeliverableID xmlns="b99a068c-3844-4a16-badd-77233eea0529" xsi:nil="true"/>
    <ProjectID xmlns="b99a068c-3844-4a16-badd-77233eea0529">P169927</ProjectID>
    <Task_x0020_ID xmlns="b99a068c-3844-4a16-badd-77233eea0529">TSK7956117</Task_x0020_ID>
    <Package xmlns="b99a068c-3844-4a16-badd-77233eea0529">true</Package>
    <TemplateDocVersion xmlns="b99a068c-3844-4a16-badd-77233eea0529" xsi:nil="true"/>
    <RefreshDate xmlns="b99a068c-3844-4a16-badd-77233eea0529" xsi:nil="true"/>
    <IsMandatory xmlns="b99a068c-3844-4a16-badd-77233eea0529">false</IsMandatory>
    <SortOrder xmlns="b99a068c-3844-4a16-badd-77233eea0529" xsi:nil="true"/>
    <IsHidden xmlns="b99a068c-3844-4a16-badd-77233eea0529">false</IsHidden>
    <AttachmentType xmlns="b99a068c-3844-4a16-badd-77233eea0529" xsi:nil="true"/>
    <DisclosedVersion xmlns="b99a068c-3844-4a16-badd-77233eea0529" xsi:nil="true"/>
    <DocumentType xmlns="b99a068c-3844-4a16-badd-77233eea0529" xsi:nil="true"/>
    <ApprovedVersion xmlns="b99a068c-3844-4a16-badd-77233eea0529" xsi:nil="true"/>
    <DocStatus xmlns="b99a068c-3844-4a16-badd-77233eea0529" xsi:nil="true"/>
    <DependentDoc xmlns="b99a068c-3844-4a16-badd-77233eea0529" xsi:nil="true"/>
    <SAPStage xmlns="b99a068c-3844-4a16-badd-77233eea0529" xsi:nil="true"/>
    <LockStatus xmlns="b99a068c-3844-4a16-badd-77233eea0529" xsi:nil="true"/>
    <Abstract xmlns="b99a068c-3844-4a16-badd-77233eea0529" xsi:nil="true"/>
    <DocumentAction xmlns="b99a068c-3844-4a16-badd-77233eea0529" xsi:nil="true"/>
  </documentManagement>
</p:properties>
</file>

<file path=customXml/item5.xml><?xml version="1.0" encoding="utf-8"?>
<?mso-contentType ?>
<SharedContentType xmlns="Microsoft.SharePoint.Taxonomy.ContentTypeSync" SourceId="a4117c50-33ca-4e49-9a5c-4b51d291b3ff" ContentTypeId="0x01010054E0FEF4951F9D49A6F48A35419983C7" PreviousValue="false"/>
</file>

<file path=customXml/itemProps1.xml><?xml version="1.0" encoding="utf-8"?>
<ds:datastoreItem xmlns:ds="http://schemas.openxmlformats.org/officeDocument/2006/customXml" ds:itemID="{05C2BE36-F547-4FDA-A6D7-DA4C15E7FDAE}">
  <ds:schemaRefs>
    <ds:schemaRef ds:uri="http://schemas.openxmlformats.org/officeDocument/2006/bibliography"/>
  </ds:schemaRefs>
</ds:datastoreItem>
</file>

<file path=customXml/itemProps2.xml><?xml version="1.0" encoding="utf-8"?>
<ds:datastoreItem xmlns:ds="http://schemas.openxmlformats.org/officeDocument/2006/customXml" ds:itemID="{403BCA97-DE51-4A2C-85DE-5030FD52D0D9}"/>
</file>

<file path=customXml/itemProps3.xml><?xml version="1.0" encoding="utf-8"?>
<ds:datastoreItem xmlns:ds="http://schemas.openxmlformats.org/officeDocument/2006/customXml" ds:itemID="{2E4FC22F-1216-49CA-9808-D3E9E8EC8AFB}"/>
</file>

<file path=customXml/itemProps4.xml><?xml version="1.0" encoding="utf-8"?>
<ds:datastoreItem xmlns:ds="http://schemas.openxmlformats.org/officeDocument/2006/customXml" ds:itemID="{F9AFEEE4-A620-4298-83D0-BBC48D836541}"/>
</file>

<file path=customXml/itemProps5.xml><?xml version="1.0" encoding="utf-8"?>
<ds:datastoreItem xmlns:ds="http://schemas.openxmlformats.org/officeDocument/2006/customXml" ds:itemID="{970E70C6-923E-4A21-993F-2A2247248930}"/>
</file>

<file path=docProps/app.xml><?xml version="1.0" encoding="utf-8"?>
<Properties xmlns="http://schemas.openxmlformats.org/officeDocument/2006/extended-properties" xmlns:vt="http://schemas.openxmlformats.org/officeDocument/2006/docPropsVTypes">
  <Template>Normal.dotm</Template>
  <TotalTime>0</TotalTime>
  <Pages>42</Pages>
  <Words>14877</Words>
  <Characters>84801</Characters>
  <Application>Microsoft Office Word</Application>
  <DocSecurity>0</DocSecurity>
  <Lines>706</Lines>
  <Paragraphs>198</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99480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Report Fiduciary Systems Assessment - June 26, 2019 Draft</dc:title>
  <dc:creator>WB176268</dc:creator>
  <cp:lastModifiedBy>Moses Wasike</cp:lastModifiedBy>
  <cp:revision>2</cp:revision>
  <cp:lastPrinted>2019-06-20T07:31:00Z</cp:lastPrinted>
  <dcterms:created xsi:type="dcterms:W3CDTF">2019-06-26T22:47:00Z</dcterms:created>
  <dcterms:modified xsi:type="dcterms:W3CDTF">2019-06-26T22:47:00Z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0x01010054E0FEF4951F9D49A6F48A35419983C700410FAB39E259EB459208A43A1085C9DD</vt:lpwstr>
  </property>
  <property fmtid="{D5CDD505-2E9C-101B-9397-08002B2CF9AE}" pid="5" name="RatedBy">
    <vt:lpwstr/>
  </property>
  <property fmtid="{D5CDD505-2E9C-101B-9397-08002B2CF9AE}" pid="7" name="LikedBy">
    <vt:lpwstr/>
  </property>
</Properties>
</file>