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rsidP="00FC1AA5">
      <w:pPr>
        <w:jc w:val="center"/>
        <w:rPr>
          <w:b/>
          <w:bCs/>
        </w:rPr>
      </w:pPr>
      <w:r>
        <w:rPr>
          <w:b/>
          <w:bCs/>
        </w:rPr>
        <w:t xml:space="preserve">PROGRAM </w:t>
      </w:r>
      <w:r w:rsidR="00A126FA">
        <w:rPr>
          <w:b/>
          <w:bCs/>
        </w:rPr>
        <w:t>INFORMATION DOCUMENT (PID)</w:t>
      </w:r>
    </w:p>
    <w:p w:rsidR="00A126FA" w:rsidRDefault="00A126FA" w:rsidP="00FC1AA5">
      <w:pPr>
        <w:jc w:val="center"/>
        <w:rPr>
          <w:b/>
          <w:bCs/>
        </w:rPr>
      </w:pPr>
      <w:r>
        <w:rPr>
          <w:b/>
          <w:bCs/>
        </w:rPr>
        <w:t>CONCEPT STAGE</w:t>
      </w:r>
    </w:p>
    <w:p w:rsidR="00283684" w:rsidRDefault="00813913" w:rsidP="00FC1AA5">
      <w:pPr>
        <w:jc w:val="right"/>
      </w:pPr>
      <w:r>
        <w:t xml:space="preserve">December </w:t>
      </w:r>
      <w:r w:rsidR="003F0E45">
        <w:t>5</w:t>
      </w:r>
      <w:r w:rsidR="003D7E4D">
        <w:t>, 201</w:t>
      </w:r>
      <w:r>
        <w:t>4</w:t>
      </w:r>
    </w:p>
    <w:p w:rsidR="00C67E15" w:rsidRDefault="00483A63" w:rsidP="009C2331">
      <w:pPr>
        <w:jc w:val="right"/>
      </w:pPr>
      <w:r>
        <w:t xml:space="preserve">    </w:t>
      </w:r>
      <w:r w:rsidR="001D607D">
        <w:t xml:space="preserve">Report No.: </w:t>
      </w:r>
      <w:bookmarkStart w:id="0" w:name="ReportNo"/>
      <w:bookmarkEnd w:id="0"/>
      <w:r w:rsidR="009C2331">
        <w:t>AB7692</w:t>
      </w:r>
    </w:p>
    <w:p w:rsidR="00C67E15" w:rsidRPr="00AA5A30" w:rsidRDefault="00C67E15" w:rsidP="00FC1AA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4078F7" w:rsidP="0040300D">
            <w:bookmarkStart w:id="1" w:name="PROJECTNAME"/>
            <w:r>
              <w:t xml:space="preserve">First </w:t>
            </w:r>
            <w:r w:rsidR="000020AD">
              <w:t xml:space="preserve">Programmatic </w:t>
            </w:r>
            <w:bookmarkEnd w:id="1"/>
            <w:r>
              <w:t>Shared Prosperity</w:t>
            </w:r>
            <w:r w:rsidR="00F47C23">
              <w:t xml:space="preserve"> Development Policy Loan</w:t>
            </w:r>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0020AD" w:rsidP="00FC1AA5">
            <w:bookmarkStart w:id="2" w:name="REGION"/>
            <w:r>
              <w:t>LATIN AMERICA AND CARIBBEAN</w:t>
            </w:r>
            <w:bookmarkEnd w:id="2"/>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0020AD" w:rsidP="00FC1AA5">
            <w:bookmarkStart w:id="3" w:name="COUNTRY"/>
            <w:r>
              <w:t>Panama</w:t>
            </w:r>
            <w:bookmarkEnd w:id="3"/>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Pr="0040300D" w:rsidRDefault="000020AD" w:rsidP="0040300D">
            <w:pPr>
              <w:rPr>
                <w:highlight w:val="yellow"/>
              </w:rPr>
            </w:pPr>
            <w:bookmarkStart w:id="4" w:name="SECTOR"/>
            <w:r w:rsidRPr="0040300D">
              <w:t>General public administration sector (</w:t>
            </w:r>
            <w:r w:rsidR="0098344C" w:rsidRPr="0040300D">
              <w:t>8</w:t>
            </w:r>
            <w:r w:rsidRPr="0040300D">
              <w:t>0%);</w:t>
            </w:r>
            <w:r w:rsidR="00485A4A" w:rsidRPr="0040300D">
              <w:t xml:space="preserve"> </w:t>
            </w:r>
            <w:r w:rsidRPr="0040300D">
              <w:t>Public administration</w:t>
            </w:r>
            <w:r w:rsidR="00FC1AA5" w:rsidRPr="0040300D">
              <w:t xml:space="preserve"> </w:t>
            </w:r>
            <w:r w:rsidRPr="0040300D">
              <w:t>- Other social services (</w:t>
            </w:r>
            <w:r w:rsidR="0098344C" w:rsidRPr="0040300D">
              <w:t>2</w:t>
            </w:r>
            <w:r w:rsidRPr="0040300D">
              <w:t>0%)</w:t>
            </w:r>
            <w:bookmarkEnd w:id="4"/>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4078F7" w:rsidP="0040300D">
            <w:r>
              <w:t>P151804</w:t>
            </w:r>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0020AD" w:rsidP="00FC1AA5">
            <w:bookmarkStart w:id="5" w:name="INSTR_NAME"/>
            <w:r>
              <w:t>Development Policy Lending</w:t>
            </w:r>
            <w:bookmarkEnd w:id="5"/>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0020AD" w:rsidP="00FC1AA5">
            <w:bookmarkStart w:id="6" w:name="BORROWERNAME"/>
            <w:r>
              <w:t>REPUBLIC OF PANAMA</w:t>
            </w:r>
            <w:bookmarkEnd w:id="6"/>
          </w:p>
        </w:tc>
      </w:tr>
      <w:tr w:rsidR="001D607D" w:rsidRPr="009C2331" w:rsidTr="003E1C79">
        <w:trPr>
          <w:trHeight w:val="140"/>
        </w:trPr>
        <w:tc>
          <w:tcPr>
            <w:tcW w:w="3420" w:type="dxa"/>
            <w:tcBorders>
              <w:top w:val="single" w:sz="4" w:space="0" w:color="auto"/>
              <w:left w:val="single" w:sz="4" w:space="0" w:color="auto"/>
              <w:bottom w:val="nil"/>
              <w:right w:val="single" w:sz="4" w:space="0" w:color="auto"/>
            </w:tcBorders>
          </w:tcPr>
          <w:p w:rsidR="001D607D" w:rsidRDefault="001D607D" w:rsidP="003E1C79">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850AAF" w:rsidRPr="00DD3DDE" w:rsidRDefault="00850AAF" w:rsidP="00850AAF">
            <w:pPr>
              <w:rPr>
                <w:lang w:val="es-MX"/>
              </w:rPr>
            </w:pPr>
            <w:bookmarkStart w:id="7" w:name="IMPLEMENTINGAGENCY"/>
            <w:bookmarkEnd w:id="7"/>
            <w:proofErr w:type="spellStart"/>
            <w:r w:rsidRPr="00DD3DDE">
              <w:rPr>
                <w:lang w:val="es-MX"/>
              </w:rPr>
              <w:t>Ministry</w:t>
            </w:r>
            <w:proofErr w:type="spellEnd"/>
            <w:r w:rsidRPr="00DD3DDE">
              <w:rPr>
                <w:lang w:val="es-MX"/>
              </w:rPr>
              <w:t xml:space="preserve"> of </w:t>
            </w:r>
            <w:proofErr w:type="spellStart"/>
            <w:r w:rsidRPr="00DD3DDE">
              <w:rPr>
                <w:lang w:val="es-MX"/>
              </w:rPr>
              <w:t>Finance</w:t>
            </w:r>
            <w:proofErr w:type="spellEnd"/>
          </w:p>
          <w:p w:rsidR="00850AAF" w:rsidRPr="00016FD3" w:rsidRDefault="00850AAF" w:rsidP="00850AAF">
            <w:pPr>
              <w:rPr>
                <w:lang w:val="es-ES"/>
              </w:rPr>
            </w:pPr>
            <w:proofErr w:type="spellStart"/>
            <w:r w:rsidRPr="00016FD3">
              <w:rPr>
                <w:lang w:val="es-ES"/>
              </w:rPr>
              <w:t>Via</w:t>
            </w:r>
            <w:proofErr w:type="spellEnd"/>
            <w:r w:rsidRPr="00016FD3">
              <w:rPr>
                <w:lang w:val="es-ES"/>
              </w:rPr>
              <w:t xml:space="preserve"> España y Calle 52, Edificio </w:t>
            </w:r>
            <w:proofErr w:type="spellStart"/>
            <w:r w:rsidRPr="00016FD3">
              <w:rPr>
                <w:lang w:val="es-ES"/>
              </w:rPr>
              <w:t>Ogawa</w:t>
            </w:r>
            <w:proofErr w:type="spellEnd"/>
          </w:p>
          <w:p w:rsidR="00850AAF" w:rsidRPr="00DD3DDE" w:rsidRDefault="00850AAF" w:rsidP="00850AAF">
            <w:pPr>
              <w:rPr>
                <w:lang w:val="es-MX"/>
              </w:rPr>
            </w:pPr>
            <w:r w:rsidRPr="00DD3DDE">
              <w:rPr>
                <w:lang w:val="es-MX"/>
              </w:rPr>
              <w:t>4to Piso</w:t>
            </w:r>
          </w:p>
          <w:p w:rsidR="00850AAF" w:rsidRPr="00DD3DDE" w:rsidRDefault="00850AAF" w:rsidP="00850AAF">
            <w:pPr>
              <w:rPr>
                <w:lang w:val="es-MX"/>
              </w:rPr>
            </w:pPr>
            <w:proofErr w:type="spellStart"/>
            <w:r w:rsidRPr="00DD3DDE">
              <w:rPr>
                <w:lang w:val="es-MX"/>
              </w:rPr>
              <w:t>Panama</w:t>
            </w:r>
            <w:proofErr w:type="spellEnd"/>
          </w:p>
          <w:p w:rsidR="00850AAF" w:rsidRPr="00DD3DDE" w:rsidRDefault="00850AAF" w:rsidP="00850AAF">
            <w:pPr>
              <w:rPr>
                <w:lang w:val="es-MX"/>
              </w:rPr>
            </w:pPr>
            <w:r w:rsidRPr="00DD3DDE">
              <w:rPr>
                <w:lang w:val="es-MX"/>
              </w:rPr>
              <w:t>Tel: (507) 507-7202</w:t>
            </w:r>
            <w:r w:rsidRPr="00DD3DDE">
              <w:rPr>
                <w:lang w:val="es-MX"/>
              </w:rPr>
              <w:tab/>
              <w:t>Fax: (507) 507-7200</w:t>
            </w:r>
          </w:p>
          <w:p w:rsidR="001D607D" w:rsidRPr="002D186B" w:rsidRDefault="00850AAF" w:rsidP="00850AAF">
            <w:pPr>
              <w:rPr>
                <w:lang w:val="es-MX"/>
              </w:rPr>
            </w:pPr>
            <w:r w:rsidRPr="00DD3DDE">
              <w:rPr>
                <w:lang w:val="es-MX"/>
              </w:rPr>
              <w:t>amendez@mef.gob.pa; crpmp@bloomberg.net</w:t>
            </w:r>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Pr="0022573E" w:rsidRDefault="001D607D" w:rsidP="003E1C79">
            <w:pPr>
              <w:rPr>
                <w:b/>
                <w:bCs/>
              </w:rPr>
            </w:pPr>
            <w:r w:rsidRPr="0022573E">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Pr="0022573E" w:rsidRDefault="004078F7" w:rsidP="0040300D">
            <w:bookmarkStart w:id="8" w:name="DATEPREPARED"/>
            <w:r>
              <w:t>December</w:t>
            </w:r>
            <w:r w:rsidRPr="00563A77">
              <w:t xml:space="preserve"> </w:t>
            </w:r>
            <w:r>
              <w:t>8</w:t>
            </w:r>
            <w:r w:rsidR="000020AD" w:rsidRPr="00563A77">
              <w:t>, 201</w:t>
            </w:r>
            <w:bookmarkEnd w:id="8"/>
            <w:r>
              <w:t>4</w:t>
            </w:r>
            <w:r w:rsidR="008575C8" w:rsidRPr="0022573E">
              <w:t xml:space="preserve"> </w:t>
            </w:r>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4078F7" w:rsidP="0040300D">
            <w:bookmarkStart w:id="9" w:name="APPRAISALDATE"/>
            <w:r>
              <w:t>January 27</w:t>
            </w:r>
            <w:r w:rsidR="000020AD">
              <w:t>, 201</w:t>
            </w:r>
            <w:r>
              <w:t>5</w:t>
            </w:r>
            <w:bookmarkEnd w:id="9"/>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4078F7" w:rsidP="0040300D">
            <w:bookmarkStart w:id="10" w:name="BOARDAPPROVALDATE"/>
            <w:r>
              <w:t xml:space="preserve">March </w:t>
            </w:r>
            <w:r w:rsidR="00025FE8">
              <w:t>1</w:t>
            </w:r>
            <w:r>
              <w:t>2</w:t>
            </w:r>
            <w:r w:rsidR="000020AD">
              <w:t>, 201</w:t>
            </w:r>
            <w:r>
              <w:t>5</w:t>
            </w:r>
            <w:bookmarkEnd w:id="10"/>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563A77" w:rsidP="00FC1AA5">
            <w:pPr>
              <w:rPr>
                <w:i/>
                <w:u w:val="single"/>
              </w:rPr>
            </w:pPr>
            <w:r>
              <w:t>T</w:t>
            </w:r>
            <w:r w:rsidR="00483838">
              <w:t>BD</w:t>
            </w:r>
            <w:r w:rsidR="001D607D">
              <w:rPr>
                <w:i/>
                <w:u w:val="single"/>
              </w:rPr>
              <w:t xml:space="preserve"> </w:t>
            </w:r>
          </w:p>
        </w:tc>
      </w:tr>
    </w:tbl>
    <w:p w:rsidR="00671A99" w:rsidRDefault="00671A99" w:rsidP="00FC1AA5">
      <w:pPr>
        <w:jc w:val="both"/>
      </w:pPr>
    </w:p>
    <w:p w:rsidR="00671A99" w:rsidRPr="00671A99" w:rsidRDefault="00671A99" w:rsidP="00FC1AA5">
      <w:pPr>
        <w:numPr>
          <w:ilvl w:val="0"/>
          <w:numId w:val="24"/>
        </w:numPr>
        <w:jc w:val="both"/>
        <w:rPr>
          <w:b/>
          <w:i/>
        </w:rPr>
      </w:pPr>
      <w:r w:rsidRPr="00671A99">
        <w:rPr>
          <w:b/>
          <w:sz w:val="23"/>
          <w:szCs w:val="23"/>
        </w:rPr>
        <w:t xml:space="preserve">Key </w:t>
      </w:r>
      <w:r w:rsidR="00FC1AA5">
        <w:rPr>
          <w:b/>
          <w:sz w:val="23"/>
          <w:szCs w:val="23"/>
        </w:rPr>
        <w:t>D</w:t>
      </w:r>
      <w:r w:rsidRPr="00671A99">
        <w:rPr>
          <w:b/>
          <w:sz w:val="23"/>
          <w:szCs w:val="23"/>
        </w:rPr>
        <w:t xml:space="preserve">evelopment </w:t>
      </w:r>
      <w:r w:rsidR="00FC1AA5">
        <w:rPr>
          <w:b/>
          <w:sz w:val="23"/>
          <w:szCs w:val="23"/>
        </w:rPr>
        <w:t>I</w:t>
      </w:r>
      <w:r w:rsidRPr="00671A99">
        <w:rPr>
          <w:b/>
          <w:sz w:val="23"/>
          <w:szCs w:val="23"/>
        </w:rPr>
        <w:t xml:space="preserve">ssues and </w:t>
      </w:r>
      <w:r w:rsidR="00FC1AA5">
        <w:rPr>
          <w:b/>
          <w:sz w:val="23"/>
          <w:szCs w:val="23"/>
        </w:rPr>
        <w:t>R</w:t>
      </w:r>
      <w:r w:rsidRPr="004E0B73">
        <w:rPr>
          <w:b/>
          <w:sz w:val="23"/>
          <w:szCs w:val="23"/>
        </w:rPr>
        <w:t xml:space="preserve">ationale for Bank </w:t>
      </w:r>
      <w:r w:rsidR="00FC1AA5">
        <w:rPr>
          <w:b/>
          <w:sz w:val="23"/>
          <w:szCs w:val="23"/>
        </w:rPr>
        <w:t>I</w:t>
      </w:r>
      <w:r w:rsidRPr="004E0B73">
        <w:rPr>
          <w:b/>
          <w:sz w:val="23"/>
          <w:szCs w:val="23"/>
        </w:rPr>
        <w:t>nvolvement</w:t>
      </w:r>
      <w:r w:rsidRPr="00671A99">
        <w:rPr>
          <w:b/>
          <w:sz w:val="23"/>
          <w:szCs w:val="23"/>
        </w:rPr>
        <w:t xml:space="preserve"> </w:t>
      </w:r>
    </w:p>
    <w:p w:rsidR="00430E10" w:rsidRPr="00671A99" w:rsidRDefault="00430E10" w:rsidP="00FC1AA5">
      <w:pPr>
        <w:ind w:left="720"/>
        <w:jc w:val="both"/>
        <w:rPr>
          <w:i/>
        </w:rPr>
      </w:pPr>
    </w:p>
    <w:p w:rsidR="004078F7" w:rsidRPr="00A2287E" w:rsidRDefault="004078F7" w:rsidP="0040300D">
      <w:pPr>
        <w:pStyle w:val="ListParagraph"/>
        <w:ind w:left="0"/>
        <w:contextualSpacing w:val="0"/>
        <w:jc w:val="both"/>
      </w:pPr>
      <w:r w:rsidRPr="00CC573A">
        <w:rPr>
          <w:b/>
        </w:rPr>
        <w:t>Exceptional growth contributed to significant progress on poverty reduction and shared prosperity in recent years.</w:t>
      </w:r>
      <w:r w:rsidRPr="00CC573A">
        <w:rPr>
          <w:rStyle w:val="FootnoteReference"/>
          <w:b/>
        </w:rPr>
        <w:footnoteReference w:id="1"/>
      </w:r>
      <w:r w:rsidRPr="00CC573A">
        <w:t xml:space="preserve"> Panama’s real growth averaged 7.2 percent between 2001 and 2013, more than double </w:t>
      </w:r>
      <w:r w:rsidRPr="00A2287E">
        <w:t>Latin America and the Caribbean’s average, resulting in important achievements in poverty reduction. Between 2007 and 2012, poverty fell from 39.9 percent to 26.2 percent, and extreme poverty declined from 15.6 percent to 11.3 percent. During the same period, income growth of households in the bottom 40 percent of the population increased 8.2 percent compared to the average per capita income, which only rose by 6.6 percent, a clear indication that growth has been pro-poor. Panama is one of the best performers in the region in terms of broadening the benefits of growth to the bottom 40 percent, with only Bolivia seeing greater income growth among the poor.</w:t>
      </w:r>
    </w:p>
    <w:p w:rsidR="003E1C79" w:rsidRPr="00C71CD8" w:rsidRDefault="003E1C79" w:rsidP="00FC1AA5">
      <w:pPr>
        <w:jc w:val="both"/>
        <w:rPr>
          <w:bCs/>
        </w:rPr>
      </w:pPr>
    </w:p>
    <w:p w:rsidR="004078F7" w:rsidRPr="00A2287E" w:rsidRDefault="004078F7" w:rsidP="0040300D">
      <w:pPr>
        <w:pStyle w:val="CM15"/>
        <w:jc w:val="both"/>
      </w:pPr>
      <w:r w:rsidRPr="00A2287E">
        <w:rPr>
          <w:b/>
        </w:rPr>
        <w:t xml:space="preserve">Despite this remarkable progress, Panama still has an important work to do to build an inclusive society. </w:t>
      </w:r>
      <w:r w:rsidRPr="00A2287E">
        <w:t>The most immediate challenges Panama faces in this context include: (</w:t>
      </w:r>
      <w:proofErr w:type="spellStart"/>
      <w:r w:rsidRPr="00A2287E">
        <w:t>i</w:t>
      </w:r>
      <w:proofErr w:type="spellEnd"/>
      <w:r w:rsidRPr="00A2287E">
        <w:t xml:space="preserve">) a shared prosperity that has not reached everyone, in particular, the </w:t>
      </w:r>
      <w:r w:rsidR="0098344C" w:rsidRPr="00A2287E">
        <w:t xml:space="preserve">indigenous </w:t>
      </w:r>
      <w:r w:rsidR="0098344C">
        <w:t xml:space="preserve">with still high level of extreme poverty </w:t>
      </w:r>
      <w:r w:rsidR="0098344C" w:rsidRPr="00A2287E">
        <w:t>and</w:t>
      </w:r>
      <w:r w:rsidRPr="00A2287E">
        <w:t xml:space="preserve"> the youth who face difficulty entering the labor market</w:t>
      </w:r>
      <w:r w:rsidR="0098344C">
        <w:t xml:space="preserve"> due to lack of </w:t>
      </w:r>
      <w:r w:rsidR="00977A8D">
        <w:lastRenderedPageBreak/>
        <w:t xml:space="preserve">appropriate skills </w:t>
      </w:r>
      <w:r w:rsidR="0098344C">
        <w:t>and outdated curricula in the formal education system</w:t>
      </w:r>
      <w:r w:rsidRPr="00A2287E">
        <w:t>; and (ii) the coverage and quality of basic services, such as water, sanitation and electricity</w:t>
      </w:r>
      <w:r w:rsidR="0098344C">
        <w:t xml:space="preserve"> caused by inefficient institutional set-up that have fiscal consequences as well as sustainability of these sectors.  </w:t>
      </w:r>
    </w:p>
    <w:p w:rsidR="004078F7" w:rsidRPr="00A2287E" w:rsidRDefault="004078F7" w:rsidP="004078F7">
      <w:pPr>
        <w:pStyle w:val="CM15"/>
      </w:pPr>
    </w:p>
    <w:p w:rsidR="004078F7" w:rsidRPr="00A2287E" w:rsidRDefault="004078F7" w:rsidP="0040300D">
      <w:pPr>
        <w:pStyle w:val="CM15"/>
        <w:jc w:val="both"/>
      </w:pPr>
      <w:r w:rsidRPr="00105875">
        <w:rPr>
          <w:b/>
        </w:rPr>
        <w:t xml:space="preserve">The new Government has </w:t>
      </w:r>
      <w:r w:rsidRPr="00CC573A">
        <w:rPr>
          <w:b/>
        </w:rPr>
        <w:t xml:space="preserve">moved ahead with its reform plan </w:t>
      </w:r>
      <w:r w:rsidRPr="00A2287E">
        <w:rPr>
          <w:b/>
        </w:rPr>
        <w:t>to address these key development challenges.</w:t>
      </w:r>
      <w:r w:rsidRPr="00A2287E">
        <w:t xml:space="preserve"> In terms of the inclusion agenda, it has made indigenous development a priority by creating a Ministry of Indigenous Affairs and developing culturally appropriate social protection programs. Moreover, the Government has taken on a comprehensive set of policies to tackle high drop-out rates from secondary education and low educational quality issues. Among the actions undertaken, the Government has introduced a vocational training program, </w:t>
      </w:r>
      <w:proofErr w:type="spellStart"/>
      <w:r w:rsidRPr="00A2287E">
        <w:rPr>
          <w:i/>
        </w:rPr>
        <w:t>ProJoven</w:t>
      </w:r>
      <w:proofErr w:type="spellEnd"/>
      <w:r w:rsidRPr="00A2287E">
        <w:t>, is reforming the education system to foster bilingual education, and has updated the curricula of high school baccalaureates. In terms of service delivery, the Government has launched an ambitious basic sanitation program with the goal to provide potable water to 100 percent of Panamanians and leaving zero latrines. Government is addressing the institutional weaknesses in the energy sector and tackling the electricity subsidy scheme by adjusting tariffs to lower the fiscal cost. With respect to fiscal management, the Government is consolidating all accounts of public entities into a single treasury account, and is modernizing the fiscal management of disasters and of debt.</w:t>
      </w:r>
    </w:p>
    <w:p w:rsidR="004078F7" w:rsidRPr="00A2287E" w:rsidRDefault="004078F7" w:rsidP="004078F7">
      <w:pPr>
        <w:pStyle w:val="Default"/>
        <w:rPr>
          <w:color w:val="auto"/>
        </w:rPr>
      </w:pPr>
    </w:p>
    <w:p w:rsidR="003103C4" w:rsidRDefault="003103C4" w:rsidP="00FC1AA5">
      <w:pPr>
        <w:numPr>
          <w:ilvl w:val="0"/>
          <w:numId w:val="24"/>
        </w:numPr>
        <w:jc w:val="both"/>
        <w:rPr>
          <w:b/>
        </w:rPr>
      </w:pPr>
      <w:r w:rsidRPr="008D1059">
        <w:rPr>
          <w:b/>
        </w:rPr>
        <w:t>Proposed</w:t>
      </w:r>
      <w:r>
        <w:rPr>
          <w:b/>
        </w:rPr>
        <w:t xml:space="preserve"> O</w:t>
      </w:r>
      <w:r w:rsidRPr="008D1059">
        <w:rPr>
          <w:b/>
        </w:rPr>
        <w:t>bjective(s)</w:t>
      </w:r>
    </w:p>
    <w:p w:rsidR="00F47C23" w:rsidRDefault="00F47C23" w:rsidP="00FC1AA5">
      <w:pPr>
        <w:pStyle w:val="ListParagraph"/>
        <w:overflowPunct w:val="0"/>
        <w:autoSpaceDE w:val="0"/>
        <w:autoSpaceDN w:val="0"/>
        <w:adjustRightInd w:val="0"/>
        <w:ind w:left="0"/>
        <w:jc w:val="both"/>
        <w:textAlignment w:val="baseline"/>
        <w:rPr>
          <w:b/>
          <w:bCs/>
        </w:rPr>
      </w:pPr>
    </w:p>
    <w:p w:rsidR="00977A8D" w:rsidRPr="0040300D" w:rsidRDefault="00430E10" w:rsidP="0040300D">
      <w:pPr>
        <w:pStyle w:val="ListParagraph"/>
        <w:overflowPunct w:val="0"/>
        <w:autoSpaceDE w:val="0"/>
        <w:autoSpaceDN w:val="0"/>
        <w:adjustRightInd w:val="0"/>
        <w:snapToGrid w:val="0"/>
        <w:ind w:left="0"/>
        <w:contextualSpacing w:val="0"/>
        <w:jc w:val="both"/>
        <w:rPr>
          <w:b/>
          <w:bCs/>
        </w:rPr>
      </w:pPr>
      <w:r w:rsidRPr="00952178">
        <w:rPr>
          <w:b/>
          <w:bCs/>
        </w:rPr>
        <w:t xml:space="preserve">The Program Development Objective of the proposed DPL series is to support the </w:t>
      </w:r>
      <w:r w:rsidR="002D32C6">
        <w:rPr>
          <w:b/>
          <w:bCs/>
          <w:lang w:val="en-US"/>
        </w:rPr>
        <w:t>G</w:t>
      </w:r>
      <w:proofErr w:type="spellStart"/>
      <w:r w:rsidRPr="00952178">
        <w:rPr>
          <w:b/>
          <w:bCs/>
        </w:rPr>
        <w:t>overnment</w:t>
      </w:r>
      <w:r w:rsidR="00977A8D">
        <w:rPr>
          <w:b/>
          <w:bCs/>
          <w:lang w:val="en-US"/>
        </w:rPr>
        <w:t>’s</w:t>
      </w:r>
      <w:proofErr w:type="spellEnd"/>
      <w:r w:rsidRPr="00952178">
        <w:rPr>
          <w:b/>
          <w:bCs/>
        </w:rPr>
        <w:t xml:space="preserve"> </w:t>
      </w:r>
      <w:r w:rsidR="00977A8D" w:rsidRPr="0040300D">
        <w:rPr>
          <w:b/>
          <w:bCs/>
          <w:sz w:val="23"/>
          <w:szCs w:val="23"/>
        </w:rPr>
        <w:t>efforts to sustain progress on the reduction of extreme poverty and shared prosperit</w:t>
      </w:r>
      <w:r w:rsidR="00977A8D">
        <w:rPr>
          <w:b/>
          <w:bCs/>
          <w:sz w:val="23"/>
          <w:szCs w:val="23"/>
          <w:lang w:val="en-US"/>
        </w:rPr>
        <w:t xml:space="preserve">y. </w:t>
      </w:r>
      <w:r w:rsidR="00977A8D" w:rsidRPr="0040300D">
        <w:rPr>
          <w:lang w:val="en-US" w:eastAsia="en-US"/>
        </w:rPr>
        <w:t>The operation supports three key policy areas: (</w:t>
      </w:r>
      <w:proofErr w:type="spellStart"/>
      <w:r w:rsidR="00977A8D" w:rsidRPr="0040300D">
        <w:rPr>
          <w:lang w:val="en-US" w:eastAsia="en-US"/>
        </w:rPr>
        <w:t>i</w:t>
      </w:r>
      <w:proofErr w:type="spellEnd"/>
      <w:r w:rsidR="00977A8D" w:rsidRPr="0040300D">
        <w:rPr>
          <w:lang w:val="en-US" w:eastAsia="en-US"/>
        </w:rPr>
        <w:t xml:space="preserve">) inclusion and opportunities, (ii) service delivery, and (iii) fiscal management. </w:t>
      </w:r>
      <w:r w:rsidR="002D32C6" w:rsidRPr="0040300D">
        <w:rPr>
          <w:lang w:val="en-US" w:eastAsia="en-US"/>
        </w:rPr>
        <w:t>The DPL series is an important component of the Bank lending program to support Government designated programs under three objectives of the CP</w:t>
      </w:r>
      <w:r w:rsidR="00977A8D" w:rsidRPr="0040300D">
        <w:rPr>
          <w:lang w:val="en-US" w:eastAsia="en-US"/>
        </w:rPr>
        <w:t>F</w:t>
      </w:r>
      <w:r w:rsidR="002D32C6" w:rsidRPr="0040300D">
        <w:rPr>
          <w:lang w:val="en-US" w:eastAsia="en-US"/>
        </w:rPr>
        <w:t xml:space="preserve">: </w:t>
      </w:r>
      <w:r w:rsidR="00977A8D" w:rsidRPr="0040300D">
        <w:rPr>
          <w:lang w:val="en-US" w:eastAsia="en-US"/>
        </w:rPr>
        <w:t xml:space="preserve">ensuring </w:t>
      </w:r>
      <w:r w:rsidR="00977A8D" w:rsidRPr="0040300D">
        <w:t>the benefits of growth to reach poor and marginalized groups</w:t>
      </w:r>
      <w:r w:rsidR="00977A8D" w:rsidRPr="0040300D">
        <w:rPr>
          <w:lang w:val="en-US"/>
        </w:rPr>
        <w:t xml:space="preserve">, </w:t>
      </w:r>
      <w:r w:rsidR="00977A8D" w:rsidRPr="0040300D">
        <w:rPr>
          <w:iCs/>
        </w:rPr>
        <w:t>improving access to reliable services for the bottom 40 percent</w:t>
      </w:r>
      <w:r w:rsidR="00977A8D" w:rsidRPr="0040300D">
        <w:rPr>
          <w:lang w:val="en-US"/>
        </w:rPr>
        <w:t xml:space="preserve">, </w:t>
      </w:r>
      <w:r w:rsidR="00977A8D" w:rsidRPr="0040300D">
        <w:t>and increasing the efficiency and efficacy of public expenditure.</w:t>
      </w:r>
    </w:p>
    <w:p w:rsidR="00977A8D" w:rsidRDefault="00977A8D" w:rsidP="0040300D"/>
    <w:p w:rsidR="00A126FA" w:rsidRDefault="00A126FA" w:rsidP="00FC1AA5">
      <w:pPr>
        <w:numPr>
          <w:ilvl w:val="0"/>
          <w:numId w:val="24"/>
        </w:numPr>
        <w:jc w:val="both"/>
        <w:rPr>
          <w:b/>
        </w:rPr>
      </w:pPr>
      <w:r w:rsidRPr="005B0352">
        <w:rPr>
          <w:b/>
        </w:rPr>
        <w:t>Preliminary Description</w:t>
      </w:r>
    </w:p>
    <w:p w:rsidR="009C1402" w:rsidRDefault="009C1402" w:rsidP="00FC1AA5">
      <w:pPr>
        <w:ind w:left="720"/>
        <w:jc w:val="both"/>
        <w:rPr>
          <w:b/>
        </w:rPr>
      </w:pPr>
    </w:p>
    <w:p w:rsidR="006B6CE8" w:rsidRDefault="00977A8D" w:rsidP="0040300D">
      <w:pPr>
        <w:pStyle w:val="Default"/>
        <w:jc w:val="both"/>
        <w:rPr>
          <w:iCs/>
          <w:color w:val="auto"/>
        </w:rPr>
      </w:pPr>
      <w:r w:rsidRPr="00A2287E">
        <w:rPr>
          <w:b/>
          <w:color w:val="auto"/>
        </w:rPr>
        <w:t xml:space="preserve">The proposed DPL series supports the Government of Panama’s efforts to </w:t>
      </w:r>
      <w:r w:rsidR="006B6CE8">
        <w:rPr>
          <w:b/>
          <w:color w:val="auto"/>
        </w:rPr>
        <w:t xml:space="preserve">further reduce extreme poverty and increase prosperity by </w:t>
      </w:r>
      <w:r w:rsidR="006B6CE8">
        <w:rPr>
          <w:b/>
          <w:iCs/>
          <w:color w:val="auto"/>
        </w:rPr>
        <w:t>focusing</w:t>
      </w:r>
      <w:r w:rsidR="006B6CE8" w:rsidRPr="00A2287E">
        <w:rPr>
          <w:b/>
          <w:iCs/>
          <w:color w:val="auto"/>
        </w:rPr>
        <w:t xml:space="preserve"> on</w:t>
      </w:r>
      <w:r w:rsidR="006B6CE8">
        <w:rPr>
          <w:b/>
          <w:iCs/>
          <w:color w:val="auto"/>
        </w:rPr>
        <w:t xml:space="preserve">: 1) </w:t>
      </w:r>
      <w:r w:rsidR="006B6CE8" w:rsidRPr="00A2287E">
        <w:rPr>
          <w:b/>
          <w:iCs/>
          <w:color w:val="auto"/>
        </w:rPr>
        <w:t xml:space="preserve">inclusion and opportunities, </w:t>
      </w:r>
      <w:r w:rsidR="006B6CE8">
        <w:rPr>
          <w:b/>
          <w:iCs/>
          <w:color w:val="auto"/>
        </w:rPr>
        <w:t xml:space="preserve">2) </w:t>
      </w:r>
      <w:r w:rsidR="006B6CE8" w:rsidRPr="00A2287E">
        <w:rPr>
          <w:b/>
          <w:iCs/>
          <w:color w:val="auto"/>
        </w:rPr>
        <w:t xml:space="preserve">service delivery, </w:t>
      </w:r>
      <w:r w:rsidR="00FD0FDA">
        <w:rPr>
          <w:b/>
          <w:iCs/>
          <w:color w:val="auto"/>
        </w:rPr>
        <w:t xml:space="preserve">and </w:t>
      </w:r>
      <w:r w:rsidR="006B6CE8">
        <w:rPr>
          <w:b/>
          <w:iCs/>
          <w:color w:val="auto"/>
        </w:rPr>
        <w:t xml:space="preserve">3) </w:t>
      </w:r>
      <w:r w:rsidR="006B6CE8" w:rsidRPr="00A2287E">
        <w:rPr>
          <w:b/>
          <w:iCs/>
          <w:color w:val="auto"/>
        </w:rPr>
        <w:t>modern fiscal management.</w:t>
      </w:r>
      <w:r w:rsidR="006B6CE8" w:rsidRPr="00A2287E">
        <w:rPr>
          <w:iCs/>
          <w:color w:val="auto"/>
        </w:rPr>
        <w:t xml:space="preserve"> The Government’s reforms in the areas of education, energy, public institutions, water management and indigenous populations are fundamental as they address areas that have been identified as bottlenecks to sustainable economic growth and inclusion in Panama.</w:t>
      </w:r>
    </w:p>
    <w:p w:rsidR="006B6CE8" w:rsidRDefault="006B6CE8" w:rsidP="0040300D">
      <w:pPr>
        <w:pStyle w:val="Default"/>
        <w:jc w:val="both"/>
        <w:rPr>
          <w:iCs/>
          <w:color w:val="auto"/>
        </w:rPr>
      </w:pPr>
    </w:p>
    <w:p w:rsidR="006B6CE8" w:rsidRDefault="006B6CE8" w:rsidP="0040300D">
      <w:pPr>
        <w:pStyle w:val="Default"/>
        <w:jc w:val="both"/>
        <w:rPr>
          <w:b/>
          <w:color w:val="auto"/>
        </w:rPr>
      </w:pPr>
      <w:r w:rsidRPr="0040300D">
        <w:rPr>
          <w:b/>
          <w:iCs/>
          <w:color w:val="auto"/>
        </w:rPr>
        <w:t>The three components are the following:</w:t>
      </w:r>
      <w:r>
        <w:rPr>
          <w:iCs/>
          <w:color w:val="auto"/>
        </w:rPr>
        <w:t xml:space="preserve"> In</w:t>
      </w:r>
      <w:r w:rsidRPr="00A2287E">
        <w:rPr>
          <w:iCs/>
          <w:color w:val="auto"/>
        </w:rPr>
        <w:t xml:space="preserve"> the inclusion and opportunity pillar</w:t>
      </w:r>
      <w:r>
        <w:rPr>
          <w:iCs/>
          <w:color w:val="auto"/>
        </w:rPr>
        <w:t xml:space="preserve">, </w:t>
      </w:r>
      <w:r w:rsidRPr="00A2287E">
        <w:rPr>
          <w:iCs/>
          <w:color w:val="auto"/>
        </w:rPr>
        <w:t>the DPL series</w:t>
      </w:r>
      <w:r>
        <w:rPr>
          <w:iCs/>
          <w:color w:val="auto"/>
        </w:rPr>
        <w:t xml:space="preserve"> </w:t>
      </w:r>
      <w:r w:rsidRPr="00A2287E">
        <w:rPr>
          <w:iCs/>
          <w:color w:val="auto"/>
        </w:rPr>
        <w:t>supports the Government in a) tackling extreme poverty by giving priority to culturally appropriate development in indigenous areas; b) creating opportunities for youth through updating formal education and increasing incentives for secondary school graduation; and c) expanding the coverage and improving the targeting and quality of soci</w:t>
      </w:r>
      <w:r>
        <w:rPr>
          <w:iCs/>
          <w:color w:val="auto"/>
        </w:rPr>
        <w:t>al protection for the poor. This component</w:t>
      </w:r>
      <w:r w:rsidR="000E5F77">
        <w:rPr>
          <w:iCs/>
          <w:color w:val="auto"/>
        </w:rPr>
        <w:t xml:space="preserve"> is expected</w:t>
      </w:r>
      <w:r>
        <w:rPr>
          <w:iCs/>
          <w:color w:val="auto"/>
        </w:rPr>
        <w:t xml:space="preserve"> to create social and economic opportunities for Indigenous People, reduce drop-</w:t>
      </w:r>
      <w:r w:rsidR="000E5F77">
        <w:rPr>
          <w:iCs/>
          <w:color w:val="auto"/>
        </w:rPr>
        <w:t xml:space="preserve">out rates from secondary school, </w:t>
      </w:r>
      <w:r>
        <w:rPr>
          <w:iCs/>
          <w:color w:val="auto"/>
        </w:rPr>
        <w:t xml:space="preserve">increase youth employment in the formal labor </w:t>
      </w:r>
      <w:r w:rsidR="000E5F77">
        <w:rPr>
          <w:iCs/>
          <w:color w:val="auto"/>
        </w:rPr>
        <w:lastRenderedPageBreak/>
        <w:t>market and improve targeting and management of social programs.</w:t>
      </w:r>
      <w:r>
        <w:rPr>
          <w:iCs/>
          <w:color w:val="auto"/>
        </w:rPr>
        <w:t xml:space="preserve"> In the service delivery pillar, the DPL series</w:t>
      </w:r>
      <w:r w:rsidRPr="00A2287E">
        <w:rPr>
          <w:iCs/>
          <w:color w:val="auto"/>
        </w:rPr>
        <w:t xml:space="preserve"> supports service delivery reforms in the energy and water and sanitation sectors</w:t>
      </w:r>
      <w:r>
        <w:rPr>
          <w:iCs/>
          <w:color w:val="auto"/>
        </w:rPr>
        <w:t xml:space="preserve"> to expand coverage and ensure sustainability of these sectors</w:t>
      </w:r>
      <w:r w:rsidRPr="00A2287E">
        <w:rPr>
          <w:iCs/>
          <w:color w:val="auto"/>
        </w:rPr>
        <w:t xml:space="preserve">. </w:t>
      </w:r>
      <w:r w:rsidR="000E5F77">
        <w:rPr>
          <w:iCs/>
          <w:color w:val="auto"/>
        </w:rPr>
        <w:t xml:space="preserve">This component is expected to improve access to basic sanitation and provide more sustainable and reliable energy. </w:t>
      </w:r>
      <w:r w:rsidRPr="00A2287E">
        <w:rPr>
          <w:iCs/>
          <w:color w:val="auto"/>
        </w:rPr>
        <w:t xml:space="preserve">Finally, the third pillar of the DPL supports the modernization of fiscal management through a) updating the financial planning of Government resources, b) increasing Government’s ability to manage fiscal risks from disasters, and c) improving the efficiency of public debt management. </w:t>
      </w:r>
      <w:r w:rsidR="000E5F77">
        <w:rPr>
          <w:iCs/>
          <w:color w:val="auto"/>
        </w:rPr>
        <w:t xml:space="preserve">This component is expected to increase transparency of Government transactions, increase ability of the Government to manage contingent liabilities and increase liquidity of domestic bond markets. </w:t>
      </w:r>
    </w:p>
    <w:p w:rsidR="006B6CE8" w:rsidRDefault="006B6CE8" w:rsidP="0040300D">
      <w:pPr>
        <w:pStyle w:val="Default"/>
        <w:jc w:val="both"/>
        <w:rPr>
          <w:b/>
          <w:color w:val="auto"/>
        </w:rPr>
      </w:pPr>
    </w:p>
    <w:p w:rsidR="00AA5A30" w:rsidRDefault="00AA5A30" w:rsidP="00FC1AA5">
      <w:pPr>
        <w:numPr>
          <w:ilvl w:val="0"/>
          <w:numId w:val="24"/>
        </w:numPr>
        <w:jc w:val="both"/>
        <w:rPr>
          <w:b/>
        </w:rPr>
      </w:pPr>
      <w:r>
        <w:rPr>
          <w:b/>
        </w:rPr>
        <w:t>Poverty and Social Impacts and Environment Aspects</w:t>
      </w:r>
    </w:p>
    <w:p w:rsidR="00AA5A30" w:rsidRPr="00430E10" w:rsidRDefault="00AA5A30" w:rsidP="00FC1AA5">
      <w:pPr>
        <w:pStyle w:val="CM4"/>
        <w:ind w:left="720"/>
        <w:jc w:val="both"/>
        <w:rPr>
          <w:b/>
          <w:iCs/>
          <w:color w:val="00007F"/>
          <w:sz w:val="22"/>
          <w:szCs w:val="22"/>
        </w:rPr>
      </w:pPr>
    </w:p>
    <w:p w:rsidR="00430E10" w:rsidRPr="002D186B" w:rsidRDefault="00AA5A30" w:rsidP="00FC1AA5">
      <w:pPr>
        <w:pStyle w:val="CM4"/>
        <w:jc w:val="both"/>
        <w:rPr>
          <w:b/>
          <w:iCs/>
          <w:color w:val="000000"/>
        </w:rPr>
      </w:pPr>
      <w:r w:rsidRPr="002D186B">
        <w:rPr>
          <w:b/>
          <w:iCs/>
          <w:color w:val="000000"/>
        </w:rPr>
        <w:t xml:space="preserve">Poverty and Social Impacts </w:t>
      </w:r>
    </w:p>
    <w:p w:rsidR="00430E10" w:rsidRPr="00430E10" w:rsidRDefault="00430E10" w:rsidP="00FC1AA5">
      <w:pPr>
        <w:jc w:val="both"/>
      </w:pPr>
    </w:p>
    <w:p w:rsidR="000E5F77" w:rsidRPr="00105875" w:rsidRDefault="000E5F77" w:rsidP="0040300D">
      <w:pPr>
        <w:pStyle w:val="ListParagraph"/>
        <w:tabs>
          <w:tab w:val="left" w:pos="720"/>
        </w:tabs>
        <w:overflowPunct w:val="0"/>
        <w:autoSpaceDE w:val="0"/>
        <w:autoSpaceDN w:val="0"/>
        <w:adjustRightInd w:val="0"/>
        <w:ind w:left="0"/>
        <w:contextualSpacing w:val="0"/>
        <w:jc w:val="both"/>
        <w:textAlignment w:val="baseline"/>
        <w:rPr>
          <w:iCs/>
        </w:rPr>
      </w:pPr>
      <w:r w:rsidRPr="00105875">
        <w:rPr>
          <w:rFonts w:asciiTheme="majorBidi" w:hAnsiTheme="majorBidi" w:cstheme="majorBidi"/>
          <w:b/>
          <w:bCs/>
        </w:rPr>
        <w:t>Government actions supported in this DPL are expected to have positive poverty and social impacts</w:t>
      </w:r>
      <w:r w:rsidRPr="00105875">
        <w:rPr>
          <w:rFonts w:asciiTheme="majorBidi" w:hAnsiTheme="majorBidi" w:cstheme="majorBidi"/>
        </w:rPr>
        <w:t xml:space="preserve">. The analysis carried out on the potential impacts of the reforms supported under this operation suggests a positive or neutral direct impact on poverty and social development indicators. </w:t>
      </w:r>
    </w:p>
    <w:p w:rsidR="00485A4A" w:rsidRPr="008575C8" w:rsidRDefault="00485A4A" w:rsidP="00FC1AA5">
      <w:pPr>
        <w:pStyle w:val="ListParagraph"/>
        <w:ind w:left="0"/>
        <w:jc w:val="both"/>
      </w:pPr>
    </w:p>
    <w:p w:rsidR="000E5F77" w:rsidRDefault="000E5F77" w:rsidP="0040300D">
      <w:pPr>
        <w:pStyle w:val="ListParagraph"/>
        <w:tabs>
          <w:tab w:val="left" w:pos="720"/>
        </w:tabs>
        <w:overflowPunct w:val="0"/>
        <w:autoSpaceDE w:val="0"/>
        <w:autoSpaceDN w:val="0"/>
        <w:adjustRightInd w:val="0"/>
        <w:ind w:left="0"/>
        <w:contextualSpacing w:val="0"/>
        <w:jc w:val="both"/>
        <w:textAlignment w:val="baseline"/>
        <w:rPr>
          <w:rFonts w:asciiTheme="majorBidi" w:hAnsiTheme="majorBidi" w:cstheme="majorBidi"/>
          <w:lang w:val="en-US"/>
        </w:rPr>
      </w:pPr>
      <w:r w:rsidRPr="00105875">
        <w:rPr>
          <w:rFonts w:asciiTheme="majorBidi" w:hAnsiTheme="majorBidi" w:cstheme="majorBidi"/>
          <w:b/>
        </w:rPr>
        <w:t>Measures related to social protection programs are expected to generate positive impacts for the poor and extreme poor.</w:t>
      </w:r>
      <w:r w:rsidRPr="00105875">
        <w:rPr>
          <w:rFonts w:asciiTheme="majorBidi" w:hAnsiTheme="majorBidi" w:cstheme="majorBidi"/>
        </w:rPr>
        <w:t xml:space="preserve"> </w:t>
      </w:r>
      <w:r w:rsidR="00C63386">
        <w:rPr>
          <w:rFonts w:asciiTheme="majorBidi" w:hAnsiTheme="majorBidi" w:cstheme="majorBidi"/>
          <w:lang w:val="en-US"/>
        </w:rPr>
        <w:t>M</w:t>
      </w:r>
      <w:proofErr w:type="spellStart"/>
      <w:r w:rsidRPr="00105875">
        <w:rPr>
          <w:rFonts w:asciiTheme="majorBidi" w:hAnsiTheme="majorBidi" w:cstheme="majorBidi"/>
        </w:rPr>
        <w:t>easures</w:t>
      </w:r>
      <w:proofErr w:type="spellEnd"/>
      <w:r w:rsidRPr="00105875">
        <w:rPr>
          <w:rFonts w:asciiTheme="majorBidi" w:hAnsiTheme="majorBidi" w:cstheme="majorBidi"/>
        </w:rPr>
        <w:t xml:space="preserve"> to enhance inclusion and economic opportunities for the Indigenous Peoples</w:t>
      </w:r>
      <w:r w:rsidR="00C63386">
        <w:rPr>
          <w:rFonts w:asciiTheme="majorBidi" w:hAnsiTheme="majorBidi" w:cstheme="majorBidi"/>
          <w:lang w:val="en-US"/>
        </w:rPr>
        <w:t xml:space="preserve"> are expected to have positive impacts</w:t>
      </w:r>
      <w:r w:rsidRPr="00105875">
        <w:rPr>
          <w:rFonts w:asciiTheme="majorBidi" w:hAnsiTheme="majorBidi" w:cstheme="majorBidi"/>
        </w:rPr>
        <w:t xml:space="preserve"> given the extreme concentration of poverty in indigenous areas. Measures to enhance opportunities for youth are expected to have both direct and indirect impacts on poverty among this group. The direct effect comes from the increase of </w:t>
      </w:r>
      <w:proofErr w:type="spellStart"/>
      <w:r w:rsidRPr="00105875">
        <w:rPr>
          <w:rFonts w:asciiTheme="majorBidi" w:hAnsiTheme="majorBidi" w:cstheme="majorBidi"/>
          <w:i/>
        </w:rPr>
        <w:t>Beca</w:t>
      </w:r>
      <w:proofErr w:type="spellEnd"/>
      <w:r w:rsidRPr="00105875">
        <w:rPr>
          <w:rFonts w:asciiTheme="majorBidi" w:hAnsiTheme="majorBidi" w:cstheme="majorBidi"/>
          <w:i/>
        </w:rPr>
        <w:t xml:space="preserve"> Universal</w:t>
      </w:r>
      <w:r w:rsidRPr="00105875">
        <w:rPr>
          <w:rFonts w:asciiTheme="majorBidi" w:hAnsiTheme="majorBidi" w:cstheme="majorBidi"/>
        </w:rPr>
        <w:t xml:space="preserve"> transfers while the indirect effects come from decreased drop-out rates, especially in secondary school, and through higher employment rates and wages for the beneficiaries of the </w:t>
      </w:r>
      <w:proofErr w:type="spellStart"/>
      <w:r w:rsidRPr="00105875">
        <w:rPr>
          <w:rFonts w:asciiTheme="majorBidi" w:hAnsiTheme="majorBidi" w:cstheme="majorBidi"/>
          <w:i/>
        </w:rPr>
        <w:t>ProJoven</w:t>
      </w:r>
      <w:proofErr w:type="spellEnd"/>
      <w:r w:rsidRPr="00105875">
        <w:rPr>
          <w:rFonts w:asciiTheme="majorBidi" w:hAnsiTheme="majorBidi" w:cstheme="majorBidi"/>
        </w:rPr>
        <w:t xml:space="preserve"> program. </w:t>
      </w:r>
    </w:p>
    <w:p w:rsidR="000E5F77" w:rsidRDefault="000E5F77" w:rsidP="0040300D">
      <w:pPr>
        <w:pStyle w:val="ListParagraph"/>
        <w:tabs>
          <w:tab w:val="left" w:pos="720"/>
        </w:tabs>
        <w:overflowPunct w:val="0"/>
        <w:autoSpaceDE w:val="0"/>
        <w:autoSpaceDN w:val="0"/>
        <w:adjustRightInd w:val="0"/>
        <w:ind w:left="0"/>
        <w:contextualSpacing w:val="0"/>
        <w:jc w:val="both"/>
        <w:textAlignment w:val="baseline"/>
        <w:rPr>
          <w:rFonts w:asciiTheme="majorBidi" w:hAnsiTheme="majorBidi" w:cstheme="majorBidi"/>
          <w:lang w:val="en-US"/>
        </w:rPr>
      </w:pPr>
    </w:p>
    <w:p w:rsidR="000E5F77" w:rsidRPr="00105875" w:rsidRDefault="000E5F77" w:rsidP="0040300D">
      <w:pPr>
        <w:pStyle w:val="ListParagraph"/>
        <w:tabs>
          <w:tab w:val="left" w:pos="720"/>
        </w:tabs>
        <w:overflowPunct w:val="0"/>
        <w:autoSpaceDE w:val="0"/>
        <w:autoSpaceDN w:val="0"/>
        <w:adjustRightInd w:val="0"/>
        <w:ind w:left="0"/>
        <w:contextualSpacing w:val="0"/>
        <w:jc w:val="both"/>
        <w:textAlignment w:val="baseline"/>
        <w:rPr>
          <w:iCs/>
        </w:rPr>
      </w:pPr>
      <w:r w:rsidRPr="00105875">
        <w:rPr>
          <w:rFonts w:asciiTheme="majorBidi" w:hAnsiTheme="majorBidi" w:cstheme="majorBidi"/>
          <w:b/>
          <w:bCs/>
        </w:rPr>
        <w:t>The extension of the non-contributory pension scheme is expected to significantly</w:t>
      </w:r>
      <w:r>
        <w:rPr>
          <w:rFonts w:asciiTheme="majorBidi" w:hAnsiTheme="majorBidi" w:cstheme="majorBidi"/>
          <w:b/>
          <w:bCs/>
        </w:rPr>
        <w:t xml:space="preserve"> reduce</w:t>
      </w:r>
      <w:r w:rsidRPr="00105875">
        <w:rPr>
          <w:rFonts w:asciiTheme="majorBidi" w:hAnsiTheme="majorBidi" w:cstheme="majorBidi"/>
          <w:b/>
          <w:bCs/>
        </w:rPr>
        <w:t xml:space="preserve"> poverty among the elderly, and poverty in the general population slightly.</w:t>
      </w:r>
      <w:r w:rsidRPr="00105875">
        <w:rPr>
          <w:rFonts w:asciiTheme="majorBidi" w:hAnsiTheme="majorBidi" w:cstheme="majorBidi"/>
        </w:rPr>
        <w:t xml:space="preserve"> As the table below shows, the extension of the pension program from </w:t>
      </w:r>
      <w:r w:rsidRPr="00105875">
        <w:rPr>
          <w:rFonts w:asciiTheme="majorBidi" w:hAnsiTheme="majorBidi" w:cstheme="majorBidi"/>
          <w:i/>
        </w:rPr>
        <w:t>100 a los 70</w:t>
      </w:r>
      <w:r w:rsidRPr="00105875">
        <w:rPr>
          <w:rFonts w:asciiTheme="majorBidi" w:hAnsiTheme="majorBidi" w:cstheme="majorBidi"/>
        </w:rPr>
        <w:t xml:space="preserve"> to </w:t>
      </w:r>
      <w:r w:rsidRPr="00105875">
        <w:rPr>
          <w:rFonts w:asciiTheme="majorBidi" w:hAnsiTheme="majorBidi" w:cstheme="majorBidi"/>
          <w:i/>
        </w:rPr>
        <w:t>120 a los 65</w:t>
      </w:r>
      <w:r w:rsidRPr="00105875">
        <w:rPr>
          <w:rFonts w:asciiTheme="majorBidi" w:hAnsiTheme="majorBidi" w:cstheme="majorBidi"/>
        </w:rPr>
        <w:t xml:space="preserve"> would reduce poverty rates among the population of age 65 and above from 13.87 percent to 7.38 percent, and poverty rates among the general population from 25.91 percent to 24.64 percent. Rates of extreme poverty would be reduced in a similar way. </w:t>
      </w:r>
    </w:p>
    <w:p w:rsidR="000E5F77" w:rsidRPr="0040300D" w:rsidRDefault="000E5F77" w:rsidP="0040300D">
      <w:pPr>
        <w:pStyle w:val="ListParagraph"/>
        <w:tabs>
          <w:tab w:val="left" w:pos="720"/>
        </w:tabs>
        <w:overflowPunct w:val="0"/>
        <w:autoSpaceDE w:val="0"/>
        <w:autoSpaceDN w:val="0"/>
        <w:adjustRightInd w:val="0"/>
        <w:ind w:left="0"/>
        <w:contextualSpacing w:val="0"/>
        <w:jc w:val="both"/>
        <w:textAlignment w:val="baseline"/>
        <w:rPr>
          <w:iCs/>
        </w:rPr>
      </w:pPr>
    </w:p>
    <w:p w:rsidR="000E5F77" w:rsidRPr="00105875" w:rsidRDefault="000E5F77" w:rsidP="0040300D">
      <w:pPr>
        <w:pStyle w:val="ListParagraph"/>
        <w:ind w:left="0"/>
        <w:contextualSpacing w:val="0"/>
        <w:jc w:val="both"/>
        <w:rPr>
          <w:rFonts w:asciiTheme="majorBidi" w:hAnsiTheme="majorBidi" w:cstheme="majorBidi"/>
          <w:bCs/>
        </w:rPr>
      </w:pPr>
      <w:r w:rsidRPr="00105875">
        <w:rPr>
          <w:rFonts w:asciiTheme="majorBidi" w:hAnsiTheme="majorBidi" w:cstheme="majorBidi"/>
          <w:b/>
          <w:bCs/>
        </w:rPr>
        <w:t xml:space="preserve">The supported action on improving access to basic water and sanitation services is expected to reduce poverty and improve living conditions of the beneficiaries. </w:t>
      </w:r>
      <w:r w:rsidRPr="00105875">
        <w:rPr>
          <w:rFonts w:asciiTheme="majorBidi" w:hAnsiTheme="majorBidi" w:cstheme="majorBidi"/>
          <w:bCs/>
        </w:rPr>
        <w:t>The basic sanitation plan “</w:t>
      </w:r>
      <w:r w:rsidRPr="00105875">
        <w:rPr>
          <w:rFonts w:asciiTheme="majorBidi" w:hAnsiTheme="majorBidi" w:cstheme="majorBidi"/>
          <w:bCs/>
          <w:i/>
        </w:rPr>
        <w:t>100/0</w:t>
      </w:r>
      <w:r w:rsidRPr="00105875">
        <w:rPr>
          <w:rFonts w:asciiTheme="majorBidi" w:hAnsiTheme="majorBidi" w:cstheme="majorBidi"/>
          <w:bCs/>
        </w:rPr>
        <w:t>” will provide basic WSS services to currently under-served poor households, which will lead to improved health outcomes and thus higher chance of accessing education and job opportunities. The monitoring of water qu</w:t>
      </w:r>
      <w:r>
        <w:rPr>
          <w:rFonts w:asciiTheme="majorBidi" w:hAnsiTheme="majorBidi" w:cstheme="majorBidi"/>
          <w:bCs/>
        </w:rPr>
        <w:t>ality through the SIASAR system</w:t>
      </w:r>
      <w:r>
        <w:rPr>
          <w:rFonts w:asciiTheme="majorBidi" w:hAnsiTheme="majorBidi" w:cstheme="majorBidi"/>
          <w:bCs/>
          <w:lang w:val="en-US"/>
        </w:rPr>
        <w:t>, the</w:t>
      </w:r>
      <w:r w:rsidRPr="00105875">
        <w:rPr>
          <w:rFonts w:asciiTheme="majorBidi" w:hAnsiTheme="majorBidi" w:cstheme="majorBidi"/>
          <w:bCs/>
        </w:rPr>
        <w:t xml:space="preserve"> modernization of IDAAN</w:t>
      </w:r>
      <w:r>
        <w:rPr>
          <w:rFonts w:asciiTheme="majorBidi" w:hAnsiTheme="majorBidi" w:cstheme="majorBidi"/>
          <w:bCs/>
          <w:lang w:val="en-US"/>
        </w:rPr>
        <w:t>,</w:t>
      </w:r>
      <w:r w:rsidRPr="00105875">
        <w:rPr>
          <w:rFonts w:asciiTheme="majorBidi" w:hAnsiTheme="majorBidi" w:cstheme="majorBidi"/>
          <w:bCs/>
        </w:rPr>
        <w:t xml:space="preserve"> and reforms in the ene</w:t>
      </w:r>
      <w:r>
        <w:rPr>
          <w:rFonts w:asciiTheme="majorBidi" w:hAnsiTheme="majorBidi" w:cstheme="majorBidi"/>
          <w:bCs/>
        </w:rPr>
        <w:t>rgy sector</w:t>
      </w:r>
      <w:r w:rsidRPr="00105875">
        <w:rPr>
          <w:rFonts w:asciiTheme="majorBidi" w:hAnsiTheme="majorBidi" w:cstheme="majorBidi"/>
          <w:bCs/>
        </w:rPr>
        <w:t xml:space="preserve"> are expected to enhance the cost-efficiency of service provision, ultimately benefiting the consumers. </w:t>
      </w:r>
    </w:p>
    <w:p w:rsidR="0022573E" w:rsidRDefault="0022573E" w:rsidP="00FC1AA5">
      <w:pPr>
        <w:pStyle w:val="ListParagraph"/>
        <w:overflowPunct w:val="0"/>
        <w:autoSpaceDE w:val="0"/>
        <w:autoSpaceDN w:val="0"/>
        <w:adjustRightInd w:val="0"/>
        <w:ind w:left="0"/>
        <w:jc w:val="both"/>
        <w:textAlignment w:val="baseline"/>
        <w:rPr>
          <w:bCs/>
        </w:rPr>
      </w:pPr>
    </w:p>
    <w:p w:rsidR="000E5F77" w:rsidRPr="00105875" w:rsidRDefault="000E5F77" w:rsidP="0040300D">
      <w:pPr>
        <w:pStyle w:val="ListParagraph"/>
        <w:ind w:left="0"/>
        <w:contextualSpacing w:val="0"/>
        <w:jc w:val="both"/>
      </w:pPr>
      <w:r w:rsidRPr="00105875">
        <w:rPr>
          <w:b/>
        </w:rPr>
        <w:t>Measures to modernize the Government are not expected to directly impact poverty or the distribution of incomes.</w:t>
      </w:r>
      <w:r w:rsidRPr="00105875">
        <w:t xml:space="preserve"> However, indirect effects could occur. For example, lower public debt, a more strategic response to fiscal risks from natural disasters, and a more efficient public </w:t>
      </w:r>
      <w:r w:rsidRPr="00105875">
        <w:lastRenderedPageBreak/>
        <w:t xml:space="preserve">financial management may free up resources for social development spending. In addition, increased government transparency could enhance the business environment and therefore generate more growth and employment. </w:t>
      </w:r>
    </w:p>
    <w:p w:rsidR="00485A4A" w:rsidRPr="007F57F2" w:rsidRDefault="00485A4A" w:rsidP="00FC1AA5">
      <w:pPr>
        <w:pStyle w:val="CM4"/>
        <w:jc w:val="both"/>
        <w:rPr>
          <w:b/>
          <w:iCs/>
          <w:color w:val="000000"/>
          <w:sz w:val="22"/>
          <w:szCs w:val="22"/>
        </w:rPr>
      </w:pPr>
    </w:p>
    <w:p w:rsidR="00AA5A30" w:rsidRPr="002D186B" w:rsidRDefault="00AA5A30" w:rsidP="00FC1AA5">
      <w:pPr>
        <w:pStyle w:val="CM4"/>
        <w:jc w:val="both"/>
        <w:rPr>
          <w:b/>
          <w:iCs/>
          <w:color w:val="000000"/>
        </w:rPr>
      </w:pPr>
      <w:r w:rsidRPr="002D186B">
        <w:rPr>
          <w:b/>
          <w:iCs/>
          <w:color w:val="000000"/>
        </w:rPr>
        <w:t xml:space="preserve">Environment Aspects </w:t>
      </w:r>
    </w:p>
    <w:p w:rsidR="00430E10" w:rsidRPr="00430E10" w:rsidRDefault="00430E10" w:rsidP="00FC1AA5">
      <w:pPr>
        <w:jc w:val="both"/>
      </w:pPr>
    </w:p>
    <w:p w:rsidR="000E5F77" w:rsidRPr="00105875" w:rsidRDefault="000E5F77" w:rsidP="0040300D">
      <w:pPr>
        <w:pStyle w:val="ListParagraph"/>
        <w:overflowPunct w:val="0"/>
        <w:autoSpaceDE w:val="0"/>
        <w:autoSpaceDN w:val="0"/>
        <w:adjustRightInd w:val="0"/>
        <w:snapToGrid w:val="0"/>
        <w:ind w:left="0"/>
        <w:contextualSpacing w:val="0"/>
        <w:jc w:val="both"/>
      </w:pPr>
      <w:r w:rsidRPr="00105875">
        <w:rPr>
          <w:b/>
        </w:rPr>
        <w:t>The measures supported under the proposed DPL are not lik</w:t>
      </w:r>
      <w:r w:rsidRPr="00CC573A">
        <w:rPr>
          <w:b/>
        </w:rPr>
        <w:t>ely to have significant effects on the environment, forests or other natural resources.</w:t>
      </w:r>
      <w:r w:rsidRPr="00CC573A">
        <w:t xml:space="preserve"> </w:t>
      </w:r>
      <w:r w:rsidRPr="00105875">
        <w:t xml:space="preserve">The first and third pillars, expanding social inclusion and modernizing fiscal management, have a primarily administrative nature, therefore, policy actions under these pillars are unlikely to either exacerbate environmental problems or contribute to their remediation. </w:t>
      </w:r>
      <w:proofErr w:type="spellStart"/>
      <w:r>
        <w:rPr>
          <w:lang w:val="en-US"/>
        </w:rPr>
        <w:t>T</w:t>
      </w:r>
      <w:r w:rsidRPr="00105875">
        <w:t>he</w:t>
      </w:r>
      <w:proofErr w:type="spellEnd"/>
      <w:r w:rsidRPr="00105875">
        <w:t xml:space="preserve"> </w:t>
      </w:r>
      <w:r>
        <w:rPr>
          <w:lang w:val="en-US"/>
        </w:rPr>
        <w:t>second</w:t>
      </w:r>
      <w:r w:rsidRPr="00105875">
        <w:t xml:space="preserve">pillar on service provision, the subcomponent on securing sustainable and reliable energy provision could have a positive environmental impact by reducing the use of polluting energy generation devises. Furthermore, giving proper incentives to lower consumption will result in less use of emergency stations that use the least efficient fuel generation devises. The subcomponent on improving access and efficiency of water and sanitation is likely to improve water sources and waste water management in small communities and in </w:t>
      </w:r>
      <w:proofErr w:type="spellStart"/>
      <w:r w:rsidRPr="00105875">
        <w:t>peri</w:t>
      </w:r>
      <w:proofErr w:type="spellEnd"/>
      <w:r w:rsidRPr="00105875">
        <w:t>-urban areas.</w:t>
      </w:r>
    </w:p>
    <w:p w:rsidR="002D32C6" w:rsidRDefault="002D32C6"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5886"/>
        <w:gridCol w:w="1556"/>
      </w:tblGrid>
      <w:tr w:rsidR="00A126FA" w:rsidTr="00DD3DDE">
        <w:trPr>
          <w:trHeight w:val="277"/>
        </w:trPr>
        <w:tc>
          <w:tcPr>
            <w:tcW w:w="5886" w:type="dxa"/>
          </w:tcPr>
          <w:p w:rsidR="00A126FA" w:rsidRDefault="00A126FA" w:rsidP="00A126FA">
            <w:r>
              <w:t>Source:</w:t>
            </w:r>
            <w:bookmarkStart w:id="11" w:name="FINANCINGTAB_PID"/>
            <w:bookmarkEnd w:id="11"/>
          </w:p>
        </w:tc>
        <w:tc>
          <w:tcPr>
            <w:tcW w:w="1556" w:type="dxa"/>
          </w:tcPr>
          <w:p w:rsidR="00A126FA" w:rsidRDefault="00A126FA" w:rsidP="00A126FA">
            <w:pPr>
              <w:tabs>
                <w:tab w:val="decimal" w:pos="252"/>
              </w:tabs>
              <w:jc w:val="center"/>
            </w:pPr>
            <w:r>
              <w:t>($m.)</w:t>
            </w:r>
          </w:p>
        </w:tc>
      </w:tr>
      <w:tr w:rsidR="000020AD" w:rsidTr="00DD3DDE">
        <w:trPr>
          <w:trHeight w:val="277"/>
        </w:trPr>
        <w:tc>
          <w:tcPr>
            <w:tcW w:w="5886" w:type="dxa"/>
          </w:tcPr>
          <w:p w:rsidR="000020AD" w:rsidRDefault="000020AD" w:rsidP="00A126FA">
            <w:pPr>
              <w:tabs>
                <w:tab w:val="right" w:pos="7200"/>
              </w:tabs>
            </w:pPr>
            <w:r>
              <w:t>Borrower</w:t>
            </w:r>
          </w:p>
        </w:tc>
        <w:tc>
          <w:tcPr>
            <w:tcW w:w="1556" w:type="dxa"/>
          </w:tcPr>
          <w:p w:rsidR="000020AD" w:rsidRDefault="000020AD" w:rsidP="00A126FA">
            <w:pPr>
              <w:tabs>
                <w:tab w:val="decimal" w:pos="252"/>
              </w:tabs>
              <w:jc w:val="center"/>
            </w:pPr>
            <w:r>
              <w:t>0</w:t>
            </w:r>
          </w:p>
        </w:tc>
      </w:tr>
      <w:tr w:rsidR="000020AD" w:rsidTr="00DD3DDE">
        <w:trPr>
          <w:trHeight w:val="277"/>
        </w:trPr>
        <w:tc>
          <w:tcPr>
            <w:tcW w:w="5886" w:type="dxa"/>
          </w:tcPr>
          <w:p w:rsidR="000020AD" w:rsidRDefault="000020AD" w:rsidP="00A126FA">
            <w:pPr>
              <w:tabs>
                <w:tab w:val="right" w:pos="7200"/>
              </w:tabs>
            </w:pPr>
            <w:r>
              <w:t>International Bank for Reconstruction and Development</w:t>
            </w:r>
          </w:p>
        </w:tc>
        <w:tc>
          <w:tcPr>
            <w:tcW w:w="1556" w:type="dxa"/>
          </w:tcPr>
          <w:p w:rsidR="000020AD" w:rsidRDefault="000E5F77" w:rsidP="00A126FA">
            <w:pPr>
              <w:tabs>
                <w:tab w:val="decimal" w:pos="252"/>
              </w:tabs>
              <w:jc w:val="center"/>
            </w:pPr>
            <w:r>
              <w:t>3</w:t>
            </w:r>
            <w:r w:rsidR="008575C8">
              <w:t>0</w:t>
            </w:r>
            <w:r w:rsidR="000020AD">
              <w:t>0</w:t>
            </w:r>
          </w:p>
        </w:tc>
      </w:tr>
      <w:tr w:rsidR="00A126FA" w:rsidTr="00DD3DDE">
        <w:trPr>
          <w:trHeight w:val="277"/>
        </w:trPr>
        <w:tc>
          <w:tcPr>
            <w:tcW w:w="5886" w:type="dxa"/>
          </w:tcPr>
          <w:p w:rsidR="00A126FA" w:rsidRDefault="00A126FA" w:rsidP="00A126FA">
            <w:pPr>
              <w:tabs>
                <w:tab w:val="right" w:pos="7200"/>
              </w:tabs>
            </w:pPr>
            <w:r>
              <w:t>Borrower/Recipient</w:t>
            </w:r>
          </w:p>
        </w:tc>
        <w:tc>
          <w:tcPr>
            <w:tcW w:w="1556" w:type="dxa"/>
          </w:tcPr>
          <w:p w:rsidR="00A126FA" w:rsidRDefault="00A126FA" w:rsidP="00A126FA">
            <w:pPr>
              <w:tabs>
                <w:tab w:val="decimal" w:pos="252"/>
              </w:tabs>
              <w:jc w:val="center"/>
            </w:pPr>
          </w:p>
        </w:tc>
      </w:tr>
      <w:tr w:rsidR="00A126FA" w:rsidTr="00DD3DDE">
        <w:trPr>
          <w:trHeight w:val="555"/>
        </w:trPr>
        <w:tc>
          <w:tcPr>
            <w:tcW w:w="5886" w:type="dxa"/>
          </w:tcPr>
          <w:p w:rsidR="00A126FA" w:rsidRDefault="00A126FA" w:rsidP="00A126FA">
            <w:pPr>
              <w:tabs>
                <w:tab w:val="right" w:pos="7200"/>
              </w:tabs>
            </w:pPr>
            <w:r>
              <w:t>IBRD</w:t>
            </w:r>
          </w:p>
          <w:p w:rsidR="00071B65" w:rsidRDefault="00071B65" w:rsidP="00A126FA">
            <w:pPr>
              <w:tabs>
                <w:tab w:val="right" w:pos="7200"/>
              </w:tabs>
            </w:pPr>
            <w:r>
              <w:t>Others (</w:t>
            </w:r>
            <w:r w:rsidR="00FC1AA5">
              <w:t>specify</w:t>
            </w:r>
            <w:r>
              <w:t>)</w:t>
            </w:r>
          </w:p>
        </w:tc>
        <w:tc>
          <w:tcPr>
            <w:tcW w:w="1556" w:type="dxa"/>
          </w:tcPr>
          <w:p w:rsidR="00A126FA" w:rsidRDefault="00A126FA" w:rsidP="00A126FA">
            <w:pPr>
              <w:tabs>
                <w:tab w:val="decimal" w:pos="252"/>
              </w:tabs>
              <w:jc w:val="center"/>
            </w:pPr>
          </w:p>
        </w:tc>
      </w:tr>
      <w:tr w:rsidR="00A126FA" w:rsidTr="00DD3DDE">
        <w:trPr>
          <w:trHeight w:val="264"/>
        </w:trPr>
        <w:tc>
          <w:tcPr>
            <w:tcW w:w="5886" w:type="dxa"/>
          </w:tcPr>
          <w:p w:rsidR="00A126FA" w:rsidRDefault="00A126FA" w:rsidP="0000143A">
            <w:pPr>
              <w:tabs>
                <w:tab w:val="right" w:pos="7200"/>
              </w:tabs>
            </w:pPr>
            <w:r>
              <w:t>Total</w:t>
            </w:r>
          </w:p>
        </w:tc>
        <w:tc>
          <w:tcPr>
            <w:tcW w:w="1556" w:type="dxa"/>
          </w:tcPr>
          <w:p w:rsidR="00A126FA" w:rsidRDefault="000E5F77" w:rsidP="00A126FA">
            <w:pPr>
              <w:tabs>
                <w:tab w:val="decimal" w:pos="252"/>
              </w:tabs>
              <w:jc w:val="center"/>
            </w:pPr>
            <w:r>
              <w:t>3</w:t>
            </w:r>
            <w:r w:rsidR="008575C8">
              <w:t>00</w:t>
            </w:r>
          </w:p>
        </w:tc>
      </w:tr>
    </w:tbl>
    <w:p w:rsidR="00F34B6F" w:rsidRDefault="00F34B6F" w:rsidP="00F34B6F">
      <w:pPr>
        <w:ind w:left="720"/>
        <w:rPr>
          <w:b/>
        </w:rPr>
      </w:pPr>
    </w:p>
    <w:p w:rsidR="00A126FA" w:rsidRDefault="00A126FA" w:rsidP="00A126FA">
      <w:pPr>
        <w:numPr>
          <w:ilvl w:val="0"/>
          <w:numId w:val="24"/>
        </w:numPr>
        <w:rPr>
          <w:b/>
        </w:rPr>
      </w:pPr>
      <w:r w:rsidRPr="00B14B1C">
        <w:rPr>
          <w:b/>
        </w:rPr>
        <w:t>Contact point</w:t>
      </w:r>
    </w:p>
    <w:p w:rsidR="00FC1AA5" w:rsidRPr="003E3D6A" w:rsidRDefault="00FC1AA5" w:rsidP="002D186B">
      <w:pPr>
        <w:ind w:left="720"/>
        <w:rPr>
          <w:b/>
        </w:rPr>
      </w:pPr>
    </w:p>
    <w:p w:rsidR="008F0B46" w:rsidRDefault="008F0B46" w:rsidP="008F0B46">
      <w:pPr>
        <w:pStyle w:val="ListParagraph"/>
        <w:ind w:left="0"/>
        <w:rPr>
          <w:b/>
          <w:lang w:val="en-US"/>
        </w:rPr>
      </w:pPr>
      <w:r w:rsidRPr="00225112">
        <w:rPr>
          <w:b/>
        </w:rPr>
        <w:t>World Bank</w:t>
      </w:r>
      <w:r w:rsidR="00F34B6F">
        <w:rPr>
          <w:b/>
        </w:rPr>
        <w:t xml:space="preserve"> </w:t>
      </w:r>
    </w:p>
    <w:p w:rsidR="00FC1AA5" w:rsidRPr="002D186B" w:rsidRDefault="00FC1AA5" w:rsidP="008F0B46">
      <w:pPr>
        <w:pStyle w:val="ListParagraph"/>
        <w:ind w:left="0"/>
        <w:rPr>
          <w:lang w:val="en-US"/>
        </w:rPr>
      </w:pPr>
    </w:p>
    <w:p w:rsidR="000020AD" w:rsidRPr="002D32C6" w:rsidRDefault="000020AD" w:rsidP="008F0B46">
      <w:pPr>
        <w:rPr>
          <w:lang w:val="de-DE"/>
        </w:rPr>
      </w:pPr>
      <w:bookmarkStart w:id="12" w:name="ContactInfo"/>
      <w:r w:rsidRPr="002D32C6">
        <w:rPr>
          <w:lang w:val="de-DE"/>
        </w:rPr>
        <w:t xml:space="preserve">Contact: </w:t>
      </w:r>
      <w:r w:rsidR="002D32C6" w:rsidRPr="002D32C6">
        <w:rPr>
          <w:lang w:val="de-DE"/>
        </w:rPr>
        <w:t>Friederike (</w:t>
      </w:r>
      <w:r w:rsidR="008575C8" w:rsidRPr="002D32C6">
        <w:rPr>
          <w:lang w:val="de-DE"/>
        </w:rPr>
        <w:t>Fritzi</w:t>
      </w:r>
      <w:r w:rsidR="002D32C6" w:rsidRPr="002D32C6">
        <w:rPr>
          <w:lang w:val="de-DE"/>
        </w:rPr>
        <w:t>) Koehler-G</w:t>
      </w:r>
      <w:r w:rsidR="008575C8" w:rsidRPr="002D32C6">
        <w:rPr>
          <w:lang w:val="de-DE"/>
        </w:rPr>
        <w:t>eib</w:t>
      </w:r>
    </w:p>
    <w:p w:rsidR="000020AD" w:rsidRDefault="000020AD" w:rsidP="008F0B46">
      <w:r>
        <w:t xml:space="preserve">Title: </w:t>
      </w:r>
      <w:r w:rsidR="00F441A7">
        <w:t xml:space="preserve">Senior </w:t>
      </w:r>
      <w:r>
        <w:t>Economist</w:t>
      </w:r>
    </w:p>
    <w:p w:rsidR="000020AD" w:rsidRDefault="008575C8" w:rsidP="008F0B46">
      <w:r>
        <w:t>Tel: (202) 4</w:t>
      </w:r>
      <w:r w:rsidR="00483A63">
        <w:t>58</w:t>
      </w:r>
      <w:r>
        <w:t>-1716</w:t>
      </w:r>
    </w:p>
    <w:p w:rsidR="000020AD" w:rsidRDefault="008575C8" w:rsidP="008F0B46">
      <w:r>
        <w:t>Fax: (202) 614-1716</w:t>
      </w:r>
    </w:p>
    <w:p w:rsidR="008F0B46" w:rsidRDefault="000020AD" w:rsidP="008F0B46">
      <w:pPr>
        <w:rPr>
          <w:rStyle w:val="Hyperlink"/>
        </w:rPr>
      </w:pPr>
      <w:r>
        <w:t xml:space="preserve">Email: </w:t>
      </w:r>
      <w:hyperlink r:id="rId9" w:history="1">
        <w:r w:rsidR="00483A63" w:rsidRPr="00DE0412">
          <w:rPr>
            <w:rStyle w:val="Hyperlink"/>
          </w:rPr>
          <w:t>fkoehler@worldbank.org</w:t>
        </w:r>
      </w:hyperlink>
      <w:bookmarkEnd w:id="12"/>
    </w:p>
    <w:p w:rsidR="00F441A7" w:rsidRDefault="00F441A7" w:rsidP="008F0B46"/>
    <w:p w:rsidR="00483A63" w:rsidRDefault="00483A63" w:rsidP="00483A63">
      <w:r>
        <w:t xml:space="preserve">Contact: </w:t>
      </w:r>
      <w:proofErr w:type="spellStart"/>
      <w:r w:rsidR="003D7E4D">
        <w:t>Rong</w:t>
      </w:r>
      <w:proofErr w:type="spellEnd"/>
      <w:r w:rsidR="003D7E4D">
        <w:t xml:space="preserve"> Qian</w:t>
      </w:r>
    </w:p>
    <w:p w:rsidR="00483A63" w:rsidRDefault="00483A63" w:rsidP="00483A63">
      <w:r>
        <w:t xml:space="preserve">Title: </w:t>
      </w:r>
      <w:r w:rsidR="003D7E4D">
        <w:t>Economist</w:t>
      </w:r>
    </w:p>
    <w:p w:rsidR="00483A63" w:rsidRDefault="00483A63" w:rsidP="00483A63">
      <w:r>
        <w:t>Tel: (202) 473-</w:t>
      </w:r>
      <w:r w:rsidR="003D7E4D">
        <w:t>1758</w:t>
      </w:r>
    </w:p>
    <w:p w:rsidR="00483A63" w:rsidRDefault="00483A63" w:rsidP="00483A63">
      <w:r>
        <w:t xml:space="preserve">Fax: (202) </w:t>
      </w:r>
      <w:r w:rsidR="003D7E4D">
        <w:t>522</w:t>
      </w:r>
      <w:r>
        <w:t>-</w:t>
      </w:r>
      <w:r w:rsidR="003D7E4D">
        <w:t>3134</w:t>
      </w:r>
    </w:p>
    <w:p w:rsidR="00483A63" w:rsidRDefault="00483A63" w:rsidP="008F0B46">
      <w:r>
        <w:t xml:space="preserve">Email: </w:t>
      </w:r>
      <w:hyperlink r:id="rId10" w:history="1">
        <w:r w:rsidR="00B64D76" w:rsidRPr="00D35F51">
          <w:rPr>
            <w:rStyle w:val="Hyperlink"/>
          </w:rPr>
          <w:t>rqian@worldbank.org</w:t>
        </w:r>
      </w:hyperlink>
    </w:p>
    <w:p w:rsidR="00483A63" w:rsidRDefault="00483A63" w:rsidP="008F0B46"/>
    <w:p w:rsidR="008F0B46" w:rsidRDefault="008F0B46" w:rsidP="009C2331">
      <w:pPr>
        <w:keepNext/>
        <w:rPr>
          <w:b/>
        </w:rPr>
      </w:pPr>
      <w:bookmarkStart w:id="13" w:name="_GoBack"/>
      <w:r w:rsidRPr="00225112">
        <w:rPr>
          <w:b/>
        </w:rPr>
        <w:lastRenderedPageBreak/>
        <w:t>Borrower</w:t>
      </w:r>
    </w:p>
    <w:p w:rsidR="00FC1AA5" w:rsidRPr="00225112" w:rsidRDefault="00FC1AA5" w:rsidP="009C2331">
      <w:pPr>
        <w:keepNext/>
        <w:rPr>
          <w:b/>
        </w:rPr>
      </w:pPr>
    </w:p>
    <w:p w:rsidR="008575C8" w:rsidRDefault="008575C8" w:rsidP="009C2331">
      <w:pPr>
        <w:keepNext/>
      </w:pPr>
      <w:r>
        <w:t>Ministry of Finance</w:t>
      </w:r>
    </w:p>
    <w:bookmarkEnd w:id="13"/>
    <w:p w:rsidR="008575C8" w:rsidRPr="00016FD3" w:rsidRDefault="008575C8" w:rsidP="008575C8">
      <w:pPr>
        <w:rPr>
          <w:lang w:val="es-ES"/>
        </w:rPr>
      </w:pPr>
      <w:proofErr w:type="spellStart"/>
      <w:r w:rsidRPr="00016FD3">
        <w:rPr>
          <w:lang w:val="es-ES"/>
        </w:rPr>
        <w:t>Via</w:t>
      </w:r>
      <w:proofErr w:type="spellEnd"/>
      <w:r w:rsidRPr="00016FD3">
        <w:rPr>
          <w:lang w:val="es-ES"/>
        </w:rPr>
        <w:t xml:space="preserve"> España y Calle 52, Edificio </w:t>
      </w:r>
      <w:proofErr w:type="spellStart"/>
      <w:r w:rsidRPr="00016FD3">
        <w:rPr>
          <w:lang w:val="es-ES"/>
        </w:rPr>
        <w:t>Ogawa</w:t>
      </w:r>
      <w:proofErr w:type="spellEnd"/>
    </w:p>
    <w:p w:rsidR="008575C8" w:rsidRPr="00DD3DDE" w:rsidRDefault="008575C8" w:rsidP="008575C8">
      <w:pPr>
        <w:rPr>
          <w:lang w:val="es-MX"/>
        </w:rPr>
      </w:pPr>
      <w:r w:rsidRPr="00DD3DDE">
        <w:rPr>
          <w:lang w:val="es-MX"/>
        </w:rPr>
        <w:t>4to Piso</w:t>
      </w:r>
    </w:p>
    <w:p w:rsidR="008575C8" w:rsidRPr="00DD3DDE" w:rsidRDefault="008575C8" w:rsidP="008575C8">
      <w:pPr>
        <w:rPr>
          <w:lang w:val="es-MX"/>
        </w:rPr>
      </w:pPr>
      <w:proofErr w:type="spellStart"/>
      <w:r w:rsidRPr="00DD3DDE">
        <w:rPr>
          <w:lang w:val="es-MX"/>
        </w:rPr>
        <w:t>Panama</w:t>
      </w:r>
      <w:proofErr w:type="spellEnd"/>
    </w:p>
    <w:p w:rsidR="008575C8" w:rsidRPr="00DD3DDE" w:rsidRDefault="008575C8" w:rsidP="008575C8">
      <w:pPr>
        <w:rPr>
          <w:lang w:val="es-MX"/>
        </w:rPr>
      </w:pPr>
      <w:r w:rsidRPr="00DD3DDE">
        <w:rPr>
          <w:lang w:val="es-MX"/>
        </w:rPr>
        <w:t>Tel: (507) 507-7202</w:t>
      </w:r>
      <w:r w:rsidRPr="00DD3DDE">
        <w:rPr>
          <w:lang w:val="es-MX"/>
        </w:rPr>
        <w:tab/>
        <w:t>Fax: (507) 507-7200</w:t>
      </w:r>
    </w:p>
    <w:p w:rsidR="008F0B46" w:rsidRPr="00DD3DDE" w:rsidRDefault="008575C8" w:rsidP="008575C8">
      <w:pPr>
        <w:rPr>
          <w:lang w:val="es-MX"/>
        </w:rPr>
      </w:pPr>
      <w:r w:rsidRPr="00DD3DDE">
        <w:rPr>
          <w:lang w:val="es-MX"/>
        </w:rPr>
        <w:t>amendez@mef.gob.pa; crpmp@bloomberg.net</w:t>
      </w:r>
      <w:r w:rsidR="008F0B46" w:rsidRPr="00DD3DDE">
        <w:rPr>
          <w:lang w:val="es-MX"/>
        </w:rPr>
        <w:tab/>
      </w:r>
    </w:p>
    <w:p w:rsidR="0059349F" w:rsidRPr="00DD3DDE" w:rsidRDefault="0059349F" w:rsidP="00A126FA">
      <w:pPr>
        <w:rPr>
          <w:lang w:val="es-MX"/>
        </w:rPr>
      </w:pPr>
    </w:p>
    <w:p w:rsidR="0059349F" w:rsidRDefault="0059349F" w:rsidP="0059349F">
      <w:pPr>
        <w:numPr>
          <w:ilvl w:val="0"/>
          <w:numId w:val="24"/>
        </w:numPr>
        <w:rPr>
          <w:b/>
        </w:rPr>
      </w:pPr>
      <w:r w:rsidRPr="0059349F">
        <w:rPr>
          <w:b/>
        </w:rPr>
        <w:t>For more information contact</w:t>
      </w:r>
    </w:p>
    <w:p w:rsidR="00FC1AA5" w:rsidRPr="0059349F" w:rsidRDefault="00FC1AA5" w:rsidP="002D186B">
      <w:pPr>
        <w:ind w:left="720"/>
        <w:rPr>
          <w:b/>
        </w:rPr>
      </w:pP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A30F2B" w:rsidRDefault="0059349F" w:rsidP="00A126FA">
      <w:r w:rsidRPr="00C82216">
        <w:t>Web: http://www.worldbank.org/infoshop</w:t>
      </w:r>
    </w:p>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F1" w:rsidRDefault="000277F1">
      <w:r>
        <w:separator/>
      </w:r>
    </w:p>
  </w:endnote>
  <w:endnote w:type="continuationSeparator" w:id="0">
    <w:p w:rsidR="000277F1" w:rsidRDefault="0002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F1" w:rsidRDefault="000277F1">
      <w:r>
        <w:separator/>
      </w:r>
    </w:p>
  </w:footnote>
  <w:footnote w:type="continuationSeparator" w:id="0">
    <w:p w:rsidR="000277F1" w:rsidRDefault="000277F1">
      <w:r>
        <w:continuationSeparator/>
      </w:r>
    </w:p>
  </w:footnote>
  <w:footnote w:id="1">
    <w:p w:rsidR="004078F7" w:rsidRDefault="004078F7" w:rsidP="004078F7">
      <w:pPr>
        <w:pStyle w:val="FootnoteText"/>
      </w:pPr>
      <w:r>
        <w:rPr>
          <w:rStyle w:val="FootnoteReference"/>
        </w:rPr>
        <w:footnoteRef/>
      </w:r>
      <w:r>
        <w:t xml:space="preserve"> Unless otherwise stated, the analysis uses national definitions of poverty and shared prosperity (both poverty lines and the income aggregate). The value of the national poverty line was US$7.9/day urban and US$5.8/day.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E3ED5"/>
    <w:multiLevelType w:val="hybridMultilevel"/>
    <w:tmpl w:val="295E6F70"/>
    <w:lvl w:ilvl="0" w:tplc="8EEEC58A">
      <w:start w:val="1"/>
      <w:numFmt w:val="decimal"/>
      <w:lvlText w:val="%1."/>
      <w:lvlJc w:val="left"/>
      <w:pPr>
        <w:ind w:left="0" w:firstLine="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9209C1"/>
    <w:multiLevelType w:val="hybridMultilevel"/>
    <w:tmpl w:val="26E0E8AE"/>
    <w:lvl w:ilvl="0" w:tplc="B6B4C00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42F43"/>
    <w:multiLevelType w:val="hybridMultilevel"/>
    <w:tmpl w:val="4E628D54"/>
    <w:lvl w:ilvl="0" w:tplc="679E9814">
      <w:start w:val="1"/>
      <w:numFmt w:val="decimal"/>
      <w:lvlText w:val="%1."/>
      <w:lvlJc w:val="left"/>
      <w:pPr>
        <w:ind w:left="45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nsid w:val="6AF15AAA"/>
    <w:multiLevelType w:val="hybridMultilevel"/>
    <w:tmpl w:val="0744FDD8"/>
    <w:lvl w:ilvl="0" w:tplc="2356EAEA">
      <w:start w:val="8"/>
      <w:numFmt w:val="decimal"/>
      <w:lvlText w:val="%1."/>
      <w:lvlJc w:val="left"/>
      <w:pPr>
        <w:ind w:left="0" w:firstLine="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6351D3"/>
    <w:multiLevelType w:val="hybridMultilevel"/>
    <w:tmpl w:val="814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7">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1C2266"/>
    <w:multiLevelType w:val="hybridMultilevel"/>
    <w:tmpl w:val="351E3A96"/>
    <w:lvl w:ilvl="0" w:tplc="DE6A12EE">
      <w:start w:val="75"/>
      <w:numFmt w:val="decimal"/>
      <w:lvlText w:val="%1."/>
      <w:lvlJc w:val="left"/>
      <w:pPr>
        <w:ind w:left="0" w:firstLine="0"/>
      </w:pPr>
      <w:rPr>
        <w:rFonts w:ascii="Times New Roman" w:hAnsi="Times New Roman" w:cs="Times New Roman" w:hint="default"/>
        <w:b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9"/>
  </w:num>
  <w:num w:numId="4">
    <w:abstractNumId w:val="1"/>
  </w:num>
  <w:num w:numId="5">
    <w:abstractNumId w:val="15"/>
  </w:num>
  <w:num w:numId="6">
    <w:abstractNumId w:val="0"/>
  </w:num>
  <w:num w:numId="7">
    <w:abstractNumId w:val="21"/>
  </w:num>
  <w:num w:numId="8">
    <w:abstractNumId w:val="7"/>
  </w:num>
  <w:num w:numId="9">
    <w:abstractNumId w:val="17"/>
  </w:num>
  <w:num w:numId="10">
    <w:abstractNumId w:val="2"/>
  </w:num>
  <w:num w:numId="11">
    <w:abstractNumId w:val="11"/>
  </w:num>
  <w:num w:numId="12">
    <w:abstractNumId w:val="16"/>
  </w:num>
  <w:num w:numId="13">
    <w:abstractNumId w:val="10"/>
  </w:num>
  <w:num w:numId="14">
    <w:abstractNumId w:val="26"/>
  </w:num>
  <w:num w:numId="15">
    <w:abstractNumId w:val="31"/>
  </w:num>
  <w:num w:numId="16">
    <w:abstractNumId w:val="8"/>
  </w:num>
  <w:num w:numId="17">
    <w:abstractNumId w:val="12"/>
  </w:num>
  <w:num w:numId="18">
    <w:abstractNumId w:val="28"/>
  </w:num>
  <w:num w:numId="19">
    <w:abstractNumId w:val="18"/>
  </w:num>
  <w:num w:numId="20">
    <w:abstractNumId w:val="3"/>
  </w:num>
  <w:num w:numId="21">
    <w:abstractNumId w:val="25"/>
  </w:num>
  <w:num w:numId="22">
    <w:abstractNumId w:val="19"/>
  </w:num>
  <w:num w:numId="23">
    <w:abstractNumId w:val="5"/>
  </w:num>
  <w:num w:numId="24">
    <w:abstractNumId w:val="27"/>
  </w:num>
  <w:num w:numId="25">
    <w:abstractNumId w:val="20"/>
  </w:num>
  <w:num w:numId="26">
    <w:abstractNumId w:val="4"/>
  </w:num>
  <w:num w:numId="27">
    <w:abstractNumId w:val="30"/>
  </w:num>
  <w:num w:numId="28">
    <w:abstractNumId w:val="24"/>
  </w:num>
  <w:num w:numId="29">
    <w:abstractNumId w:val="9"/>
  </w:num>
  <w:num w:numId="30">
    <w:abstractNumId w:val="23"/>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143A"/>
    <w:rsid w:val="000020AD"/>
    <w:rsid w:val="00007917"/>
    <w:rsid w:val="00016FD3"/>
    <w:rsid w:val="00025FE8"/>
    <w:rsid w:val="000277F1"/>
    <w:rsid w:val="00030402"/>
    <w:rsid w:val="0006201F"/>
    <w:rsid w:val="00065660"/>
    <w:rsid w:val="00071B65"/>
    <w:rsid w:val="000736A2"/>
    <w:rsid w:val="00086692"/>
    <w:rsid w:val="000D2D1B"/>
    <w:rsid w:val="000D5AD3"/>
    <w:rsid w:val="000E2F0E"/>
    <w:rsid w:val="000E5F77"/>
    <w:rsid w:val="00101C42"/>
    <w:rsid w:val="001527BE"/>
    <w:rsid w:val="00155829"/>
    <w:rsid w:val="00171E5D"/>
    <w:rsid w:val="00182A0D"/>
    <w:rsid w:val="001936A8"/>
    <w:rsid w:val="001A4469"/>
    <w:rsid w:val="001B30D2"/>
    <w:rsid w:val="001C34D9"/>
    <w:rsid w:val="001C7353"/>
    <w:rsid w:val="001D607D"/>
    <w:rsid w:val="001E638A"/>
    <w:rsid w:val="001F4DD3"/>
    <w:rsid w:val="001F5AB5"/>
    <w:rsid w:val="001F6C07"/>
    <w:rsid w:val="0022573E"/>
    <w:rsid w:val="002428DC"/>
    <w:rsid w:val="00247F6D"/>
    <w:rsid w:val="00271AA6"/>
    <w:rsid w:val="00283684"/>
    <w:rsid w:val="002909BE"/>
    <w:rsid w:val="002D186B"/>
    <w:rsid w:val="002D32C6"/>
    <w:rsid w:val="002E2699"/>
    <w:rsid w:val="003103C4"/>
    <w:rsid w:val="00335C23"/>
    <w:rsid w:val="00337CE7"/>
    <w:rsid w:val="003642DA"/>
    <w:rsid w:val="003723D9"/>
    <w:rsid w:val="00373BDA"/>
    <w:rsid w:val="00383CBB"/>
    <w:rsid w:val="00383D2A"/>
    <w:rsid w:val="0038497F"/>
    <w:rsid w:val="003A3D82"/>
    <w:rsid w:val="003B3DB4"/>
    <w:rsid w:val="003D7E4D"/>
    <w:rsid w:val="003E1C79"/>
    <w:rsid w:val="003E3E86"/>
    <w:rsid w:val="003E7361"/>
    <w:rsid w:val="003F02CA"/>
    <w:rsid w:val="003F0E45"/>
    <w:rsid w:val="003F7D15"/>
    <w:rsid w:val="0040300D"/>
    <w:rsid w:val="004078F7"/>
    <w:rsid w:val="00430E10"/>
    <w:rsid w:val="00483838"/>
    <w:rsid w:val="00483A63"/>
    <w:rsid w:val="00485A4A"/>
    <w:rsid w:val="0048606E"/>
    <w:rsid w:val="004C6525"/>
    <w:rsid w:val="004D6196"/>
    <w:rsid w:val="004E0B73"/>
    <w:rsid w:val="004F0F64"/>
    <w:rsid w:val="005035BF"/>
    <w:rsid w:val="005112CD"/>
    <w:rsid w:val="005250B1"/>
    <w:rsid w:val="00563A77"/>
    <w:rsid w:val="00571B25"/>
    <w:rsid w:val="00573F0D"/>
    <w:rsid w:val="00577870"/>
    <w:rsid w:val="00586A53"/>
    <w:rsid w:val="0059349F"/>
    <w:rsid w:val="00597BC3"/>
    <w:rsid w:val="006061FA"/>
    <w:rsid w:val="00613BF6"/>
    <w:rsid w:val="006718FC"/>
    <w:rsid w:val="00671A99"/>
    <w:rsid w:val="00674243"/>
    <w:rsid w:val="0067697E"/>
    <w:rsid w:val="00676D87"/>
    <w:rsid w:val="00690F9A"/>
    <w:rsid w:val="006B6CE8"/>
    <w:rsid w:val="006C5D18"/>
    <w:rsid w:val="006F3FC6"/>
    <w:rsid w:val="00701460"/>
    <w:rsid w:val="007150F6"/>
    <w:rsid w:val="00731BC4"/>
    <w:rsid w:val="007349D3"/>
    <w:rsid w:val="00781F0A"/>
    <w:rsid w:val="007863D3"/>
    <w:rsid w:val="00787B7C"/>
    <w:rsid w:val="00793D7D"/>
    <w:rsid w:val="00796F58"/>
    <w:rsid w:val="007A03D9"/>
    <w:rsid w:val="007B7DB3"/>
    <w:rsid w:val="007F373C"/>
    <w:rsid w:val="007F57F2"/>
    <w:rsid w:val="00813913"/>
    <w:rsid w:val="008451FE"/>
    <w:rsid w:val="00850AAF"/>
    <w:rsid w:val="008575C8"/>
    <w:rsid w:val="008A1C0D"/>
    <w:rsid w:val="008A218D"/>
    <w:rsid w:val="008A2F72"/>
    <w:rsid w:val="008C4314"/>
    <w:rsid w:val="008F0B46"/>
    <w:rsid w:val="00914E33"/>
    <w:rsid w:val="00915DAE"/>
    <w:rsid w:val="00921E31"/>
    <w:rsid w:val="00923AC9"/>
    <w:rsid w:val="009471B0"/>
    <w:rsid w:val="00952178"/>
    <w:rsid w:val="00955E10"/>
    <w:rsid w:val="009612DC"/>
    <w:rsid w:val="00963593"/>
    <w:rsid w:val="00977A8D"/>
    <w:rsid w:val="009811EF"/>
    <w:rsid w:val="0098344C"/>
    <w:rsid w:val="00996EEB"/>
    <w:rsid w:val="009B1BF2"/>
    <w:rsid w:val="009B3E4C"/>
    <w:rsid w:val="009B6060"/>
    <w:rsid w:val="009C1402"/>
    <w:rsid w:val="009C2331"/>
    <w:rsid w:val="009D669B"/>
    <w:rsid w:val="009E2027"/>
    <w:rsid w:val="009E6BE9"/>
    <w:rsid w:val="009F5E4D"/>
    <w:rsid w:val="00A05BC0"/>
    <w:rsid w:val="00A126FA"/>
    <w:rsid w:val="00A25C56"/>
    <w:rsid w:val="00AA5A30"/>
    <w:rsid w:val="00AB0F65"/>
    <w:rsid w:val="00B107A6"/>
    <w:rsid w:val="00B17C5F"/>
    <w:rsid w:val="00B434C3"/>
    <w:rsid w:val="00B624FB"/>
    <w:rsid w:val="00B64D76"/>
    <w:rsid w:val="00B677C4"/>
    <w:rsid w:val="00B956D8"/>
    <w:rsid w:val="00BA5CF2"/>
    <w:rsid w:val="00C070C8"/>
    <w:rsid w:val="00C62890"/>
    <w:rsid w:val="00C63386"/>
    <w:rsid w:val="00C63E52"/>
    <w:rsid w:val="00C67E15"/>
    <w:rsid w:val="00C96CBF"/>
    <w:rsid w:val="00CE261D"/>
    <w:rsid w:val="00D048B3"/>
    <w:rsid w:val="00D2365D"/>
    <w:rsid w:val="00D46679"/>
    <w:rsid w:val="00D545E4"/>
    <w:rsid w:val="00D632D5"/>
    <w:rsid w:val="00DB03DC"/>
    <w:rsid w:val="00DD3DDE"/>
    <w:rsid w:val="00DE739D"/>
    <w:rsid w:val="00E278E0"/>
    <w:rsid w:val="00E528E0"/>
    <w:rsid w:val="00E74295"/>
    <w:rsid w:val="00E954F3"/>
    <w:rsid w:val="00E97A83"/>
    <w:rsid w:val="00EB71DC"/>
    <w:rsid w:val="00EC042A"/>
    <w:rsid w:val="00EC6083"/>
    <w:rsid w:val="00EC6A3D"/>
    <w:rsid w:val="00EE24CF"/>
    <w:rsid w:val="00EF1B41"/>
    <w:rsid w:val="00F035E1"/>
    <w:rsid w:val="00F0622C"/>
    <w:rsid w:val="00F34A55"/>
    <w:rsid w:val="00F34B6F"/>
    <w:rsid w:val="00F41703"/>
    <w:rsid w:val="00F441A7"/>
    <w:rsid w:val="00F47C23"/>
    <w:rsid w:val="00F7168A"/>
    <w:rsid w:val="00FC1AA5"/>
    <w:rsid w:val="00FD0FDA"/>
    <w:rsid w:val="00FF23C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lang w:val="en-US" w:eastAsia="en-US"/>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uiPriority w:val="99"/>
    <w:rsid w:val="00731BC4"/>
    <w:rPr>
      <w:sz w:val="16"/>
      <w:szCs w:val="16"/>
    </w:rPr>
  </w:style>
  <w:style w:type="paragraph" w:styleId="CommentText">
    <w:name w:val="annotation text"/>
    <w:basedOn w:val="Normal"/>
    <w:link w:val="CommentTextChar"/>
    <w:uiPriority w:val="99"/>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Ref,de nota al pie,16 Point,Superscript 6 Point,ftref,Ref. de nota al pie.,referencia nota al pie,Footnote Reference Number,Fußnotenzeichen DISS,Footnote Reference1,Footnote Reference_LVL6,Footnote Reference_LVL61,Знак сноски-FN"/>
    <w:uiPriority w:val="99"/>
    <w:rsid w:val="00731BC4"/>
    <w:rPr>
      <w:vertAlign w:val="superscript"/>
    </w:rPr>
  </w:style>
  <w:style w:type="paragraph" w:styleId="FootnoteText">
    <w:name w:val="footnote text"/>
    <w:aliases w:val="FOOTNOTES,fn,single space,footnote text,Texto nota pie Car Car,Texto nota pie Car Car Car,Texto nota pie Car,Footnote Text Char Char Char Char,Footnote Text Char Char Char,fn Car,footnote text Car,Footnotes Car,Footnote ak Car Car"/>
    <w:basedOn w:val="Normal"/>
    <w:link w:val="FootnoteTextChar"/>
    <w:uiPriority w:val="99"/>
    <w:qFormat/>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1703"/>
    <w:rPr>
      <w:color w:val="0000FF"/>
      <w:u w:val="single"/>
    </w:rPr>
  </w:style>
  <w:style w:type="character" w:customStyle="1" w:styleId="FootnoteTextChar">
    <w:name w:val="Footnote Text Char"/>
    <w:aliases w:val="FOOTNOTES Char,fn Char,single space Char,footnote text Char,Texto nota pie Car Car Char,Texto nota pie Car Car Car Char,Texto nota pie Car Char,Footnote Text Char Char Char Char Char,Footnote Text Char Char Char Char1,fn Car Char"/>
    <w:link w:val="FootnoteText"/>
    <w:uiPriority w:val="99"/>
    <w:rsid w:val="00F41703"/>
    <w:rPr>
      <w:lang w:val="en-US" w:eastAsia="en-US" w:bidi="ar-SA"/>
    </w:rPr>
  </w:style>
  <w:style w:type="character" w:styleId="FollowedHyperlink">
    <w:name w:val="FollowedHyperlink"/>
    <w:rsid w:val="001527BE"/>
    <w:rPr>
      <w:color w:val="800080"/>
      <w:u w:val="single"/>
    </w:rPr>
  </w:style>
  <w:style w:type="paragraph" w:styleId="ListParagraph">
    <w:name w:val="List Paragraph"/>
    <w:aliases w:val="List Bullet Mary"/>
    <w:basedOn w:val="Normal"/>
    <w:link w:val="ListParagraphChar"/>
    <w:uiPriority w:val="34"/>
    <w:qFormat/>
    <w:rsid w:val="00FF23CF"/>
    <w:pPr>
      <w:ind w:left="720"/>
      <w:contextualSpacing/>
    </w:pPr>
    <w:rPr>
      <w:lang w:val="x-none" w:eastAsia="x-none"/>
    </w:rPr>
  </w:style>
  <w:style w:type="paragraph" w:customStyle="1" w:styleId="CM3">
    <w:name w:val="CM3"/>
    <w:basedOn w:val="Normal"/>
    <w:next w:val="Normal"/>
    <w:uiPriority w:val="99"/>
    <w:rsid w:val="00671A99"/>
    <w:pPr>
      <w:widowControl w:val="0"/>
      <w:autoSpaceDE w:val="0"/>
      <w:autoSpaceDN w:val="0"/>
      <w:adjustRightInd w:val="0"/>
    </w:pPr>
  </w:style>
  <w:style w:type="paragraph" w:customStyle="1" w:styleId="CM1">
    <w:name w:val="CM1"/>
    <w:basedOn w:val="Normal"/>
    <w:next w:val="Normal"/>
    <w:uiPriority w:val="99"/>
    <w:rsid w:val="00671A99"/>
    <w:pPr>
      <w:widowControl w:val="0"/>
      <w:autoSpaceDE w:val="0"/>
      <w:autoSpaceDN w:val="0"/>
      <w:adjustRightInd w:val="0"/>
      <w:spacing w:line="253" w:lineRule="atLeast"/>
    </w:pPr>
  </w:style>
  <w:style w:type="paragraph" w:customStyle="1" w:styleId="CM4">
    <w:name w:val="CM4"/>
    <w:basedOn w:val="Normal"/>
    <w:next w:val="Normal"/>
    <w:uiPriority w:val="99"/>
    <w:rsid w:val="00AA5A30"/>
    <w:pPr>
      <w:widowControl w:val="0"/>
      <w:autoSpaceDE w:val="0"/>
      <w:autoSpaceDN w:val="0"/>
      <w:adjustRightInd w:val="0"/>
    </w:pPr>
  </w:style>
  <w:style w:type="character" w:customStyle="1" w:styleId="CommentTextChar">
    <w:name w:val="Comment Text Char"/>
    <w:basedOn w:val="DefaultParagraphFont"/>
    <w:link w:val="CommentText"/>
    <w:uiPriority w:val="99"/>
    <w:rsid w:val="00485A4A"/>
  </w:style>
  <w:style w:type="character" w:customStyle="1" w:styleId="ListParagraphChar">
    <w:name w:val="List Paragraph Char"/>
    <w:aliases w:val="List Bullet Mary Char"/>
    <w:link w:val="ListParagraph"/>
    <w:uiPriority w:val="34"/>
    <w:rsid w:val="00485A4A"/>
    <w:rPr>
      <w:sz w:val="24"/>
      <w:szCs w:val="24"/>
    </w:rPr>
  </w:style>
  <w:style w:type="paragraph" w:styleId="NormalWeb">
    <w:name w:val="Normal (Web)"/>
    <w:basedOn w:val="Normal"/>
    <w:rsid w:val="005112CD"/>
  </w:style>
  <w:style w:type="paragraph" w:styleId="Header">
    <w:name w:val="header"/>
    <w:basedOn w:val="Normal"/>
    <w:link w:val="HeaderChar"/>
    <w:rsid w:val="00F47C23"/>
    <w:pPr>
      <w:tabs>
        <w:tab w:val="center" w:pos="4680"/>
        <w:tab w:val="right" w:pos="9360"/>
      </w:tabs>
    </w:pPr>
    <w:rPr>
      <w:lang w:val="x-none" w:eastAsia="x-none"/>
    </w:rPr>
  </w:style>
  <w:style w:type="character" w:customStyle="1" w:styleId="HeaderChar">
    <w:name w:val="Header Char"/>
    <w:link w:val="Header"/>
    <w:rsid w:val="00F47C23"/>
    <w:rPr>
      <w:sz w:val="24"/>
      <w:szCs w:val="24"/>
    </w:rPr>
  </w:style>
  <w:style w:type="paragraph" w:styleId="Footer">
    <w:name w:val="footer"/>
    <w:basedOn w:val="Normal"/>
    <w:link w:val="FooterChar"/>
    <w:rsid w:val="00F47C23"/>
    <w:pPr>
      <w:tabs>
        <w:tab w:val="center" w:pos="4680"/>
        <w:tab w:val="right" w:pos="9360"/>
      </w:tabs>
    </w:pPr>
    <w:rPr>
      <w:lang w:val="x-none" w:eastAsia="x-none"/>
    </w:rPr>
  </w:style>
  <w:style w:type="character" w:customStyle="1" w:styleId="FooterChar">
    <w:name w:val="Footer Char"/>
    <w:link w:val="Footer"/>
    <w:rsid w:val="00F47C23"/>
    <w:rPr>
      <w:sz w:val="24"/>
      <w:szCs w:val="24"/>
    </w:rPr>
  </w:style>
  <w:style w:type="paragraph" w:customStyle="1" w:styleId="ColorfulList-Accent11">
    <w:name w:val="Colorful List - Accent 11"/>
    <w:basedOn w:val="Normal"/>
    <w:link w:val="ColorfulList-Accent1Char"/>
    <w:uiPriority w:val="34"/>
    <w:qFormat/>
    <w:rsid w:val="003D7E4D"/>
    <w:pPr>
      <w:overflowPunct w:val="0"/>
      <w:autoSpaceDE w:val="0"/>
      <w:autoSpaceDN w:val="0"/>
      <w:adjustRightInd w:val="0"/>
      <w:ind w:left="720"/>
      <w:contextualSpacing/>
      <w:textAlignment w:val="baseline"/>
    </w:pPr>
    <w:rPr>
      <w:szCs w:val="20"/>
      <w:lang w:val="x-none" w:eastAsia="x-none"/>
    </w:rPr>
  </w:style>
  <w:style w:type="character" w:customStyle="1" w:styleId="ColorfulList-Accent1Char">
    <w:name w:val="Colorful List - Accent 1 Char"/>
    <w:link w:val="ColorfulList-Accent11"/>
    <w:uiPriority w:val="34"/>
    <w:rsid w:val="003D7E4D"/>
    <w:rPr>
      <w:sz w:val="24"/>
    </w:rPr>
  </w:style>
  <w:style w:type="paragraph" w:customStyle="1" w:styleId="Default">
    <w:name w:val="Default"/>
    <w:rsid w:val="004078F7"/>
    <w:pPr>
      <w:widowControl w:val="0"/>
      <w:autoSpaceDE w:val="0"/>
      <w:autoSpaceDN w:val="0"/>
      <w:adjustRightInd w:val="0"/>
    </w:pPr>
    <w:rPr>
      <w:color w:val="000000"/>
      <w:sz w:val="24"/>
      <w:szCs w:val="24"/>
      <w:lang w:val="en-US" w:eastAsia="en-US"/>
    </w:rPr>
  </w:style>
  <w:style w:type="paragraph" w:customStyle="1" w:styleId="CM15">
    <w:name w:val="CM15"/>
    <w:basedOn w:val="Default"/>
    <w:next w:val="Default"/>
    <w:uiPriority w:val="99"/>
    <w:rsid w:val="004078F7"/>
    <w:rPr>
      <w:color w:val="auto"/>
    </w:rPr>
  </w:style>
  <w:style w:type="table" w:customStyle="1" w:styleId="LightShading-Accent11">
    <w:name w:val="Light Shading - Accent 11"/>
    <w:basedOn w:val="TableNormal"/>
    <w:next w:val="LightShading-Accent1"/>
    <w:uiPriority w:val="60"/>
    <w:rsid w:val="004078F7"/>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4078F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lang w:val="en-US" w:eastAsia="en-US"/>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uiPriority w:val="99"/>
    <w:rsid w:val="00731BC4"/>
    <w:rPr>
      <w:sz w:val="16"/>
      <w:szCs w:val="16"/>
    </w:rPr>
  </w:style>
  <w:style w:type="paragraph" w:styleId="CommentText">
    <w:name w:val="annotation text"/>
    <w:basedOn w:val="Normal"/>
    <w:link w:val="CommentTextChar"/>
    <w:uiPriority w:val="99"/>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Ref,de nota al pie,16 Point,Superscript 6 Point,ftref,Ref. de nota al pie.,referencia nota al pie,Footnote Reference Number,Fußnotenzeichen DISS,Footnote Reference1,Footnote Reference_LVL6,Footnote Reference_LVL61,Знак сноски-FN"/>
    <w:uiPriority w:val="99"/>
    <w:rsid w:val="00731BC4"/>
    <w:rPr>
      <w:vertAlign w:val="superscript"/>
    </w:rPr>
  </w:style>
  <w:style w:type="paragraph" w:styleId="FootnoteText">
    <w:name w:val="footnote text"/>
    <w:aliases w:val="FOOTNOTES,fn,single space,footnote text,Texto nota pie Car Car,Texto nota pie Car Car Car,Texto nota pie Car,Footnote Text Char Char Char Char,Footnote Text Char Char Char,fn Car,footnote text Car,Footnotes Car,Footnote ak Car Car"/>
    <w:basedOn w:val="Normal"/>
    <w:link w:val="FootnoteTextChar"/>
    <w:uiPriority w:val="99"/>
    <w:qFormat/>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1703"/>
    <w:rPr>
      <w:color w:val="0000FF"/>
      <w:u w:val="single"/>
    </w:rPr>
  </w:style>
  <w:style w:type="character" w:customStyle="1" w:styleId="FootnoteTextChar">
    <w:name w:val="Footnote Text Char"/>
    <w:aliases w:val="FOOTNOTES Char,fn Char,single space Char,footnote text Char,Texto nota pie Car Car Char,Texto nota pie Car Car Car Char,Texto nota pie Car Char,Footnote Text Char Char Char Char Char,Footnote Text Char Char Char Char1,fn Car Char"/>
    <w:link w:val="FootnoteText"/>
    <w:uiPriority w:val="99"/>
    <w:rsid w:val="00F41703"/>
    <w:rPr>
      <w:lang w:val="en-US" w:eastAsia="en-US" w:bidi="ar-SA"/>
    </w:rPr>
  </w:style>
  <w:style w:type="character" w:styleId="FollowedHyperlink">
    <w:name w:val="FollowedHyperlink"/>
    <w:rsid w:val="001527BE"/>
    <w:rPr>
      <w:color w:val="800080"/>
      <w:u w:val="single"/>
    </w:rPr>
  </w:style>
  <w:style w:type="paragraph" w:styleId="ListParagraph">
    <w:name w:val="List Paragraph"/>
    <w:aliases w:val="List Bullet Mary"/>
    <w:basedOn w:val="Normal"/>
    <w:link w:val="ListParagraphChar"/>
    <w:uiPriority w:val="34"/>
    <w:qFormat/>
    <w:rsid w:val="00FF23CF"/>
    <w:pPr>
      <w:ind w:left="720"/>
      <w:contextualSpacing/>
    </w:pPr>
    <w:rPr>
      <w:lang w:val="x-none" w:eastAsia="x-none"/>
    </w:rPr>
  </w:style>
  <w:style w:type="paragraph" w:customStyle="1" w:styleId="CM3">
    <w:name w:val="CM3"/>
    <w:basedOn w:val="Normal"/>
    <w:next w:val="Normal"/>
    <w:uiPriority w:val="99"/>
    <w:rsid w:val="00671A99"/>
    <w:pPr>
      <w:widowControl w:val="0"/>
      <w:autoSpaceDE w:val="0"/>
      <w:autoSpaceDN w:val="0"/>
      <w:adjustRightInd w:val="0"/>
    </w:pPr>
  </w:style>
  <w:style w:type="paragraph" w:customStyle="1" w:styleId="CM1">
    <w:name w:val="CM1"/>
    <w:basedOn w:val="Normal"/>
    <w:next w:val="Normal"/>
    <w:uiPriority w:val="99"/>
    <w:rsid w:val="00671A99"/>
    <w:pPr>
      <w:widowControl w:val="0"/>
      <w:autoSpaceDE w:val="0"/>
      <w:autoSpaceDN w:val="0"/>
      <w:adjustRightInd w:val="0"/>
      <w:spacing w:line="253" w:lineRule="atLeast"/>
    </w:pPr>
  </w:style>
  <w:style w:type="paragraph" w:customStyle="1" w:styleId="CM4">
    <w:name w:val="CM4"/>
    <w:basedOn w:val="Normal"/>
    <w:next w:val="Normal"/>
    <w:uiPriority w:val="99"/>
    <w:rsid w:val="00AA5A30"/>
    <w:pPr>
      <w:widowControl w:val="0"/>
      <w:autoSpaceDE w:val="0"/>
      <w:autoSpaceDN w:val="0"/>
      <w:adjustRightInd w:val="0"/>
    </w:pPr>
  </w:style>
  <w:style w:type="character" w:customStyle="1" w:styleId="CommentTextChar">
    <w:name w:val="Comment Text Char"/>
    <w:basedOn w:val="DefaultParagraphFont"/>
    <w:link w:val="CommentText"/>
    <w:uiPriority w:val="99"/>
    <w:rsid w:val="00485A4A"/>
  </w:style>
  <w:style w:type="character" w:customStyle="1" w:styleId="ListParagraphChar">
    <w:name w:val="List Paragraph Char"/>
    <w:aliases w:val="List Bullet Mary Char"/>
    <w:link w:val="ListParagraph"/>
    <w:uiPriority w:val="34"/>
    <w:rsid w:val="00485A4A"/>
    <w:rPr>
      <w:sz w:val="24"/>
      <w:szCs w:val="24"/>
    </w:rPr>
  </w:style>
  <w:style w:type="paragraph" w:styleId="NormalWeb">
    <w:name w:val="Normal (Web)"/>
    <w:basedOn w:val="Normal"/>
    <w:rsid w:val="005112CD"/>
  </w:style>
  <w:style w:type="paragraph" w:styleId="Header">
    <w:name w:val="header"/>
    <w:basedOn w:val="Normal"/>
    <w:link w:val="HeaderChar"/>
    <w:rsid w:val="00F47C23"/>
    <w:pPr>
      <w:tabs>
        <w:tab w:val="center" w:pos="4680"/>
        <w:tab w:val="right" w:pos="9360"/>
      </w:tabs>
    </w:pPr>
    <w:rPr>
      <w:lang w:val="x-none" w:eastAsia="x-none"/>
    </w:rPr>
  </w:style>
  <w:style w:type="character" w:customStyle="1" w:styleId="HeaderChar">
    <w:name w:val="Header Char"/>
    <w:link w:val="Header"/>
    <w:rsid w:val="00F47C23"/>
    <w:rPr>
      <w:sz w:val="24"/>
      <w:szCs w:val="24"/>
    </w:rPr>
  </w:style>
  <w:style w:type="paragraph" w:styleId="Footer">
    <w:name w:val="footer"/>
    <w:basedOn w:val="Normal"/>
    <w:link w:val="FooterChar"/>
    <w:rsid w:val="00F47C23"/>
    <w:pPr>
      <w:tabs>
        <w:tab w:val="center" w:pos="4680"/>
        <w:tab w:val="right" w:pos="9360"/>
      </w:tabs>
    </w:pPr>
    <w:rPr>
      <w:lang w:val="x-none" w:eastAsia="x-none"/>
    </w:rPr>
  </w:style>
  <w:style w:type="character" w:customStyle="1" w:styleId="FooterChar">
    <w:name w:val="Footer Char"/>
    <w:link w:val="Footer"/>
    <w:rsid w:val="00F47C23"/>
    <w:rPr>
      <w:sz w:val="24"/>
      <w:szCs w:val="24"/>
    </w:rPr>
  </w:style>
  <w:style w:type="paragraph" w:customStyle="1" w:styleId="ColorfulList-Accent11">
    <w:name w:val="Colorful List - Accent 11"/>
    <w:basedOn w:val="Normal"/>
    <w:link w:val="ColorfulList-Accent1Char"/>
    <w:uiPriority w:val="34"/>
    <w:qFormat/>
    <w:rsid w:val="003D7E4D"/>
    <w:pPr>
      <w:overflowPunct w:val="0"/>
      <w:autoSpaceDE w:val="0"/>
      <w:autoSpaceDN w:val="0"/>
      <w:adjustRightInd w:val="0"/>
      <w:ind w:left="720"/>
      <w:contextualSpacing/>
      <w:textAlignment w:val="baseline"/>
    </w:pPr>
    <w:rPr>
      <w:szCs w:val="20"/>
      <w:lang w:val="x-none" w:eastAsia="x-none"/>
    </w:rPr>
  </w:style>
  <w:style w:type="character" w:customStyle="1" w:styleId="ColorfulList-Accent1Char">
    <w:name w:val="Colorful List - Accent 1 Char"/>
    <w:link w:val="ColorfulList-Accent11"/>
    <w:uiPriority w:val="34"/>
    <w:rsid w:val="003D7E4D"/>
    <w:rPr>
      <w:sz w:val="24"/>
    </w:rPr>
  </w:style>
  <w:style w:type="paragraph" w:customStyle="1" w:styleId="Default">
    <w:name w:val="Default"/>
    <w:rsid w:val="004078F7"/>
    <w:pPr>
      <w:widowControl w:val="0"/>
      <w:autoSpaceDE w:val="0"/>
      <w:autoSpaceDN w:val="0"/>
      <w:adjustRightInd w:val="0"/>
    </w:pPr>
    <w:rPr>
      <w:color w:val="000000"/>
      <w:sz w:val="24"/>
      <w:szCs w:val="24"/>
      <w:lang w:val="en-US" w:eastAsia="en-US"/>
    </w:rPr>
  </w:style>
  <w:style w:type="paragraph" w:customStyle="1" w:styleId="CM15">
    <w:name w:val="CM15"/>
    <w:basedOn w:val="Default"/>
    <w:next w:val="Default"/>
    <w:uiPriority w:val="99"/>
    <w:rsid w:val="004078F7"/>
    <w:rPr>
      <w:color w:val="auto"/>
    </w:rPr>
  </w:style>
  <w:style w:type="table" w:customStyle="1" w:styleId="LightShading-Accent11">
    <w:name w:val="Light Shading - Accent 11"/>
    <w:basedOn w:val="TableNormal"/>
    <w:next w:val="LightShading-Accent1"/>
    <w:uiPriority w:val="60"/>
    <w:rsid w:val="004078F7"/>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4078F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331">
      <w:bodyDiv w:val="1"/>
      <w:marLeft w:val="0"/>
      <w:marRight w:val="0"/>
      <w:marTop w:val="0"/>
      <w:marBottom w:val="0"/>
      <w:divBdr>
        <w:top w:val="none" w:sz="0" w:space="0" w:color="auto"/>
        <w:left w:val="none" w:sz="0" w:space="0" w:color="auto"/>
        <w:bottom w:val="none" w:sz="0" w:space="0" w:color="auto"/>
        <w:right w:val="none" w:sz="0" w:space="0" w:color="auto"/>
      </w:divBdr>
      <w:divsChild>
        <w:div w:id="325547990">
          <w:marLeft w:val="0"/>
          <w:marRight w:val="0"/>
          <w:marTop w:val="0"/>
          <w:marBottom w:val="0"/>
          <w:divBdr>
            <w:top w:val="none" w:sz="0" w:space="0" w:color="auto"/>
            <w:left w:val="none" w:sz="0" w:space="0" w:color="auto"/>
            <w:bottom w:val="none" w:sz="0" w:space="0" w:color="auto"/>
            <w:right w:val="none" w:sz="0" w:space="0" w:color="auto"/>
          </w:divBdr>
          <w:divsChild>
            <w:div w:id="1544487580">
              <w:marLeft w:val="0"/>
              <w:marRight w:val="0"/>
              <w:marTop w:val="300"/>
              <w:marBottom w:val="300"/>
              <w:divBdr>
                <w:top w:val="single" w:sz="6" w:space="0" w:color="D6D6D6"/>
                <w:left w:val="single" w:sz="6" w:space="15" w:color="D6D6D6"/>
                <w:bottom w:val="single" w:sz="6" w:space="15" w:color="D6D6D6"/>
                <w:right w:val="single" w:sz="6" w:space="15" w:color="D6D6D6"/>
              </w:divBdr>
              <w:divsChild>
                <w:div w:id="813639872">
                  <w:marLeft w:val="0"/>
                  <w:marRight w:val="0"/>
                  <w:marTop w:val="0"/>
                  <w:marBottom w:val="300"/>
                  <w:divBdr>
                    <w:top w:val="none" w:sz="0" w:space="0" w:color="auto"/>
                    <w:left w:val="none" w:sz="0" w:space="0" w:color="auto"/>
                    <w:bottom w:val="none" w:sz="0" w:space="0" w:color="auto"/>
                    <w:right w:val="none" w:sz="0" w:space="0" w:color="auto"/>
                  </w:divBdr>
                  <w:divsChild>
                    <w:div w:id="980957856">
                      <w:marLeft w:val="0"/>
                      <w:marRight w:val="0"/>
                      <w:marTop w:val="0"/>
                      <w:marBottom w:val="0"/>
                      <w:divBdr>
                        <w:top w:val="none" w:sz="0" w:space="0" w:color="auto"/>
                        <w:left w:val="none" w:sz="0" w:space="0" w:color="auto"/>
                        <w:bottom w:val="none" w:sz="0" w:space="0" w:color="auto"/>
                        <w:right w:val="none" w:sz="0" w:space="0" w:color="auto"/>
                      </w:divBdr>
                      <w:divsChild>
                        <w:div w:id="1822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71860">
      <w:bodyDiv w:val="1"/>
      <w:marLeft w:val="0"/>
      <w:marRight w:val="0"/>
      <w:marTop w:val="0"/>
      <w:marBottom w:val="0"/>
      <w:divBdr>
        <w:top w:val="none" w:sz="0" w:space="0" w:color="auto"/>
        <w:left w:val="none" w:sz="0" w:space="0" w:color="auto"/>
        <w:bottom w:val="none" w:sz="0" w:space="0" w:color="auto"/>
        <w:right w:val="none" w:sz="0" w:space="0" w:color="auto"/>
      </w:divBdr>
      <w:divsChild>
        <w:div w:id="386416478">
          <w:marLeft w:val="0"/>
          <w:marRight w:val="0"/>
          <w:marTop w:val="0"/>
          <w:marBottom w:val="0"/>
          <w:divBdr>
            <w:top w:val="none" w:sz="0" w:space="0" w:color="auto"/>
            <w:left w:val="none" w:sz="0" w:space="0" w:color="auto"/>
            <w:bottom w:val="none" w:sz="0" w:space="0" w:color="auto"/>
            <w:right w:val="none" w:sz="0" w:space="0" w:color="auto"/>
          </w:divBdr>
          <w:divsChild>
            <w:div w:id="999771499">
              <w:marLeft w:val="0"/>
              <w:marRight w:val="0"/>
              <w:marTop w:val="264"/>
              <w:marBottom w:val="264"/>
              <w:divBdr>
                <w:top w:val="single" w:sz="4" w:space="0" w:color="D6D6D6"/>
                <w:left w:val="single" w:sz="4" w:space="13" w:color="D6D6D6"/>
                <w:bottom w:val="single" w:sz="4" w:space="13" w:color="D6D6D6"/>
                <w:right w:val="single" w:sz="4" w:space="13" w:color="D6D6D6"/>
              </w:divBdr>
              <w:divsChild>
                <w:div w:id="1507285380">
                  <w:marLeft w:val="0"/>
                  <w:marRight w:val="0"/>
                  <w:marTop w:val="0"/>
                  <w:marBottom w:val="264"/>
                  <w:divBdr>
                    <w:top w:val="none" w:sz="0" w:space="0" w:color="auto"/>
                    <w:left w:val="none" w:sz="0" w:space="0" w:color="auto"/>
                    <w:bottom w:val="none" w:sz="0" w:space="0" w:color="auto"/>
                    <w:right w:val="none" w:sz="0" w:space="0" w:color="auto"/>
                  </w:divBdr>
                  <w:divsChild>
                    <w:div w:id="1751661778">
                      <w:marLeft w:val="0"/>
                      <w:marRight w:val="0"/>
                      <w:marTop w:val="0"/>
                      <w:marBottom w:val="0"/>
                      <w:divBdr>
                        <w:top w:val="none" w:sz="0" w:space="0" w:color="auto"/>
                        <w:left w:val="none" w:sz="0" w:space="0" w:color="auto"/>
                        <w:bottom w:val="none" w:sz="0" w:space="0" w:color="auto"/>
                        <w:right w:val="none" w:sz="0" w:space="0" w:color="auto"/>
                      </w:divBdr>
                      <w:divsChild>
                        <w:div w:id="541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7152">
      <w:bodyDiv w:val="1"/>
      <w:marLeft w:val="0"/>
      <w:marRight w:val="0"/>
      <w:marTop w:val="0"/>
      <w:marBottom w:val="0"/>
      <w:divBdr>
        <w:top w:val="none" w:sz="0" w:space="0" w:color="auto"/>
        <w:left w:val="none" w:sz="0" w:space="0" w:color="auto"/>
        <w:bottom w:val="none" w:sz="0" w:space="0" w:color="auto"/>
        <w:right w:val="none" w:sz="0" w:space="0" w:color="auto"/>
      </w:divBdr>
      <w:divsChild>
        <w:div w:id="2001764229">
          <w:marLeft w:val="0"/>
          <w:marRight w:val="0"/>
          <w:marTop w:val="0"/>
          <w:marBottom w:val="0"/>
          <w:divBdr>
            <w:top w:val="none" w:sz="0" w:space="0" w:color="auto"/>
            <w:left w:val="none" w:sz="0" w:space="0" w:color="auto"/>
            <w:bottom w:val="none" w:sz="0" w:space="0" w:color="auto"/>
            <w:right w:val="none" w:sz="0" w:space="0" w:color="auto"/>
          </w:divBdr>
          <w:divsChild>
            <w:div w:id="274561159">
              <w:marLeft w:val="0"/>
              <w:marRight w:val="0"/>
              <w:marTop w:val="0"/>
              <w:marBottom w:val="0"/>
              <w:divBdr>
                <w:top w:val="none" w:sz="0" w:space="0" w:color="auto"/>
                <w:left w:val="none" w:sz="0" w:space="0" w:color="auto"/>
                <w:bottom w:val="none" w:sz="0" w:space="0" w:color="auto"/>
                <w:right w:val="none" w:sz="0" w:space="0" w:color="auto"/>
              </w:divBdr>
              <w:divsChild>
                <w:div w:id="1126776920">
                  <w:marLeft w:val="0"/>
                  <w:marRight w:val="0"/>
                  <w:marTop w:val="0"/>
                  <w:marBottom w:val="0"/>
                  <w:divBdr>
                    <w:top w:val="none" w:sz="0" w:space="0" w:color="auto"/>
                    <w:left w:val="none" w:sz="0" w:space="0" w:color="auto"/>
                    <w:bottom w:val="none" w:sz="0" w:space="0" w:color="auto"/>
                    <w:right w:val="none" w:sz="0" w:space="0" w:color="auto"/>
                  </w:divBdr>
                  <w:divsChild>
                    <w:div w:id="1211840347">
                      <w:marLeft w:val="0"/>
                      <w:marRight w:val="0"/>
                      <w:marTop w:val="0"/>
                      <w:marBottom w:val="0"/>
                      <w:divBdr>
                        <w:top w:val="none" w:sz="0" w:space="0" w:color="auto"/>
                        <w:left w:val="none" w:sz="0" w:space="0" w:color="auto"/>
                        <w:bottom w:val="none" w:sz="0" w:space="0" w:color="auto"/>
                        <w:right w:val="none" w:sz="0" w:space="0" w:color="auto"/>
                      </w:divBdr>
                      <w:divsChild>
                        <w:div w:id="1850634026">
                          <w:marLeft w:val="0"/>
                          <w:marRight w:val="0"/>
                          <w:marTop w:val="0"/>
                          <w:marBottom w:val="0"/>
                          <w:divBdr>
                            <w:top w:val="none" w:sz="0" w:space="0" w:color="auto"/>
                            <w:left w:val="none" w:sz="0" w:space="0" w:color="auto"/>
                            <w:bottom w:val="none" w:sz="0" w:space="0" w:color="auto"/>
                            <w:right w:val="none" w:sz="0" w:space="0" w:color="auto"/>
                          </w:divBdr>
                          <w:divsChild>
                            <w:div w:id="1609580765">
                              <w:marLeft w:val="0"/>
                              <w:marRight w:val="0"/>
                              <w:marTop w:val="0"/>
                              <w:marBottom w:val="0"/>
                              <w:divBdr>
                                <w:top w:val="none" w:sz="0" w:space="0" w:color="auto"/>
                                <w:left w:val="none" w:sz="0" w:space="0" w:color="auto"/>
                                <w:bottom w:val="none" w:sz="0" w:space="0" w:color="auto"/>
                                <w:right w:val="none" w:sz="0" w:space="0" w:color="auto"/>
                              </w:divBdr>
                              <w:divsChild>
                                <w:div w:id="6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02059">
      <w:bodyDiv w:val="1"/>
      <w:marLeft w:val="0"/>
      <w:marRight w:val="0"/>
      <w:marTop w:val="0"/>
      <w:marBottom w:val="0"/>
      <w:divBdr>
        <w:top w:val="none" w:sz="0" w:space="0" w:color="auto"/>
        <w:left w:val="none" w:sz="0" w:space="0" w:color="auto"/>
        <w:bottom w:val="none" w:sz="0" w:space="0" w:color="auto"/>
        <w:right w:val="none" w:sz="0" w:space="0" w:color="auto"/>
      </w:divBdr>
      <w:divsChild>
        <w:div w:id="1364869494">
          <w:marLeft w:val="0"/>
          <w:marRight w:val="0"/>
          <w:marTop w:val="0"/>
          <w:marBottom w:val="0"/>
          <w:divBdr>
            <w:top w:val="none" w:sz="0" w:space="0" w:color="auto"/>
            <w:left w:val="none" w:sz="0" w:space="0" w:color="auto"/>
            <w:bottom w:val="none" w:sz="0" w:space="0" w:color="auto"/>
            <w:right w:val="none" w:sz="0" w:space="0" w:color="auto"/>
          </w:divBdr>
          <w:divsChild>
            <w:div w:id="977691207">
              <w:marLeft w:val="0"/>
              <w:marRight w:val="0"/>
              <w:marTop w:val="0"/>
              <w:marBottom w:val="0"/>
              <w:divBdr>
                <w:top w:val="none" w:sz="0" w:space="0" w:color="auto"/>
                <w:left w:val="none" w:sz="0" w:space="0" w:color="auto"/>
                <w:bottom w:val="none" w:sz="0" w:space="0" w:color="auto"/>
                <w:right w:val="none" w:sz="0" w:space="0" w:color="auto"/>
              </w:divBdr>
              <w:divsChild>
                <w:div w:id="892077651">
                  <w:marLeft w:val="0"/>
                  <w:marRight w:val="0"/>
                  <w:marTop w:val="0"/>
                  <w:marBottom w:val="0"/>
                  <w:divBdr>
                    <w:top w:val="none" w:sz="0" w:space="0" w:color="auto"/>
                    <w:left w:val="none" w:sz="0" w:space="0" w:color="auto"/>
                    <w:bottom w:val="none" w:sz="0" w:space="0" w:color="auto"/>
                    <w:right w:val="none" w:sz="0" w:space="0" w:color="auto"/>
                  </w:divBdr>
                  <w:divsChild>
                    <w:div w:id="183596659">
                      <w:marLeft w:val="0"/>
                      <w:marRight w:val="0"/>
                      <w:marTop w:val="0"/>
                      <w:marBottom w:val="0"/>
                      <w:divBdr>
                        <w:top w:val="none" w:sz="0" w:space="0" w:color="auto"/>
                        <w:left w:val="none" w:sz="0" w:space="0" w:color="auto"/>
                        <w:bottom w:val="none" w:sz="0" w:space="0" w:color="auto"/>
                        <w:right w:val="none" w:sz="0" w:space="0" w:color="auto"/>
                      </w:divBdr>
                      <w:divsChild>
                        <w:div w:id="308556340">
                          <w:marLeft w:val="0"/>
                          <w:marRight w:val="0"/>
                          <w:marTop w:val="0"/>
                          <w:marBottom w:val="0"/>
                          <w:divBdr>
                            <w:top w:val="none" w:sz="0" w:space="0" w:color="auto"/>
                            <w:left w:val="none" w:sz="0" w:space="0" w:color="auto"/>
                            <w:bottom w:val="none" w:sz="0" w:space="0" w:color="auto"/>
                            <w:right w:val="none" w:sz="0" w:space="0" w:color="auto"/>
                          </w:divBdr>
                          <w:divsChild>
                            <w:div w:id="1233194576">
                              <w:marLeft w:val="0"/>
                              <w:marRight w:val="0"/>
                              <w:marTop w:val="0"/>
                              <w:marBottom w:val="0"/>
                              <w:divBdr>
                                <w:top w:val="none" w:sz="0" w:space="0" w:color="auto"/>
                                <w:left w:val="none" w:sz="0" w:space="0" w:color="auto"/>
                                <w:bottom w:val="none" w:sz="0" w:space="0" w:color="auto"/>
                                <w:right w:val="none" w:sz="0" w:space="0" w:color="auto"/>
                              </w:divBdr>
                              <w:divsChild>
                                <w:div w:id="4063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qian@worldbank.org" TargetMode="External"/><Relationship Id="rId4" Type="http://schemas.microsoft.com/office/2007/relationships/stylesWithEffects" Target="stylesWithEffects.xml"/><Relationship Id="rId9" Type="http://schemas.openxmlformats.org/officeDocument/2006/relationships/hyperlink" Target="mailto:fkoehler@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14AF-4A86-4430-8049-B40F300D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The World Bank Group</Company>
  <LinksUpToDate>false</LinksUpToDate>
  <CharactersWithSpaces>10808</CharactersWithSpaces>
  <SharedDoc>false</SharedDoc>
  <HLinks>
    <vt:vector size="12" baseType="variant">
      <vt:variant>
        <vt:i4>7602249</vt:i4>
      </vt:variant>
      <vt:variant>
        <vt:i4>3</vt:i4>
      </vt:variant>
      <vt:variant>
        <vt:i4>0</vt:i4>
      </vt:variant>
      <vt:variant>
        <vt:i4>5</vt:i4>
      </vt:variant>
      <vt:variant>
        <vt:lpwstr>mailto:rqian@worldbank.org</vt:lpwstr>
      </vt:variant>
      <vt:variant>
        <vt:lpwstr/>
      </vt:variant>
      <vt:variant>
        <vt:i4>7667806</vt:i4>
      </vt:variant>
      <vt:variant>
        <vt:i4>0</vt:i4>
      </vt:variant>
      <vt:variant>
        <vt:i4>0</vt:i4>
      </vt:variant>
      <vt:variant>
        <vt:i4>5</vt:i4>
      </vt:variant>
      <vt:variant>
        <vt:lpwstr>mailto:fkoehler@worldbank.org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Diana Mercedes Lachy Castillo</cp:lastModifiedBy>
  <cp:revision>2</cp:revision>
  <cp:lastPrinted>2013-09-26T15:08:00Z</cp:lastPrinted>
  <dcterms:created xsi:type="dcterms:W3CDTF">2014-12-16T23:03:00Z</dcterms:created>
  <dcterms:modified xsi:type="dcterms:W3CDTF">2014-12-16T23:03:00Z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
  </property>
  <property fmtid="{D5CDD505-2E9C-101B-9397-08002B2CF9AE}" pid="3" name="TEAMLEADER">
    <vt:lpwstr>Mr Denis Medvedev</vt:lpwstr>
  </property>
</Properties>
</file>