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Override7.xml" ContentType="application/vnd.openxmlformats-officedocument.themeOverride+xml"/>
  <Override PartName="/word/charts/colors8.xml" ContentType="application/vnd.ms-office.chartcolorstyle+xml"/>
  <Override PartName="/word/charts/style8.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Ex1.xml" ContentType="application/vnd.ms-office.chartex+xml"/>
  <Override PartName="/word/charts/chart7.xml" ContentType="application/vnd.openxmlformats-officedocument.drawingml.chart+xml"/>
  <Override PartName="/word/theme/themeOverride6.xml" ContentType="application/vnd.openxmlformats-officedocument.themeOverride+xml"/>
  <Override PartName="/word/charts/style7.xml" ContentType="application/vnd.ms-office.chartstyle+xml"/>
  <Override PartName="/word/charts/style9.xml" ContentType="application/vnd.ms-office.chartstyle+xml"/>
  <Override PartName="/word/theme/theme1.xml" ContentType="application/vnd.openxmlformats-officedocument.theme+xml"/>
  <Override PartName="/word/theme/themeOverride10.xml" ContentType="application/vnd.openxmlformats-officedocument.themeOverride+xml"/>
  <Override PartName="/word/charts/colors9.xml" ContentType="application/vnd.ms-office.chartcolorstyle+xml"/>
  <Override PartName="/word/theme/themeOverride9.xml" ContentType="application/vnd.openxmlformats-officedocument.themeOverride+xml"/>
  <Override PartName="/word/charts/colors6.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6.xml" ContentType="application/vnd.ms-office.chartstyle+xml"/>
  <Override PartName="/word/charts/style2.xml" ContentType="application/vnd.ms-office.chartstyle+xml"/>
  <Override PartName="/word/theme/themeOverride2.xml" ContentType="application/vnd.openxmlformats-officedocument.themeOverrid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olors2.xml" ContentType="application/vnd.ms-office.chartcolorstyle+xml"/>
  <Override PartName="/word/charts/colors4.xml" ContentType="application/vnd.ms-office.chartcolorstyle+xml"/>
  <Override PartName="/word/charts/chart4.xml" ContentType="application/vnd.openxmlformats-officedocument.drawingml.chart+xml"/>
  <Override PartName="/word/charts/chart3.xml" ContentType="application/vnd.openxmlformats-officedocument.drawingml.chart+xml"/>
  <Override PartName="/word/charts/style4.xml" ContentType="application/vnd.ms-office.chartstyle+xml"/>
  <Override PartName="/word/charts/style3.xml" ContentType="application/vnd.ms-office.chartstyle+xml"/>
  <Override PartName="/word/theme/themeOverride3.xml" ContentType="application/vnd.openxmlformats-officedocument.themeOverride+xml"/>
  <Override PartName="/word/charts/colors3.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92D70" w14:textId="77777777" w:rsidR="00A11980" w:rsidRDefault="00A11980">
      <w:pPr>
        <w:rPr>
          <w:rFonts w:ascii="Times New Roman" w:hAnsi="Times New Roman" w:cs="Times New Roman"/>
          <w:color w:val="auto"/>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906DE5" w14:paraId="12392D73"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71"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72" w14:textId="77777777" w:rsidR="00A11980" w:rsidRDefault="00C263DB" w:rsidP="00343D43">
            <w:pPr>
              <w:rPr>
                <w:sz w:val="20"/>
                <w:szCs w:val="20"/>
              </w:rPr>
            </w:pPr>
            <w:r>
              <w:rPr>
                <w:sz w:val="20"/>
                <w:szCs w:val="20"/>
              </w:rPr>
              <w:t xml:space="preserve">Report No: </w:t>
            </w:r>
            <w:r w:rsidR="00343D43">
              <w:rPr>
                <w:noProof/>
                <w:sz w:val="20"/>
                <w:szCs w:val="20"/>
              </w:rPr>
              <w:t>AUS0000681</w:t>
            </w:r>
          </w:p>
        </w:tc>
      </w:tr>
      <w:tr w:rsidR="00906DE5" w14:paraId="12392D75"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74" w14:textId="77777777" w:rsidR="00A11980" w:rsidRDefault="00C263DB">
            <w:pPr>
              <w:rPr>
                <w:rFonts w:ascii="Times" w:hAnsi="Times" w:cs="Times"/>
                <w:color w:val="FFFFFF"/>
                <w:sz w:val="10"/>
                <w:szCs w:val="10"/>
              </w:rPr>
            </w:pPr>
            <w:r>
              <w:rPr>
                <w:rFonts w:ascii="Times" w:hAnsi="Times" w:cs="Times"/>
                <w:color w:val="FFFFFF"/>
                <w:sz w:val="10"/>
                <w:szCs w:val="10"/>
              </w:rPr>
              <w:t>.</w:t>
            </w:r>
          </w:p>
        </w:tc>
      </w:tr>
      <w:tr w:rsidR="00906DE5" w14:paraId="12392D78"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76"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77" w14:textId="77777777" w:rsidR="00A11980" w:rsidRDefault="00C263DB">
            <w:pPr>
              <w:rPr>
                <w:sz w:val="48"/>
                <w:szCs w:val="48"/>
              </w:rPr>
            </w:pPr>
            <w:r>
              <w:rPr>
                <w:noProof/>
                <w:sz w:val="48"/>
                <w:szCs w:val="48"/>
              </w:rPr>
              <w:t>Malaysia</w:t>
            </w:r>
          </w:p>
        </w:tc>
      </w:tr>
      <w:tr w:rsidR="00906DE5" w14:paraId="12392D7B"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79"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7A" w14:textId="48874A8C" w:rsidR="00A11980" w:rsidRDefault="00C74666">
            <w:pPr>
              <w:rPr>
                <w:sz w:val="48"/>
                <w:szCs w:val="48"/>
              </w:rPr>
            </w:pPr>
            <w:r>
              <w:rPr>
                <w:noProof/>
                <w:sz w:val="48"/>
                <w:szCs w:val="48"/>
              </w:rPr>
              <w:t>Estimating the Number of Foreign Workers</w:t>
            </w:r>
          </w:p>
        </w:tc>
      </w:tr>
      <w:tr w:rsidR="00906DE5" w14:paraId="12392D7E"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7C"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7D" w14:textId="6E9BCB3A" w:rsidR="00A11980" w:rsidRDefault="00C74666">
            <w:pPr>
              <w:rPr>
                <w:sz w:val="34"/>
                <w:szCs w:val="34"/>
              </w:rPr>
            </w:pPr>
            <w:r>
              <w:rPr>
                <w:sz w:val="34"/>
                <w:szCs w:val="34"/>
              </w:rPr>
              <w:t xml:space="preserve">(A report from the </w:t>
            </w:r>
            <w:r w:rsidRPr="00C74666">
              <w:rPr>
                <w:sz w:val="34"/>
                <w:szCs w:val="34"/>
              </w:rPr>
              <w:t>Labor Market Data for Monetary Policy</w:t>
            </w:r>
            <w:r>
              <w:rPr>
                <w:sz w:val="34"/>
                <w:szCs w:val="34"/>
              </w:rPr>
              <w:t xml:space="preserve"> task)</w:t>
            </w:r>
          </w:p>
        </w:tc>
      </w:tr>
      <w:tr w:rsidR="00906DE5" w14:paraId="12392D80"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7F" w14:textId="77777777" w:rsidR="00A11980" w:rsidRDefault="00C263DB">
            <w:pPr>
              <w:rPr>
                <w:rFonts w:ascii="Times" w:hAnsi="Times" w:cs="Times"/>
                <w:color w:val="FFFFFF"/>
                <w:sz w:val="60"/>
                <w:szCs w:val="60"/>
              </w:rPr>
            </w:pPr>
            <w:r>
              <w:rPr>
                <w:rFonts w:ascii="Times" w:hAnsi="Times" w:cs="Times"/>
                <w:color w:val="FFFFFF"/>
                <w:sz w:val="60"/>
                <w:szCs w:val="60"/>
              </w:rPr>
              <w:t>.</w:t>
            </w:r>
          </w:p>
        </w:tc>
      </w:tr>
      <w:tr w:rsidR="00906DE5" w14:paraId="12392D83"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81"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82" w14:textId="04D90D4F" w:rsidR="00A11980" w:rsidRDefault="00C74666">
            <w:pPr>
              <w:rPr>
                <w:sz w:val="20"/>
                <w:szCs w:val="20"/>
              </w:rPr>
            </w:pPr>
            <w:r>
              <w:rPr>
                <w:sz w:val="20"/>
                <w:szCs w:val="20"/>
              </w:rPr>
              <w:t>March 28, 2019</w:t>
            </w:r>
          </w:p>
        </w:tc>
      </w:tr>
      <w:tr w:rsidR="00906DE5" w14:paraId="12392D85"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84" w14:textId="77777777" w:rsidR="00A11980" w:rsidRDefault="00C263DB">
            <w:pPr>
              <w:rPr>
                <w:rFonts w:ascii="Times" w:hAnsi="Times" w:cs="Times"/>
                <w:color w:val="FFFFFF"/>
                <w:sz w:val="60"/>
                <w:szCs w:val="60"/>
              </w:rPr>
            </w:pPr>
            <w:r>
              <w:rPr>
                <w:rFonts w:ascii="Times" w:hAnsi="Times" w:cs="Times"/>
                <w:color w:val="FFFFFF"/>
                <w:sz w:val="60"/>
                <w:szCs w:val="60"/>
              </w:rPr>
              <w:t>.</w:t>
            </w:r>
          </w:p>
        </w:tc>
      </w:tr>
      <w:tr w:rsidR="00906DE5" w14:paraId="12392D88"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86"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87" w14:textId="77777777" w:rsidR="00A11980" w:rsidRDefault="00C263DB">
            <w:pPr>
              <w:rPr>
                <w:sz w:val="20"/>
                <w:szCs w:val="20"/>
              </w:rPr>
            </w:pPr>
            <w:r>
              <w:rPr>
                <w:noProof/>
                <w:sz w:val="20"/>
                <w:szCs w:val="20"/>
              </w:rPr>
              <w:t>POV</w:t>
            </w:r>
          </w:p>
        </w:tc>
      </w:tr>
      <w:tr w:rsidR="00906DE5" w14:paraId="12392D8B"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89"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8A" w14:textId="77777777" w:rsidR="00A11980" w:rsidRDefault="00A11980">
            <w:pPr>
              <w:rPr>
                <w:sz w:val="20"/>
                <w:szCs w:val="20"/>
              </w:rPr>
            </w:pPr>
          </w:p>
        </w:tc>
      </w:tr>
      <w:tr w:rsidR="00906DE5" w14:paraId="12392D8D"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8C" w14:textId="77777777" w:rsidR="00A11980" w:rsidRDefault="00C263DB">
            <w:pPr>
              <w:rPr>
                <w:rFonts w:ascii="Times" w:hAnsi="Times" w:cs="Times"/>
                <w:color w:val="FFFFFF"/>
                <w:sz w:val="20"/>
                <w:szCs w:val="20"/>
              </w:rPr>
            </w:pPr>
            <w:r>
              <w:rPr>
                <w:rFonts w:ascii="Times" w:hAnsi="Times" w:cs="Times"/>
                <w:color w:val="FFFFFF"/>
                <w:sz w:val="20"/>
                <w:szCs w:val="20"/>
              </w:rPr>
              <w:t>.</w:t>
            </w:r>
          </w:p>
        </w:tc>
      </w:tr>
      <w:tr w:rsidR="00906DE5" w14:paraId="12392D90" w14:textId="77777777" w:rsidTr="0087375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2D8E" w14:textId="77777777" w:rsidR="00A11980" w:rsidRDefault="00A11980">
            <w:pPr>
              <w:rPr>
                <w:rFonts w:ascii="Times New Roman" w:hAnsi="Times New Roman" w:cs="Times New Roman"/>
                <w:color w:val="auto"/>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8F" w14:textId="77777777" w:rsidR="00A11980" w:rsidRDefault="00C263DB">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14:anchorId="12392DA8" wp14:editId="12392DA9">
                  <wp:extent cx="63817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8039"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906DE5" w14:paraId="12392D92"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91" w14:textId="77777777" w:rsidR="00A11980" w:rsidRDefault="00C263DB">
            <w:pPr>
              <w:rPr>
                <w:rFonts w:ascii="Times" w:hAnsi="Times" w:cs="Times"/>
                <w:color w:val="FFFFFF"/>
                <w:sz w:val="650"/>
                <w:szCs w:val="650"/>
              </w:rPr>
            </w:pPr>
            <w:r>
              <w:rPr>
                <w:rFonts w:ascii="Times" w:hAnsi="Times" w:cs="Times"/>
                <w:color w:val="FFFFFF"/>
                <w:sz w:val="650"/>
                <w:szCs w:val="650"/>
              </w:rPr>
              <w:t>.</w:t>
            </w:r>
          </w:p>
        </w:tc>
      </w:tr>
      <w:tr w:rsidR="00906DE5" w14:paraId="12392D94" w14:textId="77777777" w:rsidTr="0087375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2392D93" w14:textId="77777777" w:rsidR="00A11980" w:rsidRDefault="00C263DB">
            <w:pPr>
              <w:rPr>
                <w:rFonts w:ascii="Times" w:hAnsi="Times" w:cs="Times"/>
                <w:color w:val="FFFFFF"/>
                <w:sz w:val="20"/>
                <w:szCs w:val="20"/>
              </w:rPr>
            </w:pPr>
            <w:r>
              <w:rPr>
                <w:rFonts w:ascii="Times" w:hAnsi="Times" w:cs="Times"/>
                <w:color w:val="FFFFFF"/>
                <w:sz w:val="20"/>
                <w:szCs w:val="20"/>
              </w:rPr>
              <w:lastRenderedPageBreak/>
              <w:t>.</w:t>
            </w:r>
          </w:p>
        </w:tc>
      </w:tr>
      <w:tr w:rsidR="00906DE5" w14:paraId="12392DA6" w14:textId="77777777" w:rsidTr="00873754">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2392D95" w14:textId="77777777" w:rsidR="00A11980" w:rsidRDefault="00A11980">
            <w:pPr>
              <w:rPr>
                <w:rFonts w:ascii="Times New Roman" w:hAnsi="Times New Roman" w:cs="Times New Roman"/>
                <w:color w:val="auto"/>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12392D96" w14:textId="5652F478" w:rsidR="00873754" w:rsidRPr="00E03FD7" w:rsidRDefault="00C263DB" w:rsidP="00873754">
            <w:pPr>
              <w:pStyle w:val="Default"/>
              <w:rPr>
                <w:rFonts w:ascii="Arial" w:hAnsi="Arial" w:cs="Arial"/>
                <w:sz w:val="18"/>
                <w:szCs w:val="20"/>
              </w:rPr>
            </w:pPr>
            <w:r w:rsidRPr="00E03FD7">
              <w:rPr>
                <w:rFonts w:ascii="Arial" w:hAnsi="Arial" w:cs="Arial"/>
                <w:sz w:val="18"/>
                <w:szCs w:val="20"/>
              </w:rPr>
              <w:t>© 201</w:t>
            </w:r>
            <w:r w:rsidR="00C74666">
              <w:rPr>
                <w:rFonts w:ascii="Arial" w:hAnsi="Arial" w:cs="Arial"/>
                <w:sz w:val="18"/>
                <w:szCs w:val="20"/>
              </w:rPr>
              <w:t>9</w:t>
            </w:r>
            <w:r w:rsidRPr="00E03FD7">
              <w:rPr>
                <w:rFonts w:ascii="Arial" w:hAnsi="Arial" w:cs="Arial"/>
                <w:sz w:val="18"/>
                <w:szCs w:val="20"/>
              </w:rPr>
              <w:t xml:space="preserve"> The World Bank </w:t>
            </w:r>
          </w:p>
          <w:p w14:paraId="12392D97" w14:textId="77777777" w:rsidR="00873754" w:rsidRPr="00E03FD7" w:rsidRDefault="00C263DB" w:rsidP="00873754">
            <w:pPr>
              <w:pStyle w:val="Default"/>
              <w:rPr>
                <w:rFonts w:ascii="Arial" w:hAnsi="Arial" w:cs="Arial"/>
                <w:sz w:val="18"/>
                <w:szCs w:val="20"/>
              </w:rPr>
            </w:pPr>
            <w:r w:rsidRPr="00E03FD7">
              <w:rPr>
                <w:rFonts w:ascii="Arial" w:hAnsi="Arial" w:cs="Arial"/>
                <w:sz w:val="18"/>
                <w:szCs w:val="20"/>
              </w:rPr>
              <w:t xml:space="preserve">1818 H Street NW, Washington DC 20433 </w:t>
            </w:r>
          </w:p>
          <w:p w14:paraId="12392D98" w14:textId="77777777" w:rsidR="00873754" w:rsidRPr="00E03FD7" w:rsidRDefault="00C263DB" w:rsidP="00873754">
            <w:pPr>
              <w:pStyle w:val="Default"/>
              <w:rPr>
                <w:rFonts w:ascii="Arial" w:hAnsi="Arial" w:cs="Arial"/>
                <w:sz w:val="18"/>
                <w:szCs w:val="20"/>
              </w:rPr>
            </w:pPr>
            <w:r w:rsidRPr="00E03FD7">
              <w:rPr>
                <w:rFonts w:ascii="Arial" w:hAnsi="Arial" w:cs="Arial"/>
                <w:sz w:val="18"/>
                <w:szCs w:val="20"/>
              </w:rPr>
              <w:t xml:space="preserve">Telephone: 202-473-1000; Internet: </w:t>
            </w:r>
            <w:hyperlink r:id="rId9" w:history="1">
              <w:r w:rsidRPr="002014BA">
                <w:rPr>
                  <w:rStyle w:val="Hyperlink"/>
                  <w:sz w:val="18"/>
                  <w:szCs w:val="20"/>
                </w:rPr>
                <w:t>www.worldbank.org</w:t>
              </w:r>
            </w:hyperlink>
            <w:r w:rsidRPr="00E03FD7">
              <w:rPr>
                <w:rFonts w:ascii="Arial" w:hAnsi="Arial" w:cs="Arial"/>
                <w:sz w:val="18"/>
                <w:szCs w:val="20"/>
              </w:rPr>
              <w:t xml:space="preserve"> </w:t>
            </w:r>
          </w:p>
          <w:p w14:paraId="12392D99" w14:textId="77777777" w:rsidR="00873754" w:rsidRPr="00E03FD7" w:rsidRDefault="00873754" w:rsidP="00873754">
            <w:pPr>
              <w:pStyle w:val="Default"/>
              <w:rPr>
                <w:rFonts w:ascii="Arial" w:hAnsi="Arial" w:cs="Arial"/>
                <w:sz w:val="18"/>
                <w:szCs w:val="20"/>
              </w:rPr>
            </w:pPr>
          </w:p>
          <w:p w14:paraId="12392D9A" w14:textId="77777777" w:rsidR="00873754" w:rsidRPr="00E03FD7" w:rsidRDefault="00C263DB" w:rsidP="00873754">
            <w:pPr>
              <w:spacing w:after="120"/>
              <w:rPr>
                <w:sz w:val="18"/>
                <w:szCs w:val="20"/>
              </w:rPr>
            </w:pPr>
            <w:r w:rsidRPr="00E03FD7">
              <w:rPr>
                <w:sz w:val="18"/>
                <w:szCs w:val="20"/>
              </w:rPr>
              <w:t>Some rights reserved</w:t>
            </w:r>
          </w:p>
          <w:p w14:paraId="12392D9B" w14:textId="77777777" w:rsidR="00873754" w:rsidRPr="00E03FD7" w:rsidRDefault="00873754" w:rsidP="00873754">
            <w:pPr>
              <w:pStyle w:val="Default"/>
              <w:rPr>
                <w:rFonts w:ascii="Arial" w:hAnsi="Arial" w:cs="Arial"/>
                <w:sz w:val="18"/>
                <w:szCs w:val="20"/>
              </w:rPr>
            </w:pPr>
          </w:p>
          <w:p w14:paraId="12392D9C" w14:textId="77777777" w:rsidR="00873754" w:rsidRPr="00E03FD7" w:rsidRDefault="00C263DB" w:rsidP="00873754">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12392D9D" w14:textId="77777777" w:rsidR="00873754" w:rsidRPr="00E03FD7" w:rsidRDefault="00873754" w:rsidP="00873754">
            <w:pPr>
              <w:pStyle w:val="Default"/>
              <w:rPr>
                <w:rFonts w:ascii="Arial" w:hAnsi="Arial" w:cs="Arial"/>
                <w:sz w:val="18"/>
                <w:szCs w:val="20"/>
              </w:rPr>
            </w:pPr>
          </w:p>
          <w:p w14:paraId="12392D9E" w14:textId="77777777" w:rsidR="00873754" w:rsidRPr="00E03FD7" w:rsidRDefault="00C263DB" w:rsidP="00873754">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p>
          <w:p w14:paraId="12392D9F" w14:textId="77777777" w:rsidR="00873754" w:rsidRPr="00E03FD7" w:rsidRDefault="00873754" w:rsidP="00873754">
            <w:pPr>
              <w:pStyle w:val="Default"/>
              <w:rPr>
                <w:rFonts w:ascii="Arial" w:hAnsi="Arial" w:cs="Arial"/>
                <w:sz w:val="18"/>
                <w:szCs w:val="20"/>
              </w:rPr>
            </w:pPr>
          </w:p>
          <w:p w14:paraId="12392DA0" w14:textId="77777777" w:rsidR="00873754" w:rsidRPr="00E03FD7" w:rsidRDefault="00C263DB" w:rsidP="00873754">
            <w:pPr>
              <w:pStyle w:val="Default"/>
              <w:rPr>
                <w:rFonts w:ascii="Arial" w:hAnsi="Arial" w:cs="Arial"/>
                <w:sz w:val="18"/>
                <w:szCs w:val="20"/>
              </w:rPr>
            </w:pPr>
            <w:r w:rsidRPr="00E03FD7">
              <w:rPr>
                <w:rFonts w:ascii="Arial" w:hAnsi="Arial" w:cs="Arial"/>
                <w:sz w:val="18"/>
                <w:szCs w:val="20"/>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12392DA1" w14:textId="77777777" w:rsidR="00873754" w:rsidRPr="00E03FD7" w:rsidRDefault="00873754" w:rsidP="00873754">
            <w:pPr>
              <w:pStyle w:val="Default"/>
              <w:rPr>
                <w:rFonts w:ascii="Arial" w:hAnsi="Arial" w:cs="Arial"/>
                <w:sz w:val="18"/>
                <w:szCs w:val="20"/>
              </w:rPr>
            </w:pPr>
          </w:p>
          <w:p w14:paraId="12392DA2" w14:textId="77777777" w:rsidR="00873754" w:rsidRPr="00E03FD7" w:rsidRDefault="00C263DB" w:rsidP="00873754">
            <w:pPr>
              <w:spacing w:after="120"/>
              <w:rPr>
                <w:sz w:val="18"/>
                <w:szCs w:val="20"/>
              </w:rPr>
            </w:pPr>
            <w:r w:rsidRPr="00E03FD7">
              <w:rPr>
                <w:b/>
                <w:sz w:val="18"/>
                <w:szCs w:val="20"/>
              </w:rPr>
              <w:t>Attribution</w:t>
            </w:r>
            <w:r w:rsidRPr="00E03FD7">
              <w:rPr>
                <w:sz w:val="18"/>
                <w:szCs w:val="20"/>
              </w:rPr>
              <w:t xml:space="preserve">—Please cite the work as follows: “World Bank. </w:t>
            </w:r>
            <w:r>
              <w:rPr>
                <w:sz w:val="18"/>
                <w:szCs w:val="20"/>
              </w:rPr>
              <w:t>{</w:t>
            </w:r>
            <w:r w:rsidRPr="00E03FD7">
              <w:rPr>
                <w:sz w:val="18"/>
                <w:szCs w:val="20"/>
              </w:rPr>
              <w:t>YEAR OF PUBLICATION</w:t>
            </w:r>
            <w:r>
              <w:rPr>
                <w:sz w:val="18"/>
                <w:szCs w:val="20"/>
              </w:rPr>
              <w:t>}</w:t>
            </w:r>
            <w:r w:rsidRPr="00E03FD7">
              <w:rPr>
                <w:sz w:val="18"/>
                <w:szCs w:val="20"/>
              </w:rPr>
              <w:t xml:space="preserve">. </w:t>
            </w:r>
            <w:r>
              <w:rPr>
                <w:sz w:val="18"/>
                <w:szCs w:val="20"/>
              </w:rPr>
              <w:t>{</w:t>
            </w:r>
            <w:r w:rsidRPr="00E03FD7">
              <w:rPr>
                <w:sz w:val="18"/>
                <w:szCs w:val="20"/>
              </w:rPr>
              <w:t>TITLE</w:t>
            </w:r>
            <w:r>
              <w:rPr>
                <w:sz w:val="18"/>
                <w:szCs w:val="20"/>
              </w:rPr>
              <w:t>}</w:t>
            </w:r>
            <w:r w:rsidRPr="00E03FD7">
              <w:rPr>
                <w:sz w:val="18"/>
                <w:szCs w:val="20"/>
              </w:rPr>
              <w:t xml:space="preserve">. </w:t>
            </w:r>
            <w:r w:rsidRPr="00E03FD7">
              <w:rPr>
                <w:rFonts w:eastAsia="Times New Roman"/>
                <w:iCs/>
                <w:sz w:val="18"/>
                <w:szCs w:val="20"/>
              </w:rPr>
              <w:t xml:space="preserve">© World Bank.” </w:t>
            </w:r>
          </w:p>
          <w:p w14:paraId="12392DA3" w14:textId="77777777" w:rsidR="00873754" w:rsidRPr="00E03FD7" w:rsidRDefault="00873754" w:rsidP="00873754">
            <w:pPr>
              <w:pStyle w:val="Default"/>
              <w:rPr>
                <w:rFonts w:ascii="Arial" w:hAnsi="Arial" w:cs="Arial"/>
                <w:sz w:val="18"/>
                <w:szCs w:val="20"/>
              </w:rPr>
            </w:pPr>
          </w:p>
          <w:p w14:paraId="12392DA4" w14:textId="77777777" w:rsidR="00873754" w:rsidRPr="00E03FD7" w:rsidRDefault="00C263DB" w:rsidP="00873754">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0" w:history="1">
              <w:r w:rsidRPr="002014BA">
                <w:rPr>
                  <w:rStyle w:val="Hyperlink"/>
                  <w:sz w:val="18"/>
                  <w:szCs w:val="20"/>
                </w:rPr>
                <w:t>pubrights@worldbank.org</w:t>
              </w:r>
            </w:hyperlink>
            <w:r w:rsidRPr="00E03FD7">
              <w:rPr>
                <w:rFonts w:ascii="Arial" w:hAnsi="Arial" w:cs="Arial"/>
                <w:sz w:val="18"/>
                <w:szCs w:val="20"/>
              </w:rPr>
              <w:t xml:space="preserve">. </w:t>
            </w:r>
          </w:p>
          <w:p w14:paraId="12392DA5" w14:textId="77777777" w:rsidR="00A11980" w:rsidRDefault="00A11980">
            <w:pPr>
              <w:rPr>
                <w:color w:val="245086"/>
                <w:sz w:val="18"/>
                <w:szCs w:val="18"/>
              </w:rPr>
            </w:pPr>
          </w:p>
        </w:tc>
      </w:tr>
    </w:tbl>
    <w:p w14:paraId="3A3AC310" w14:textId="77777777" w:rsidR="00C74666" w:rsidRDefault="00C74666">
      <w:pPr>
        <w:sectPr w:rsidR="00C74666">
          <w:footerReference w:type="first" r:id="rId11"/>
          <w:pgSz w:w="12242" w:h="15842"/>
          <w:pgMar w:top="240" w:right="600" w:bottom="440" w:left="600" w:header="720" w:footer="720" w:gutter="0"/>
          <w:cols w:space="720"/>
          <w:noEndnote/>
          <w:titlePg/>
        </w:sectPr>
      </w:pPr>
    </w:p>
    <w:p w14:paraId="4F02337D" w14:textId="0B2E4D90" w:rsidR="009002F0" w:rsidRDefault="009002F0" w:rsidP="009002F0">
      <w:pPr>
        <w:rPr>
          <w:sz w:val="36"/>
          <w:szCs w:val="36"/>
        </w:rPr>
      </w:pPr>
      <w:bookmarkStart w:id="0" w:name="_top"/>
      <w:bookmarkStart w:id="1" w:name="_Hlk515591497"/>
      <w:bookmarkEnd w:id="0"/>
    </w:p>
    <w:p w14:paraId="24290BFB" w14:textId="77777777" w:rsidR="009002F0" w:rsidRPr="009002F0" w:rsidRDefault="009002F0" w:rsidP="009002F0">
      <w:pPr>
        <w:rPr>
          <w:sz w:val="36"/>
          <w:szCs w:val="36"/>
        </w:rPr>
      </w:pPr>
    </w:p>
    <w:p w14:paraId="0A623853" w14:textId="55BD66E3" w:rsidR="009002F0" w:rsidRDefault="009002F0" w:rsidP="009002F0">
      <w:pPr>
        <w:rPr>
          <w:sz w:val="36"/>
          <w:szCs w:val="36"/>
        </w:rPr>
      </w:pPr>
    </w:p>
    <w:p w14:paraId="285A77E9"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36"/>
          <w:szCs w:val="36"/>
          <w:lang w:eastAsia="ko-KR"/>
        </w:rPr>
      </w:pPr>
    </w:p>
    <w:p w14:paraId="31B6E675"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36"/>
          <w:szCs w:val="36"/>
          <w:lang w:eastAsia="ko-KR"/>
        </w:rPr>
      </w:pPr>
    </w:p>
    <w:p w14:paraId="50B3F4EA"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36"/>
          <w:szCs w:val="36"/>
          <w:lang w:eastAsia="ko-KR"/>
        </w:rPr>
      </w:pPr>
    </w:p>
    <w:p w14:paraId="22C789C1"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36"/>
          <w:szCs w:val="36"/>
          <w:lang w:eastAsia="ko-KR"/>
        </w:rPr>
      </w:pPr>
    </w:p>
    <w:p w14:paraId="5BFC754C"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36"/>
          <w:szCs w:val="36"/>
          <w:lang w:eastAsia="ko-KR"/>
        </w:rPr>
      </w:pPr>
    </w:p>
    <w:p w14:paraId="7F2CC9AF"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auto"/>
          <w:sz w:val="44"/>
          <w:szCs w:val="36"/>
          <w:lang w:eastAsia="ko-KR"/>
        </w:rPr>
      </w:pPr>
      <w:r w:rsidRPr="009002F0">
        <w:rPr>
          <w:rFonts w:ascii="Calibri" w:eastAsia="Malgun Gothic" w:hAnsi="Calibri" w:cs="Times New Roman"/>
          <w:b/>
          <w:color w:val="auto"/>
          <w:sz w:val="44"/>
          <w:szCs w:val="36"/>
          <w:lang w:eastAsia="ko-KR"/>
        </w:rPr>
        <w:t xml:space="preserve">MALAYSIA: </w:t>
      </w:r>
    </w:p>
    <w:p w14:paraId="7442400C"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auto"/>
          <w:sz w:val="44"/>
          <w:szCs w:val="36"/>
          <w:lang w:eastAsia="ko-KR"/>
        </w:rPr>
      </w:pPr>
      <w:r w:rsidRPr="009002F0">
        <w:rPr>
          <w:rFonts w:ascii="Calibri" w:eastAsia="Malgun Gothic" w:hAnsi="Calibri" w:cs="Times New Roman"/>
          <w:b/>
          <w:color w:val="auto"/>
          <w:sz w:val="44"/>
          <w:szCs w:val="36"/>
          <w:lang w:eastAsia="ko-KR"/>
        </w:rPr>
        <w:t>Estimating the Number of Foreign Workers</w:t>
      </w:r>
    </w:p>
    <w:p w14:paraId="2CA007C5"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1256CA57"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269D20CE"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Wei San Loh, Kenneth Simler, Kershia Tan Wei, and Soonhwa Yi</w:t>
      </w:r>
      <w:r w:rsidRPr="009002F0">
        <w:rPr>
          <w:rFonts w:ascii="ZWAdobeF" w:eastAsia="Malgun Gothic" w:hAnsi="ZWAdobeF" w:cs="ZWAdobeF"/>
          <w:color w:val="auto"/>
          <w:sz w:val="2"/>
          <w:szCs w:val="2"/>
          <w:lang w:eastAsia="ko-KR"/>
        </w:rPr>
        <w:t>0F</w:t>
      </w:r>
      <w:r w:rsidRPr="009002F0">
        <w:rPr>
          <w:rFonts w:ascii="Calibri" w:eastAsia="Malgun Gothic" w:hAnsi="Calibri" w:cs="Times New Roman"/>
          <w:color w:val="auto"/>
          <w:sz w:val="22"/>
          <w:szCs w:val="22"/>
          <w:vertAlign w:val="superscript"/>
          <w:lang w:eastAsia="ko-KR"/>
        </w:rPr>
        <w:footnoteReference w:id="1"/>
      </w:r>
    </w:p>
    <w:p w14:paraId="75005753"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2922F8D9"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March 28, 2019</w:t>
      </w:r>
    </w:p>
    <w:p w14:paraId="3DB173AD"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5BAF7B54"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761B2A4B"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0B3264DA"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p>
    <w:p w14:paraId="2753BE5D"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0"/>
          <w:szCs w:val="20"/>
          <w:lang w:eastAsia="zh-CN"/>
        </w:rPr>
        <w:drawing>
          <wp:anchor distT="152400" distB="152400" distL="152400" distR="152400" simplePos="0" relativeHeight="251659264" behindDoc="1" locked="0" layoutInCell="1" allowOverlap="1" wp14:anchorId="68F1FA63" wp14:editId="261F8B66">
            <wp:simplePos x="0" y="0"/>
            <wp:positionH relativeFrom="margin">
              <wp:align>center</wp:align>
            </wp:positionH>
            <wp:positionV relativeFrom="page">
              <wp:posOffset>7753350</wp:posOffset>
            </wp:positionV>
            <wp:extent cx="2343785" cy="561964"/>
            <wp:effectExtent l="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12">
                      <a:extLst/>
                    </a:blip>
                    <a:stretch>
                      <a:fillRect/>
                    </a:stretch>
                  </pic:blipFill>
                  <pic:spPr>
                    <a:xfrm>
                      <a:off x="0" y="0"/>
                      <a:ext cx="2343785" cy="5619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2BAADFB"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5EB158DD"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54AAF897"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lang w:eastAsia="ko-KR"/>
        </w:rPr>
      </w:pPr>
    </w:p>
    <w:p w14:paraId="3E0F9EAF"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br w:type="page"/>
      </w:r>
    </w:p>
    <w:p w14:paraId="784773A4" w14:textId="77777777" w:rsidR="009002F0" w:rsidRPr="009002F0" w:rsidRDefault="009002F0" w:rsidP="009002F0">
      <w:pPr>
        <w:widowControl/>
        <w:autoSpaceDE/>
        <w:autoSpaceDN/>
        <w:adjustRightInd/>
        <w:spacing w:after="120" w:line="264" w:lineRule="auto"/>
        <w:rPr>
          <w:rFonts w:ascii="Calibri" w:eastAsia="Malgun Gothic" w:hAnsi="Calibri" w:cs="Calibri"/>
          <w:color w:val="00ADE4"/>
          <w:sz w:val="20"/>
          <w:szCs w:val="20"/>
          <w:lang w:eastAsia="ko-KR"/>
        </w:rPr>
      </w:pPr>
      <w:bookmarkStart w:id="2" w:name="_Hlk515596333"/>
      <w:r w:rsidRPr="009002F0">
        <w:rPr>
          <w:rFonts w:ascii="Calibri" w:eastAsia="Malgun Gothic" w:hAnsi="Calibri" w:cs="Calibri"/>
          <w:b/>
          <w:color w:val="00ADE4"/>
          <w:sz w:val="20"/>
          <w:szCs w:val="20"/>
          <w:lang w:eastAsia="ko-KR"/>
        </w:rPr>
        <w:lastRenderedPageBreak/>
        <w:br w:type="page"/>
      </w:r>
    </w:p>
    <w:sdt>
      <w:sdtPr>
        <w:rPr>
          <w:rFonts w:ascii="Calibri" w:eastAsia="Malgun Gothic" w:hAnsi="Calibri" w:cs="Calibri"/>
          <w:color w:val="00ADE4"/>
          <w:sz w:val="20"/>
          <w:szCs w:val="20"/>
          <w:lang w:eastAsia="ko-KR"/>
        </w:rPr>
        <w:id w:val="-1935193488"/>
        <w:docPartObj>
          <w:docPartGallery w:val="Table of Contents"/>
          <w:docPartUnique/>
        </w:docPartObj>
      </w:sdtPr>
      <w:sdtEndPr>
        <w:rPr>
          <w:b/>
          <w:bCs/>
          <w:noProof/>
          <w:color w:val="auto"/>
          <w:sz w:val="22"/>
          <w:szCs w:val="22"/>
        </w:rPr>
      </w:sdtEndPr>
      <w:sdtContent>
        <w:p w14:paraId="682C5323" w14:textId="77777777" w:rsidR="009002F0" w:rsidRPr="009002F0" w:rsidRDefault="009002F0" w:rsidP="009002F0">
          <w:pPr>
            <w:keepNext/>
            <w:keepLines/>
            <w:widowControl/>
            <w:autoSpaceDE/>
            <w:autoSpaceDN/>
            <w:adjustRightInd/>
            <w:spacing w:before="320" w:after="240"/>
            <w:rPr>
              <w:rFonts w:ascii="Calibri" w:eastAsia="Malgun Gothic" w:hAnsi="Calibri" w:cs="Calibri"/>
              <w:color w:val="002060"/>
              <w:sz w:val="32"/>
              <w:szCs w:val="32"/>
              <w:lang w:eastAsia="ko-KR"/>
            </w:rPr>
          </w:pPr>
          <w:r w:rsidRPr="009002F0">
            <w:rPr>
              <w:rFonts w:ascii="Calibri" w:eastAsia="Malgun Gothic" w:hAnsi="Calibri" w:cs="Calibri"/>
              <w:color w:val="002060"/>
              <w:sz w:val="32"/>
              <w:szCs w:val="32"/>
              <w:lang w:eastAsia="ko-KR"/>
            </w:rPr>
            <w:t>Table of Contents</w:t>
          </w:r>
        </w:p>
        <w:p w14:paraId="077E4999"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ko-KR"/>
            </w:rPr>
          </w:pPr>
        </w:p>
        <w:p w14:paraId="12DA2AEE" w14:textId="77777777" w:rsidR="009002F0" w:rsidRPr="009002F0" w:rsidRDefault="009002F0" w:rsidP="009002F0">
          <w:pPr>
            <w:widowControl/>
            <w:tabs>
              <w:tab w:val="right" w:leader="dot" w:pos="9016"/>
            </w:tabs>
            <w:autoSpaceDE/>
            <w:autoSpaceDN/>
            <w:adjustRightInd/>
            <w:spacing w:after="100" w:line="264" w:lineRule="auto"/>
            <w:rPr>
              <w:rFonts w:ascii="Calibri" w:eastAsia="Malgun Gothic" w:hAnsi="Calibri" w:cs="Times New Roman"/>
              <w:noProof/>
              <w:color w:val="auto"/>
              <w:sz w:val="22"/>
              <w:szCs w:val="22"/>
            </w:rPr>
          </w:pPr>
          <w:r w:rsidRPr="009002F0">
            <w:rPr>
              <w:rFonts w:ascii="Calibri" w:eastAsia="Malgun Gothic" w:hAnsi="Calibri" w:cs="Calibri"/>
              <w:sz w:val="22"/>
              <w:szCs w:val="22"/>
              <w:lang w:eastAsia="ko-KR"/>
            </w:rPr>
            <w:fldChar w:fldCharType="begin"/>
          </w:r>
          <w:r w:rsidRPr="009002F0">
            <w:rPr>
              <w:rFonts w:ascii="Calibri" w:eastAsia="Malgun Gothic" w:hAnsi="Calibri" w:cs="Calibri"/>
              <w:sz w:val="22"/>
              <w:szCs w:val="22"/>
              <w:lang w:eastAsia="ko-KR"/>
            </w:rPr>
            <w:instrText xml:space="preserve"> TOC \o "1-3" \h \z \u </w:instrText>
          </w:r>
          <w:r w:rsidRPr="009002F0">
            <w:rPr>
              <w:rFonts w:ascii="Calibri" w:eastAsia="Malgun Gothic" w:hAnsi="Calibri" w:cs="Calibri"/>
              <w:sz w:val="22"/>
              <w:szCs w:val="22"/>
              <w:lang w:eastAsia="ko-KR"/>
            </w:rPr>
            <w:fldChar w:fldCharType="separate"/>
          </w:r>
          <w:hyperlink w:anchor="_Toc4581505" w:history="1">
            <w:r w:rsidRPr="009002F0">
              <w:rPr>
                <w:rFonts w:ascii="Calibri" w:eastAsia="Malgun Gothic" w:hAnsi="Calibri" w:cs="Times New Roman"/>
                <w:noProof/>
                <w:color w:val="0563C1"/>
                <w:sz w:val="20"/>
                <w:szCs w:val="20"/>
                <w:u w:val="single"/>
                <w:lang w:eastAsia="ko-KR"/>
              </w:rPr>
              <w:t>Executive Summary</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_Toc4581505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vii</w:t>
            </w:r>
            <w:r w:rsidRPr="009002F0">
              <w:rPr>
                <w:rFonts w:ascii="Calibri" w:eastAsia="Malgun Gothic" w:hAnsi="Calibri" w:cs="Times New Roman"/>
                <w:noProof/>
                <w:webHidden/>
                <w:color w:val="auto"/>
                <w:sz w:val="20"/>
                <w:szCs w:val="20"/>
                <w:lang w:eastAsia="ko-KR"/>
              </w:rPr>
              <w:fldChar w:fldCharType="end"/>
            </w:r>
          </w:hyperlink>
        </w:p>
        <w:p w14:paraId="56ADB6B7"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06" w:history="1">
            <w:r w:rsidRPr="009002F0">
              <w:rPr>
                <w:rFonts w:ascii="Calibri" w:eastAsia="Malgun Gothic" w:hAnsi="Calibri" w:cs="Times New Roman"/>
                <w:noProof/>
                <w:color w:val="0563C1"/>
                <w:sz w:val="20"/>
                <w:szCs w:val="20"/>
                <w:u w:val="single"/>
                <w:lang w:eastAsia="ko-KR"/>
              </w:rPr>
              <w:t>1.</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Introduction</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_Toc4581506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w:t>
            </w:r>
            <w:r w:rsidRPr="009002F0">
              <w:rPr>
                <w:rFonts w:ascii="Calibri" w:eastAsia="Malgun Gothic" w:hAnsi="Calibri" w:cs="Times New Roman"/>
                <w:noProof/>
                <w:webHidden/>
                <w:color w:val="auto"/>
                <w:sz w:val="20"/>
                <w:szCs w:val="20"/>
                <w:lang w:eastAsia="ko-KR"/>
              </w:rPr>
              <w:fldChar w:fldCharType="end"/>
            </w:r>
          </w:hyperlink>
        </w:p>
        <w:p w14:paraId="6147648B"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07" w:history="1">
            <w:r w:rsidRPr="009002F0">
              <w:rPr>
                <w:rFonts w:ascii="Calibri" w:eastAsia="Malgun Gothic" w:hAnsi="Calibri" w:cs="Times New Roman"/>
                <w:noProof/>
                <w:color w:val="0563C1"/>
                <w:sz w:val="20"/>
                <w:szCs w:val="20"/>
                <w:u w:val="single"/>
                <w:lang w:eastAsia="ko-KR"/>
              </w:rPr>
              <w:t>2.</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Conceptual framework</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_Toc4581507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w:t>
            </w:r>
            <w:r w:rsidRPr="009002F0">
              <w:rPr>
                <w:rFonts w:ascii="Calibri" w:eastAsia="Malgun Gothic" w:hAnsi="Calibri" w:cs="Times New Roman"/>
                <w:noProof/>
                <w:webHidden/>
                <w:color w:val="auto"/>
                <w:sz w:val="20"/>
                <w:szCs w:val="20"/>
                <w:lang w:eastAsia="ko-KR"/>
              </w:rPr>
              <w:fldChar w:fldCharType="end"/>
            </w:r>
          </w:hyperlink>
        </w:p>
        <w:p w14:paraId="0AE90F14"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08" w:history="1">
            <w:r w:rsidRPr="009002F0">
              <w:rPr>
                <w:rFonts w:ascii="Calibri" w:eastAsia="Malgun Gothic" w:hAnsi="Calibri" w:cs="Times New Roman"/>
                <w:noProof/>
                <w:color w:val="0563C1"/>
                <w:sz w:val="20"/>
                <w:szCs w:val="20"/>
                <w:u w:val="single"/>
              </w:rPr>
              <w:t>2.1 Definitions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_Toc4581508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w:t>
            </w:r>
            <w:r w:rsidRPr="009002F0">
              <w:rPr>
                <w:rFonts w:ascii="Calibri" w:eastAsia="Malgun Gothic" w:hAnsi="Calibri" w:cs="Times New Roman"/>
                <w:noProof/>
                <w:webHidden/>
                <w:color w:val="auto"/>
                <w:sz w:val="20"/>
                <w:szCs w:val="20"/>
                <w:lang w:eastAsia="ko-KR"/>
              </w:rPr>
              <w:fldChar w:fldCharType="end"/>
            </w:r>
          </w:hyperlink>
        </w:p>
        <w:p w14:paraId="29F418EE"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09" w:history="1">
            <w:r w:rsidRPr="009002F0">
              <w:rPr>
                <w:rFonts w:ascii="Calibri" w:eastAsia="Malgun Gothic" w:hAnsi="Calibri" w:cs="Times New Roman"/>
                <w:noProof/>
                <w:color w:val="0563C1"/>
                <w:sz w:val="20"/>
                <w:szCs w:val="20"/>
                <w:u w:val="single"/>
              </w:rPr>
              <w:t>2.1.1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_Toc4581509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w:t>
            </w:r>
            <w:r w:rsidRPr="009002F0">
              <w:rPr>
                <w:rFonts w:ascii="Calibri" w:eastAsia="Malgun Gothic" w:hAnsi="Calibri" w:cs="Times New Roman"/>
                <w:noProof/>
                <w:webHidden/>
                <w:color w:val="auto"/>
                <w:sz w:val="20"/>
                <w:szCs w:val="20"/>
                <w:lang w:eastAsia="ko-KR"/>
              </w:rPr>
              <w:fldChar w:fldCharType="end"/>
            </w:r>
          </w:hyperlink>
        </w:p>
        <w:p w14:paraId="146D31D0"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0" w:history="1">
            <w:r w:rsidRPr="009002F0">
              <w:rPr>
                <w:rFonts w:ascii="Calibri" w:eastAsia="Malgun Gothic" w:hAnsi="Calibri" w:cs="Times New Roman"/>
                <w:noProof/>
                <w:color w:val="0563C1"/>
                <w:sz w:val="20"/>
                <w:szCs w:val="20"/>
                <w:u w:val="single"/>
              </w:rPr>
              <w:t>2.1.2 Irregular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w:t>
            </w:r>
            <w:r w:rsidRPr="009002F0">
              <w:rPr>
                <w:rFonts w:ascii="Calibri" w:eastAsia="Malgun Gothic" w:hAnsi="Calibri" w:cs="Times New Roman"/>
                <w:noProof/>
                <w:webHidden/>
                <w:color w:val="auto"/>
                <w:sz w:val="20"/>
                <w:szCs w:val="20"/>
                <w:lang w:eastAsia="ko-KR"/>
              </w:rPr>
              <w:fldChar w:fldCharType="end"/>
            </w:r>
          </w:hyperlink>
        </w:p>
        <w:p w14:paraId="3C1CB9C0"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11" w:history="1">
            <w:r w:rsidRPr="009002F0">
              <w:rPr>
                <w:rFonts w:ascii="Calibri" w:eastAsia="Malgun Gothic" w:hAnsi="Calibri" w:cs="Times New Roman"/>
                <w:noProof/>
                <w:color w:val="0563C1"/>
                <w:sz w:val="20"/>
                <w:szCs w:val="20"/>
                <w:u w:val="single"/>
              </w:rPr>
              <w:t>2.2 Foreign employment system</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6</w:t>
            </w:r>
            <w:r w:rsidRPr="009002F0">
              <w:rPr>
                <w:rFonts w:ascii="Calibri" w:eastAsia="Malgun Gothic" w:hAnsi="Calibri" w:cs="Times New Roman"/>
                <w:noProof/>
                <w:webHidden/>
                <w:color w:val="auto"/>
                <w:sz w:val="20"/>
                <w:szCs w:val="20"/>
                <w:lang w:eastAsia="ko-KR"/>
              </w:rPr>
              <w:fldChar w:fldCharType="end"/>
            </w:r>
          </w:hyperlink>
        </w:p>
        <w:p w14:paraId="350ED5A4"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2" w:history="1">
            <w:r w:rsidRPr="009002F0">
              <w:rPr>
                <w:rFonts w:ascii="Calibri" w:eastAsia="Malgun Gothic" w:hAnsi="Calibri" w:cs="Times New Roman"/>
                <w:noProof/>
                <w:color w:val="0563C1"/>
                <w:sz w:val="20"/>
                <w:szCs w:val="20"/>
                <w:u w:val="single"/>
                <w:lang w:eastAsia="zh-CN"/>
              </w:rPr>
              <w:t>2.2.1 Who is permitted to take up employment?</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6</w:t>
            </w:r>
            <w:r w:rsidRPr="009002F0">
              <w:rPr>
                <w:rFonts w:ascii="Calibri" w:eastAsia="Malgun Gothic" w:hAnsi="Calibri" w:cs="Times New Roman"/>
                <w:noProof/>
                <w:webHidden/>
                <w:color w:val="auto"/>
                <w:sz w:val="20"/>
                <w:szCs w:val="20"/>
                <w:lang w:eastAsia="ko-KR"/>
              </w:rPr>
              <w:fldChar w:fldCharType="end"/>
            </w:r>
          </w:hyperlink>
        </w:p>
        <w:p w14:paraId="1526B4B8"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3" w:history="1">
            <w:r w:rsidRPr="009002F0">
              <w:rPr>
                <w:rFonts w:ascii="Calibri" w:eastAsia="Malgun Gothic" w:hAnsi="Calibri" w:cs="Times New Roman"/>
                <w:noProof/>
                <w:color w:val="0563C1"/>
                <w:sz w:val="20"/>
                <w:szCs w:val="20"/>
                <w:u w:val="single"/>
                <w:lang w:eastAsia="zh-CN"/>
              </w:rPr>
              <w:t>2.2.2 Who is not permitted to work?</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8</w:t>
            </w:r>
            <w:r w:rsidRPr="009002F0">
              <w:rPr>
                <w:rFonts w:ascii="Calibri" w:eastAsia="Malgun Gothic" w:hAnsi="Calibri" w:cs="Times New Roman"/>
                <w:noProof/>
                <w:webHidden/>
                <w:color w:val="auto"/>
                <w:sz w:val="20"/>
                <w:szCs w:val="20"/>
                <w:lang w:eastAsia="ko-KR"/>
              </w:rPr>
              <w:fldChar w:fldCharType="end"/>
            </w:r>
          </w:hyperlink>
        </w:p>
        <w:p w14:paraId="08EFBCE8"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4" w:history="1">
            <w:r w:rsidRPr="009002F0">
              <w:rPr>
                <w:rFonts w:ascii="Calibri" w:eastAsia="Malgun Gothic" w:hAnsi="Calibri" w:cs="Times New Roman"/>
                <w:noProof/>
                <w:color w:val="0563C1"/>
                <w:sz w:val="20"/>
                <w:szCs w:val="20"/>
                <w:u w:val="single"/>
                <w:lang w:eastAsia="zh-CN"/>
              </w:rPr>
              <w:t>2.2.3 The process for employing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9</w:t>
            </w:r>
            <w:r w:rsidRPr="009002F0">
              <w:rPr>
                <w:rFonts w:ascii="Calibri" w:eastAsia="Malgun Gothic" w:hAnsi="Calibri" w:cs="Times New Roman"/>
                <w:noProof/>
                <w:webHidden/>
                <w:color w:val="auto"/>
                <w:sz w:val="20"/>
                <w:szCs w:val="20"/>
                <w:lang w:eastAsia="ko-KR"/>
              </w:rPr>
              <w:fldChar w:fldCharType="end"/>
            </w:r>
          </w:hyperlink>
        </w:p>
        <w:p w14:paraId="702EBD63"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15" w:history="1">
            <w:r w:rsidRPr="009002F0">
              <w:rPr>
                <w:rFonts w:ascii="Calibri" w:eastAsia="Malgun Gothic" w:hAnsi="Calibri" w:cs="Times New Roman"/>
                <w:noProof/>
                <w:color w:val="0563C1"/>
                <w:sz w:val="20"/>
                <w:szCs w:val="20"/>
                <w:u w:val="single"/>
              </w:rPr>
              <w:t>2.3 Pathways to irregular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12</w:t>
            </w:r>
            <w:r w:rsidRPr="009002F0">
              <w:rPr>
                <w:rFonts w:ascii="Calibri" w:eastAsia="Malgun Gothic" w:hAnsi="Calibri" w:cs="Times New Roman"/>
                <w:noProof/>
                <w:webHidden/>
                <w:color w:val="auto"/>
                <w:sz w:val="20"/>
                <w:szCs w:val="20"/>
                <w:lang w:eastAsia="ko-KR"/>
              </w:rPr>
              <w:fldChar w:fldCharType="end"/>
            </w:r>
          </w:hyperlink>
        </w:p>
        <w:p w14:paraId="4C246624"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6" w:history="1">
            <w:r w:rsidRPr="009002F0">
              <w:rPr>
                <w:rFonts w:ascii="Calibri" w:eastAsia="Malgun Gothic" w:hAnsi="Calibri" w:cs="Times New Roman"/>
                <w:noProof/>
                <w:color w:val="0563C1"/>
                <w:sz w:val="20"/>
                <w:szCs w:val="20"/>
                <w:u w:val="single"/>
                <w:lang w:eastAsia="zh-CN"/>
              </w:rPr>
              <w:t xml:space="preserve">2.3.1 During the </w:t>
            </w:r>
            <w:r w:rsidRPr="009002F0">
              <w:rPr>
                <w:rFonts w:ascii="Calibri" w:eastAsia="MS Gothic" w:hAnsi="Calibri" w:cs="Times New Roman"/>
                <w:noProof/>
                <w:color w:val="0563C1"/>
                <w:sz w:val="20"/>
                <w:szCs w:val="20"/>
                <w:u w:val="single"/>
              </w:rPr>
              <w:t>admission</w:t>
            </w:r>
            <w:r w:rsidRPr="009002F0">
              <w:rPr>
                <w:rFonts w:ascii="Calibri" w:eastAsia="Malgun Gothic" w:hAnsi="Calibri" w:cs="Times New Roman"/>
                <w:noProof/>
                <w:color w:val="0563C1"/>
                <w:sz w:val="20"/>
                <w:szCs w:val="20"/>
                <w:u w:val="single"/>
                <w:lang w:eastAsia="zh-CN"/>
              </w:rPr>
              <w:t xml:space="preserve"> stage</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13</w:t>
            </w:r>
            <w:r w:rsidRPr="009002F0">
              <w:rPr>
                <w:rFonts w:ascii="Calibri" w:eastAsia="Malgun Gothic" w:hAnsi="Calibri" w:cs="Times New Roman"/>
                <w:noProof/>
                <w:webHidden/>
                <w:color w:val="auto"/>
                <w:sz w:val="20"/>
                <w:szCs w:val="20"/>
                <w:lang w:eastAsia="ko-KR"/>
              </w:rPr>
              <w:fldChar w:fldCharType="end"/>
            </w:r>
          </w:hyperlink>
        </w:p>
        <w:p w14:paraId="2B6F5190"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7" w:history="1">
            <w:r w:rsidRPr="009002F0">
              <w:rPr>
                <w:rFonts w:ascii="Calibri" w:eastAsia="Malgun Gothic" w:hAnsi="Calibri" w:cs="Times New Roman"/>
                <w:noProof/>
                <w:color w:val="0563C1"/>
                <w:sz w:val="20"/>
                <w:szCs w:val="20"/>
                <w:u w:val="single"/>
                <w:lang w:eastAsia="zh-CN"/>
              </w:rPr>
              <w:t xml:space="preserve">2.3.2 During the </w:t>
            </w:r>
            <w:r w:rsidRPr="009002F0">
              <w:rPr>
                <w:rFonts w:ascii="Calibri" w:eastAsia="MS Gothic" w:hAnsi="Calibri" w:cs="Times New Roman"/>
                <w:noProof/>
                <w:color w:val="0563C1"/>
                <w:sz w:val="20"/>
                <w:szCs w:val="20"/>
                <w:u w:val="single"/>
              </w:rPr>
              <w:t>employment</w:t>
            </w:r>
            <w:r w:rsidRPr="009002F0">
              <w:rPr>
                <w:rFonts w:ascii="Calibri" w:eastAsia="Malgun Gothic" w:hAnsi="Calibri" w:cs="Times New Roman"/>
                <w:noProof/>
                <w:color w:val="0563C1"/>
                <w:sz w:val="20"/>
                <w:szCs w:val="20"/>
                <w:u w:val="single"/>
                <w:lang w:eastAsia="zh-CN"/>
              </w:rPr>
              <w:t xml:space="preserve"> stage</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14</w:t>
            </w:r>
            <w:r w:rsidRPr="009002F0">
              <w:rPr>
                <w:rFonts w:ascii="Calibri" w:eastAsia="Malgun Gothic" w:hAnsi="Calibri" w:cs="Times New Roman"/>
                <w:noProof/>
                <w:webHidden/>
                <w:color w:val="auto"/>
                <w:sz w:val="20"/>
                <w:szCs w:val="20"/>
                <w:lang w:eastAsia="ko-KR"/>
              </w:rPr>
              <w:fldChar w:fldCharType="end"/>
            </w:r>
          </w:hyperlink>
        </w:p>
        <w:p w14:paraId="6898DD06"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18" w:history="1">
            <w:r w:rsidRPr="009002F0">
              <w:rPr>
                <w:rFonts w:ascii="Calibri" w:eastAsia="Malgun Gothic" w:hAnsi="Calibri" w:cs="Times New Roman"/>
                <w:noProof/>
                <w:color w:val="0563C1"/>
                <w:sz w:val="20"/>
                <w:szCs w:val="20"/>
                <w:u w:val="single"/>
                <w:lang w:eastAsia="zh-CN"/>
              </w:rPr>
              <w:t xml:space="preserve">2.3.3 At the </w:t>
            </w:r>
            <w:r w:rsidRPr="009002F0">
              <w:rPr>
                <w:rFonts w:ascii="Calibri" w:eastAsia="MS Gothic" w:hAnsi="Calibri" w:cs="Times New Roman"/>
                <w:noProof/>
                <w:color w:val="0563C1"/>
                <w:sz w:val="20"/>
                <w:szCs w:val="20"/>
                <w:u w:val="single"/>
              </w:rPr>
              <w:t>exit</w:t>
            </w:r>
            <w:r w:rsidRPr="009002F0">
              <w:rPr>
                <w:rFonts w:ascii="Calibri" w:eastAsia="Malgun Gothic" w:hAnsi="Calibri" w:cs="Times New Roman"/>
                <w:noProof/>
                <w:color w:val="0563C1"/>
                <w:sz w:val="20"/>
                <w:szCs w:val="20"/>
                <w:u w:val="single"/>
                <w:lang w:eastAsia="zh-CN"/>
              </w:rPr>
              <w:t xml:space="preserve"> stage</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16</w:t>
            </w:r>
            <w:r w:rsidRPr="009002F0">
              <w:rPr>
                <w:rFonts w:ascii="Calibri" w:eastAsia="Malgun Gothic" w:hAnsi="Calibri" w:cs="Times New Roman"/>
                <w:noProof/>
                <w:webHidden/>
                <w:color w:val="auto"/>
                <w:sz w:val="20"/>
                <w:szCs w:val="20"/>
                <w:lang w:eastAsia="ko-KR"/>
              </w:rPr>
              <w:fldChar w:fldCharType="end"/>
            </w:r>
          </w:hyperlink>
        </w:p>
        <w:p w14:paraId="4B64159B"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19" w:history="1">
            <w:r w:rsidRPr="009002F0">
              <w:rPr>
                <w:rFonts w:ascii="Calibri" w:eastAsia="Malgun Gothic" w:hAnsi="Calibri" w:cs="Times New Roman"/>
                <w:noProof/>
                <w:color w:val="0563C1"/>
                <w:sz w:val="20"/>
                <w:szCs w:val="20"/>
                <w:u w:val="single"/>
                <w:lang w:eastAsia="ko-KR"/>
              </w:rPr>
              <w:t>3.</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Existing estimates of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_Toc4581519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17</w:t>
            </w:r>
            <w:r w:rsidRPr="009002F0">
              <w:rPr>
                <w:rFonts w:ascii="Calibri" w:eastAsia="Malgun Gothic" w:hAnsi="Calibri" w:cs="Times New Roman"/>
                <w:noProof/>
                <w:webHidden/>
                <w:color w:val="auto"/>
                <w:sz w:val="20"/>
                <w:szCs w:val="20"/>
                <w:lang w:eastAsia="ko-KR"/>
              </w:rPr>
              <w:fldChar w:fldCharType="end"/>
            </w:r>
          </w:hyperlink>
        </w:p>
        <w:p w14:paraId="599DC0C3"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0" w:history="1">
            <w:r w:rsidRPr="009002F0">
              <w:rPr>
                <w:rFonts w:ascii="Calibri" w:eastAsia="Malgun Gothic" w:hAnsi="Calibri" w:cs="Times New Roman"/>
                <w:noProof/>
                <w:color w:val="0563C1"/>
                <w:sz w:val="20"/>
                <w:szCs w:val="20"/>
                <w:u w:val="single"/>
                <w:lang w:eastAsia="ko-KR"/>
              </w:rPr>
              <w:t>3.1 The latest available estimates of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17</w:t>
            </w:r>
            <w:r w:rsidRPr="009002F0">
              <w:rPr>
                <w:rFonts w:ascii="Calibri" w:eastAsia="Malgun Gothic" w:hAnsi="Calibri" w:cs="Times New Roman"/>
                <w:noProof/>
                <w:webHidden/>
                <w:color w:val="auto"/>
                <w:sz w:val="20"/>
                <w:szCs w:val="20"/>
                <w:lang w:eastAsia="ko-KR"/>
              </w:rPr>
              <w:fldChar w:fldCharType="end"/>
            </w:r>
          </w:hyperlink>
        </w:p>
        <w:p w14:paraId="13F8D06F"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1" w:history="1">
            <w:r w:rsidRPr="009002F0">
              <w:rPr>
                <w:rFonts w:ascii="Calibri" w:eastAsia="Malgun Gothic" w:hAnsi="Calibri" w:cs="Times New Roman"/>
                <w:noProof/>
                <w:color w:val="0563C1"/>
                <w:sz w:val="20"/>
                <w:szCs w:val="20"/>
                <w:u w:val="single"/>
              </w:rPr>
              <w:t>3.2 Trends and stylized facts of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18</w:t>
            </w:r>
            <w:r w:rsidRPr="009002F0">
              <w:rPr>
                <w:rFonts w:ascii="Calibri" w:eastAsia="Malgun Gothic" w:hAnsi="Calibri" w:cs="Times New Roman"/>
                <w:noProof/>
                <w:webHidden/>
                <w:color w:val="auto"/>
                <w:sz w:val="20"/>
                <w:szCs w:val="20"/>
                <w:lang w:eastAsia="ko-KR"/>
              </w:rPr>
              <w:fldChar w:fldCharType="end"/>
            </w:r>
          </w:hyperlink>
        </w:p>
        <w:p w14:paraId="4B60F2C3"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2" w:history="1">
            <w:r w:rsidRPr="009002F0">
              <w:rPr>
                <w:rFonts w:ascii="Calibri" w:eastAsia="Malgun Gothic" w:hAnsi="Calibri" w:cs="Times New Roman"/>
                <w:noProof/>
                <w:color w:val="0563C1"/>
                <w:sz w:val="20"/>
                <w:szCs w:val="20"/>
                <w:u w:val="single"/>
              </w:rPr>
              <w:t>3.3 How many are irregulars?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21</w:t>
            </w:r>
            <w:r w:rsidRPr="009002F0">
              <w:rPr>
                <w:rFonts w:ascii="Calibri" w:eastAsia="Malgun Gothic" w:hAnsi="Calibri" w:cs="Times New Roman"/>
                <w:noProof/>
                <w:webHidden/>
                <w:color w:val="auto"/>
                <w:sz w:val="20"/>
                <w:szCs w:val="20"/>
                <w:lang w:eastAsia="ko-KR"/>
              </w:rPr>
              <w:fldChar w:fldCharType="end"/>
            </w:r>
          </w:hyperlink>
        </w:p>
        <w:p w14:paraId="614E04C5"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23" w:history="1">
            <w:r w:rsidRPr="009002F0">
              <w:rPr>
                <w:rFonts w:ascii="Calibri" w:eastAsia="Malgun Gothic" w:hAnsi="Calibri" w:cs="Times New Roman"/>
                <w:noProof/>
                <w:color w:val="0563C1"/>
                <w:sz w:val="20"/>
                <w:szCs w:val="20"/>
                <w:u w:val="single"/>
                <w:lang w:eastAsia="ko-KR"/>
              </w:rPr>
              <w:t>4.</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Administrative data sources to estimate irregular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26</w:t>
            </w:r>
            <w:r w:rsidRPr="009002F0">
              <w:rPr>
                <w:rFonts w:ascii="Calibri" w:eastAsia="Malgun Gothic" w:hAnsi="Calibri" w:cs="Times New Roman"/>
                <w:noProof/>
                <w:webHidden/>
                <w:color w:val="auto"/>
                <w:sz w:val="20"/>
                <w:szCs w:val="20"/>
                <w:lang w:eastAsia="ko-KR"/>
              </w:rPr>
              <w:fldChar w:fldCharType="end"/>
            </w:r>
          </w:hyperlink>
        </w:p>
        <w:p w14:paraId="0919E2EB"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4" w:history="1">
            <w:r w:rsidRPr="009002F0">
              <w:rPr>
                <w:rFonts w:ascii="Calibri" w:eastAsia="Malgun Gothic" w:hAnsi="Calibri" w:cs="Times New Roman"/>
                <w:noProof/>
                <w:color w:val="0563C1"/>
                <w:sz w:val="20"/>
                <w:szCs w:val="20"/>
                <w:u w:val="single"/>
              </w:rPr>
              <w:t>4.1 Foreign workers present as tourists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27</w:t>
            </w:r>
            <w:r w:rsidRPr="009002F0">
              <w:rPr>
                <w:rFonts w:ascii="Calibri" w:eastAsia="Malgun Gothic" w:hAnsi="Calibri" w:cs="Times New Roman"/>
                <w:noProof/>
                <w:webHidden/>
                <w:color w:val="auto"/>
                <w:sz w:val="20"/>
                <w:szCs w:val="20"/>
                <w:lang w:eastAsia="ko-KR"/>
              </w:rPr>
              <w:fldChar w:fldCharType="end"/>
            </w:r>
          </w:hyperlink>
        </w:p>
        <w:p w14:paraId="412313AF"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5" w:history="1">
            <w:r w:rsidRPr="009002F0">
              <w:rPr>
                <w:rFonts w:ascii="Calibri" w:eastAsia="Malgun Gothic" w:hAnsi="Calibri" w:cs="Times New Roman"/>
                <w:noProof/>
                <w:color w:val="0563C1"/>
                <w:sz w:val="20"/>
                <w:szCs w:val="20"/>
                <w:u w:val="single"/>
              </w:rPr>
              <w:t>4.2 Refugees and asylum seekers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28</w:t>
            </w:r>
            <w:r w:rsidRPr="009002F0">
              <w:rPr>
                <w:rFonts w:ascii="Calibri" w:eastAsia="Malgun Gothic" w:hAnsi="Calibri" w:cs="Times New Roman"/>
                <w:noProof/>
                <w:webHidden/>
                <w:color w:val="auto"/>
                <w:sz w:val="20"/>
                <w:szCs w:val="20"/>
                <w:lang w:eastAsia="ko-KR"/>
              </w:rPr>
              <w:fldChar w:fldCharType="end"/>
            </w:r>
          </w:hyperlink>
        </w:p>
        <w:p w14:paraId="79B6F0E5"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6" w:history="1">
            <w:r w:rsidRPr="009002F0">
              <w:rPr>
                <w:rFonts w:ascii="Calibri" w:eastAsia="Malgun Gothic" w:hAnsi="Calibri" w:cs="Times New Roman"/>
                <w:noProof/>
                <w:color w:val="0563C1"/>
                <w:sz w:val="20"/>
                <w:szCs w:val="20"/>
                <w:u w:val="single"/>
              </w:rPr>
              <w:t>4.3 Regular foreign workers becoming irregular (flows)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29</w:t>
            </w:r>
            <w:r w:rsidRPr="009002F0">
              <w:rPr>
                <w:rFonts w:ascii="Calibri" w:eastAsia="Malgun Gothic" w:hAnsi="Calibri" w:cs="Times New Roman"/>
                <w:noProof/>
                <w:webHidden/>
                <w:color w:val="auto"/>
                <w:sz w:val="20"/>
                <w:szCs w:val="20"/>
                <w:lang w:eastAsia="ko-KR"/>
              </w:rPr>
              <w:fldChar w:fldCharType="end"/>
            </w:r>
          </w:hyperlink>
        </w:p>
        <w:p w14:paraId="7A44769A"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7" w:history="1">
            <w:r w:rsidRPr="009002F0">
              <w:rPr>
                <w:rFonts w:ascii="Calibri" w:eastAsia="Malgun Gothic" w:hAnsi="Calibri" w:cs="Times New Roman"/>
                <w:noProof/>
                <w:color w:val="0563C1"/>
                <w:sz w:val="20"/>
                <w:szCs w:val="20"/>
                <w:u w:val="single"/>
              </w:rPr>
              <w:t>4.4 Demand for irregular foreign workers (flows)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29</w:t>
            </w:r>
            <w:r w:rsidRPr="009002F0">
              <w:rPr>
                <w:rFonts w:ascii="Calibri" w:eastAsia="Malgun Gothic" w:hAnsi="Calibri" w:cs="Times New Roman"/>
                <w:noProof/>
                <w:webHidden/>
                <w:color w:val="auto"/>
                <w:sz w:val="20"/>
                <w:szCs w:val="20"/>
                <w:lang w:eastAsia="ko-KR"/>
              </w:rPr>
              <w:fldChar w:fldCharType="end"/>
            </w:r>
          </w:hyperlink>
        </w:p>
        <w:p w14:paraId="2F86E410"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28" w:history="1">
            <w:r w:rsidRPr="009002F0">
              <w:rPr>
                <w:rFonts w:ascii="Calibri" w:eastAsia="Malgun Gothic" w:hAnsi="Calibri" w:cs="Times New Roman"/>
                <w:noProof/>
                <w:color w:val="0563C1"/>
                <w:sz w:val="20"/>
                <w:szCs w:val="20"/>
                <w:u w:val="single"/>
                <w:lang w:eastAsia="ko-KR"/>
              </w:rPr>
              <w:t>5.</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Estimates of the irregular foreign worker population</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32</w:t>
            </w:r>
            <w:r w:rsidRPr="009002F0">
              <w:rPr>
                <w:rFonts w:ascii="Calibri" w:eastAsia="Malgun Gothic" w:hAnsi="Calibri" w:cs="Times New Roman"/>
                <w:noProof/>
                <w:webHidden/>
                <w:color w:val="auto"/>
                <w:sz w:val="20"/>
                <w:szCs w:val="20"/>
                <w:lang w:eastAsia="ko-KR"/>
              </w:rPr>
              <w:fldChar w:fldCharType="end"/>
            </w:r>
          </w:hyperlink>
        </w:p>
        <w:p w14:paraId="64E805DD"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29" w:history="1">
            <w:r w:rsidRPr="009002F0">
              <w:rPr>
                <w:rFonts w:ascii="Calibri" w:eastAsia="Malgun Gothic" w:hAnsi="Calibri" w:cs="Times New Roman"/>
                <w:noProof/>
                <w:color w:val="0563C1"/>
                <w:sz w:val="20"/>
                <w:szCs w:val="20"/>
                <w:u w:val="single"/>
              </w:rPr>
              <w:t>5.1 A residual approach</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_Toc4581529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32</w:t>
            </w:r>
            <w:r w:rsidRPr="009002F0">
              <w:rPr>
                <w:rFonts w:ascii="Calibri" w:eastAsia="Malgun Gothic" w:hAnsi="Calibri" w:cs="Times New Roman"/>
                <w:noProof/>
                <w:webHidden/>
                <w:color w:val="auto"/>
                <w:sz w:val="20"/>
                <w:szCs w:val="20"/>
                <w:lang w:eastAsia="ko-KR"/>
              </w:rPr>
              <w:fldChar w:fldCharType="end"/>
            </w:r>
          </w:hyperlink>
        </w:p>
        <w:p w14:paraId="3435D723"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0" w:history="1">
            <w:r w:rsidRPr="009002F0">
              <w:rPr>
                <w:rFonts w:ascii="Calibri" w:eastAsia="Malgun Gothic" w:hAnsi="Calibri" w:cs="Times New Roman"/>
                <w:noProof/>
                <w:color w:val="0563C1"/>
                <w:sz w:val="20"/>
                <w:szCs w:val="20"/>
                <w:u w:val="single"/>
                <w:lang w:eastAsia="ko-KR"/>
              </w:rPr>
              <w:t>5.1.1 Methodology and data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32</w:t>
            </w:r>
            <w:r w:rsidRPr="009002F0">
              <w:rPr>
                <w:rFonts w:ascii="Calibri" w:eastAsia="Malgun Gothic" w:hAnsi="Calibri" w:cs="Times New Roman"/>
                <w:noProof/>
                <w:webHidden/>
                <w:color w:val="auto"/>
                <w:sz w:val="20"/>
                <w:szCs w:val="20"/>
                <w:lang w:eastAsia="ko-KR"/>
              </w:rPr>
              <w:fldChar w:fldCharType="end"/>
            </w:r>
          </w:hyperlink>
        </w:p>
        <w:p w14:paraId="108B2A1E"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1" w:history="1">
            <w:r w:rsidRPr="009002F0">
              <w:rPr>
                <w:rFonts w:ascii="Calibri" w:eastAsia="Malgun Gothic" w:hAnsi="Calibri" w:cs="Times New Roman"/>
                <w:noProof/>
                <w:color w:val="0563C1"/>
                <w:sz w:val="20"/>
                <w:szCs w:val="20"/>
                <w:u w:val="single"/>
                <w:lang w:eastAsia="ko-KR"/>
              </w:rPr>
              <w:t>5.1.2 Results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34</w:t>
            </w:r>
            <w:r w:rsidRPr="009002F0">
              <w:rPr>
                <w:rFonts w:ascii="Calibri" w:eastAsia="Malgun Gothic" w:hAnsi="Calibri" w:cs="Times New Roman"/>
                <w:noProof/>
                <w:webHidden/>
                <w:color w:val="auto"/>
                <w:sz w:val="20"/>
                <w:szCs w:val="20"/>
                <w:lang w:eastAsia="ko-KR"/>
              </w:rPr>
              <w:fldChar w:fldCharType="end"/>
            </w:r>
          </w:hyperlink>
        </w:p>
        <w:p w14:paraId="45DB708E"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32" w:history="1">
            <w:r w:rsidRPr="009002F0">
              <w:rPr>
                <w:rFonts w:ascii="Calibri" w:eastAsia="Malgun Gothic" w:hAnsi="Calibri" w:cs="Times New Roman"/>
                <w:noProof/>
                <w:color w:val="0563C1"/>
                <w:sz w:val="20"/>
                <w:szCs w:val="20"/>
                <w:u w:val="single"/>
                <w:lang w:eastAsia="ko-KR"/>
              </w:rPr>
              <w:t xml:space="preserve">5.2 A </w:t>
            </w:r>
            <w:r w:rsidRPr="009002F0">
              <w:rPr>
                <w:rFonts w:ascii="Calibri" w:eastAsia="MS Gothic" w:hAnsi="Calibri" w:cs="Times New Roman"/>
                <w:noProof/>
                <w:color w:val="0563C1"/>
                <w:sz w:val="20"/>
                <w:szCs w:val="20"/>
                <w:u w:val="single"/>
              </w:rPr>
              <w:t>build</w:t>
            </w:r>
            <w:r w:rsidRPr="009002F0">
              <w:rPr>
                <w:rFonts w:ascii="Calibri" w:eastAsia="Malgun Gothic" w:hAnsi="Calibri" w:cs="Times New Roman"/>
                <w:noProof/>
                <w:color w:val="0563C1"/>
                <w:sz w:val="20"/>
                <w:szCs w:val="20"/>
                <w:u w:val="single"/>
                <w:lang w:eastAsia="ko-KR"/>
              </w:rPr>
              <w:t>-up approach</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36</w:t>
            </w:r>
            <w:r w:rsidRPr="009002F0">
              <w:rPr>
                <w:rFonts w:ascii="Calibri" w:eastAsia="Malgun Gothic" w:hAnsi="Calibri" w:cs="Times New Roman"/>
                <w:noProof/>
                <w:webHidden/>
                <w:color w:val="auto"/>
                <w:sz w:val="20"/>
                <w:szCs w:val="20"/>
                <w:lang w:eastAsia="ko-KR"/>
              </w:rPr>
              <w:fldChar w:fldCharType="end"/>
            </w:r>
          </w:hyperlink>
        </w:p>
        <w:p w14:paraId="0E79BF25"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3" w:history="1">
            <w:r w:rsidRPr="009002F0">
              <w:rPr>
                <w:rFonts w:ascii="Calibri" w:eastAsia="Malgun Gothic" w:hAnsi="Calibri" w:cs="Times New Roman"/>
                <w:noProof/>
                <w:color w:val="0563C1"/>
                <w:sz w:val="20"/>
                <w:szCs w:val="20"/>
                <w:u w:val="single"/>
                <w:lang w:eastAsia="ko-KR"/>
              </w:rPr>
              <w:t>5.2.1 Methodology and data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36</w:t>
            </w:r>
            <w:r w:rsidRPr="009002F0">
              <w:rPr>
                <w:rFonts w:ascii="Calibri" w:eastAsia="Malgun Gothic" w:hAnsi="Calibri" w:cs="Times New Roman"/>
                <w:noProof/>
                <w:webHidden/>
                <w:color w:val="auto"/>
                <w:sz w:val="20"/>
                <w:szCs w:val="20"/>
                <w:lang w:eastAsia="ko-KR"/>
              </w:rPr>
              <w:fldChar w:fldCharType="end"/>
            </w:r>
          </w:hyperlink>
        </w:p>
        <w:p w14:paraId="6FA6B3D3"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4" w:history="1">
            <w:r w:rsidRPr="009002F0">
              <w:rPr>
                <w:rFonts w:ascii="Calibri" w:eastAsia="Malgun Gothic" w:hAnsi="Calibri" w:cs="Times New Roman"/>
                <w:noProof/>
                <w:color w:val="0563C1"/>
                <w:sz w:val="20"/>
                <w:szCs w:val="20"/>
                <w:u w:val="single"/>
                <w:lang w:eastAsia="ko-KR"/>
              </w:rPr>
              <w:t>5.2.2 Results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36</w:t>
            </w:r>
            <w:r w:rsidRPr="009002F0">
              <w:rPr>
                <w:rFonts w:ascii="Calibri" w:eastAsia="Malgun Gothic" w:hAnsi="Calibri" w:cs="Times New Roman"/>
                <w:noProof/>
                <w:webHidden/>
                <w:color w:val="auto"/>
                <w:sz w:val="20"/>
                <w:szCs w:val="20"/>
                <w:lang w:eastAsia="ko-KR"/>
              </w:rPr>
              <w:fldChar w:fldCharType="end"/>
            </w:r>
          </w:hyperlink>
        </w:p>
        <w:p w14:paraId="694D8722" w14:textId="77777777" w:rsidR="009002F0" w:rsidRPr="009002F0" w:rsidRDefault="009002F0" w:rsidP="009002F0">
          <w:pPr>
            <w:widowControl/>
            <w:tabs>
              <w:tab w:val="right" w:leader="dot" w:pos="9016"/>
            </w:tabs>
            <w:autoSpaceDE/>
            <w:autoSpaceDN/>
            <w:adjustRightInd/>
            <w:spacing w:after="100" w:line="264" w:lineRule="auto"/>
            <w:ind w:left="200"/>
            <w:rPr>
              <w:rFonts w:ascii="Calibri" w:eastAsia="Malgun Gothic" w:hAnsi="Calibri" w:cs="Times New Roman"/>
              <w:noProof/>
              <w:color w:val="auto"/>
              <w:sz w:val="22"/>
              <w:szCs w:val="22"/>
            </w:rPr>
          </w:pPr>
          <w:hyperlink w:anchor="_Toc4581535" w:history="1">
            <w:r w:rsidRPr="009002F0">
              <w:rPr>
                <w:rFonts w:ascii="Calibri" w:eastAsia="Malgun Gothic" w:hAnsi="Calibri" w:cs="Times New Roman"/>
                <w:noProof/>
                <w:color w:val="0563C1"/>
                <w:sz w:val="20"/>
                <w:szCs w:val="20"/>
                <w:u w:val="single"/>
                <w:lang w:eastAsia="ko-KR"/>
              </w:rPr>
              <w:t>5.3 A remittance-data driven approach</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37</w:t>
            </w:r>
            <w:r w:rsidRPr="009002F0">
              <w:rPr>
                <w:rFonts w:ascii="Calibri" w:eastAsia="Malgun Gothic" w:hAnsi="Calibri" w:cs="Times New Roman"/>
                <w:noProof/>
                <w:webHidden/>
                <w:color w:val="auto"/>
                <w:sz w:val="20"/>
                <w:szCs w:val="20"/>
                <w:lang w:eastAsia="ko-KR"/>
              </w:rPr>
              <w:fldChar w:fldCharType="end"/>
            </w:r>
          </w:hyperlink>
        </w:p>
        <w:p w14:paraId="5E460954"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6" w:history="1">
            <w:r w:rsidRPr="009002F0">
              <w:rPr>
                <w:rFonts w:ascii="Calibri" w:eastAsia="Malgun Gothic" w:hAnsi="Calibri" w:cs="Times New Roman"/>
                <w:noProof/>
                <w:color w:val="0563C1"/>
                <w:sz w:val="20"/>
                <w:szCs w:val="20"/>
                <w:u w:val="single"/>
                <w:lang w:eastAsia="ko-KR"/>
              </w:rPr>
              <w:t>5.3.1 Data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37</w:t>
            </w:r>
            <w:r w:rsidRPr="009002F0">
              <w:rPr>
                <w:rFonts w:ascii="Calibri" w:eastAsia="Malgun Gothic" w:hAnsi="Calibri" w:cs="Times New Roman"/>
                <w:noProof/>
                <w:webHidden/>
                <w:color w:val="auto"/>
                <w:sz w:val="20"/>
                <w:szCs w:val="20"/>
                <w:lang w:eastAsia="ko-KR"/>
              </w:rPr>
              <w:fldChar w:fldCharType="end"/>
            </w:r>
          </w:hyperlink>
        </w:p>
        <w:p w14:paraId="3FE0BD86"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7" w:history="1">
            <w:r w:rsidRPr="009002F0">
              <w:rPr>
                <w:rFonts w:ascii="Calibri" w:eastAsia="Malgun Gothic" w:hAnsi="Calibri" w:cs="Times New Roman"/>
                <w:noProof/>
                <w:color w:val="0563C1"/>
                <w:sz w:val="20"/>
                <w:szCs w:val="20"/>
                <w:u w:val="single"/>
                <w:lang w:eastAsia="ko-KR"/>
              </w:rPr>
              <w:t>5.3.2 Methodology to identify potential irregular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38</w:t>
            </w:r>
            <w:r w:rsidRPr="009002F0">
              <w:rPr>
                <w:rFonts w:ascii="Calibri" w:eastAsia="Malgun Gothic" w:hAnsi="Calibri" w:cs="Times New Roman"/>
                <w:noProof/>
                <w:webHidden/>
                <w:color w:val="auto"/>
                <w:sz w:val="20"/>
                <w:szCs w:val="20"/>
                <w:lang w:eastAsia="ko-KR"/>
              </w:rPr>
              <w:fldChar w:fldCharType="end"/>
            </w:r>
          </w:hyperlink>
        </w:p>
        <w:p w14:paraId="2BD387A3" w14:textId="77777777" w:rsidR="009002F0" w:rsidRPr="009002F0" w:rsidRDefault="009002F0" w:rsidP="009002F0">
          <w:pPr>
            <w:widowControl/>
            <w:tabs>
              <w:tab w:val="right" w:leader="dot" w:pos="9016"/>
            </w:tabs>
            <w:autoSpaceDE/>
            <w:autoSpaceDN/>
            <w:adjustRightInd/>
            <w:spacing w:after="100" w:line="264" w:lineRule="auto"/>
            <w:ind w:left="400"/>
            <w:rPr>
              <w:rFonts w:ascii="Calibri" w:eastAsia="Malgun Gothic" w:hAnsi="Calibri" w:cs="Times New Roman"/>
              <w:noProof/>
              <w:color w:val="auto"/>
              <w:sz w:val="22"/>
              <w:szCs w:val="22"/>
            </w:rPr>
          </w:pPr>
          <w:hyperlink w:anchor="_Toc4581538" w:history="1">
            <w:r w:rsidRPr="009002F0">
              <w:rPr>
                <w:rFonts w:ascii="Calibri" w:eastAsia="Malgun Gothic" w:hAnsi="Calibri" w:cs="Times New Roman"/>
                <w:noProof/>
                <w:color w:val="0563C1"/>
                <w:sz w:val="20"/>
                <w:szCs w:val="20"/>
                <w:u w:val="single"/>
              </w:rPr>
              <w:t>5.3.3 Results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40</w:t>
            </w:r>
            <w:r w:rsidRPr="009002F0">
              <w:rPr>
                <w:rFonts w:ascii="Calibri" w:eastAsia="Malgun Gothic" w:hAnsi="Calibri" w:cs="Times New Roman"/>
                <w:noProof/>
                <w:webHidden/>
                <w:color w:val="auto"/>
                <w:sz w:val="20"/>
                <w:szCs w:val="20"/>
                <w:lang w:eastAsia="ko-KR"/>
              </w:rPr>
              <w:fldChar w:fldCharType="end"/>
            </w:r>
          </w:hyperlink>
        </w:p>
        <w:p w14:paraId="6D073667" w14:textId="77777777" w:rsidR="009002F0" w:rsidRPr="009002F0" w:rsidRDefault="009002F0" w:rsidP="009002F0">
          <w:pPr>
            <w:widowControl/>
            <w:tabs>
              <w:tab w:val="left" w:pos="400"/>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39" w:history="1">
            <w:r w:rsidRPr="009002F0">
              <w:rPr>
                <w:rFonts w:ascii="Calibri" w:eastAsia="Malgun Gothic" w:hAnsi="Calibri" w:cs="Times New Roman"/>
                <w:noProof/>
                <w:color w:val="0563C1"/>
                <w:sz w:val="20"/>
                <w:szCs w:val="20"/>
                <w:u w:val="single"/>
                <w:lang w:eastAsia="ko-KR"/>
              </w:rPr>
              <w:t>6.</w:t>
            </w:r>
            <w:r w:rsidRPr="009002F0">
              <w:rPr>
                <w:rFonts w:ascii="Calibri" w:eastAsia="Malgun Gothic" w:hAnsi="Calibri" w:cs="Times New Roman"/>
                <w:noProof/>
                <w:color w:val="auto"/>
                <w:sz w:val="22"/>
                <w:szCs w:val="22"/>
              </w:rPr>
              <w:tab/>
            </w:r>
            <w:r w:rsidRPr="009002F0">
              <w:rPr>
                <w:rFonts w:ascii="Calibri" w:eastAsia="Malgun Gothic" w:hAnsi="Calibri" w:cs="Times New Roman"/>
                <w:noProof/>
                <w:color w:val="0563C1"/>
                <w:sz w:val="20"/>
                <w:szCs w:val="20"/>
                <w:u w:val="single"/>
                <w:lang w:eastAsia="ko-KR"/>
              </w:rPr>
              <w:t>Conclusions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_Toc4581539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44</w:t>
            </w:r>
            <w:r w:rsidRPr="009002F0">
              <w:rPr>
                <w:rFonts w:ascii="Calibri" w:eastAsia="Malgun Gothic" w:hAnsi="Calibri" w:cs="Times New Roman"/>
                <w:noProof/>
                <w:webHidden/>
                <w:color w:val="auto"/>
                <w:sz w:val="20"/>
                <w:szCs w:val="20"/>
                <w:lang w:eastAsia="ko-KR"/>
              </w:rPr>
              <w:fldChar w:fldCharType="end"/>
            </w:r>
          </w:hyperlink>
        </w:p>
        <w:p w14:paraId="48BF047B" w14:textId="77777777" w:rsidR="009002F0" w:rsidRPr="009002F0" w:rsidRDefault="009002F0" w:rsidP="009002F0">
          <w:pPr>
            <w:widowControl/>
            <w:tabs>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40" w:history="1">
            <w:r w:rsidRPr="009002F0">
              <w:rPr>
                <w:rFonts w:ascii="Calibri" w:eastAsia="Malgun Gothic" w:hAnsi="Calibri" w:cs="Times New Roman"/>
                <w:noProof/>
                <w:color w:val="0563C1"/>
                <w:sz w:val="20"/>
                <w:szCs w:val="20"/>
                <w:u w:val="single"/>
                <w:lang w:eastAsia="ko-KR"/>
              </w:rPr>
              <w:t>References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45</w:t>
            </w:r>
            <w:r w:rsidRPr="009002F0">
              <w:rPr>
                <w:rFonts w:ascii="Calibri" w:eastAsia="Malgun Gothic" w:hAnsi="Calibri" w:cs="Times New Roman"/>
                <w:noProof/>
                <w:webHidden/>
                <w:color w:val="auto"/>
                <w:sz w:val="20"/>
                <w:szCs w:val="20"/>
                <w:lang w:eastAsia="ko-KR"/>
              </w:rPr>
              <w:fldChar w:fldCharType="end"/>
            </w:r>
          </w:hyperlink>
        </w:p>
        <w:p w14:paraId="631BAE49" w14:textId="77777777" w:rsidR="009002F0" w:rsidRPr="009002F0" w:rsidRDefault="009002F0" w:rsidP="009002F0">
          <w:pPr>
            <w:widowControl/>
            <w:tabs>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41" w:history="1">
            <w:r w:rsidRPr="009002F0">
              <w:rPr>
                <w:rFonts w:ascii="Calibri" w:eastAsia="Malgun Gothic" w:hAnsi="Calibri" w:cs="Times New Roman"/>
                <w:noProof/>
                <w:color w:val="0563C1"/>
                <w:sz w:val="20"/>
                <w:szCs w:val="20"/>
                <w:u w:val="single"/>
                <w:lang w:eastAsia="ko-KR"/>
              </w:rPr>
              <w:t>Annex 1: Potential data source to measure irregular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48</w:t>
            </w:r>
            <w:r w:rsidRPr="009002F0">
              <w:rPr>
                <w:rFonts w:ascii="Calibri" w:eastAsia="Malgun Gothic" w:hAnsi="Calibri" w:cs="Times New Roman"/>
                <w:noProof/>
                <w:webHidden/>
                <w:color w:val="auto"/>
                <w:sz w:val="20"/>
                <w:szCs w:val="20"/>
                <w:lang w:eastAsia="ko-KR"/>
              </w:rPr>
              <w:fldChar w:fldCharType="end"/>
            </w:r>
          </w:hyperlink>
        </w:p>
        <w:p w14:paraId="37FA0AED" w14:textId="77777777" w:rsidR="009002F0" w:rsidRPr="009002F0" w:rsidRDefault="009002F0" w:rsidP="009002F0">
          <w:pPr>
            <w:widowControl/>
            <w:tabs>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42" w:history="1">
            <w:r w:rsidRPr="009002F0">
              <w:rPr>
                <w:rFonts w:ascii="Calibri" w:eastAsia="Malgun Gothic" w:hAnsi="Calibri" w:cs="Times New Roman"/>
                <w:noProof/>
                <w:color w:val="0563C1"/>
                <w:sz w:val="20"/>
                <w:szCs w:val="20"/>
                <w:u w:val="single"/>
                <w:lang w:eastAsia="ko-KR"/>
              </w:rPr>
              <w:t>Annex 2: Attempts to identify foreign worker (FW) information using the BNM’s remittance transaction data.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51</w:t>
            </w:r>
            <w:r w:rsidRPr="009002F0">
              <w:rPr>
                <w:rFonts w:ascii="Calibri" w:eastAsia="Malgun Gothic" w:hAnsi="Calibri" w:cs="Times New Roman"/>
                <w:noProof/>
                <w:webHidden/>
                <w:color w:val="auto"/>
                <w:sz w:val="20"/>
                <w:szCs w:val="20"/>
                <w:lang w:eastAsia="ko-KR"/>
              </w:rPr>
              <w:fldChar w:fldCharType="end"/>
            </w:r>
          </w:hyperlink>
        </w:p>
        <w:p w14:paraId="0E81E8DD" w14:textId="77777777" w:rsidR="009002F0" w:rsidRPr="009002F0" w:rsidRDefault="009002F0" w:rsidP="009002F0">
          <w:pPr>
            <w:widowControl/>
            <w:tabs>
              <w:tab w:val="right" w:leader="dot" w:pos="9016"/>
            </w:tabs>
            <w:autoSpaceDE/>
            <w:autoSpaceDN/>
            <w:adjustRightInd/>
            <w:spacing w:after="100" w:line="264" w:lineRule="auto"/>
            <w:rPr>
              <w:rFonts w:ascii="Calibri" w:eastAsia="Malgun Gothic" w:hAnsi="Calibri" w:cs="Times New Roman"/>
              <w:noProof/>
              <w:color w:val="auto"/>
              <w:sz w:val="22"/>
              <w:szCs w:val="22"/>
            </w:rPr>
          </w:pPr>
          <w:hyperlink w:anchor="_Toc4581543" w:history="1">
            <w:r w:rsidRPr="009002F0">
              <w:rPr>
                <w:rFonts w:ascii="Calibri" w:eastAsia="Malgun Gothic" w:hAnsi="Calibri" w:cs="Times New Roman"/>
                <w:noProof/>
                <w:color w:val="0563C1"/>
                <w:sz w:val="20"/>
                <w:szCs w:val="20"/>
                <w:u w:val="single"/>
                <w:lang w:eastAsia="ko-KR"/>
              </w:rPr>
              <w:t>Annex 3: Foreign worker levy by sector – equivalent to about one-month salaries (RM)</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52</w:t>
            </w:r>
            <w:r w:rsidRPr="009002F0">
              <w:rPr>
                <w:rFonts w:ascii="Calibri" w:eastAsia="Malgun Gothic" w:hAnsi="Calibri" w:cs="Times New Roman"/>
                <w:noProof/>
                <w:webHidden/>
                <w:color w:val="auto"/>
                <w:sz w:val="20"/>
                <w:szCs w:val="20"/>
                <w:lang w:eastAsia="ko-KR"/>
              </w:rPr>
              <w:fldChar w:fldCharType="end"/>
            </w:r>
          </w:hyperlink>
        </w:p>
        <w:p w14:paraId="28CF13B2"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ko-KR"/>
            </w:rPr>
          </w:pPr>
          <w:r w:rsidRPr="009002F0">
            <w:rPr>
              <w:rFonts w:ascii="Calibri" w:eastAsia="Malgun Gothic" w:hAnsi="Calibri" w:cs="Calibri"/>
              <w:b/>
              <w:bCs/>
              <w:noProof/>
              <w:sz w:val="22"/>
              <w:szCs w:val="22"/>
              <w:lang w:eastAsia="ko-KR"/>
            </w:rPr>
            <w:fldChar w:fldCharType="end"/>
          </w:r>
        </w:p>
      </w:sdtContent>
    </w:sdt>
    <w:p w14:paraId="2B3349FD" w14:textId="77777777" w:rsidR="009002F0" w:rsidRPr="009002F0" w:rsidRDefault="009002F0" w:rsidP="009002F0">
      <w:pPr>
        <w:keepNext/>
        <w:keepLines/>
        <w:widowControl/>
        <w:autoSpaceDE/>
        <w:autoSpaceDN/>
        <w:adjustRightInd/>
        <w:spacing w:before="320" w:after="240"/>
        <w:rPr>
          <w:rFonts w:ascii="Calibri" w:eastAsia="Malgun Gothic" w:hAnsi="Calibri" w:cs="Calibri"/>
          <w:b/>
          <w:color w:val="002060"/>
          <w:sz w:val="22"/>
          <w:szCs w:val="22"/>
          <w:lang w:eastAsia="ko-KR"/>
        </w:rPr>
      </w:pPr>
      <w:r w:rsidRPr="009002F0">
        <w:rPr>
          <w:rFonts w:ascii="Calibri" w:eastAsia="Malgun Gothic" w:hAnsi="Calibri" w:cs="Calibri"/>
          <w:color w:val="002060"/>
          <w:sz w:val="32"/>
          <w:szCs w:val="32"/>
          <w:lang w:eastAsia="ko-KR"/>
        </w:rPr>
        <w:t>List of Tables</w:t>
      </w:r>
    </w:p>
    <w:p w14:paraId="69AA3CD5"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r w:rsidRPr="009002F0">
        <w:rPr>
          <w:rFonts w:ascii="Calibri" w:eastAsia="Malgun Gothic" w:hAnsi="Calibri" w:cs="Calibri"/>
          <w:color w:val="auto"/>
          <w:sz w:val="22"/>
          <w:szCs w:val="22"/>
          <w:lang w:eastAsia="ko-KR"/>
        </w:rPr>
        <w:fldChar w:fldCharType="begin"/>
      </w:r>
      <w:r w:rsidRPr="009002F0">
        <w:rPr>
          <w:rFonts w:ascii="Calibri" w:eastAsia="Malgun Gothic" w:hAnsi="Calibri" w:cs="Calibri"/>
          <w:color w:val="auto"/>
          <w:sz w:val="22"/>
          <w:szCs w:val="22"/>
          <w:lang w:eastAsia="ko-KR"/>
        </w:rPr>
        <w:instrText xml:space="preserve"> TOC \h \z \c "Table" </w:instrText>
      </w:r>
      <w:r w:rsidRPr="009002F0">
        <w:rPr>
          <w:rFonts w:ascii="Calibri" w:eastAsia="Malgun Gothic" w:hAnsi="Calibri" w:cs="Calibri"/>
          <w:color w:val="auto"/>
          <w:sz w:val="22"/>
          <w:szCs w:val="22"/>
          <w:lang w:eastAsia="ko-KR"/>
        </w:rPr>
        <w:fldChar w:fldCharType="separate"/>
      </w:r>
      <w:hyperlink w:anchor="_Toc4581544" w:history="1">
        <w:r w:rsidRPr="009002F0">
          <w:rPr>
            <w:rFonts w:ascii="Calibri" w:eastAsia="Malgun Gothic" w:hAnsi="Calibri" w:cs="Times New Roman"/>
            <w:noProof/>
            <w:color w:val="0563C1"/>
            <w:sz w:val="20"/>
            <w:szCs w:val="20"/>
            <w:u w:val="single"/>
            <w:lang w:eastAsia="ko-KR"/>
          </w:rPr>
          <w:t>Table 1: Approved source countries and sectors for foreign workers in Malaysia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8</w:t>
        </w:r>
        <w:r w:rsidRPr="009002F0">
          <w:rPr>
            <w:rFonts w:ascii="Calibri" w:eastAsia="Malgun Gothic" w:hAnsi="Calibri" w:cs="Times New Roman"/>
            <w:noProof/>
            <w:webHidden/>
            <w:color w:val="auto"/>
            <w:sz w:val="20"/>
            <w:szCs w:val="20"/>
            <w:lang w:eastAsia="ko-KR"/>
          </w:rPr>
          <w:fldChar w:fldCharType="end"/>
        </w:r>
      </w:hyperlink>
    </w:p>
    <w:p w14:paraId="42ECB3FC"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45" w:history="1">
        <w:r w:rsidRPr="009002F0">
          <w:rPr>
            <w:rFonts w:ascii="Calibri" w:eastAsia="Malgun Gothic" w:hAnsi="Calibri" w:cs="Times New Roman"/>
            <w:noProof/>
            <w:color w:val="0563C1"/>
            <w:sz w:val="20"/>
            <w:szCs w:val="20"/>
            <w:u w:val="single"/>
            <w:lang w:eastAsia="ko-KR"/>
          </w:rPr>
          <w:t>Table 2: Demand for undocumented workers by employers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15</w:t>
        </w:r>
        <w:r w:rsidRPr="009002F0">
          <w:rPr>
            <w:rFonts w:ascii="Calibri" w:eastAsia="Malgun Gothic" w:hAnsi="Calibri" w:cs="Times New Roman"/>
            <w:noProof/>
            <w:webHidden/>
            <w:color w:val="auto"/>
            <w:sz w:val="20"/>
            <w:szCs w:val="20"/>
            <w:lang w:eastAsia="ko-KR"/>
          </w:rPr>
          <w:fldChar w:fldCharType="end"/>
        </w:r>
      </w:hyperlink>
    </w:p>
    <w:p w14:paraId="0DC1A703"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46" w:history="1">
        <w:r w:rsidRPr="009002F0">
          <w:rPr>
            <w:rFonts w:ascii="Calibri" w:eastAsia="Malgun Gothic" w:hAnsi="Calibri" w:cs="Times New Roman"/>
            <w:noProof/>
            <w:color w:val="0563C1"/>
            <w:sz w:val="20"/>
            <w:szCs w:val="20"/>
            <w:u w:val="single"/>
            <w:lang w:eastAsia="ko-KR"/>
          </w:rPr>
          <w:t>Table 3: Foreign worker estimates and associated definitions (2017)</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17</w:t>
        </w:r>
        <w:r w:rsidRPr="009002F0">
          <w:rPr>
            <w:rFonts w:ascii="Calibri" w:eastAsia="Malgun Gothic" w:hAnsi="Calibri" w:cs="Times New Roman"/>
            <w:noProof/>
            <w:webHidden/>
            <w:color w:val="auto"/>
            <w:sz w:val="20"/>
            <w:szCs w:val="20"/>
            <w:lang w:eastAsia="ko-KR"/>
          </w:rPr>
          <w:fldChar w:fldCharType="end"/>
        </w:r>
      </w:hyperlink>
    </w:p>
    <w:p w14:paraId="5930D71C"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47" w:history="1">
        <w:r w:rsidRPr="009002F0">
          <w:rPr>
            <w:rFonts w:ascii="Calibri" w:eastAsia="Malgun Gothic" w:hAnsi="Calibri" w:cs="Times New Roman"/>
            <w:noProof/>
            <w:color w:val="0563C1"/>
            <w:sz w:val="20"/>
            <w:szCs w:val="20"/>
            <w:u w:val="single"/>
            <w:lang w:eastAsia="ko-KR"/>
          </w:rPr>
          <w:t xml:space="preserve">Table 4: </w:t>
        </w:r>
        <w:r w:rsidRPr="009002F0">
          <w:rPr>
            <w:rFonts w:ascii="Calibri" w:eastAsia="Calibri" w:hAnsi="Calibri" w:cs="Times New Roman"/>
            <w:noProof/>
            <w:color w:val="0563C1"/>
            <w:sz w:val="20"/>
            <w:szCs w:val="20"/>
            <w:u w:val="single"/>
          </w:rPr>
          <w:t>Irregular foreign workers registered under various regularization programs (1992 – 2018)</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23</w:t>
        </w:r>
        <w:r w:rsidRPr="009002F0">
          <w:rPr>
            <w:rFonts w:ascii="Calibri" w:eastAsia="Malgun Gothic" w:hAnsi="Calibri" w:cs="Times New Roman"/>
            <w:noProof/>
            <w:webHidden/>
            <w:color w:val="auto"/>
            <w:sz w:val="20"/>
            <w:szCs w:val="20"/>
            <w:lang w:eastAsia="ko-KR"/>
          </w:rPr>
          <w:fldChar w:fldCharType="end"/>
        </w:r>
      </w:hyperlink>
    </w:p>
    <w:p w14:paraId="41B92FC7"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48" w:history="1">
        <w:r w:rsidRPr="009002F0">
          <w:rPr>
            <w:rFonts w:ascii="Calibri" w:eastAsia="Malgun Gothic" w:hAnsi="Calibri" w:cs="Times New Roman"/>
            <w:noProof/>
            <w:color w:val="0563C1"/>
            <w:sz w:val="20"/>
            <w:szCs w:val="20"/>
            <w:u w:val="single"/>
            <w:lang w:eastAsia="ko-KR"/>
          </w:rPr>
          <w:t xml:space="preserve">Table 5: </w:t>
        </w:r>
        <w:r w:rsidRPr="009002F0">
          <w:rPr>
            <w:rFonts w:ascii="Calibri" w:eastAsia="Calibri" w:hAnsi="Calibri" w:cs="Times New Roman"/>
            <w:noProof/>
            <w:color w:val="0563C1"/>
            <w:sz w:val="20"/>
            <w:szCs w:val="20"/>
            <w:u w:val="single"/>
          </w:rPr>
          <w:t>Irregular foreign workers who were deported through amnesty or crackdowns (1998–2018)</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24</w:t>
        </w:r>
        <w:r w:rsidRPr="009002F0">
          <w:rPr>
            <w:rFonts w:ascii="Calibri" w:eastAsia="Malgun Gothic" w:hAnsi="Calibri" w:cs="Times New Roman"/>
            <w:noProof/>
            <w:webHidden/>
            <w:color w:val="auto"/>
            <w:sz w:val="20"/>
            <w:szCs w:val="20"/>
            <w:lang w:eastAsia="ko-KR"/>
          </w:rPr>
          <w:fldChar w:fldCharType="end"/>
        </w:r>
      </w:hyperlink>
    </w:p>
    <w:p w14:paraId="786AC0A1"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49" w:history="1">
        <w:r w:rsidRPr="009002F0">
          <w:rPr>
            <w:rFonts w:ascii="Calibri" w:eastAsia="Malgun Gothic" w:hAnsi="Calibri" w:cs="Times New Roman"/>
            <w:noProof/>
            <w:color w:val="0563C1"/>
            <w:sz w:val="20"/>
            <w:szCs w:val="20"/>
            <w:u w:val="single"/>
            <w:lang w:eastAsia="ko-KR"/>
          </w:rPr>
          <w:t xml:space="preserve">Table 6: </w:t>
        </w:r>
        <w:r w:rsidRPr="009002F0">
          <w:rPr>
            <w:rFonts w:ascii="Calibri" w:eastAsia="Calibri" w:hAnsi="Calibri" w:cs="Times New Roman"/>
            <w:noProof/>
            <w:color w:val="0563C1"/>
            <w:sz w:val="20"/>
            <w:szCs w:val="20"/>
            <w:u w:val="single"/>
          </w:rPr>
          <w:t>Irregular foreign workers reported by studies and reports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_Toc4581549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25</w:t>
        </w:r>
        <w:r w:rsidRPr="009002F0">
          <w:rPr>
            <w:rFonts w:ascii="Calibri" w:eastAsia="Malgun Gothic" w:hAnsi="Calibri" w:cs="Times New Roman"/>
            <w:noProof/>
            <w:webHidden/>
            <w:color w:val="auto"/>
            <w:sz w:val="20"/>
            <w:szCs w:val="20"/>
            <w:lang w:eastAsia="ko-KR"/>
          </w:rPr>
          <w:fldChar w:fldCharType="end"/>
        </w:r>
      </w:hyperlink>
    </w:p>
    <w:p w14:paraId="326CCA70"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0" w:history="1">
        <w:r w:rsidRPr="009002F0">
          <w:rPr>
            <w:rFonts w:ascii="Calibri" w:eastAsia="Malgun Gothic" w:hAnsi="Calibri" w:cs="Times New Roman"/>
            <w:noProof/>
            <w:color w:val="0563C1"/>
            <w:sz w:val="20"/>
            <w:szCs w:val="20"/>
            <w:u w:val="single"/>
            <w:lang w:eastAsia="ko-KR"/>
          </w:rPr>
          <w:t>Table 7: About 2.8 percent of regular foreign workers may become irregulars annually.</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29</w:t>
        </w:r>
        <w:r w:rsidRPr="009002F0">
          <w:rPr>
            <w:rFonts w:ascii="Calibri" w:eastAsia="Malgun Gothic" w:hAnsi="Calibri" w:cs="Times New Roman"/>
            <w:noProof/>
            <w:webHidden/>
            <w:color w:val="auto"/>
            <w:sz w:val="20"/>
            <w:szCs w:val="20"/>
            <w:lang w:eastAsia="ko-KR"/>
          </w:rPr>
          <w:fldChar w:fldCharType="end"/>
        </w:r>
      </w:hyperlink>
    </w:p>
    <w:p w14:paraId="129EFE89"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1" w:history="1">
        <w:r w:rsidRPr="009002F0">
          <w:rPr>
            <w:rFonts w:ascii="Calibri" w:eastAsia="Malgun Gothic" w:hAnsi="Calibri" w:cs="Times New Roman"/>
            <w:noProof/>
            <w:color w:val="0563C1"/>
            <w:sz w:val="20"/>
            <w:szCs w:val="20"/>
            <w:u w:val="single"/>
            <w:lang w:eastAsia="ko-KR"/>
          </w:rPr>
          <w:t>Table 8: An estimate of the irregular foreign population – 1.459 million (2017)</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35</w:t>
        </w:r>
        <w:r w:rsidRPr="009002F0">
          <w:rPr>
            <w:rFonts w:ascii="Calibri" w:eastAsia="Malgun Gothic" w:hAnsi="Calibri" w:cs="Times New Roman"/>
            <w:noProof/>
            <w:webHidden/>
            <w:color w:val="auto"/>
            <w:sz w:val="20"/>
            <w:szCs w:val="20"/>
            <w:lang w:eastAsia="ko-KR"/>
          </w:rPr>
          <w:fldChar w:fldCharType="end"/>
        </w:r>
      </w:hyperlink>
    </w:p>
    <w:p w14:paraId="78978B0F"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2" w:history="1">
        <w:r w:rsidRPr="009002F0">
          <w:rPr>
            <w:rFonts w:ascii="Calibri" w:eastAsia="Malgun Gothic" w:hAnsi="Calibri" w:cs="Times New Roman"/>
            <w:noProof/>
            <w:color w:val="0563C1"/>
            <w:sz w:val="20"/>
            <w:szCs w:val="20"/>
            <w:u w:val="single"/>
            <w:lang w:eastAsia="ko-KR"/>
          </w:rPr>
          <w:t>Table 9: An estimate of the irregular foreign worker population – 1.228 million (2017)</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37</w:t>
        </w:r>
        <w:r w:rsidRPr="009002F0">
          <w:rPr>
            <w:rFonts w:ascii="Calibri" w:eastAsia="Malgun Gothic" w:hAnsi="Calibri" w:cs="Times New Roman"/>
            <w:noProof/>
            <w:webHidden/>
            <w:color w:val="auto"/>
            <w:sz w:val="20"/>
            <w:szCs w:val="20"/>
            <w:lang w:eastAsia="ko-KR"/>
          </w:rPr>
          <w:fldChar w:fldCharType="end"/>
        </w:r>
      </w:hyperlink>
    </w:p>
    <w:p w14:paraId="68BEAE9D"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ko-KR"/>
        </w:rPr>
      </w:pPr>
      <w:r w:rsidRPr="009002F0">
        <w:rPr>
          <w:rFonts w:ascii="Calibri" w:eastAsia="Malgun Gothic" w:hAnsi="Calibri" w:cs="Calibri"/>
          <w:color w:val="auto"/>
          <w:sz w:val="22"/>
          <w:szCs w:val="22"/>
          <w:lang w:eastAsia="ko-KR"/>
        </w:rPr>
        <w:fldChar w:fldCharType="end"/>
      </w:r>
    </w:p>
    <w:p w14:paraId="763DBA16" w14:textId="77777777" w:rsidR="009002F0" w:rsidRPr="009002F0" w:rsidRDefault="009002F0" w:rsidP="009002F0">
      <w:pPr>
        <w:keepNext/>
        <w:keepLines/>
        <w:widowControl/>
        <w:autoSpaceDE/>
        <w:autoSpaceDN/>
        <w:adjustRightInd/>
        <w:spacing w:before="320" w:after="240"/>
        <w:rPr>
          <w:rFonts w:ascii="Calibri" w:eastAsia="Malgun Gothic" w:hAnsi="Calibri" w:cs="Calibri"/>
          <w:b/>
          <w:color w:val="002060"/>
          <w:sz w:val="22"/>
          <w:szCs w:val="22"/>
          <w:lang w:eastAsia="ko-KR"/>
        </w:rPr>
      </w:pPr>
      <w:r w:rsidRPr="009002F0">
        <w:rPr>
          <w:rFonts w:ascii="Calibri" w:eastAsia="Malgun Gothic" w:hAnsi="Calibri" w:cs="Calibri"/>
          <w:color w:val="002060"/>
          <w:sz w:val="32"/>
          <w:szCs w:val="32"/>
          <w:lang w:eastAsia="ko-KR"/>
        </w:rPr>
        <w:t>List of Figures</w:t>
      </w:r>
    </w:p>
    <w:p w14:paraId="3918E444"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r w:rsidRPr="009002F0">
        <w:rPr>
          <w:rFonts w:ascii="Calibri" w:eastAsia="Malgun Gothic" w:hAnsi="Calibri" w:cs="Times New Roman"/>
          <w:color w:val="auto"/>
          <w:sz w:val="22"/>
          <w:szCs w:val="22"/>
          <w:lang w:eastAsia="ko-KR"/>
        </w:rPr>
        <w:fldChar w:fldCharType="begin"/>
      </w:r>
      <w:r w:rsidRPr="009002F0">
        <w:rPr>
          <w:rFonts w:ascii="Calibri" w:eastAsia="Malgun Gothic" w:hAnsi="Calibri" w:cs="Times New Roman"/>
          <w:color w:val="auto"/>
          <w:sz w:val="22"/>
          <w:szCs w:val="22"/>
          <w:lang w:eastAsia="ko-KR"/>
        </w:rPr>
        <w:instrText xml:space="preserve"> TOC \h \z \c "Figure" </w:instrText>
      </w:r>
      <w:r w:rsidRPr="009002F0">
        <w:rPr>
          <w:rFonts w:ascii="Calibri" w:eastAsia="Malgun Gothic" w:hAnsi="Calibri" w:cs="Times New Roman"/>
          <w:color w:val="auto"/>
          <w:sz w:val="22"/>
          <w:szCs w:val="22"/>
          <w:lang w:eastAsia="ko-KR"/>
        </w:rPr>
        <w:fldChar w:fldCharType="separate"/>
      </w:r>
      <w:hyperlink w:anchor="_Toc4581553" w:history="1">
        <w:r w:rsidRPr="009002F0">
          <w:rPr>
            <w:rFonts w:ascii="Calibri" w:eastAsia="Malgun Gothic" w:hAnsi="Calibri" w:cs="Times New Roman"/>
            <w:noProof/>
            <w:color w:val="0563C1"/>
            <w:sz w:val="20"/>
            <w:szCs w:val="20"/>
            <w:u w:val="single"/>
            <w:lang w:eastAsia="ko-KR"/>
          </w:rPr>
          <w:t>Figure 1: Skill-based immigration system in Malaysia</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6</w:t>
        </w:r>
        <w:r w:rsidRPr="009002F0">
          <w:rPr>
            <w:rFonts w:ascii="Calibri" w:eastAsia="Malgun Gothic" w:hAnsi="Calibri" w:cs="Times New Roman"/>
            <w:noProof/>
            <w:webHidden/>
            <w:color w:val="auto"/>
            <w:sz w:val="20"/>
            <w:szCs w:val="20"/>
            <w:lang w:eastAsia="ko-KR"/>
          </w:rPr>
          <w:fldChar w:fldCharType="end"/>
        </w:r>
      </w:hyperlink>
    </w:p>
    <w:p w14:paraId="0AF9CB5D"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4" w:history="1">
        <w:r w:rsidRPr="009002F0">
          <w:rPr>
            <w:rFonts w:ascii="Calibri" w:eastAsia="Malgun Gothic" w:hAnsi="Calibri" w:cs="Times New Roman"/>
            <w:noProof/>
            <w:color w:val="0563C1"/>
            <w:sz w:val="20"/>
            <w:szCs w:val="20"/>
            <w:u w:val="single"/>
            <w:lang w:eastAsia="ko-KR"/>
          </w:rPr>
          <w:t>Figure 2: Process to hire foreign workers from the employer's perspective</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10</w:t>
        </w:r>
        <w:r w:rsidRPr="009002F0">
          <w:rPr>
            <w:rFonts w:ascii="Calibri" w:eastAsia="Malgun Gothic" w:hAnsi="Calibri" w:cs="Times New Roman"/>
            <w:noProof/>
            <w:webHidden/>
            <w:color w:val="auto"/>
            <w:sz w:val="20"/>
            <w:szCs w:val="20"/>
            <w:lang w:eastAsia="ko-KR"/>
          </w:rPr>
          <w:fldChar w:fldCharType="end"/>
        </w:r>
      </w:hyperlink>
    </w:p>
    <w:p w14:paraId="2BFB6D47"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5" w:history="1">
        <w:r w:rsidRPr="009002F0">
          <w:rPr>
            <w:rFonts w:ascii="Calibri" w:eastAsia="Malgun Gothic" w:hAnsi="Calibri" w:cs="Times New Roman"/>
            <w:noProof/>
            <w:color w:val="0563C1"/>
            <w:sz w:val="20"/>
            <w:szCs w:val="20"/>
            <w:u w:val="single"/>
            <w:lang w:eastAsia="ko-KR"/>
          </w:rPr>
          <w:t>Figure 3: Process to hire Bangladeshi workers under the G2G mechanism</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12</w:t>
        </w:r>
        <w:r w:rsidRPr="009002F0">
          <w:rPr>
            <w:rFonts w:ascii="Calibri" w:eastAsia="Malgun Gothic" w:hAnsi="Calibri" w:cs="Times New Roman"/>
            <w:noProof/>
            <w:webHidden/>
            <w:color w:val="auto"/>
            <w:sz w:val="20"/>
            <w:szCs w:val="20"/>
            <w:lang w:eastAsia="ko-KR"/>
          </w:rPr>
          <w:fldChar w:fldCharType="end"/>
        </w:r>
      </w:hyperlink>
    </w:p>
    <w:p w14:paraId="679C0300"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6" w:history="1">
        <w:r w:rsidRPr="009002F0">
          <w:rPr>
            <w:rFonts w:ascii="Calibri" w:eastAsia="Malgun Gothic" w:hAnsi="Calibri" w:cs="Times New Roman"/>
            <w:noProof/>
            <w:color w:val="0563C1"/>
            <w:sz w:val="20"/>
            <w:szCs w:val="20"/>
            <w:u w:val="single"/>
            <w:lang w:eastAsia="ko-KR"/>
          </w:rPr>
          <w:t>Figure 4: Pathways to becoming an irregular foreign worker</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13</w:t>
        </w:r>
        <w:r w:rsidRPr="009002F0">
          <w:rPr>
            <w:rFonts w:ascii="Calibri" w:eastAsia="Malgun Gothic" w:hAnsi="Calibri" w:cs="Times New Roman"/>
            <w:noProof/>
            <w:webHidden/>
            <w:color w:val="auto"/>
            <w:sz w:val="20"/>
            <w:szCs w:val="20"/>
            <w:lang w:eastAsia="ko-KR"/>
          </w:rPr>
          <w:fldChar w:fldCharType="end"/>
        </w:r>
      </w:hyperlink>
    </w:p>
    <w:p w14:paraId="672BF868"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7" w:history="1">
        <w:r w:rsidRPr="009002F0">
          <w:rPr>
            <w:rFonts w:ascii="Calibri" w:eastAsia="Malgun Gothic" w:hAnsi="Calibri" w:cs="Times New Roman"/>
            <w:noProof/>
            <w:color w:val="0563C1"/>
            <w:sz w:val="20"/>
            <w:szCs w:val="20"/>
            <w:u w:val="single"/>
            <w:lang w:eastAsia="ko-KR"/>
          </w:rPr>
          <w:t>Figure 5: Estimate of foreign worker distribution by state</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18</w:t>
        </w:r>
        <w:r w:rsidRPr="009002F0">
          <w:rPr>
            <w:rFonts w:ascii="Calibri" w:eastAsia="Malgun Gothic" w:hAnsi="Calibri" w:cs="Times New Roman"/>
            <w:noProof/>
            <w:webHidden/>
            <w:color w:val="auto"/>
            <w:sz w:val="20"/>
            <w:szCs w:val="20"/>
            <w:lang w:eastAsia="ko-KR"/>
          </w:rPr>
          <w:fldChar w:fldCharType="end"/>
        </w:r>
      </w:hyperlink>
    </w:p>
    <w:p w14:paraId="1CE58CB8"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8" w:history="1">
        <w:r w:rsidRPr="009002F0">
          <w:rPr>
            <w:rFonts w:ascii="Calibri" w:eastAsia="Malgun Gothic" w:hAnsi="Calibri" w:cs="Times New Roman"/>
            <w:noProof/>
            <w:color w:val="0563C1"/>
            <w:sz w:val="20"/>
            <w:szCs w:val="20"/>
            <w:u w:val="single"/>
            <w:lang w:eastAsia="ko-KR"/>
          </w:rPr>
          <w:t>Figure 6: Number of foreign workers from 2011 to 2017</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19</w:t>
        </w:r>
        <w:r w:rsidRPr="009002F0">
          <w:rPr>
            <w:rFonts w:ascii="Calibri" w:eastAsia="Malgun Gothic" w:hAnsi="Calibri" w:cs="Times New Roman"/>
            <w:noProof/>
            <w:webHidden/>
            <w:color w:val="auto"/>
            <w:sz w:val="20"/>
            <w:szCs w:val="20"/>
            <w:lang w:eastAsia="ko-KR"/>
          </w:rPr>
          <w:fldChar w:fldCharType="end"/>
        </w:r>
      </w:hyperlink>
    </w:p>
    <w:p w14:paraId="2D5427A4"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59" w:history="1">
        <w:r w:rsidRPr="009002F0">
          <w:rPr>
            <w:rFonts w:ascii="Calibri" w:eastAsia="Malgun Gothic" w:hAnsi="Calibri" w:cs="Times New Roman"/>
            <w:noProof/>
            <w:color w:val="0563C1"/>
            <w:sz w:val="20"/>
            <w:szCs w:val="20"/>
            <w:u w:val="single"/>
            <w:lang w:eastAsia="ko-KR"/>
          </w:rPr>
          <w:t>Figure 7: Number of foreign workers by country of origin</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_Toc4581559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20</w:t>
        </w:r>
        <w:r w:rsidRPr="009002F0">
          <w:rPr>
            <w:rFonts w:ascii="Calibri" w:eastAsia="Malgun Gothic" w:hAnsi="Calibri" w:cs="Times New Roman"/>
            <w:noProof/>
            <w:webHidden/>
            <w:color w:val="auto"/>
            <w:sz w:val="20"/>
            <w:szCs w:val="20"/>
            <w:lang w:eastAsia="ko-KR"/>
          </w:rPr>
          <w:fldChar w:fldCharType="end"/>
        </w:r>
      </w:hyperlink>
    </w:p>
    <w:p w14:paraId="10818C48"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0" w:history="1">
        <w:r w:rsidRPr="009002F0">
          <w:rPr>
            <w:rFonts w:ascii="Calibri" w:eastAsia="Malgun Gothic" w:hAnsi="Calibri" w:cs="Times New Roman"/>
            <w:noProof/>
            <w:color w:val="0563C1"/>
            <w:sz w:val="20"/>
            <w:szCs w:val="20"/>
            <w:u w:val="single"/>
            <w:lang w:eastAsia="ko-KR"/>
          </w:rPr>
          <w:t>Figure 8: The majority of foreign workers are male (gender distribution, 2016)</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20</w:t>
        </w:r>
        <w:r w:rsidRPr="009002F0">
          <w:rPr>
            <w:rFonts w:ascii="Calibri" w:eastAsia="Malgun Gothic" w:hAnsi="Calibri" w:cs="Times New Roman"/>
            <w:noProof/>
            <w:webHidden/>
            <w:color w:val="auto"/>
            <w:sz w:val="20"/>
            <w:szCs w:val="20"/>
            <w:lang w:eastAsia="ko-KR"/>
          </w:rPr>
          <w:fldChar w:fldCharType="end"/>
        </w:r>
      </w:hyperlink>
    </w:p>
    <w:p w14:paraId="54EF677E"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1" w:history="1">
        <w:r w:rsidRPr="009002F0">
          <w:rPr>
            <w:rFonts w:ascii="Calibri" w:eastAsia="Malgun Gothic" w:hAnsi="Calibri" w:cs="Times New Roman"/>
            <w:noProof/>
            <w:color w:val="0563C1"/>
            <w:sz w:val="20"/>
            <w:szCs w:val="20"/>
            <w:u w:val="single"/>
            <w:lang w:eastAsia="ko-KR"/>
          </w:rPr>
          <w:t xml:space="preserve">Figure 9: </w:t>
        </w:r>
        <w:r w:rsidRPr="009002F0">
          <w:rPr>
            <w:rFonts w:ascii="Calibri" w:eastAsia="Calibri" w:hAnsi="Calibri" w:cs="Times New Roman"/>
            <w:noProof/>
            <w:color w:val="0563C1"/>
            <w:sz w:val="20"/>
            <w:szCs w:val="20"/>
            <w:u w:val="single"/>
          </w:rPr>
          <w:t>Selangor, Johor, and Kuala Lumpur are the main destinations of regular foreign workers (number of foreign workers, 2018)</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_Toc4581561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20</w:t>
        </w:r>
        <w:r w:rsidRPr="009002F0">
          <w:rPr>
            <w:rFonts w:ascii="Calibri" w:eastAsia="Malgun Gothic" w:hAnsi="Calibri" w:cs="Times New Roman"/>
            <w:noProof/>
            <w:webHidden/>
            <w:color w:val="auto"/>
            <w:sz w:val="20"/>
            <w:szCs w:val="20"/>
            <w:lang w:eastAsia="ko-KR"/>
          </w:rPr>
          <w:fldChar w:fldCharType="end"/>
        </w:r>
      </w:hyperlink>
    </w:p>
    <w:p w14:paraId="7F623598"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2" w:history="1">
        <w:r w:rsidRPr="009002F0">
          <w:rPr>
            <w:rFonts w:ascii="Calibri" w:eastAsia="Malgun Gothic" w:hAnsi="Calibri" w:cs="Times New Roman"/>
            <w:noProof/>
            <w:color w:val="0563C1"/>
            <w:sz w:val="20"/>
            <w:szCs w:val="20"/>
            <w:u w:val="single"/>
            <w:lang w:eastAsia="ko-KR"/>
          </w:rPr>
          <w:t xml:space="preserve">Figure 10: </w:t>
        </w:r>
        <w:r w:rsidRPr="009002F0">
          <w:rPr>
            <w:rFonts w:ascii="Calibri" w:eastAsia="Calibri" w:hAnsi="Calibri" w:cs="Times New Roman"/>
            <w:noProof/>
            <w:color w:val="0563C1"/>
            <w:sz w:val="20"/>
            <w:szCs w:val="20"/>
            <w:u w:val="single"/>
          </w:rPr>
          <w:t>70 percent of foreign workers employed are engage in three sectors/sub-sectors: manufacturing, construction and plantation (sectoral distribution of foreign workers, percent, 2018)</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_Toc4581562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20</w:t>
        </w:r>
        <w:r w:rsidRPr="009002F0">
          <w:rPr>
            <w:rFonts w:ascii="Calibri" w:eastAsia="Malgun Gothic" w:hAnsi="Calibri" w:cs="Times New Roman"/>
            <w:noProof/>
            <w:webHidden/>
            <w:color w:val="auto"/>
            <w:sz w:val="20"/>
            <w:szCs w:val="20"/>
            <w:lang w:eastAsia="ko-KR"/>
          </w:rPr>
          <w:fldChar w:fldCharType="end"/>
        </w:r>
      </w:hyperlink>
    </w:p>
    <w:p w14:paraId="75AF0CD7"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3" w:history="1">
        <w:r w:rsidRPr="009002F0">
          <w:rPr>
            <w:rFonts w:ascii="Calibri" w:eastAsia="Malgun Gothic" w:hAnsi="Calibri" w:cs="Times New Roman"/>
            <w:noProof/>
            <w:color w:val="0563C1"/>
            <w:sz w:val="20"/>
            <w:szCs w:val="20"/>
            <w:u w:val="single"/>
            <w:lang w:eastAsia="ko-KR"/>
          </w:rPr>
          <w:t xml:space="preserve">Figure 11: </w:t>
        </w:r>
        <w:r w:rsidRPr="009002F0">
          <w:rPr>
            <w:rFonts w:ascii="Calibri" w:eastAsia="Calibri" w:hAnsi="Calibri" w:cs="Times New Roman"/>
            <w:noProof/>
            <w:color w:val="0563C1"/>
            <w:sz w:val="20"/>
            <w:szCs w:val="20"/>
            <w:u w:val="single"/>
          </w:rPr>
          <w:t>Foreign workers tend to engage in low-skilled jobs (distribution of foreign workers by occupation, 2011 and 2014)</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_Toc4581563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21</w:t>
        </w:r>
        <w:r w:rsidRPr="009002F0">
          <w:rPr>
            <w:rFonts w:ascii="Calibri" w:eastAsia="Malgun Gothic" w:hAnsi="Calibri" w:cs="Times New Roman"/>
            <w:noProof/>
            <w:webHidden/>
            <w:color w:val="auto"/>
            <w:sz w:val="20"/>
            <w:szCs w:val="20"/>
            <w:lang w:eastAsia="ko-KR"/>
          </w:rPr>
          <w:fldChar w:fldCharType="end"/>
        </w:r>
      </w:hyperlink>
    </w:p>
    <w:p w14:paraId="578C816D"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4" w:history="1">
        <w:r w:rsidRPr="009002F0">
          <w:rPr>
            <w:rFonts w:ascii="Calibri" w:eastAsia="Malgun Gothic" w:hAnsi="Calibri" w:cs="Times New Roman"/>
            <w:noProof/>
            <w:color w:val="0563C1"/>
            <w:sz w:val="20"/>
            <w:szCs w:val="20"/>
            <w:u w:val="single"/>
            <w:lang w:eastAsia="ko-KR"/>
          </w:rPr>
          <w:t>Figure 12: National Employment Returns, ILMIA 2016</w:t>
        </w:r>
        <w:r w:rsidRPr="009002F0">
          <w:rPr>
            <w:rFonts w:ascii="Calibri" w:eastAsia="Calibri" w:hAnsi="Calibri" w:cs="Times New Roman"/>
            <w:noProof/>
            <w:color w:val="0563C1"/>
            <w:sz w:val="20"/>
            <w:szCs w:val="20"/>
            <w:u w:val="single"/>
          </w:rPr>
          <w:t xml:space="preserve"> Median salary of foreign workers in low-skilled occupations is less than RM1,200 per month (median, RM, 2016)</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_Toc4581564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21</w:t>
        </w:r>
        <w:r w:rsidRPr="009002F0">
          <w:rPr>
            <w:rFonts w:ascii="Calibri" w:eastAsia="Malgun Gothic" w:hAnsi="Calibri" w:cs="Times New Roman"/>
            <w:noProof/>
            <w:webHidden/>
            <w:color w:val="auto"/>
            <w:sz w:val="20"/>
            <w:szCs w:val="20"/>
            <w:lang w:eastAsia="ko-KR"/>
          </w:rPr>
          <w:fldChar w:fldCharType="end"/>
        </w:r>
      </w:hyperlink>
    </w:p>
    <w:p w14:paraId="444E0D09"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5" w:history="1">
        <w:r w:rsidRPr="009002F0">
          <w:rPr>
            <w:rFonts w:ascii="Calibri" w:eastAsia="Malgun Gothic" w:hAnsi="Calibri" w:cs="Times New Roman"/>
            <w:noProof/>
            <w:color w:val="0563C1"/>
            <w:sz w:val="20"/>
            <w:szCs w:val="20"/>
            <w:u w:val="single"/>
            <w:lang w:eastAsia="ko-KR"/>
          </w:rPr>
          <w:t>Figure 13: Administrative data sources to capture irregular entry, stay, and departure of all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_Toc4581565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27</w:t>
        </w:r>
        <w:r w:rsidRPr="009002F0">
          <w:rPr>
            <w:rFonts w:ascii="Calibri" w:eastAsia="Malgun Gothic" w:hAnsi="Calibri" w:cs="Times New Roman"/>
            <w:noProof/>
            <w:webHidden/>
            <w:color w:val="auto"/>
            <w:sz w:val="20"/>
            <w:szCs w:val="20"/>
            <w:lang w:eastAsia="ko-KR"/>
          </w:rPr>
          <w:fldChar w:fldCharType="end"/>
        </w:r>
      </w:hyperlink>
    </w:p>
    <w:p w14:paraId="0156F554"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6" w:history="1">
        <w:r w:rsidRPr="009002F0">
          <w:rPr>
            <w:rFonts w:ascii="Calibri" w:eastAsia="Malgun Gothic" w:hAnsi="Calibri" w:cs="Times New Roman"/>
            <w:noProof/>
            <w:color w:val="0563C1"/>
            <w:sz w:val="20"/>
            <w:szCs w:val="20"/>
            <w:u w:val="single"/>
            <w:lang w:eastAsia="ko-KR"/>
          </w:rPr>
          <w:t>Figure 14: Nearly 3 million Indonesian tourist arrivals in Malaysia per year, suggesting repeat travels within a year (gross non-resident tourist arrivals by nationality, 2013-17)</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_Toc4581566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28</w:t>
        </w:r>
        <w:r w:rsidRPr="009002F0">
          <w:rPr>
            <w:rFonts w:ascii="Calibri" w:eastAsia="Malgun Gothic" w:hAnsi="Calibri" w:cs="Times New Roman"/>
            <w:noProof/>
            <w:webHidden/>
            <w:color w:val="auto"/>
            <w:sz w:val="20"/>
            <w:szCs w:val="20"/>
            <w:lang w:eastAsia="ko-KR"/>
          </w:rPr>
          <w:fldChar w:fldCharType="end"/>
        </w:r>
      </w:hyperlink>
    </w:p>
    <w:p w14:paraId="000E4FF1"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7" w:history="1">
        <w:r w:rsidRPr="009002F0">
          <w:rPr>
            <w:rFonts w:ascii="Calibri" w:eastAsia="Malgun Gothic" w:hAnsi="Calibri" w:cs="Times New Roman"/>
            <w:noProof/>
            <w:color w:val="0563C1"/>
            <w:sz w:val="20"/>
            <w:szCs w:val="20"/>
            <w:u w:val="single"/>
            <w:lang w:eastAsia="ko-KR"/>
          </w:rPr>
          <w:t xml:space="preserve">Figure 15: </w:t>
        </w:r>
        <w:r w:rsidRPr="009002F0">
          <w:rPr>
            <w:rFonts w:ascii="Calibri" w:eastAsia="Calibri" w:hAnsi="Calibri" w:cs="Times New Roman"/>
            <w:noProof/>
            <w:color w:val="0563C1"/>
            <w:sz w:val="20"/>
            <w:szCs w:val="20"/>
            <w:u w:val="single"/>
          </w:rPr>
          <w:t>Firms that applied for foreign workers but received rejections or reduced quotas might fill the unmet-demand with irregulars (January 1, 2018 through September 3, 2018, the rejection rate in the total application by sector)</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_Toc4581567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30</w:t>
        </w:r>
        <w:r w:rsidRPr="009002F0">
          <w:rPr>
            <w:rFonts w:ascii="Calibri" w:eastAsia="Malgun Gothic" w:hAnsi="Calibri" w:cs="Times New Roman"/>
            <w:noProof/>
            <w:webHidden/>
            <w:color w:val="auto"/>
            <w:sz w:val="20"/>
            <w:szCs w:val="20"/>
            <w:lang w:eastAsia="ko-KR"/>
          </w:rPr>
          <w:fldChar w:fldCharType="end"/>
        </w:r>
      </w:hyperlink>
    </w:p>
    <w:p w14:paraId="401D7B69"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8" w:history="1">
        <w:r w:rsidRPr="009002F0">
          <w:rPr>
            <w:rFonts w:ascii="Calibri" w:eastAsia="Malgun Gothic" w:hAnsi="Calibri" w:cs="Times New Roman"/>
            <w:noProof/>
            <w:color w:val="0563C1"/>
            <w:sz w:val="20"/>
            <w:szCs w:val="20"/>
            <w:u w:val="single"/>
            <w:lang w:eastAsia="ko-KR"/>
          </w:rPr>
          <w:t xml:space="preserve">Figure 16: </w:t>
        </w:r>
        <w:r w:rsidRPr="009002F0">
          <w:rPr>
            <w:rFonts w:ascii="Calibri" w:eastAsia="Calibri" w:hAnsi="Calibri" w:cs="Times New Roman"/>
            <w:noProof/>
            <w:color w:val="0563C1"/>
            <w:sz w:val="20"/>
            <w:szCs w:val="20"/>
            <w:u w:val="single"/>
          </w:rPr>
          <w:t>Sectoral distribution of foreign workers/labor in 2016 (percent)</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_Toc4581568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31</w:t>
        </w:r>
        <w:r w:rsidRPr="009002F0">
          <w:rPr>
            <w:rFonts w:ascii="Calibri" w:eastAsia="Malgun Gothic" w:hAnsi="Calibri" w:cs="Times New Roman"/>
            <w:noProof/>
            <w:webHidden/>
            <w:color w:val="auto"/>
            <w:sz w:val="20"/>
            <w:szCs w:val="20"/>
            <w:lang w:eastAsia="ko-KR"/>
          </w:rPr>
          <w:fldChar w:fldCharType="end"/>
        </w:r>
      </w:hyperlink>
    </w:p>
    <w:p w14:paraId="46144C96"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69" w:history="1">
        <w:r w:rsidRPr="009002F0">
          <w:rPr>
            <w:rFonts w:ascii="Calibri" w:eastAsia="Malgun Gothic" w:hAnsi="Calibri" w:cs="Times New Roman"/>
            <w:noProof/>
            <w:color w:val="0563C1"/>
            <w:sz w:val="20"/>
            <w:szCs w:val="20"/>
            <w:u w:val="single"/>
            <w:lang w:eastAsia="ko-KR"/>
          </w:rPr>
          <w:t>Figure 17: The BNM remittance data shows consistency with the MOHA and LFS data respectively in terms of the state and nationality distributions of foreign workers</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_Toc4581569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41</w:t>
        </w:r>
        <w:r w:rsidRPr="009002F0">
          <w:rPr>
            <w:rFonts w:ascii="Calibri" w:eastAsia="Malgun Gothic" w:hAnsi="Calibri" w:cs="Times New Roman"/>
            <w:noProof/>
            <w:webHidden/>
            <w:color w:val="auto"/>
            <w:sz w:val="20"/>
            <w:szCs w:val="20"/>
            <w:lang w:eastAsia="ko-KR"/>
          </w:rPr>
          <w:fldChar w:fldCharType="end"/>
        </w:r>
      </w:hyperlink>
    </w:p>
    <w:p w14:paraId="13CAF73A" w14:textId="77777777" w:rsidR="009002F0" w:rsidRPr="009002F0" w:rsidRDefault="009002F0" w:rsidP="009002F0">
      <w:pPr>
        <w:widowControl/>
        <w:tabs>
          <w:tab w:val="right" w:leader="dot" w:pos="9016"/>
        </w:tabs>
        <w:autoSpaceDE/>
        <w:autoSpaceDN/>
        <w:adjustRightInd/>
        <w:spacing w:line="264" w:lineRule="auto"/>
        <w:rPr>
          <w:rFonts w:ascii="Calibri" w:eastAsia="Malgun Gothic" w:hAnsi="Calibri" w:cs="Times New Roman"/>
          <w:noProof/>
          <w:color w:val="auto"/>
          <w:sz w:val="22"/>
          <w:szCs w:val="22"/>
        </w:rPr>
      </w:pPr>
      <w:hyperlink w:anchor="_Toc4581570" w:history="1">
        <w:r w:rsidRPr="009002F0">
          <w:rPr>
            <w:rFonts w:ascii="Calibri" w:eastAsia="Malgun Gothic" w:hAnsi="Calibri" w:cs="Times New Roman"/>
            <w:noProof/>
            <w:color w:val="0563C1"/>
            <w:sz w:val="20"/>
            <w:szCs w:val="20"/>
            <w:u w:val="single"/>
            <w:lang w:eastAsia="ko-KR"/>
          </w:rPr>
          <w:t>Figure 18: Distribution of irregular foreign workers by nationality</w:t>
        </w:r>
        <w:r w:rsidRPr="009002F0">
          <w:rPr>
            <w:rFonts w:ascii="Calibri" w:eastAsia="Malgun Gothic" w:hAnsi="Calibri" w:cs="Times New Roman"/>
            <w:noProof/>
            <w:webHidden/>
            <w:color w:val="auto"/>
            <w:sz w:val="20"/>
            <w:szCs w:val="20"/>
            <w:lang w:eastAsia="ko-KR"/>
          </w:rPr>
          <w:tab/>
        </w:r>
        <w:r w:rsidRPr="009002F0">
          <w:rPr>
            <w:rFonts w:ascii="Calibri" w:eastAsia="Malgun Gothic" w:hAnsi="Calibri" w:cs="Times New Roman"/>
            <w:noProof/>
            <w:webHidden/>
            <w:color w:val="auto"/>
            <w:sz w:val="20"/>
            <w:szCs w:val="20"/>
            <w:lang w:eastAsia="ko-KR"/>
          </w:rPr>
          <w:fldChar w:fldCharType="begin"/>
        </w:r>
        <w:r w:rsidRPr="009002F0">
          <w:rPr>
            <w:rFonts w:ascii="Calibri" w:eastAsia="Malgun Gothic" w:hAnsi="Calibri" w:cs="Times New Roman"/>
            <w:noProof/>
            <w:webHidden/>
            <w:color w:val="auto"/>
            <w:sz w:val="20"/>
            <w:szCs w:val="20"/>
            <w:lang w:eastAsia="ko-KR"/>
          </w:rPr>
          <w:instrText xml:space="preserve"> PAGEREF _Toc4581570 \h </w:instrText>
        </w:r>
        <w:r w:rsidRPr="009002F0">
          <w:rPr>
            <w:rFonts w:ascii="Calibri" w:eastAsia="Malgun Gothic" w:hAnsi="Calibri" w:cs="Times New Roman"/>
            <w:noProof/>
            <w:webHidden/>
            <w:color w:val="auto"/>
            <w:sz w:val="20"/>
            <w:szCs w:val="20"/>
            <w:lang w:eastAsia="ko-KR"/>
          </w:rPr>
        </w:r>
        <w:r w:rsidRPr="009002F0">
          <w:rPr>
            <w:rFonts w:ascii="Calibri" w:eastAsia="Malgun Gothic" w:hAnsi="Calibri" w:cs="Times New Roman"/>
            <w:noProof/>
            <w:webHidden/>
            <w:color w:val="auto"/>
            <w:sz w:val="20"/>
            <w:szCs w:val="20"/>
            <w:lang w:eastAsia="ko-KR"/>
          </w:rPr>
          <w:fldChar w:fldCharType="separate"/>
        </w:r>
        <w:r w:rsidRPr="009002F0">
          <w:rPr>
            <w:rFonts w:ascii="Calibri" w:eastAsia="Malgun Gothic" w:hAnsi="Calibri" w:cs="Times New Roman"/>
            <w:noProof/>
            <w:webHidden/>
            <w:color w:val="auto"/>
            <w:sz w:val="20"/>
            <w:szCs w:val="20"/>
            <w:lang w:eastAsia="ko-KR"/>
          </w:rPr>
          <w:t>42</w:t>
        </w:r>
        <w:r w:rsidRPr="009002F0">
          <w:rPr>
            <w:rFonts w:ascii="Calibri" w:eastAsia="Malgun Gothic" w:hAnsi="Calibri" w:cs="Times New Roman"/>
            <w:noProof/>
            <w:webHidden/>
            <w:color w:val="auto"/>
            <w:sz w:val="20"/>
            <w:szCs w:val="20"/>
            <w:lang w:eastAsia="ko-KR"/>
          </w:rPr>
          <w:fldChar w:fldCharType="end"/>
        </w:r>
      </w:hyperlink>
    </w:p>
    <w:p w14:paraId="6C7B32A6"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fldChar w:fldCharType="end"/>
      </w:r>
    </w:p>
    <w:p w14:paraId="4D530E8D"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002345"/>
          <w:sz w:val="32"/>
          <w:szCs w:val="22"/>
          <w:lang w:eastAsia="ko-KR"/>
        </w:rPr>
      </w:pPr>
      <w:r w:rsidRPr="009002F0">
        <w:rPr>
          <w:rFonts w:ascii="Calibri" w:eastAsia="Malgun Gothic" w:hAnsi="Calibri" w:cs="Times New Roman"/>
          <w:color w:val="auto"/>
          <w:sz w:val="22"/>
          <w:szCs w:val="22"/>
          <w:lang w:eastAsia="ko-KR"/>
        </w:rPr>
        <w:br w:type="page"/>
      </w:r>
      <w:r w:rsidRPr="009002F0">
        <w:rPr>
          <w:rFonts w:ascii="Andes" w:eastAsia="Malgun Gothic" w:hAnsi="Andes" w:cs="Times New Roman"/>
          <w:color w:val="002060"/>
          <w:sz w:val="32"/>
          <w:szCs w:val="22"/>
          <w:lang w:eastAsia="ko-KR"/>
        </w:rPr>
        <w:lastRenderedPageBreak/>
        <w:t>List of Abbreviations</w:t>
      </w:r>
    </w:p>
    <w:p w14:paraId="066227FE"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002345"/>
          <w:szCs w:val="22"/>
          <w:lang w:eastAsia="ko-KR"/>
        </w:rPr>
      </w:pPr>
    </w:p>
    <w:tbl>
      <w:tblPr>
        <w:tblStyle w:val="TableGrid"/>
        <w:tblW w:w="0" w:type="auto"/>
        <w:tblLook w:val="04A0" w:firstRow="1" w:lastRow="0" w:firstColumn="1" w:lastColumn="0" w:noHBand="0" w:noVBand="1"/>
      </w:tblPr>
      <w:tblGrid>
        <w:gridCol w:w="1620"/>
        <w:gridCol w:w="7390"/>
      </w:tblGrid>
      <w:tr w:rsidR="009002F0" w:rsidRPr="009002F0" w14:paraId="54D3EF08" w14:textId="77777777" w:rsidTr="009002F0">
        <w:tc>
          <w:tcPr>
            <w:tcW w:w="1620" w:type="dxa"/>
          </w:tcPr>
          <w:p w14:paraId="7EA4FCE8"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ASEAN</w:t>
            </w:r>
          </w:p>
        </w:tc>
        <w:tc>
          <w:tcPr>
            <w:tcW w:w="7390" w:type="dxa"/>
          </w:tcPr>
          <w:p w14:paraId="1A8754FB"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rPr>
            </w:pPr>
            <w:r w:rsidRPr="009002F0">
              <w:rPr>
                <w:rFonts w:ascii="Calibri" w:eastAsia="Malgun Gothic" w:hAnsi="Calibri" w:cs="Calibri"/>
                <w:color w:val="auto"/>
                <w:sz w:val="22"/>
                <w:szCs w:val="22"/>
              </w:rPr>
              <w:t>Association of Southeast Asian Nations</w:t>
            </w:r>
          </w:p>
        </w:tc>
      </w:tr>
      <w:tr w:rsidR="009002F0" w:rsidRPr="009002F0" w14:paraId="38ADB247" w14:textId="77777777" w:rsidTr="009002F0">
        <w:tc>
          <w:tcPr>
            <w:tcW w:w="1620" w:type="dxa"/>
          </w:tcPr>
          <w:p w14:paraId="6185FB8B"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BNM</w:t>
            </w:r>
          </w:p>
        </w:tc>
        <w:tc>
          <w:tcPr>
            <w:tcW w:w="7390" w:type="dxa"/>
          </w:tcPr>
          <w:p w14:paraId="6C0FE414"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Bank Negara Malaysia</w:t>
            </w:r>
          </w:p>
        </w:tc>
      </w:tr>
      <w:tr w:rsidR="009002F0" w:rsidRPr="009002F0" w14:paraId="75A15344" w14:textId="77777777" w:rsidTr="009002F0">
        <w:tc>
          <w:tcPr>
            <w:tcW w:w="1620" w:type="dxa"/>
          </w:tcPr>
          <w:p w14:paraId="7A9D0D8E"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DOSM</w:t>
            </w:r>
          </w:p>
        </w:tc>
        <w:tc>
          <w:tcPr>
            <w:tcW w:w="7390" w:type="dxa"/>
          </w:tcPr>
          <w:p w14:paraId="761DF087"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Department of Statistics Malaysia</w:t>
            </w:r>
          </w:p>
        </w:tc>
      </w:tr>
      <w:tr w:rsidR="009002F0" w:rsidRPr="009002F0" w14:paraId="65EF94B4" w14:textId="77777777" w:rsidTr="009002F0">
        <w:tc>
          <w:tcPr>
            <w:tcW w:w="1620" w:type="dxa"/>
          </w:tcPr>
          <w:p w14:paraId="49044B04"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EP</w:t>
            </w:r>
          </w:p>
        </w:tc>
        <w:tc>
          <w:tcPr>
            <w:tcW w:w="7390" w:type="dxa"/>
          </w:tcPr>
          <w:p w14:paraId="44BEC746"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Employment Pass</w:t>
            </w:r>
          </w:p>
        </w:tc>
      </w:tr>
      <w:tr w:rsidR="009002F0" w:rsidRPr="009002F0" w14:paraId="308B9A40" w14:textId="77777777" w:rsidTr="009002F0">
        <w:tc>
          <w:tcPr>
            <w:tcW w:w="1620" w:type="dxa"/>
          </w:tcPr>
          <w:p w14:paraId="3328BA26"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E-Card</w:t>
            </w:r>
          </w:p>
        </w:tc>
        <w:tc>
          <w:tcPr>
            <w:tcW w:w="7390" w:type="dxa"/>
          </w:tcPr>
          <w:p w14:paraId="3C7A07D7"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Cs w:val="22"/>
                <w:lang w:eastAsia="zh-CN"/>
              </w:rPr>
              <w:t xml:space="preserve">Foreign Workers </w:t>
            </w:r>
            <w:proofErr w:type="spellStart"/>
            <w:r w:rsidRPr="009002F0">
              <w:rPr>
                <w:rFonts w:ascii="Calibri" w:eastAsia="Malgun Gothic" w:hAnsi="Calibri" w:cs="Calibri"/>
                <w:color w:val="auto"/>
                <w:szCs w:val="22"/>
                <w:lang w:eastAsia="zh-CN"/>
              </w:rPr>
              <w:t>Colour</w:t>
            </w:r>
            <w:proofErr w:type="spellEnd"/>
            <w:r w:rsidRPr="009002F0">
              <w:rPr>
                <w:rFonts w:ascii="Calibri" w:eastAsia="Malgun Gothic" w:hAnsi="Calibri" w:cs="Calibri"/>
                <w:color w:val="auto"/>
                <w:szCs w:val="22"/>
                <w:lang w:eastAsia="zh-CN"/>
              </w:rPr>
              <w:t>-Coded Identity Card</w:t>
            </w:r>
          </w:p>
        </w:tc>
      </w:tr>
      <w:tr w:rsidR="009002F0" w:rsidRPr="009002F0" w14:paraId="183F151B" w14:textId="77777777" w:rsidTr="009002F0">
        <w:tc>
          <w:tcPr>
            <w:tcW w:w="1620" w:type="dxa"/>
          </w:tcPr>
          <w:p w14:paraId="76A9463D"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FOMEMA</w:t>
            </w:r>
          </w:p>
        </w:tc>
        <w:tc>
          <w:tcPr>
            <w:tcW w:w="7390" w:type="dxa"/>
          </w:tcPr>
          <w:p w14:paraId="56F88CD1"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Foreign Workers Medical Examination Monitoring Agency</w:t>
            </w:r>
          </w:p>
        </w:tc>
      </w:tr>
      <w:tr w:rsidR="009002F0" w:rsidRPr="009002F0" w14:paraId="6F154685" w14:textId="77777777" w:rsidTr="009002F0">
        <w:tc>
          <w:tcPr>
            <w:tcW w:w="1620" w:type="dxa"/>
          </w:tcPr>
          <w:p w14:paraId="471964DB"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FWCMS</w:t>
            </w:r>
          </w:p>
        </w:tc>
        <w:tc>
          <w:tcPr>
            <w:tcW w:w="7390" w:type="dxa"/>
          </w:tcPr>
          <w:p w14:paraId="343EFA4E"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Foreign Workers Centralized Management System</w:t>
            </w:r>
          </w:p>
        </w:tc>
      </w:tr>
      <w:tr w:rsidR="009002F0" w:rsidRPr="009002F0" w14:paraId="0D8E85C1" w14:textId="77777777" w:rsidTr="009002F0">
        <w:tc>
          <w:tcPr>
            <w:tcW w:w="1620" w:type="dxa"/>
          </w:tcPr>
          <w:p w14:paraId="1E3F4166"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FWCS</w:t>
            </w:r>
          </w:p>
        </w:tc>
        <w:tc>
          <w:tcPr>
            <w:tcW w:w="7390" w:type="dxa"/>
          </w:tcPr>
          <w:p w14:paraId="7BBC9AE0"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Foreign Worker Compensation Scheme</w:t>
            </w:r>
          </w:p>
        </w:tc>
      </w:tr>
      <w:tr w:rsidR="009002F0" w:rsidRPr="009002F0" w14:paraId="3362835F" w14:textId="77777777" w:rsidTr="009002F0">
        <w:tc>
          <w:tcPr>
            <w:tcW w:w="1620" w:type="dxa"/>
          </w:tcPr>
          <w:p w14:paraId="2FADF2B0"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FWIG</w:t>
            </w:r>
          </w:p>
        </w:tc>
        <w:tc>
          <w:tcPr>
            <w:tcW w:w="7390" w:type="dxa"/>
          </w:tcPr>
          <w:p w14:paraId="3F441EE8"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Foreign Workers Insurance Guarantee</w:t>
            </w:r>
          </w:p>
        </w:tc>
      </w:tr>
      <w:tr w:rsidR="009002F0" w:rsidRPr="009002F0" w14:paraId="06E3E62F" w14:textId="77777777" w:rsidTr="009002F0">
        <w:tc>
          <w:tcPr>
            <w:tcW w:w="1620" w:type="dxa"/>
          </w:tcPr>
          <w:p w14:paraId="6556AC3A"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G2G</w:t>
            </w:r>
          </w:p>
        </w:tc>
        <w:tc>
          <w:tcPr>
            <w:tcW w:w="7390" w:type="dxa"/>
          </w:tcPr>
          <w:p w14:paraId="491A094F"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Government-to-Government</w:t>
            </w:r>
          </w:p>
        </w:tc>
      </w:tr>
      <w:tr w:rsidR="009002F0" w:rsidRPr="009002F0" w14:paraId="45169DBA" w14:textId="77777777" w:rsidTr="009002F0">
        <w:tc>
          <w:tcPr>
            <w:tcW w:w="1620" w:type="dxa"/>
          </w:tcPr>
          <w:p w14:paraId="70023B50"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ILMIA</w:t>
            </w:r>
          </w:p>
        </w:tc>
        <w:tc>
          <w:tcPr>
            <w:tcW w:w="7390" w:type="dxa"/>
          </w:tcPr>
          <w:p w14:paraId="20AA6CA4"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Calibri" w:hAnsi="Calibri" w:cs="Calibri"/>
                <w:color w:val="auto"/>
                <w:sz w:val="22"/>
                <w:szCs w:val="22"/>
              </w:rPr>
              <w:t>Institute of Labour Market Information Analysis</w:t>
            </w:r>
          </w:p>
        </w:tc>
      </w:tr>
      <w:tr w:rsidR="009002F0" w:rsidRPr="009002F0" w14:paraId="08AA4310" w14:textId="77777777" w:rsidTr="009002F0">
        <w:tc>
          <w:tcPr>
            <w:tcW w:w="1620" w:type="dxa"/>
          </w:tcPr>
          <w:p w14:paraId="0FADD3B9"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IOM</w:t>
            </w:r>
          </w:p>
        </w:tc>
        <w:tc>
          <w:tcPr>
            <w:tcW w:w="7390" w:type="dxa"/>
          </w:tcPr>
          <w:p w14:paraId="1AA009F2"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International Organization of Migration</w:t>
            </w:r>
          </w:p>
        </w:tc>
      </w:tr>
      <w:tr w:rsidR="009002F0" w:rsidRPr="009002F0" w14:paraId="1CA26B9A" w14:textId="77777777" w:rsidTr="009002F0">
        <w:tc>
          <w:tcPr>
            <w:tcW w:w="1620" w:type="dxa"/>
          </w:tcPr>
          <w:p w14:paraId="06DB6E7E"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JTKSM</w:t>
            </w:r>
          </w:p>
        </w:tc>
        <w:tc>
          <w:tcPr>
            <w:tcW w:w="7390" w:type="dxa"/>
          </w:tcPr>
          <w:p w14:paraId="2B2A9BA9"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Department of Labour Peninsular Malaysia</w:t>
            </w:r>
          </w:p>
        </w:tc>
      </w:tr>
      <w:tr w:rsidR="009002F0" w:rsidRPr="009002F0" w14:paraId="2FAEFBC2" w14:textId="77777777" w:rsidTr="009002F0">
        <w:tc>
          <w:tcPr>
            <w:tcW w:w="1620" w:type="dxa"/>
          </w:tcPr>
          <w:p w14:paraId="1E06B82E"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LFS</w:t>
            </w:r>
          </w:p>
        </w:tc>
        <w:tc>
          <w:tcPr>
            <w:tcW w:w="7390" w:type="dxa"/>
          </w:tcPr>
          <w:p w14:paraId="02D49043"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Labour Force Survey</w:t>
            </w:r>
          </w:p>
        </w:tc>
      </w:tr>
      <w:tr w:rsidR="009002F0" w:rsidRPr="009002F0" w14:paraId="1F41C01D" w14:textId="77777777" w:rsidTr="009002F0">
        <w:tc>
          <w:tcPr>
            <w:tcW w:w="1620" w:type="dxa"/>
          </w:tcPr>
          <w:p w14:paraId="66FD1BC4"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MOH</w:t>
            </w:r>
          </w:p>
        </w:tc>
        <w:tc>
          <w:tcPr>
            <w:tcW w:w="7390" w:type="dxa"/>
          </w:tcPr>
          <w:p w14:paraId="171F1A54"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Ministry of Health</w:t>
            </w:r>
          </w:p>
        </w:tc>
      </w:tr>
      <w:tr w:rsidR="009002F0" w:rsidRPr="009002F0" w14:paraId="5D1392B6" w14:textId="77777777" w:rsidTr="009002F0">
        <w:tc>
          <w:tcPr>
            <w:tcW w:w="1620" w:type="dxa"/>
          </w:tcPr>
          <w:p w14:paraId="3873E9D5"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MOHA</w:t>
            </w:r>
          </w:p>
        </w:tc>
        <w:tc>
          <w:tcPr>
            <w:tcW w:w="7390" w:type="dxa"/>
          </w:tcPr>
          <w:p w14:paraId="51DE6D4A"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Ministry of Home Affairs</w:t>
            </w:r>
          </w:p>
        </w:tc>
      </w:tr>
      <w:tr w:rsidR="009002F0" w:rsidRPr="009002F0" w14:paraId="26680C8C" w14:textId="77777777" w:rsidTr="009002F0">
        <w:tc>
          <w:tcPr>
            <w:tcW w:w="1620" w:type="dxa"/>
          </w:tcPr>
          <w:p w14:paraId="52F0405C"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MOHR</w:t>
            </w:r>
          </w:p>
        </w:tc>
        <w:tc>
          <w:tcPr>
            <w:tcW w:w="7390" w:type="dxa"/>
          </w:tcPr>
          <w:p w14:paraId="65E1E701"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eastAsia="zh-CN"/>
              </w:rPr>
              <w:t>Ministry of Human Resources</w:t>
            </w:r>
          </w:p>
        </w:tc>
      </w:tr>
      <w:tr w:rsidR="009002F0" w:rsidRPr="009002F0" w14:paraId="4D78DDD9" w14:textId="77777777" w:rsidTr="009002F0">
        <w:tc>
          <w:tcPr>
            <w:tcW w:w="1620" w:type="dxa"/>
          </w:tcPr>
          <w:p w14:paraId="00B62204"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MSP</w:t>
            </w:r>
          </w:p>
        </w:tc>
        <w:tc>
          <w:tcPr>
            <w:tcW w:w="7390" w:type="dxa"/>
          </w:tcPr>
          <w:p w14:paraId="6643AE0C"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Money Services Provider</w:t>
            </w:r>
          </w:p>
        </w:tc>
      </w:tr>
      <w:tr w:rsidR="009002F0" w:rsidRPr="009002F0" w14:paraId="583E8E54" w14:textId="77777777" w:rsidTr="009002F0">
        <w:tc>
          <w:tcPr>
            <w:tcW w:w="1620" w:type="dxa"/>
          </w:tcPr>
          <w:p w14:paraId="30E3AAD2"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NER</w:t>
            </w:r>
          </w:p>
        </w:tc>
        <w:tc>
          <w:tcPr>
            <w:tcW w:w="7390" w:type="dxa"/>
          </w:tcPr>
          <w:p w14:paraId="291CFDBA"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National Employment Returns</w:t>
            </w:r>
          </w:p>
        </w:tc>
      </w:tr>
      <w:tr w:rsidR="009002F0" w:rsidRPr="009002F0" w14:paraId="52EF7962" w14:textId="77777777" w:rsidTr="009002F0">
        <w:tc>
          <w:tcPr>
            <w:tcW w:w="1620" w:type="dxa"/>
          </w:tcPr>
          <w:p w14:paraId="72E70A79"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PEAs</w:t>
            </w:r>
          </w:p>
        </w:tc>
        <w:tc>
          <w:tcPr>
            <w:tcW w:w="7390" w:type="dxa"/>
          </w:tcPr>
          <w:p w14:paraId="2489BB9F"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Private Employment Agencies</w:t>
            </w:r>
          </w:p>
        </w:tc>
      </w:tr>
      <w:tr w:rsidR="009002F0" w:rsidRPr="009002F0" w14:paraId="64065B4E" w14:textId="77777777" w:rsidTr="009002F0">
        <w:tc>
          <w:tcPr>
            <w:tcW w:w="1620" w:type="dxa"/>
          </w:tcPr>
          <w:p w14:paraId="48108E66"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PVP</w:t>
            </w:r>
          </w:p>
        </w:tc>
        <w:tc>
          <w:tcPr>
            <w:tcW w:w="7390" w:type="dxa"/>
          </w:tcPr>
          <w:p w14:paraId="3E33CB2D"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Professional Visit Pass</w:t>
            </w:r>
          </w:p>
        </w:tc>
      </w:tr>
      <w:tr w:rsidR="009002F0" w:rsidRPr="009002F0" w14:paraId="105FAAB1" w14:textId="77777777" w:rsidTr="009002F0">
        <w:tc>
          <w:tcPr>
            <w:tcW w:w="1620" w:type="dxa"/>
          </w:tcPr>
          <w:p w14:paraId="62E9B6FF"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SPIKA</w:t>
            </w:r>
          </w:p>
        </w:tc>
        <w:tc>
          <w:tcPr>
            <w:tcW w:w="7390" w:type="dxa"/>
          </w:tcPr>
          <w:p w14:paraId="3B1E318C"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eastAsia="zh-CN"/>
              </w:rPr>
              <w:t xml:space="preserve">Foreign Worker </w:t>
            </w:r>
            <w:proofErr w:type="spellStart"/>
            <w:r w:rsidRPr="009002F0">
              <w:rPr>
                <w:rFonts w:ascii="Calibri" w:eastAsia="Malgun Gothic" w:hAnsi="Calibri" w:cs="Calibri"/>
                <w:color w:val="auto"/>
                <w:sz w:val="22"/>
                <w:szCs w:val="22"/>
                <w:lang w:eastAsia="zh-CN"/>
              </w:rPr>
              <w:t>Hospitalisation</w:t>
            </w:r>
            <w:proofErr w:type="spellEnd"/>
            <w:r w:rsidRPr="009002F0">
              <w:rPr>
                <w:rFonts w:ascii="Calibri" w:eastAsia="Malgun Gothic" w:hAnsi="Calibri" w:cs="Calibri"/>
                <w:color w:val="auto"/>
                <w:sz w:val="22"/>
                <w:szCs w:val="22"/>
                <w:lang w:eastAsia="zh-CN"/>
              </w:rPr>
              <w:t xml:space="preserve"> and Surgical Insurance</w:t>
            </w:r>
          </w:p>
        </w:tc>
      </w:tr>
      <w:tr w:rsidR="009002F0" w:rsidRPr="009002F0" w14:paraId="14ADD46E" w14:textId="77777777" w:rsidTr="009002F0">
        <w:tc>
          <w:tcPr>
            <w:tcW w:w="1620" w:type="dxa"/>
          </w:tcPr>
          <w:p w14:paraId="4124122E"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SPPA</w:t>
            </w:r>
          </w:p>
        </w:tc>
        <w:tc>
          <w:tcPr>
            <w:tcW w:w="7390" w:type="dxa"/>
          </w:tcPr>
          <w:p w14:paraId="1FDA4C4C"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eastAsia="zh-CN"/>
              </w:rPr>
              <w:t>Foreign Workers Application System</w:t>
            </w:r>
          </w:p>
        </w:tc>
      </w:tr>
      <w:tr w:rsidR="009002F0" w:rsidRPr="009002F0" w14:paraId="50445569" w14:textId="77777777" w:rsidTr="009002F0">
        <w:tc>
          <w:tcPr>
            <w:tcW w:w="1620" w:type="dxa"/>
          </w:tcPr>
          <w:p w14:paraId="6BBB4B1D"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VDR</w:t>
            </w:r>
          </w:p>
        </w:tc>
        <w:tc>
          <w:tcPr>
            <w:tcW w:w="7390" w:type="dxa"/>
          </w:tcPr>
          <w:p w14:paraId="0B3D787F"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 xml:space="preserve">Visa </w:t>
            </w:r>
            <w:proofErr w:type="gramStart"/>
            <w:r w:rsidRPr="009002F0">
              <w:rPr>
                <w:rFonts w:ascii="Calibri" w:eastAsia="Malgun Gothic" w:hAnsi="Calibri" w:cs="Calibri"/>
                <w:color w:val="auto"/>
                <w:sz w:val="22"/>
                <w:szCs w:val="22"/>
                <w:lang w:val="en-MY"/>
              </w:rPr>
              <w:t>With</w:t>
            </w:r>
            <w:proofErr w:type="gramEnd"/>
            <w:r w:rsidRPr="009002F0">
              <w:rPr>
                <w:rFonts w:ascii="Calibri" w:eastAsia="Malgun Gothic" w:hAnsi="Calibri" w:cs="Calibri"/>
                <w:color w:val="auto"/>
                <w:sz w:val="22"/>
                <w:szCs w:val="22"/>
                <w:lang w:val="en-MY"/>
              </w:rPr>
              <w:t xml:space="preserve"> Reference</w:t>
            </w:r>
          </w:p>
        </w:tc>
      </w:tr>
      <w:tr w:rsidR="009002F0" w:rsidRPr="009002F0" w14:paraId="5E640A88" w14:textId="77777777" w:rsidTr="009002F0">
        <w:tc>
          <w:tcPr>
            <w:tcW w:w="1620" w:type="dxa"/>
          </w:tcPr>
          <w:p w14:paraId="688D7C9A"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proofErr w:type="spellStart"/>
            <w:r w:rsidRPr="009002F0">
              <w:rPr>
                <w:rFonts w:ascii="Calibri" w:eastAsia="Malgun Gothic" w:hAnsi="Calibri" w:cs="Calibri"/>
                <w:b/>
                <w:color w:val="auto"/>
                <w:sz w:val="22"/>
                <w:szCs w:val="22"/>
                <w:lang w:val="en-MY"/>
              </w:rPr>
              <w:t>VoA</w:t>
            </w:r>
            <w:proofErr w:type="spellEnd"/>
          </w:p>
        </w:tc>
        <w:tc>
          <w:tcPr>
            <w:tcW w:w="7390" w:type="dxa"/>
          </w:tcPr>
          <w:p w14:paraId="16F20986"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Visa on Arrival</w:t>
            </w:r>
          </w:p>
        </w:tc>
      </w:tr>
      <w:tr w:rsidR="009002F0" w:rsidRPr="009002F0" w14:paraId="1CF1C649" w14:textId="77777777" w:rsidTr="009002F0">
        <w:tc>
          <w:tcPr>
            <w:tcW w:w="1620" w:type="dxa"/>
          </w:tcPr>
          <w:p w14:paraId="3EF4EDBB" w14:textId="77777777" w:rsidR="009002F0" w:rsidRPr="009002F0" w:rsidRDefault="009002F0" w:rsidP="009002F0">
            <w:pPr>
              <w:widowControl/>
              <w:autoSpaceDE/>
              <w:autoSpaceDN/>
              <w:adjustRightInd/>
              <w:spacing w:after="120" w:line="264" w:lineRule="auto"/>
              <w:rPr>
                <w:rFonts w:ascii="Calibri" w:eastAsia="Malgun Gothic" w:hAnsi="Calibri" w:cs="Calibri"/>
                <w:b/>
                <w:color w:val="auto"/>
                <w:sz w:val="22"/>
                <w:szCs w:val="22"/>
                <w:lang w:val="en-MY"/>
              </w:rPr>
            </w:pPr>
            <w:r w:rsidRPr="009002F0">
              <w:rPr>
                <w:rFonts w:ascii="Calibri" w:eastAsia="Malgun Gothic" w:hAnsi="Calibri" w:cs="Calibri"/>
                <w:b/>
                <w:color w:val="auto"/>
                <w:sz w:val="22"/>
                <w:szCs w:val="22"/>
                <w:lang w:val="en-MY"/>
              </w:rPr>
              <w:t>VP(TE)</w:t>
            </w:r>
          </w:p>
        </w:tc>
        <w:tc>
          <w:tcPr>
            <w:tcW w:w="7390" w:type="dxa"/>
          </w:tcPr>
          <w:p w14:paraId="5550EF1B"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val="en-MY"/>
              </w:rPr>
            </w:pPr>
            <w:r w:rsidRPr="009002F0">
              <w:rPr>
                <w:rFonts w:ascii="Calibri" w:eastAsia="Malgun Gothic" w:hAnsi="Calibri" w:cs="Calibri"/>
                <w:color w:val="auto"/>
                <w:sz w:val="22"/>
                <w:szCs w:val="22"/>
                <w:lang w:val="en-MY"/>
              </w:rPr>
              <w:t>Visit Pass (Temporary Employment)</w:t>
            </w:r>
          </w:p>
        </w:tc>
      </w:tr>
    </w:tbl>
    <w:p w14:paraId="0250B271"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auto"/>
          <w:sz w:val="22"/>
          <w:szCs w:val="22"/>
          <w:lang w:eastAsia="ko-KR"/>
        </w:rPr>
      </w:pPr>
    </w:p>
    <w:p w14:paraId="6CDA5D4F"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auto"/>
          <w:sz w:val="22"/>
          <w:szCs w:val="22"/>
          <w:lang w:eastAsia="ko-KR"/>
        </w:rPr>
      </w:pPr>
      <w:r w:rsidRPr="009002F0">
        <w:rPr>
          <w:rFonts w:ascii="Andes" w:eastAsia="Malgun Gothic" w:hAnsi="Andes" w:cs="Times New Roman"/>
          <w:color w:val="auto"/>
          <w:sz w:val="22"/>
          <w:szCs w:val="22"/>
          <w:lang w:eastAsia="ko-KR"/>
        </w:rPr>
        <w:br w:type="page"/>
      </w:r>
    </w:p>
    <w:p w14:paraId="103A8BC0"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auto"/>
          <w:sz w:val="22"/>
          <w:szCs w:val="22"/>
          <w:lang w:eastAsia="ko-KR"/>
        </w:rPr>
      </w:pPr>
      <w:r w:rsidRPr="009002F0">
        <w:rPr>
          <w:rFonts w:ascii="Andes" w:eastAsia="Malgun Gothic" w:hAnsi="Andes" w:cs="Times New Roman"/>
          <w:color w:val="auto"/>
          <w:sz w:val="22"/>
          <w:szCs w:val="22"/>
          <w:lang w:eastAsia="ko-KR"/>
        </w:rPr>
        <w:lastRenderedPageBreak/>
        <w:br w:type="page"/>
      </w:r>
    </w:p>
    <w:p w14:paraId="31100C75" w14:textId="77777777" w:rsidR="009002F0" w:rsidRPr="009002F0" w:rsidRDefault="009002F0" w:rsidP="009002F0">
      <w:pPr>
        <w:keepNext/>
        <w:keepLines/>
        <w:widowControl/>
        <w:autoSpaceDE/>
        <w:autoSpaceDN/>
        <w:adjustRightInd/>
        <w:spacing w:before="320" w:after="360"/>
        <w:jc w:val="center"/>
        <w:outlineLvl w:val="0"/>
        <w:rPr>
          <w:rFonts w:ascii="Andes" w:eastAsia="Malgun Gothic" w:hAnsi="Andes" w:cs="Times New Roman"/>
          <w:b/>
          <w:color w:val="002345"/>
          <w:sz w:val="32"/>
          <w:szCs w:val="32"/>
          <w:lang w:eastAsia="ko-KR"/>
        </w:rPr>
      </w:pPr>
      <w:bookmarkStart w:id="3" w:name="_Toc4581505"/>
      <w:r w:rsidRPr="009002F0">
        <w:rPr>
          <w:rFonts w:ascii="Andes" w:eastAsia="Malgun Gothic" w:hAnsi="Andes" w:cs="Times New Roman"/>
          <w:b/>
          <w:color w:val="002345"/>
          <w:sz w:val="32"/>
          <w:szCs w:val="32"/>
          <w:lang w:eastAsia="ko-KR"/>
        </w:rPr>
        <w:lastRenderedPageBreak/>
        <w:t>Executive Summary</w:t>
      </w:r>
      <w:bookmarkEnd w:id="3"/>
    </w:p>
    <w:p w14:paraId="4FBAB7D3"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Malaysia has experienced a rise in foreign labor inflows in response to steady economic expansion and demographic changes. The foreign workforce has been hovering around 15 percent of the total labor force in recent years according to Labour Force Surveys by the Department of Statistics Malaysia (DOSM). Foreign labor is concentrated in low-skilled occupations, and in Malaysia the term “foreign worker” specifically implies a foreigner doing low-skilled work. These foreign workers come from neighboring countries, predominantly Indonesia, Bangladesh, Nepal and the Philippines.   </w:t>
      </w:r>
    </w:p>
    <w:p w14:paraId="492AF2E4"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Foreign labor makes important contributions to the labor market and economic growth. Immigrants address labor market imbalances by filling labor shortages in low-skilled, labor-intensive sectors. As a result, low-skilled foreign workers complement </w:t>
      </w:r>
      <w:proofErr w:type="gramStart"/>
      <w:r w:rsidRPr="009002F0">
        <w:rPr>
          <w:rFonts w:ascii="Calibri" w:eastAsia="Malgun Gothic" w:hAnsi="Calibri" w:cs="Times New Roman"/>
          <w:color w:val="auto"/>
          <w:szCs w:val="22"/>
          <w:lang w:eastAsia="ko-KR"/>
        </w:rPr>
        <w:t>the majority of</w:t>
      </w:r>
      <w:proofErr w:type="gramEnd"/>
      <w:r w:rsidRPr="009002F0">
        <w:rPr>
          <w:rFonts w:ascii="Calibri" w:eastAsia="Malgun Gothic" w:hAnsi="Calibri" w:cs="Times New Roman"/>
          <w:color w:val="auto"/>
          <w:szCs w:val="22"/>
          <w:lang w:eastAsia="ko-KR"/>
        </w:rPr>
        <w:t xml:space="preserve"> Malaysian workers and contribute to creating jobs for higher-skilled Malaysian natives, enabling Malaysians to specialize and increase their wage premiums</w:t>
      </w:r>
      <w:r w:rsidRPr="009002F0">
        <w:rPr>
          <w:rFonts w:ascii="Calibri" w:eastAsia="Malgun Gothic" w:hAnsi="Calibri" w:cs="Times New Roman"/>
          <w:noProof/>
          <w:color w:val="auto"/>
          <w:szCs w:val="22"/>
          <w:lang w:eastAsia="ko-KR"/>
        </w:rPr>
        <w:t xml:space="preserve">, as research has shown. </w:t>
      </w:r>
      <w:r w:rsidRPr="009002F0">
        <w:rPr>
          <w:rFonts w:ascii="Calibri" w:eastAsia="Malgun Gothic" w:hAnsi="Calibri" w:cs="Times New Roman"/>
          <w:color w:val="auto"/>
          <w:szCs w:val="22"/>
          <w:lang w:eastAsia="ko-KR"/>
        </w:rPr>
        <w:t xml:space="preserve">At the aggregate level, foreign labor supports domestic consumption and fuels economic growth as demonstrated through a computable general equilibrium model. </w:t>
      </w:r>
    </w:p>
    <w:p w14:paraId="0FB4FB7C"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Yet, concerns over irregular foreign workers have been growing. Heated discussions have taken place on the number of irregular foreign workers in Malaysia as there is no definitive estimate of the number of irregular foreign workers. To illustrate the magnitude, t</w:t>
      </w:r>
      <w:r w:rsidRPr="009002F0">
        <w:rPr>
          <w:rFonts w:ascii="Calibri" w:eastAsia="Calibri" w:hAnsi="Calibri" w:cs="Times New Roman"/>
          <w:color w:val="auto"/>
          <w:szCs w:val="22"/>
        </w:rPr>
        <w:t>he Ministry of Home Affairs (MOHA) reported that four out of ten foreign workers are irregular, based on its enforcement and amnesty program operations, suggesting the number of irregular foreign workers be about 1.2 million in 2017 and the total foreign worker population of about 3 million. Unofficial data suggests as many as 4 million irregular foreign workers. None of these figures are backed up by rigorous analytical methods, except the estimate by the Institute of Labor Market Information and Analysis, which estimates the total foreign worker population to be 3.5 million using foreign-worker-related insurance subscription data.</w:t>
      </w:r>
    </w:p>
    <w:p w14:paraId="2D2071AE"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This report is one of the first attempts, to our knowledge, to estimate the number of irregular foreign workers in Malaysia. Its contributions to this field are the following: first, it develops a conceptual framework that lays out potential entry points of irregular foreign workers. Second, it identifies alternative administrative data sources that could help estimate the magnitude of irregular foreign workers at each entry point. Third, it identifies methods that can be employed to measure irregular foreign workers with the current data availability and outlines what can be carried out further in the future using Immigration Department’s microdata. </w:t>
      </w:r>
    </w:p>
    <w:p w14:paraId="50B5EB70"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To be more specific about the estimation methods, this report employed three approaches. The first is a “residual method”, which compares the total non-citizen population derived from the 2010 Population and Housing Census with estimates of the lawfully-residing non-citizen population. This is </w:t>
      </w:r>
      <w:proofErr w:type="gramStart"/>
      <w:r w:rsidRPr="009002F0">
        <w:rPr>
          <w:rFonts w:ascii="Calibri" w:eastAsia="Malgun Gothic" w:hAnsi="Calibri" w:cs="Times New Roman"/>
          <w:color w:val="auto"/>
          <w:lang w:eastAsia="ko-KR"/>
        </w:rPr>
        <w:t>similar to</w:t>
      </w:r>
      <w:proofErr w:type="gramEnd"/>
      <w:r w:rsidRPr="009002F0">
        <w:rPr>
          <w:rFonts w:ascii="Calibri" w:eastAsia="Malgun Gothic" w:hAnsi="Calibri" w:cs="Times New Roman"/>
          <w:color w:val="auto"/>
          <w:lang w:eastAsia="ko-KR"/>
        </w:rPr>
        <w:t xml:space="preserve"> the approach used by the U.S. Department of Homeland Security’s Office of Immigration Statistics. The second approach is a “build-up” method that counts the various groups of irregular foreign workers based on administrative data. No microdata </w:t>
      </w:r>
      <w:proofErr w:type="gramStart"/>
      <w:r w:rsidRPr="009002F0">
        <w:rPr>
          <w:rFonts w:ascii="Calibri" w:eastAsia="Malgun Gothic" w:hAnsi="Calibri" w:cs="Times New Roman"/>
          <w:color w:val="auto"/>
          <w:lang w:eastAsia="ko-KR"/>
        </w:rPr>
        <w:t>were</w:t>
      </w:r>
      <w:proofErr w:type="gramEnd"/>
      <w:r w:rsidRPr="009002F0">
        <w:rPr>
          <w:rFonts w:ascii="Calibri" w:eastAsia="Malgun Gothic" w:hAnsi="Calibri" w:cs="Times New Roman"/>
          <w:color w:val="auto"/>
          <w:lang w:eastAsia="ko-KR"/>
        </w:rPr>
        <w:t xml:space="preserve"> made available and therefore the estimations under these two methods were </w:t>
      </w:r>
      <w:r w:rsidRPr="009002F0">
        <w:rPr>
          <w:rFonts w:ascii="Calibri" w:eastAsia="Malgun Gothic" w:hAnsi="Calibri" w:cs="Times New Roman"/>
          <w:color w:val="auto"/>
          <w:lang w:eastAsia="ko-KR"/>
        </w:rPr>
        <w:lastRenderedPageBreak/>
        <w:t xml:space="preserve">at the aggregate level. This highlights the importance of making better use of existing administrative data at the micro level to improve the estimation process. Microlevel data analyses remain a potentially productive area for future research.  </w:t>
      </w:r>
    </w:p>
    <w:p w14:paraId="6E160F9C"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The data limitations were alleviated to some extent by analyzing the data on remittance transactions (carried out by money service providers, or MSPs) collected by the Bank Negara Malaysia (BNM) and made available at the micro level. The regular or irregular status of individual remitters were identified using age, wage, and sectoral restrictions embedded in Malaysia’s foreign worker management system. However, this method has its limitations as not all foreign workers use MSPs to send money home, especially those in plantation estates. </w:t>
      </w:r>
    </w:p>
    <w:p w14:paraId="5F61D166"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With such methods, the report estimates: </w:t>
      </w:r>
    </w:p>
    <w:p w14:paraId="46AB2E77" w14:textId="77777777" w:rsidR="009002F0" w:rsidRPr="009002F0" w:rsidRDefault="009002F0" w:rsidP="009002F0">
      <w:pPr>
        <w:widowControl/>
        <w:numPr>
          <w:ilvl w:val="0"/>
          <w:numId w:val="39"/>
        </w:numPr>
        <w:autoSpaceDE/>
        <w:autoSpaceDN/>
        <w:adjustRightInd/>
        <w:snapToGrid w:val="0"/>
        <w:spacing w:after="160" w:line="259"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The total number of foreign workers in Malaysia ranged from 2.96 million to 3.26 million in 2017.</w:t>
      </w:r>
    </w:p>
    <w:p w14:paraId="30226119" w14:textId="77777777" w:rsidR="009002F0" w:rsidRPr="009002F0" w:rsidRDefault="009002F0" w:rsidP="009002F0">
      <w:pPr>
        <w:widowControl/>
        <w:numPr>
          <w:ilvl w:val="0"/>
          <w:numId w:val="39"/>
        </w:numPr>
        <w:autoSpaceDE/>
        <w:autoSpaceDN/>
        <w:adjustRightInd/>
        <w:snapToGrid w:val="0"/>
        <w:spacing w:after="160" w:line="259"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Among these, the number of irregular foreign workers is estimated to be 1.23 million – 1.46 million. </w:t>
      </w:r>
    </w:p>
    <w:p w14:paraId="31F3DC11"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The estimates reflect the Immigration Department’s efforts to curb irregular foreign workers through its amnesty programs and enforcement operations that involved deportation of irregular foreign workers. </w:t>
      </w:r>
    </w:p>
    <w:p w14:paraId="734E45CC"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Going forward, Malaysia should improve inter-agency coordination and collaboration to narrow gaps in estimating irregular foreign workers. This collaboration would be a building block to create an integrated management information system to better utilize existing administrative data. Such a system consolidates various administrative data and reports in one place and identifies individuals using administrative registers. This could potentially be complemented by improvements in the quality of remittance transaction data collected by BNM, which would allow a better understanding of the sectoral distribution of foreign workers and easier identification of irregular foreign workers.   </w:t>
      </w:r>
    </w:p>
    <w:p w14:paraId="1CD8AA35"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auto"/>
          <w:sz w:val="22"/>
          <w:szCs w:val="22"/>
          <w:lang w:eastAsia="ko-KR"/>
        </w:rPr>
      </w:pPr>
      <w:r w:rsidRPr="009002F0">
        <w:rPr>
          <w:rFonts w:ascii="Andes" w:eastAsia="Malgun Gothic" w:hAnsi="Andes" w:cs="Times New Roman"/>
          <w:color w:val="auto"/>
          <w:sz w:val="22"/>
          <w:szCs w:val="22"/>
          <w:lang w:eastAsia="ko-KR"/>
        </w:rPr>
        <w:br w:type="page"/>
      </w:r>
    </w:p>
    <w:p w14:paraId="3F0679E9" w14:textId="77777777" w:rsidR="009002F0" w:rsidRPr="009002F0" w:rsidRDefault="009002F0" w:rsidP="009002F0">
      <w:pPr>
        <w:keepNext/>
        <w:keepLines/>
        <w:widowControl/>
        <w:autoSpaceDE/>
        <w:autoSpaceDN/>
        <w:adjustRightInd/>
        <w:spacing w:before="320" w:after="360"/>
        <w:jc w:val="center"/>
        <w:outlineLvl w:val="0"/>
        <w:rPr>
          <w:rFonts w:ascii="Andes" w:eastAsia="Malgun Gothic" w:hAnsi="Andes" w:cs="Times New Roman"/>
          <w:b/>
          <w:color w:val="002345"/>
          <w:sz w:val="32"/>
          <w:szCs w:val="32"/>
          <w:lang w:eastAsia="ko-KR"/>
        </w:rPr>
        <w:sectPr w:rsidR="009002F0" w:rsidRPr="009002F0" w:rsidSect="009002F0">
          <w:footerReference w:type="default" r:id="rId13"/>
          <w:footerReference w:type="first" r:id="rId14"/>
          <w:footnotePr>
            <w:numFmt w:val="chicago"/>
          </w:footnotePr>
          <w:pgSz w:w="11906" w:h="16838" w:code="9"/>
          <w:pgMar w:top="1440" w:right="1440" w:bottom="1440" w:left="1440" w:header="720" w:footer="720" w:gutter="0"/>
          <w:pgNumType w:fmt="lowerRoman" w:start="1"/>
          <w:cols w:space="720"/>
          <w:titlePg/>
          <w:docGrid w:linePitch="360"/>
        </w:sectPr>
      </w:pPr>
      <w:bookmarkStart w:id="4" w:name="_Toc531169844"/>
      <w:bookmarkStart w:id="5" w:name="_Toc451435890"/>
      <w:bookmarkStart w:id="6" w:name="_Toc451783987"/>
    </w:p>
    <w:bookmarkEnd w:id="4"/>
    <w:bookmarkEnd w:id="5"/>
    <w:bookmarkEnd w:id="6"/>
    <w:p w14:paraId="767FC47F"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p>
    <w:p w14:paraId="1EA228B6"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002345"/>
          <w:sz w:val="32"/>
          <w:szCs w:val="32"/>
          <w:lang w:eastAsia="ko-KR"/>
        </w:rPr>
      </w:pPr>
      <w:bookmarkStart w:id="7" w:name="_Toc445191247"/>
      <w:bookmarkStart w:id="8" w:name="_Toc451337603"/>
      <w:bookmarkStart w:id="9" w:name="_Toc451783988"/>
      <w:bookmarkStart w:id="10" w:name="_Toc531169845"/>
      <w:bookmarkStart w:id="11" w:name="_Hlk535088136"/>
      <w:bookmarkStart w:id="12" w:name="_Toc4581506"/>
      <w:r w:rsidRPr="009002F0">
        <w:rPr>
          <w:rFonts w:ascii="Andes" w:eastAsia="Malgun Gothic" w:hAnsi="Andes" w:cs="Times New Roman"/>
          <w:b/>
          <w:color w:val="002345"/>
          <w:sz w:val="32"/>
          <w:szCs w:val="32"/>
          <w:lang w:eastAsia="ko-KR"/>
        </w:rPr>
        <w:t>Introduction</w:t>
      </w:r>
      <w:bookmarkEnd w:id="7"/>
      <w:bookmarkEnd w:id="8"/>
      <w:bookmarkEnd w:id="9"/>
      <w:bookmarkEnd w:id="10"/>
      <w:bookmarkEnd w:id="11"/>
      <w:bookmarkEnd w:id="12"/>
    </w:p>
    <w:p w14:paraId="4E00893C"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Malaysia has become a magnet for foreign workers from neighboring lower-income countries, owing to fast and steady economic progress and a higher old-age dependency ratio. The foreign workforce has been hovering around 15 percent of the total labor force in recent years according to Labour Force Surveys by the Department of Statistics Malaysia (DOSM). The members of the Association of Southeast Asian Nations (ASEAN) have committed to facilitate the movement of high-skilled workers, and yet, many foreign workers in Malaysia tend to be low-skilled, work in labor-intensive sectors such as the manufacturing, construction, plantation, agriculture, and domestic helper sectors, and reside in Sabah, Selangor, and Johor. Indonesians continue to be the dominant foreign worker group, benefiting from geographical and cultural proximity, albeit on a declining trend.    </w:t>
      </w:r>
    </w:p>
    <w:p w14:paraId="059DA8B4"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This foreign labor participation has direct macroeconomic implications. As an immediate effect, low-skilled foreign workers fill labor shortages in these sectors. A continued influx of foreign workers in the labor market supports the competitiveness of labor-intensive Malaysian goods by containing wage costs for low-skilled labor.</w:t>
      </w:r>
      <w:r w:rsidRPr="009002F0">
        <w:rPr>
          <w:rFonts w:ascii="ZWAdobeF" w:eastAsia="Malgun Gothic" w:hAnsi="ZWAdobeF" w:cs="ZWAdobeF"/>
          <w:color w:val="auto"/>
          <w:sz w:val="2"/>
          <w:szCs w:val="2"/>
          <w:lang w:eastAsia="ko-KR"/>
        </w:rPr>
        <w:t>1F</w:t>
      </w:r>
      <w:r w:rsidRPr="009002F0">
        <w:rPr>
          <w:rFonts w:ascii="Calibri" w:eastAsia="Malgun Gothic" w:hAnsi="Calibri" w:cs="Times New Roman"/>
          <w:color w:val="auto"/>
          <w:szCs w:val="22"/>
          <w:vertAlign w:val="superscript"/>
          <w:lang w:eastAsia="ko-KR"/>
        </w:rPr>
        <w:footnoteReference w:id="2"/>
      </w:r>
      <w:r w:rsidRPr="009002F0">
        <w:rPr>
          <w:rFonts w:ascii="Calibri" w:eastAsia="Malgun Gothic" w:hAnsi="Calibri" w:cs="Times New Roman"/>
          <w:color w:val="auto"/>
          <w:szCs w:val="22"/>
          <w:lang w:eastAsia="ko-KR"/>
        </w:rPr>
        <w:t xml:space="preserve"> Consequently, low-skilled foreign workers complement the majority of Malaysian workers and contribute to creating jobs for higher-skilled Malaysian natives, enabling Malaysians to specialize and increase their wage premiums</w:t>
      </w:r>
      <w:r w:rsidRPr="009002F0">
        <w:rPr>
          <w:rFonts w:ascii="Calibri" w:eastAsia="Malgun Gothic" w:hAnsi="Calibri" w:cs="Times New Roman"/>
          <w:noProof/>
          <w:color w:val="auto"/>
          <w:szCs w:val="22"/>
          <w:lang w:eastAsia="ko-KR"/>
        </w:rPr>
        <w:t xml:space="preserve"> (World Bank, 2015; Özden and Wagner, 2014</w:t>
      </w:r>
      <w:r w:rsidRPr="009002F0">
        <w:rPr>
          <w:rFonts w:ascii="ZWAdobeF" w:eastAsia="Malgun Gothic" w:hAnsi="ZWAdobeF" w:cs="ZWAdobeF"/>
          <w:noProof/>
          <w:color w:val="auto"/>
          <w:sz w:val="2"/>
          <w:szCs w:val="2"/>
          <w:lang w:eastAsia="ko-KR"/>
        </w:rPr>
        <w:t>2F</w:t>
      </w:r>
      <w:r w:rsidRPr="009002F0">
        <w:rPr>
          <w:rFonts w:ascii="Calibri" w:eastAsia="Malgun Gothic" w:hAnsi="Calibri" w:cs="Times New Roman"/>
          <w:noProof/>
          <w:color w:val="auto"/>
          <w:szCs w:val="22"/>
          <w:vertAlign w:val="superscript"/>
          <w:lang w:eastAsia="ko-KR"/>
        </w:rPr>
        <w:footnoteReference w:id="3"/>
      </w:r>
      <w:r w:rsidRPr="009002F0">
        <w:rPr>
          <w:rFonts w:ascii="Calibri" w:eastAsia="Malgun Gothic" w:hAnsi="Calibri" w:cs="Times New Roman"/>
          <w:noProof/>
          <w:color w:val="auto"/>
          <w:szCs w:val="22"/>
          <w:lang w:eastAsia="ko-KR"/>
        </w:rPr>
        <w:t>)</w:t>
      </w:r>
      <w:r w:rsidRPr="009002F0">
        <w:rPr>
          <w:rFonts w:ascii="Calibri" w:eastAsia="Malgun Gothic" w:hAnsi="Calibri" w:cs="Times New Roman"/>
          <w:color w:val="auto"/>
          <w:szCs w:val="22"/>
          <w:lang w:eastAsia="ko-KR"/>
        </w:rPr>
        <w:t xml:space="preserve">, as seen in other countries such as the United States </w:t>
      </w:r>
      <w:sdt>
        <w:sdtPr>
          <w:rPr>
            <w:rFonts w:ascii="Calibri" w:eastAsia="Malgun Gothic" w:hAnsi="Calibri" w:cs="Times New Roman"/>
            <w:color w:val="auto"/>
            <w:szCs w:val="22"/>
            <w:lang w:eastAsia="ko-KR"/>
          </w:rPr>
          <w:id w:val="-213426719"/>
          <w:citation/>
        </w:sdtPr>
        <w:sdtContent>
          <w:r w:rsidRPr="009002F0">
            <w:rPr>
              <w:rFonts w:ascii="Calibri" w:eastAsia="Malgun Gothic" w:hAnsi="Calibri" w:cs="Times New Roman"/>
              <w:color w:val="auto"/>
              <w:szCs w:val="22"/>
              <w:lang w:eastAsia="ko-KR"/>
            </w:rPr>
            <w:fldChar w:fldCharType="begin"/>
          </w:r>
          <w:r w:rsidRPr="009002F0">
            <w:rPr>
              <w:rFonts w:ascii="Calibri" w:eastAsia="Malgun Gothic" w:hAnsi="Calibri" w:cs="Times New Roman"/>
              <w:color w:val="auto"/>
              <w:szCs w:val="22"/>
              <w:lang w:eastAsia="ko-KR"/>
            </w:rPr>
            <w:instrText xml:space="preserve"> CITATION Uri14 \l 1033 </w:instrText>
          </w:r>
          <w:r w:rsidRPr="009002F0">
            <w:rPr>
              <w:rFonts w:ascii="Calibri" w:eastAsia="Malgun Gothic" w:hAnsi="Calibri" w:cs="Times New Roman"/>
              <w:color w:val="auto"/>
              <w:szCs w:val="22"/>
              <w:lang w:eastAsia="ko-KR"/>
            </w:rPr>
            <w:fldChar w:fldCharType="separate"/>
          </w:r>
          <w:r w:rsidRPr="009002F0">
            <w:rPr>
              <w:rFonts w:ascii="Calibri" w:eastAsia="Malgun Gothic" w:hAnsi="Calibri" w:cs="Times New Roman"/>
              <w:noProof/>
              <w:color w:val="auto"/>
              <w:szCs w:val="22"/>
              <w:lang w:eastAsia="ko-KR"/>
            </w:rPr>
            <w:t>(Dadush, 2014)</w:t>
          </w:r>
          <w:r w:rsidRPr="009002F0">
            <w:rPr>
              <w:rFonts w:ascii="Calibri" w:eastAsia="Malgun Gothic" w:hAnsi="Calibri" w:cs="Times New Roman"/>
              <w:color w:val="auto"/>
              <w:szCs w:val="22"/>
              <w:lang w:eastAsia="ko-KR"/>
            </w:rPr>
            <w:fldChar w:fldCharType="end"/>
          </w:r>
        </w:sdtContent>
      </w:sdt>
      <w:r w:rsidRPr="009002F0">
        <w:rPr>
          <w:rFonts w:ascii="Calibri" w:eastAsia="Malgun Gothic" w:hAnsi="Calibri" w:cs="Times New Roman"/>
          <w:color w:val="auto"/>
          <w:szCs w:val="22"/>
          <w:lang w:eastAsia="ko-KR"/>
        </w:rPr>
        <w:t xml:space="preserve">. At the aggregate level, foreign workers support domestic consumption and fuel economic growth as demonstrated through a computable general equilibrium model that </w:t>
      </w:r>
      <w:proofErr w:type="gramStart"/>
      <w:r w:rsidRPr="009002F0">
        <w:rPr>
          <w:rFonts w:ascii="Calibri" w:eastAsia="Malgun Gothic" w:hAnsi="Calibri" w:cs="Times New Roman"/>
          <w:color w:val="auto"/>
          <w:szCs w:val="22"/>
          <w:lang w:eastAsia="ko-KR"/>
        </w:rPr>
        <w:t>takes into account</w:t>
      </w:r>
      <w:proofErr w:type="gramEnd"/>
      <w:r w:rsidRPr="009002F0">
        <w:rPr>
          <w:rFonts w:ascii="Calibri" w:eastAsia="Malgun Gothic" w:hAnsi="Calibri" w:cs="Times New Roman"/>
          <w:color w:val="auto"/>
          <w:szCs w:val="22"/>
          <w:lang w:eastAsia="ko-KR"/>
        </w:rPr>
        <w:t xml:space="preserve"> the outflows of foreign workers’ wages (</w:t>
      </w:r>
      <w:r w:rsidRPr="009002F0">
        <w:rPr>
          <w:rFonts w:ascii="Calibri" w:eastAsia="Malgun Gothic" w:hAnsi="Calibri" w:cs="Times New Roman"/>
          <w:noProof/>
          <w:color w:val="auto"/>
          <w:szCs w:val="22"/>
          <w:lang w:eastAsia="ko-KR"/>
        </w:rPr>
        <w:t>Ahsan et al, 2014)</w:t>
      </w:r>
      <w:r w:rsidRPr="009002F0">
        <w:rPr>
          <w:rFonts w:ascii="Calibri" w:eastAsia="Malgun Gothic" w:hAnsi="Calibri" w:cs="Times New Roman"/>
          <w:color w:val="auto"/>
          <w:szCs w:val="22"/>
          <w:lang w:eastAsia="ko-KR"/>
        </w:rPr>
        <w:t xml:space="preserve">. </w:t>
      </w:r>
    </w:p>
    <w:p w14:paraId="0C5DB612"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There are concerns about irregular foreign workers. First, whether regular or irregular, foreign workers could depress the employment and wages of low-skilled Malaysian workers, however </w:t>
      </w:r>
      <w:r w:rsidRPr="009002F0">
        <w:rPr>
          <w:rFonts w:ascii="Calibri" w:eastAsia="Malgun Gothic" w:hAnsi="Calibri" w:cs="Times New Roman"/>
          <w:noProof/>
          <w:color w:val="auto"/>
          <w:szCs w:val="22"/>
          <w:lang w:eastAsia="ko-KR"/>
        </w:rPr>
        <w:t>Özden and Wagner (2014</w:t>
      </w:r>
      <w:r w:rsidRPr="009002F0">
        <w:rPr>
          <w:rFonts w:ascii="Calibri" w:eastAsia="Malgun Gothic" w:hAnsi="Calibri" w:cs="Times New Roman"/>
          <w:color w:val="auto"/>
          <w:szCs w:val="22"/>
          <w:lang w:eastAsia="ko-KR"/>
        </w:rPr>
        <w:t>) have found the magnitudes to be small. Secondly, i</w:t>
      </w:r>
      <w:r w:rsidRPr="009002F0">
        <w:rPr>
          <w:rFonts w:ascii="Calibri" w:eastAsia="Calibri" w:hAnsi="Calibri" w:cs="Times New Roman"/>
          <w:color w:val="auto"/>
          <w:szCs w:val="22"/>
        </w:rPr>
        <w:t>n terms of social implications, an over-concentration of irregular foreign workers may strain</w:t>
      </w:r>
      <w:r w:rsidRPr="009002F0">
        <w:rPr>
          <w:rFonts w:ascii="Calibri" w:eastAsia="Malgun Gothic" w:hAnsi="Calibri" w:cs="Times New Roman"/>
          <w:color w:val="auto"/>
          <w:szCs w:val="22"/>
          <w:lang w:eastAsia="ko-KR"/>
        </w:rPr>
        <w:t xml:space="preserve"> </w:t>
      </w:r>
      <w:r w:rsidRPr="009002F0">
        <w:rPr>
          <w:rFonts w:ascii="Calibri" w:eastAsia="Calibri" w:hAnsi="Calibri" w:cs="Times New Roman"/>
          <w:color w:val="auto"/>
          <w:szCs w:val="22"/>
        </w:rPr>
        <w:t>public resources and finances</w:t>
      </w:r>
      <w:r w:rsidRPr="009002F0">
        <w:rPr>
          <w:rFonts w:ascii="ZWAdobeF" w:eastAsia="Calibri" w:hAnsi="ZWAdobeF" w:cs="ZWAdobeF"/>
          <w:color w:val="auto"/>
          <w:sz w:val="2"/>
          <w:szCs w:val="2"/>
        </w:rPr>
        <w:t>3F</w:t>
      </w:r>
      <w:r w:rsidRPr="009002F0">
        <w:rPr>
          <w:rFonts w:ascii="Calibri" w:eastAsia="Calibri" w:hAnsi="Calibri" w:cs="Times New Roman"/>
          <w:color w:val="auto"/>
          <w:szCs w:val="22"/>
          <w:vertAlign w:val="superscript"/>
        </w:rPr>
        <w:footnoteReference w:id="4"/>
      </w:r>
      <w:r w:rsidRPr="009002F0">
        <w:rPr>
          <w:rFonts w:ascii="Calibri" w:eastAsia="Calibri" w:hAnsi="Calibri" w:cs="Times New Roman"/>
          <w:color w:val="auto"/>
          <w:szCs w:val="22"/>
        </w:rPr>
        <w:t>, as well as potentially be a source of highly communicable diseases given that irregular foreign workers avoid the health screening that is compulsory for all foreign workers (</w:t>
      </w:r>
      <w:proofErr w:type="spellStart"/>
      <w:r w:rsidRPr="009002F0">
        <w:rPr>
          <w:rFonts w:ascii="Calibri" w:eastAsia="Calibri" w:hAnsi="Calibri" w:cs="Times New Roman"/>
          <w:color w:val="auto"/>
          <w:szCs w:val="22"/>
        </w:rPr>
        <w:t>Kanapathy</w:t>
      </w:r>
      <w:proofErr w:type="spellEnd"/>
      <w:r w:rsidRPr="009002F0">
        <w:rPr>
          <w:rFonts w:ascii="Calibri" w:eastAsia="Calibri" w:hAnsi="Calibri" w:cs="Times New Roman"/>
          <w:color w:val="auto"/>
          <w:szCs w:val="22"/>
        </w:rPr>
        <w:t xml:space="preserve">, 2004). </w:t>
      </w:r>
    </w:p>
    <w:p w14:paraId="021E7841"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lastRenderedPageBreak/>
        <w:t>Despite this concern, there is no definitive estimate of the number of irregular foreign workers. Based on its enforcement operations, t</w:t>
      </w:r>
      <w:r w:rsidRPr="009002F0">
        <w:rPr>
          <w:rFonts w:ascii="Calibri" w:eastAsia="Calibri" w:hAnsi="Calibri" w:cs="Times New Roman"/>
          <w:color w:val="auto"/>
          <w:szCs w:val="22"/>
        </w:rPr>
        <w:t>he Ministry of Home Affairs (MOHA) reported that there are seven irregular foreign workers for every ten regular foreign workers (or equivalently, that four in ten foreign workers are irregular foreign workers). This suggests that the number of irregular foreign workers stand at 1.2 million (based on 2017 data on registered foreign workers). At the same time, it has reported that o</w:t>
      </w:r>
      <w:r w:rsidRPr="009002F0">
        <w:rPr>
          <w:rFonts w:ascii="Calibri" w:eastAsia="Malgun Gothic" w:hAnsi="Calibri" w:cs="Calibri"/>
          <w:color w:val="auto"/>
          <w:szCs w:val="22"/>
          <w:lang w:eastAsia="zh-CN"/>
        </w:rPr>
        <w:t>ne of the most recent regularization and deportation programs alone, known as the 6P program</w:t>
      </w:r>
      <w:r w:rsidRPr="009002F0">
        <w:rPr>
          <w:rFonts w:ascii="ZWAdobeF" w:eastAsia="Malgun Gothic" w:hAnsi="ZWAdobeF" w:cs="ZWAdobeF"/>
          <w:color w:val="auto"/>
          <w:sz w:val="2"/>
          <w:szCs w:val="2"/>
          <w:lang w:eastAsia="zh-CN"/>
        </w:rPr>
        <w:t>4F</w:t>
      </w:r>
      <w:r w:rsidRPr="009002F0">
        <w:rPr>
          <w:rFonts w:ascii="Calibri" w:eastAsia="Malgun Gothic" w:hAnsi="Calibri" w:cs="Calibri"/>
          <w:color w:val="auto"/>
          <w:szCs w:val="22"/>
          <w:vertAlign w:val="superscript"/>
          <w:lang w:eastAsia="zh-CN"/>
        </w:rPr>
        <w:footnoteReference w:id="5"/>
      </w:r>
      <w:r w:rsidRPr="009002F0">
        <w:rPr>
          <w:rFonts w:ascii="Calibri" w:eastAsia="Malgun Gothic" w:hAnsi="Calibri" w:cs="Calibri"/>
          <w:color w:val="auto"/>
          <w:szCs w:val="22"/>
          <w:lang w:eastAsia="zh-CN"/>
        </w:rPr>
        <w:t>, registered 1.3 million irregular foreign workers since its inception in 2011.</w:t>
      </w:r>
      <w:r w:rsidRPr="009002F0">
        <w:rPr>
          <w:rFonts w:ascii="ZWAdobeF" w:eastAsia="Malgun Gothic" w:hAnsi="ZWAdobeF" w:cs="ZWAdobeF"/>
          <w:color w:val="auto"/>
          <w:sz w:val="2"/>
          <w:szCs w:val="2"/>
          <w:lang w:eastAsia="zh-CN"/>
        </w:rPr>
        <w:t>5F</w:t>
      </w:r>
      <w:r w:rsidRPr="009002F0">
        <w:rPr>
          <w:rFonts w:ascii="Calibri" w:eastAsia="Malgun Gothic" w:hAnsi="Calibri" w:cs="Calibri"/>
          <w:color w:val="auto"/>
          <w:szCs w:val="22"/>
          <w:vertAlign w:val="superscript"/>
          <w:lang w:eastAsia="zh-CN"/>
        </w:rPr>
        <w:footnoteReference w:id="6"/>
      </w:r>
      <w:r w:rsidRPr="009002F0">
        <w:rPr>
          <w:rFonts w:ascii="Calibri" w:eastAsia="Malgun Gothic" w:hAnsi="Calibri" w:cs="Times New Roman"/>
          <w:color w:val="auto"/>
          <w:szCs w:val="22"/>
          <w:lang w:eastAsia="ko-KR"/>
        </w:rPr>
        <w:t xml:space="preserve"> </w:t>
      </w:r>
      <w:r w:rsidRPr="009002F0">
        <w:rPr>
          <w:rFonts w:ascii="Calibri" w:eastAsia="Calibri" w:hAnsi="Calibri" w:cs="Times New Roman"/>
          <w:color w:val="auto"/>
          <w:szCs w:val="22"/>
        </w:rPr>
        <w:t xml:space="preserve">The Malaysia </w:t>
      </w:r>
      <w:r w:rsidRPr="009002F0">
        <w:rPr>
          <w:rFonts w:ascii="Calibri" w:eastAsia="Malgun Gothic" w:hAnsi="Calibri" w:cs="Times New Roman"/>
          <w:color w:val="auto"/>
          <w:szCs w:val="22"/>
          <w:lang w:eastAsia="ko-KR"/>
        </w:rPr>
        <w:t xml:space="preserve">Labour Force Survey suggests the total number of foreign workers was 2.27 million in 2017 including both irregular and regular foreign labors (encompassing both skilled and low-skilled foreign labors).  </w:t>
      </w:r>
    </w:p>
    <w:p w14:paraId="65F8136D"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Various factors explain the presence of irregular foreign workers in Malaysia. Some of the main contributing factors are (i) porous borders, (ii) a fragmented immigration system with frequent policy changes, (iii) weak linkages between the immigration regime and market needs, (iv) a complex, lengthy foreign-worker recruitment process, and (v) weak enforcement of immigration rules and regulations (see World Bank 2015, World Bank 2016 and Testaverde et al. 2017, for further discussion). </w:t>
      </w:r>
    </w:p>
    <w:p w14:paraId="790E372E" w14:textId="77777777" w:rsidR="009002F0" w:rsidRPr="009002F0" w:rsidRDefault="009002F0" w:rsidP="009002F0">
      <w:pPr>
        <w:widowControl/>
        <w:autoSpaceDE/>
        <w:autoSpaceDN/>
        <w:snapToGrid w:val="0"/>
        <w:spacing w:after="160" w:line="259" w:lineRule="auto"/>
        <w:jc w:val="both"/>
        <w:rPr>
          <w:rFonts w:ascii="Calibri" w:eastAsia="Calibri" w:hAnsi="Calibri" w:cs="Times New Roman"/>
          <w:color w:val="auto"/>
        </w:rPr>
      </w:pPr>
      <w:r w:rsidRPr="009002F0">
        <w:rPr>
          <w:rFonts w:ascii="Calibri" w:eastAsia="Malgun Gothic" w:hAnsi="Calibri" w:cs="Times New Roman"/>
          <w:color w:val="auto"/>
          <w:lang w:eastAsia="ko-KR"/>
        </w:rPr>
        <w:t>This report contributes to improving the understanding of the number of foreign workers in the Malaysian economy by using available administrative data to narrow the wide range in the current estimates. A b</w:t>
      </w:r>
      <w:r w:rsidRPr="009002F0">
        <w:rPr>
          <w:rFonts w:ascii="Calibri" w:eastAsia="Calibri" w:hAnsi="Calibri" w:cs="Times New Roman"/>
          <w:color w:val="auto"/>
        </w:rPr>
        <w:t xml:space="preserve">etter understanding of the number of irregular foreign workers may facilitate more rigorous analysis of the impact of the foreign workforce on economic and societal structures, as well as formulate evidence-based policies, including the conduct of monetary policy.   </w:t>
      </w:r>
      <w:r w:rsidRPr="009002F0">
        <w:rPr>
          <w:rFonts w:ascii="Calibri" w:eastAsia="Malgun Gothic" w:hAnsi="Calibri" w:cs="Times New Roman"/>
          <w:color w:val="auto"/>
          <w:sz w:val="20"/>
          <w:szCs w:val="20"/>
          <w:lang w:eastAsia="ko-KR"/>
        </w:rPr>
        <w:t xml:space="preserve"> </w:t>
      </w:r>
    </w:p>
    <w:p w14:paraId="3167D6D9"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This report employs three approaches to estimate the number of irregular foreign workers. The first is a “residual method”, which compares total non-citizen population derived from the 2010 Population and Housing Census with estimates of the lawfully residing non-citizen population. This measures the stock of foreign workers for a given period. This is </w:t>
      </w:r>
      <w:proofErr w:type="gramStart"/>
      <w:r w:rsidRPr="009002F0">
        <w:rPr>
          <w:rFonts w:ascii="Calibri" w:eastAsia="Malgun Gothic" w:hAnsi="Calibri" w:cs="Times New Roman"/>
          <w:color w:val="auto"/>
          <w:lang w:eastAsia="ko-KR"/>
        </w:rPr>
        <w:t>similar to</w:t>
      </w:r>
      <w:proofErr w:type="gramEnd"/>
      <w:r w:rsidRPr="009002F0">
        <w:rPr>
          <w:rFonts w:ascii="Calibri" w:eastAsia="Malgun Gothic" w:hAnsi="Calibri" w:cs="Times New Roman"/>
          <w:color w:val="auto"/>
          <w:lang w:eastAsia="ko-KR"/>
        </w:rPr>
        <w:t xml:space="preserve"> the approach used by the U.S. Department of Homeland Security’s Office of Immigration Statistics. The second approach is a “build-up” method that counts the various groups of irregular foreign workers based on administrative data. An advantage of this method is that it constructs time-series data on irregular foreign workers. Once the stock of irregular foreign workers for a base year is identified, flows of irregular foreign workers can be added on an annual basis.  </w:t>
      </w:r>
    </w:p>
    <w:p w14:paraId="77AA157A"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 </w:t>
      </w:r>
      <w:r w:rsidRPr="009002F0">
        <w:rPr>
          <w:rFonts w:ascii="Calibri" w:eastAsia="Calibri" w:hAnsi="Calibri" w:cs="Times New Roman"/>
          <w:color w:val="auto"/>
        </w:rPr>
        <w:t xml:space="preserve">Undertaking the two approaches highlights the importance of making good use of administrative data at the micro level that are already collected by government agencies, such as the Immigration Department, to improve the process of estimating the number of irregular foreign workers. </w:t>
      </w:r>
      <w:r w:rsidRPr="009002F0">
        <w:rPr>
          <w:rFonts w:ascii="Calibri" w:eastAsia="Malgun Gothic" w:hAnsi="Calibri" w:cs="Times New Roman"/>
          <w:color w:val="auto"/>
          <w:lang w:eastAsia="ko-KR"/>
        </w:rPr>
        <w:t xml:space="preserve">The compilation of various data sources is based on discussions with relevant stakeholders during the World Bank’s field mission undertaken in April 2018. A major </w:t>
      </w:r>
      <w:r w:rsidRPr="009002F0">
        <w:rPr>
          <w:rFonts w:ascii="Calibri" w:eastAsia="Malgun Gothic" w:hAnsi="Calibri" w:cs="Times New Roman"/>
          <w:color w:val="auto"/>
          <w:lang w:eastAsia="ko-KR"/>
        </w:rPr>
        <w:lastRenderedPageBreak/>
        <w:t xml:space="preserve">challenge faced in implementing these methods for this report is that microdata </w:t>
      </w:r>
      <w:proofErr w:type="gramStart"/>
      <w:r w:rsidRPr="009002F0">
        <w:rPr>
          <w:rFonts w:ascii="Calibri" w:eastAsia="Malgun Gothic" w:hAnsi="Calibri" w:cs="Times New Roman"/>
          <w:color w:val="auto"/>
          <w:lang w:eastAsia="ko-KR"/>
        </w:rPr>
        <w:t>were</w:t>
      </w:r>
      <w:proofErr w:type="gramEnd"/>
      <w:r w:rsidRPr="009002F0">
        <w:rPr>
          <w:rFonts w:ascii="Calibri" w:eastAsia="Malgun Gothic" w:hAnsi="Calibri" w:cs="Times New Roman"/>
          <w:color w:val="auto"/>
          <w:lang w:eastAsia="ko-KR"/>
        </w:rPr>
        <w:t xml:space="preserve"> not made available to the BNM and World Bank team and thus estimations were done at the aggregate level, leaving errors of under- or over-estimation. </w:t>
      </w:r>
    </w:p>
    <w:p w14:paraId="5306D092"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The report finds a way around this drawback by analyzing a set of remittance microdata produced by Bank Negara Malaysia (BNM). BNM has been collecting remittance transaction data from money service providers, part of its financial supervision responsibilities. It attempted to identify the regular or irregular status of individuals using age, wage, sectoral restrictions imposed under Malaysia’s foreign worker management system. Some challenges were encountered such as difficulties with identifying sectors an individual engages, but this is an innovative approach and the first attempt to utilize the BNM’s remittance data for this purpose. This work is part of the World Bank’s support to Bank Negara Malaysia (BNM) in improving the labor market information sources that inform BNM’s monetary policy decisions. </w:t>
      </w:r>
    </w:p>
    <w:p w14:paraId="477C5691"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Calibri" w:hAnsi="Calibri" w:cs="Times New Roman"/>
          <w:bCs/>
          <w:color w:val="auto"/>
        </w:rPr>
        <w:t xml:space="preserve">The Malaysia Labour Force Survey (LFS) and Economic Census are important data sources for understanding the role of foreign workers in Malaysia </w:t>
      </w:r>
      <w:r w:rsidRPr="009002F0">
        <w:rPr>
          <w:rFonts w:ascii="Calibri" w:eastAsia="Calibri" w:hAnsi="Calibri" w:cs="Times New Roman"/>
          <w:noProof/>
          <w:color w:val="auto"/>
        </w:rPr>
        <w:t>(Del Carpio et al, 2015)</w:t>
      </w:r>
      <w:r w:rsidRPr="009002F0">
        <w:rPr>
          <w:rFonts w:ascii="Calibri" w:eastAsia="Calibri" w:hAnsi="Calibri" w:cs="Times New Roman"/>
          <w:bCs/>
          <w:color w:val="auto"/>
        </w:rPr>
        <w:t xml:space="preserve">. </w:t>
      </w:r>
      <w:r w:rsidRPr="009002F0">
        <w:rPr>
          <w:rFonts w:ascii="Calibri" w:eastAsia="Malgun Gothic" w:hAnsi="Calibri" w:cs="Times New Roman"/>
          <w:color w:val="auto"/>
          <w:lang w:eastAsia="ko-KR"/>
        </w:rPr>
        <w:t>Nevertheless, like all such exercises they have limitations. First, the LFS is a household-based sample survey and therefore has inherent limitations in ensuring representative sampling of people living in communal housing. Irregular foreign workers are likely to get paid less than their regular counterparts and therefore more likely to live communal housing or hostels, especially in the plantation sector in which employers must provide housing for foreign workers.</w:t>
      </w:r>
      <w:r w:rsidRPr="009002F0">
        <w:rPr>
          <w:rFonts w:ascii="ZWAdobeF" w:eastAsia="Malgun Gothic" w:hAnsi="ZWAdobeF" w:cs="ZWAdobeF"/>
          <w:color w:val="auto"/>
          <w:sz w:val="2"/>
          <w:szCs w:val="2"/>
          <w:lang w:eastAsia="ko-KR"/>
        </w:rPr>
        <w:t>6F</w:t>
      </w:r>
      <w:r w:rsidRPr="009002F0">
        <w:rPr>
          <w:rFonts w:ascii="Calibri" w:eastAsia="Malgun Gothic" w:hAnsi="Calibri" w:cs="Times New Roman"/>
          <w:color w:val="auto"/>
          <w:vertAlign w:val="superscript"/>
          <w:lang w:eastAsia="ko-KR"/>
        </w:rPr>
        <w:footnoteReference w:id="7"/>
      </w:r>
      <w:r w:rsidRPr="009002F0">
        <w:rPr>
          <w:rFonts w:ascii="Calibri" w:eastAsia="Malgun Gothic" w:hAnsi="Calibri" w:cs="Times New Roman"/>
          <w:color w:val="auto"/>
          <w:lang w:eastAsia="ko-KR"/>
        </w:rPr>
        <w:t xml:space="preserve"> Second, the Malaysia Economic Census offers insights on the share of foreign workers in the total employees by firm, but the sampling is limited to registered firms.</w:t>
      </w:r>
      <w:r w:rsidRPr="009002F0">
        <w:rPr>
          <w:rFonts w:ascii="ZWAdobeF" w:eastAsia="Malgun Gothic" w:hAnsi="ZWAdobeF" w:cs="ZWAdobeF"/>
          <w:color w:val="auto"/>
          <w:sz w:val="2"/>
          <w:szCs w:val="2"/>
          <w:lang w:eastAsia="ko-KR"/>
        </w:rPr>
        <w:t>7F</w:t>
      </w:r>
      <w:r w:rsidRPr="009002F0">
        <w:rPr>
          <w:rFonts w:ascii="Calibri" w:eastAsia="Malgun Gothic" w:hAnsi="Calibri" w:cs="Times New Roman"/>
          <w:color w:val="auto"/>
          <w:vertAlign w:val="superscript"/>
          <w:lang w:eastAsia="ko-KR"/>
        </w:rPr>
        <w:footnoteReference w:id="8"/>
      </w:r>
      <w:r w:rsidRPr="009002F0">
        <w:rPr>
          <w:rFonts w:ascii="Calibri" w:eastAsia="Malgun Gothic" w:hAnsi="Calibri" w:cs="Times New Roman"/>
          <w:color w:val="auto"/>
          <w:lang w:eastAsia="ko-KR"/>
        </w:rPr>
        <w:t xml:space="preserve">  </w:t>
      </w:r>
    </w:p>
    <w:p w14:paraId="0811D73D"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Using the three approaches, this report estimates the size of the irregular foreign worker population at </w:t>
      </w:r>
      <w:r w:rsidRPr="009002F0">
        <w:rPr>
          <w:rFonts w:ascii="Calibri" w:eastAsia="Times New Roman" w:hAnsi="Calibri" w:cs="Times New Roman"/>
          <w:lang w:eastAsia="ko-KR"/>
        </w:rPr>
        <w:t xml:space="preserve">1.228 to 1.459 million </w:t>
      </w:r>
      <w:r w:rsidRPr="009002F0">
        <w:rPr>
          <w:rFonts w:ascii="Calibri" w:eastAsia="Malgun Gothic" w:hAnsi="Calibri" w:cs="Times New Roman"/>
          <w:color w:val="auto"/>
          <w:lang w:eastAsia="ko-KR"/>
        </w:rPr>
        <w:t xml:space="preserve">as of 2017. This suggests a total foreign worker population of 2.956 to 3.256 million during the same period, based on the registered foreign worker population of 1.797 million in 2017. These estimates are subject to several caveats, mostly related to issues with data availability or data quality. They are high-level estimates based on aggregate data. As done in the United States (for example in Passel and Cohen, 2018), a more rigorous approach is to count the lawfully-resident immigrant population in the Population and Housing Census by applying demographic information of the lawfully-resident immigrants which could be derived from immigrant data of the Immigration Department. Owing to microdata unavailability, however, this report chose to undertake the estimation exercise at the aggregate level. Even at this level, furthermore, not </w:t>
      </w:r>
      <w:proofErr w:type="gramStart"/>
      <w:r w:rsidRPr="009002F0">
        <w:rPr>
          <w:rFonts w:ascii="Calibri" w:eastAsia="Malgun Gothic" w:hAnsi="Calibri" w:cs="Times New Roman"/>
          <w:color w:val="auto"/>
          <w:lang w:eastAsia="ko-KR"/>
        </w:rPr>
        <w:t>all of</w:t>
      </w:r>
      <w:proofErr w:type="gramEnd"/>
      <w:r w:rsidRPr="009002F0">
        <w:rPr>
          <w:rFonts w:ascii="Calibri" w:eastAsia="Malgun Gothic" w:hAnsi="Calibri" w:cs="Times New Roman"/>
          <w:color w:val="auto"/>
          <w:lang w:eastAsia="ko-KR"/>
        </w:rPr>
        <w:t xml:space="preserve"> the requested aggregate administrative data were provided by the relevant authorities, such as the departure of foreign visitors by nationality. In other cases, it proved impossible to reconcile data across different sources. </w:t>
      </w:r>
    </w:p>
    <w:p w14:paraId="2F7AFB7B"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Going forward, Malaysia would benefit from the creation of an integrated management information system that consolidates various administrative data and reports in one place and identifies individuals using administrative registers. This could potentially be </w:t>
      </w:r>
      <w:r w:rsidRPr="009002F0">
        <w:rPr>
          <w:rFonts w:ascii="Calibri" w:eastAsia="Malgun Gothic" w:hAnsi="Calibri" w:cs="Times New Roman"/>
          <w:color w:val="auto"/>
          <w:lang w:eastAsia="ko-KR"/>
        </w:rPr>
        <w:lastRenderedPageBreak/>
        <w:t xml:space="preserve">complemented by improvements in the quality of remittance transaction data collected by BNM, which would allow a better understanding of the sectoral distribution of foreign workers and easier identification of irregular foreign workers. </w:t>
      </w:r>
    </w:p>
    <w:p w14:paraId="1C0E59A1" w14:textId="77777777" w:rsidR="009002F0" w:rsidRPr="009002F0" w:rsidRDefault="009002F0" w:rsidP="009002F0">
      <w:pPr>
        <w:widowControl/>
        <w:autoSpaceDE/>
        <w:autoSpaceDN/>
        <w:snapToGrid w:val="0"/>
        <w:spacing w:after="160" w:line="259" w:lineRule="auto"/>
        <w:jc w:val="both"/>
        <w:rPr>
          <w:rFonts w:ascii="Andes" w:eastAsia="Malgun Gothic" w:hAnsi="Andes" w:cs="Times New Roman"/>
          <w:color w:val="002345"/>
          <w:sz w:val="32"/>
          <w:szCs w:val="32"/>
          <w:lang w:eastAsia="ko-KR"/>
        </w:rPr>
      </w:pPr>
      <w:r w:rsidRPr="009002F0">
        <w:rPr>
          <w:rFonts w:ascii="Calibri" w:eastAsia="Malgun Gothic" w:hAnsi="Calibri" w:cs="Times New Roman"/>
          <w:color w:val="auto"/>
          <w:lang w:eastAsia="ko-KR"/>
        </w:rPr>
        <w:t xml:space="preserve">This report is organized as follows. Section 2 discusses the conceptual framework, including definitions of regular and irregular foreign workers, Malaysia’s foreign worker employment system, and pathways of foreign workers becoming irregular. Section 3 examines the current publicly available estimates on regular and irregular foreign workers. Section 4 discusses administrative data sources that inform the extent of irregular foreign workers and Section 5 presents new estimates of the stock of irregular foreign workers. Section 6 concludes with recommendations to collect better administrative data to improve foreign worker estimates. As the objective of this report is to estimate the number of foreign workers, it does not make recommendations on immigration policies and systems.  </w:t>
      </w:r>
      <w:bookmarkStart w:id="13" w:name="_Hlk535095563"/>
      <w:r w:rsidRPr="009002F0">
        <w:rPr>
          <w:rFonts w:ascii="Andes" w:eastAsia="Malgun Gothic" w:hAnsi="Andes" w:cs="Times New Roman"/>
          <w:color w:val="002345"/>
          <w:sz w:val="32"/>
          <w:szCs w:val="32"/>
          <w:lang w:eastAsia="ko-KR"/>
        </w:rPr>
        <w:br w:type="page"/>
      </w:r>
    </w:p>
    <w:p w14:paraId="6D9134F3"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002345"/>
          <w:sz w:val="32"/>
          <w:szCs w:val="32"/>
          <w:lang w:eastAsia="ko-KR"/>
        </w:rPr>
      </w:pPr>
      <w:bookmarkStart w:id="14" w:name="_Toc4581507"/>
      <w:r w:rsidRPr="009002F0">
        <w:rPr>
          <w:rFonts w:ascii="Andes" w:eastAsia="Malgun Gothic" w:hAnsi="Andes" w:cs="Times New Roman"/>
          <w:b/>
          <w:color w:val="002345"/>
          <w:sz w:val="32"/>
          <w:szCs w:val="32"/>
          <w:lang w:eastAsia="ko-KR"/>
        </w:rPr>
        <w:lastRenderedPageBreak/>
        <w:t>Conceptual framework</w:t>
      </w:r>
      <w:bookmarkEnd w:id="14"/>
    </w:p>
    <w:p w14:paraId="76A948B5"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15" w:name="_Toc4581508"/>
      <w:bookmarkEnd w:id="13"/>
      <w:r w:rsidRPr="009002F0">
        <w:rPr>
          <w:rFonts w:ascii="Calibri" w:eastAsia="Malgun Gothic" w:hAnsi="Calibri" w:cs="Times New Roman"/>
          <w:color w:val="006068"/>
          <w:sz w:val="26"/>
          <w:szCs w:val="28"/>
          <w:u w:val="single"/>
        </w:rPr>
        <w:t>2.1 Definitions</w:t>
      </w:r>
      <w:bookmarkEnd w:id="15"/>
      <w:r w:rsidRPr="009002F0">
        <w:rPr>
          <w:rFonts w:ascii="Calibri" w:eastAsia="Malgun Gothic" w:hAnsi="Calibri" w:cs="Times New Roman"/>
          <w:color w:val="006068"/>
          <w:sz w:val="26"/>
          <w:szCs w:val="28"/>
          <w:u w:val="single"/>
        </w:rPr>
        <w:t xml:space="preserve"> </w:t>
      </w:r>
    </w:p>
    <w:p w14:paraId="57574076"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rPr>
      </w:pPr>
    </w:p>
    <w:p w14:paraId="4950E0AF" w14:textId="77777777" w:rsidR="009002F0" w:rsidRPr="009002F0" w:rsidRDefault="009002F0" w:rsidP="009002F0">
      <w:pPr>
        <w:keepNext/>
        <w:keepLines/>
        <w:widowControl/>
        <w:autoSpaceDE/>
        <w:autoSpaceDN/>
        <w:adjustRightInd/>
        <w:spacing w:before="40"/>
        <w:outlineLvl w:val="2"/>
        <w:rPr>
          <w:rFonts w:ascii="Calibri" w:eastAsia="Calibri" w:hAnsi="Calibri" w:cs="Times New Roman"/>
          <w:bCs/>
          <w:i/>
          <w:color w:val="00ADE4"/>
        </w:rPr>
      </w:pPr>
      <w:bookmarkStart w:id="16" w:name="_Toc4581509"/>
      <w:r w:rsidRPr="009002F0">
        <w:rPr>
          <w:rFonts w:ascii="Calibri" w:eastAsia="Malgun Gothic" w:hAnsi="Calibri" w:cs="Times New Roman"/>
          <w:i/>
          <w:color w:val="00ADE4"/>
        </w:rPr>
        <w:t>2.1.1 Foreign workers</w:t>
      </w:r>
      <w:bookmarkEnd w:id="16"/>
    </w:p>
    <w:p w14:paraId="3EC8700B" w14:textId="77777777" w:rsidR="009002F0" w:rsidRPr="009002F0" w:rsidRDefault="009002F0" w:rsidP="009002F0">
      <w:pPr>
        <w:widowControl/>
        <w:autoSpaceDE/>
        <w:autoSpaceDN/>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In this report, the term “foreign workers” refers to foreign individuals who lawfully entered Malaysia for a low-skilled job under the Visit Pass (Temporary Employment, VP(TE)) system. By design, they secure their jobs before entering Malaysia. The VP(TE) includes domestic helpers. </w:t>
      </w:r>
      <w:r w:rsidRPr="009002F0">
        <w:rPr>
          <w:rFonts w:ascii="Calibri" w:eastAsia="Malgun Gothic" w:hAnsi="Calibri" w:cs="Calibri"/>
          <w:color w:val="auto"/>
          <w:szCs w:val="22"/>
          <w:lang w:eastAsia="zh-CN"/>
        </w:rPr>
        <w:t xml:space="preserve">Foreign workers typically have lower levels of education than the average Malaysian and tend to engage in manual, elementary occupations. They expect to earn at least the minimum wage, which was increased to RM 1,100 per month (approximately US$266) in January 2019. </w:t>
      </w:r>
      <w:r w:rsidRPr="009002F0">
        <w:rPr>
          <w:rFonts w:ascii="Calibri" w:eastAsia="Calibri" w:hAnsi="Calibri" w:cs="Times New Roman"/>
          <w:bCs/>
          <w:color w:val="auto"/>
          <w:szCs w:val="22"/>
        </w:rPr>
        <w:t xml:space="preserve">The “foreign worker” designation excludes high-skilled foreigners who reside in Malaysia under the Employment Pass and their dependents under the Dependent Pass or Long-Term Social Visit Pass, as well as foreign spouses of Malaysians who engage in employment activities under the Social Visit Pass. Section 2.2. discusses this in further detail.   </w:t>
      </w:r>
    </w:p>
    <w:p w14:paraId="2A7F2100" w14:textId="77777777" w:rsidR="009002F0" w:rsidRPr="009002F0" w:rsidRDefault="009002F0" w:rsidP="009002F0">
      <w:pPr>
        <w:keepNext/>
        <w:keepLines/>
        <w:widowControl/>
        <w:autoSpaceDE/>
        <w:autoSpaceDN/>
        <w:adjustRightInd/>
        <w:spacing w:before="40"/>
        <w:outlineLvl w:val="2"/>
        <w:rPr>
          <w:rFonts w:ascii="Calibri" w:eastAsia="Calibri" w:hAnsi="Calibri" w:cs="Times New Roman"/>
          <w:bCs/>
          <w:i/>
          <w:color w:val="00ADE4"/>
        </w:rPr>
      </w:pPr>
      <w:bookmarkStart w:id="17" w:name="_Toc4581510"/>
      <w:r w:rsidRPr="009002F0">
        <w:rPr>
          <w:rFonts w:ascii="Calibri" w:eastAsia="Malgun Gothic" w:hAnsi="Calibri" w:cs="Times New Roman"/>
          <w:i/>
          <w:color w:val="00ADE4"/>
        </w:rPr>
        <w:t>2.1.2 Irregular foreign workers</w:t>
      </w:r>
      <w:bookmarkEnd w:id="17"/>
    </w:p>
    <w:p w14:paraId="6A21D005" w14:textId="77777777" w:rsidR="009002F0" w:rsidRPr="009002F0" w:rsidRDefault="009002F0" w:rsidP="009002F0">
      <w:pPr>
        <w:widowControl/>
        <w:autoSpaceDE/>
        <w:autoSpaceDN/>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Who counts as an irregular foreign worker? No universal definition of irregular foreign workers/migrants exists, but the International Organization of Migration (IOM)</w:t>
      </w:r>
      <w:r w:rsidRPr="009002F0">
        <w:rPr>
          <w:rFonts w:ascii="ZWAdobeF" w:eastAsia="Calibri" w:hAnsi="ZWAdobeF" w:cs="ZWAdobeF"/>
          <w:bCs/>
          <w:color w:val="auto"/>
          <w:sz w:val="2"/>
          <w:szCs w:val="2"/>
        </w:rPr>
        <w:t>8F</w:t>
      </w:r>
      <w:r w:rsidRPr="009002F0">
        <w:rPr>
          <w:rFonts w:ascii="Calibri" w:eastAsia="Calibri" w:hAnsi="Calibri" w:cs="Times New Roman"/>
          <w:bCs/>
          <w:color w:val="auto"/>
          <w:szCs w:val="22"/>
          <w:vertAlign w:val="superscript"/>
        </w:rPr>
        <w:footnoteReference w:id="9"/>
      </w:r>
      <w:r w:rsidRPr="009002F0">
        <w:rPr>
          <w:rFonts w:ascii="Calibri" w:eastAsia="Calibri" w:hAnsi="Calibri" w:cs="Times New Roman"/>
          <w:bCs/>
          <w:color w:val="auto"/>
          <w:szCs w:val="22"/>
        </w:rPr>
        <w:t xml:space="preserve"> defines irregular migration as “…movement that takes place outside the regulatory norms of the [worker] sending, transit and receiving country…. From the perspective of destination countries, it is entry, stay or work in a country without the necessary authorization or documents required under immigration regulations.” </w:t>
      </w:r>
    </w:p>
    <w:p w14:paraId="2E36338C" w14:textId="77777777" w:rsidR="009002F0" w:rsidRPr="009002F0" w:rsidRDefault="009002F0" w:rsidP="009002F0">
      <w:pPr>
        <w:widowControl/>
        <w:autoSpaceDE/>
        <w:autoSpaceDN/>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Based on this, irregular foreign workers can be broadly grouped into four categories, as follows: </w:t>
      </w:r>
    </w:p>
    <w:p w14:paraId="706452A1" w14:textId="77777777" w:rsidR="009002F0" w:rsidRPr="009002F0" w:rsidRDefault="009002F0" w:rsidP="009002F0">
      <w:pPr>
        <w:widowControl/>
        <w:numPr>
          <w:ilvl w:val="0"/>
          <w:numId w:val="17"/>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Illegal entries</w:t>
      </w:r>
      <w:r w:rsidRPr="009002F0">
        <w:rPr>
          <w:rFonts w:ascii="Calibri" w:eastAsia="Calibri" w:hAnsi="Calibri" w:cs="Times New Roman"/>
          <w:bCs/>
          <w:color w:val="auto"/>
          <w:szCs w:val="22"/>
        </w:rPr>
        <w:t xml:space="preserve"> who failed to produce a valid official passport, travel document, or entry permit upon request, that is, entering Malaysia in violation of the formal immigration controls. This happens through porous borders, especially with Indonesia and the Philippines.</w:t>
      </w:r>
      <w:r w:rsidRPr="009002F0">
        <w:rPr>
          <w:rFonts w:ascii="ZWAdobeF" w:eastAsia="Calibri" w:hAnsi="ZWAdobeF" w:cs="ZWAdobeF"/>
          <w:bCs/>
          <w:color w:val="auto"/>
          <w:sz w:val="2"/>
          <w:szCs w:val="2"/>
        </w:rPr>
        <w:t>9F</w:t>
      </w:r>
      <w:r w:rsidRPr="009002F0">
        <w:rPr>
          <w:rFonts w:ascii="Calibri" w:eastAsia="Calibri" w:hAnsi="Calibri" w:cs="Times New Roman"/>
          <w:bCs/>
          <w:color w:val="auto"/>
          <w:szCs w:val="22"/>
          <w:vertAlign w:val="superscript"/>
        </w:rPr>
        <w:footnoteReference w:id="10"/>
      </w:r>
      <w:r w:rsidRPr="009002F0">
        <w:rPr>
          <w:rFonts w:ascii="Calibri" w:eastAsia="Calibri" w:hAnsi="Calibri" w:cs="Times New Roman"/>
          <w:bCs/>
          <w:color w:val="auto"/>
          <w:szCs w:val="22"/>
        </w:rPr>
        <w:t xml:space="preserve"> </w:t>
      </w:r>
    </w:p>
    <w:p w14:paraId="53C2E359" w14:textId="77777777" w:rsidR="009002F0" w:rsidRPr="009002F0" w:rsidRDefault="009002F0" w:rsidP="009002F0">
      <w:pPr>
        <w:widowControl/>
        <w:numPr>
          <w:ilvl w:val="0"/>
          <w:numId w:val="17"/>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Persons not authorized to work</w:t>
      </w:r>
      <w:r w:rsidRPr="009002F0">
        <w:rPr>
          <w:rFonts w:ascii="Calibri" w:eastAsia="Calibri" w:hAnsi="Calibri" w:cs="Times New Roman"/>
          <w:bCs/>
          <w:color w:val="auto"/>
          <w:szCs w:val="22"/>
        </w:rPr>
        <w:t xml:space="preserve"> who entered the country lawfully but are not allowed to work. This group includes those who (i) failed to pass a required foreign worker medical test in Malaysia, (ii) have a Visit Pass but changed employers while being in Malaysia, or (iii) have a tourist/student visa but engage in employment activities.</w:t>
      </w:r>
      <w:r w:rsidRPr="009002F0">
        <w:rPr>
          <w:rFonts w:ascii="Calibri" w:eastAsia="Calibri" w:hAnsi="Calibri" w:cs="Times New Roman"/>
          <w:b/>
          <w:bCs/>
          <w:color w:val="auto"/>
          <w:szCs w:val="22"/>
        </w:rPr>
        <w:t xml:space="preserve"> </w:t>
      </w:r>
    </w:p>
    <w:p w14:paraId="7698A6B8" w14:textId="77777777" w:rsidR="009002F0" w:rsidRPr="009002F0" w:rsidRDefault="009002F0" w:rsidP="009002F0">
      <w:pPr>
        <w:widowControl/>
        <w:numPr>
          <w:ilvl w:val="0"/>
          <w:numId w:val="17"/>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 xml:space="preserve">Overstayers </w:t>
      </w:r>
      <w:r w:rsidRPr="009002F0">
        <w:rPr>
          <w:rFonts w:ascii="Calibri" w:eastAsia="Calibri" w:hAnsi="Calibri" w:cs="Times New Roman"/>
          <w:bCs/>
          <w:color w:val="auto"/>
          <w:szCs w:val="22"/>
        </w:rPr>
        <w:t xml:space="preserve">who do not leave the country after the expiry date or cancellation of their VP(TE). </w:t>
      </w:r>
    </w:p>
    <w:p w14:paraId="5940D56E" w14:textId="77777777" w:rsidR="009002F0" w:rsidRPr="009002F0" w:rsidRDefault="009002F0" w:rsidP="009002F0">
      <w:pPr>
        <w:widowControl/>
        <w:numPr>
          <w:ilvl w:val="0"/>
          <w:numId w:val="17"/>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lastRenderedPageBreak/>
        <w:t>Refugees and asylum seekers</w:t>
      </w:r>
      <w:r w:rsidRPr="009002F0">
        <w:rPr>
          <w:rFonts w:ascii="Calibri" w:eastAsia="Calibri" w:hAnsi="Calibri" w:cs="Times New Roman"/>
          <w:bCs/>
          <w:color w:val="auto"/>
          <w:szCs w:val="22"/>
        </w:rPr>
        <w:t xml:space="preserve"> who have no legal status in Malaysia but seek employment.   </w:t>
      </w:r>
    </w:p>
    <w:p w14:paraId="2748CF14"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18" w:name="_Toc4581511"/>
      <w:r w:rsidRPr="009002F0">
        <w:rPr>
          <w:rFonts w:ascii="Calibri" w:eastAsia="Malgun Gothic" w:hAnsi="Calibri" w:cs="Times New Roman"/>
          <w:color w:val="006068"/>
          <w:sz w:val="26"/>
          <w:szCs w:val="28"/>
          <w:u w:val="single"/>
        </w:rPr>
        <w:t>2.2 Foreign employment system</w:t>
      </w:r>
      <w:bookmarkEnd w:id="18"/>
      <w:r w:rsidRPr="009002F0">
        <w:rPr>
          <w:rFonts w:ascii="Calibri" w:eastAsia="Malgun Gothic" w:hAnsi="Calibri" w:cs="Times New Roman"/>
          <w:color w:val="006068"/>
          <w:sz w:val="26"/>
          <w:szCs w:val="28"/>
          <w:u w:val="single"/>
        </w:rPr>
        <w:t xml:space="preserve">  </w:t>
      </w:r>
    </w:p>
    <w:p w14:paraId="2F3CFE3F"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19" w:name="_Toc4581512"/>
      <w:r w:rsidRPr="009002F0">
        <w:rPr>
          <w:rFonts w:ascii="Calibri" w:eastAsia="Malgun Gothic" w:hAnsi="Calibri" w:cs="Times New Roman"/>
          <w:i/>
          <w:color w:val="00ADE4"/>
          <w:lang w:eastAsia="zh-CN"/>
        </w:rPr>
        <w:t>2.2.1 Who is permitted to take up employment?</w:t>
      </w:r>
      <w:bookmarkEnd w:id="19"/>
      <w:r w:rsidRPr="009002F0">
        <w:rPr>
          <w:rFonts w:ascii="Calibri" w:eastAsia="Malgun Gothic" w:hAnsi="Calibri" w:cs="Times New Roman"/>
          <w:i/>
          <w:color w:val="00ADE4"/>
          <w:lang w:eastAsia="zh-CN"/>
        </w:rPr>
        <w:t xml:space="preserve"> </w:t>
      </w:r>
    </w:p>
    <w:p w14:paraId="51F27168"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Malaysia has a dual work permit system in place to admit and manage foreign labor to respond to labor market needs. As </w:t>
      </w:r>
      <w:r w:rsidRPr="009002F0">
        <w:rPr>
          <w:rFonts w:ascii="Calibri" w:eastAsia="Malgun Gothic" w:hAnsi="Calibri" w:cs="Calibri"/>
          <w:lang w:eastAsia="zh-CN"/>
        </w:rPr>
        <w:fldChar w:fldCharType="begin" w:fldLock="1"/>
      </w:r>
      <w:r w:rsidRPr="009002F0">
        <w:rPr>
          <w:rFonts w:ascii="Calibri" w:eastAsia="Malgun Gothic" w:hAnsi="Calibri" w:cs="Calibri"/>
          <w:lang w:eastAsia="zh-CN"/>
        </w:rPr>
        <w:instrText xml:space="preserve"> REF _Ref536566623 \h  \* MERGEFORMAT </w:instrText>
      </w:r>
      <w:r w:rsidRPr="009002F0">
        <w:rPr>
          <w:rFonts w:ascii="Calibri" w:eastAsia="Malgun Gothic" w:hAnsi="Calibri" w:cs="Calibri"/>
          <w:lang w:eastAsia="zh-CN"/>
        </w:rPr>
      </w:r>
      <w:r w:rsidRPr="009002F0">
        <w:rPr>
          <w:rFonts w:ascii="Calibri" w:eastAsia="Malgun Gothic" w:hAnsi="Calibri" w:cs="Calibri"/>
          <w:lang w:eastAsia="zh-C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w:t>
      </w:r>
      <w:r w:rsidRPr="009002F0">
        <w:rPr>
          <w:rFonts w:ascii="Calibri" w:eastAsia="Malgun Gothic" w:hAnsi="Calibri" w:cs="Calibri"/>
          <w:lang w:eastAsia="zh-CN"/>
        </w:rPr>
        <w:fldChar w:fldCharType="end"/>
      </w:r>
      <w:r w:rsidRPr="009002F0">
        <w:rPr>
          <w:rFonts w:ascii="Calibri" w:eastAsia="Malgun Gothic" w:hAnsi="Calibri" w:cs="Calibri"/>
          <w:color w:val="auto"/>
          <w:szCs w:val="22"/>
          <w:lang w:eastAsia="zh-CN"/>
        </w:rPr>
        <w:t xml:space="preserve"> illustrates, it distinguishes foreign labor by skill level: </w:t>
      </w:r>
      <w:proofErr w:type="gramStart"/>
      <w:r w:rsidRPr="009002F0">
        <w:rPr>
          <w:rFonts w:ascii="Calibri" w:eastAsia="Malgun Gothic" w:hAnsi="Calibri" w:cs="Calibri"/>
          <w:color w:val="auto"/>
          <w:szCs w:val="22"/>
          <w:lang w:eastAsia="zh-CN"/>
        </w:rPr>
        <w:t>the</w:t>
      </w:r>
      <w:proofErr w:type="gramEnd"/>
      <w:r w:rsidRPr="009002F0">
        <w:rPr>
          <w:rFonts w:ascii="Calibri" w:eastAsia="Malgun Gothic" w:hAnsi="Calibri" w:cs="Calibri"/>
          <w:color w:val="auto"/>
          <w:szCs w:val="22"/>
          <w:lang w:eastAsia="zh-CN"/>
        </w:rPr>
        <w:t xml:space="preserve"> Employment Pass (EP) for the high-skilled (classified as “expatriates”) and the Visit Pass (Temporary Employment) for the low-skilled (“foreign workers”). </w:t>
      </w:r>
      <w:r w:rsidRPr="009002F0">
        <w:rPr>
          <w:rFonts w:ascii="Calibri" w:eastAsia="Calibri" w:hAnsi="Calibri" w:cs="Times New Roman"/>
          <w:bCs/>
          <w:color w:val="auto"/>
          <w:szCs w:val="22"/>
        </w:rPr>
        <w:t xml:space="preserve"> </w:t>
      </w:r>
    </w:p>
    <w:p w14:paraId="5CF5774D" w14:textId="77777777" w:rsidR="009002F0" w:rsidRPr="009002F0" w:rsidRDefault="009002F0" w:rsidP="009002F0">
      <w:pPr>
        <w:widowControl/>
        <w:autoSpaceDE/>
        <w:autoSpaceDN/>
        <w:adjustRightInd/>
        <w:spacing w:after="120"/>
        <w:rPr>
          <w:rFonts w:ascii="Calibri" w:eastAsia="Malgun Gothic" w:hAnsi="Calibri" w:cs="Times New Roman"/>
          <w:bCs/>
          <w:spacing w:val="4"/>
          <w:szCs w:val="20"/>
          <w:lang w:eastAsia="ko-KR"/>
        </w:rPr>
      </w:pPr>
      <w:bookmarkStart w:id="20" w:name="_Ref536566623"/>
      <w:bookmarkStart w:id="21" w:name="_Toc4581553"/>
      <w:r w:rsidRPr="009002F0">
        <w:rPr>
          <w:rFonts w:ascii="Calibri" w:eastAsia="Malgun Gothic" w:hAnsi="Calibri" w:cs="Times New Roman"/>
          <w:bCs/>
          <w:spacing w:val="4"/>
          <w:szCs w:val="20"/>
          <w:lang w:eastAsia="ko-KR"/>
        </w:rPr>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w:t>
      </w:r>
      <w:r w:rsidRPr="009002F0">
        <w:rPr>
          <w:rFonts w:ascii="Calibri" w:eastAsia="Malgun Gothic" w:hAnsi="Calibri" w:cs="Times New Roman"/>
          <w:bCs/>
          <w:spacing w:val="4"/>
          <w:szCs w:val="20"/>
          <w:lang w:eastAsia="ko-KR"/>
        </w:rPr>
        <w:fldChar w:fldCharType="end"/>
      </w:r>
      <w:bookmarkEnd w:id="20"/>
      <w:r w:rsidRPr="009002F0">
        <w:rPr>
          <w:rFonts w:ascii="Calibri" w:eastAsia="Malgun Gothic" w:hAnsi="Calibri" w:cs="Times New Roman"/>
          <w:bCs/>
          <w:spacing w:val="4"/>
          <w:szCs w:val="20"/>
          <w:lang w:eastAsia="ko-KR"/>
        </w:rPr>
        <w:t>: Skill-based immigration system in Malaysia</w:t>
      </w:r>
      <w:bookmarkEnd w:id="21"/>
    </w:p>
    <w:p w14:paraId="4FEE9A9D"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lang w:eastAsia="ko-KR"/>
        </w:rPr>
      </w:pPr>
      <w:r w:rsidRPr="009002F0">
        <w:rPr>
          <w:rFonts w:ascii="Calibri" w:eastAsia="Malgun Gothic" w:hAnsi="Calibri" w:cs="Times New Roman"/>
          <w:noProof/>
          <w:color w:val="auto"/>
          <w:sz w:val="20"/>
          <w:szCs w:val="20"/>
          <w:lang w:eastAsia="ko-KR"/>
        </w:rPr>
        <w:drawing>
          <wp:inline distT="0" distB="0" distL="0" distR="0" wp14:anchorId="23337CF5" wp14:editId="094D7FA0">
            <wp:extent cx="5730875" cy="32797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r w:rsidRPr="009002F0">
        <w:rPr>
          <w:rFonts w:ascii="Calibri" w:eastAsia="Malgun Gothic" w:hAnsi="Calibri" w:cs="Times New Roman"/>
          <w:noProof/>
          <w:color w:val="auto"/>
          <w:sz w:val="20"/>
          <w:szCs w:val="20"/>
          <w:lang w:eastAsia="ko-KR"/>
        </w:rPr>
        <mc:AlternateContent>
          <mc:Choice Requires="wps">
            <w:drawing>
              <wp:anchor distT="0" distB="0" distL="114300" distR="114300" simplePos="0" relativeHeight="251661312" behindDoc="0" locked="0" layoutInCell="1" allowOverlap="1" wp14:anchorId="7D25CE93" wp14:editId="2E72D91C">
                <wp:simplePos x="0" y="0"/>
                <wp:positionH relativeFrom="column">
                  <wp:posOffset>-85725</wp:posOffset>
                </wp:positionH>
                <wp:positionV relativeFrom="paragraph">
                  <wp:posOffset>2676525</wp:posOffset>
                </wp:positionV>
                <wp:extent cx="1219200" cy="523875"/>
                <wp:effectExtent l="0" t="0" r="0" b="0"/>
                <wp:wrapNone/>
                <wp:docPr id="44" name="Rectangle 44"/>
                <wp:cNvGraphicFramePr/>
                <a:graphic xmlns:a="http://schemas.openxmlformats.org/drawingml/2006/main">
                  <a:graphicData uri="http://schemas.microsoft.com/office/word/2010/wordprocessingShape">
                    <wps:wsp>
                      <wps:cNvSpPr/>
                      <wps:spPr>
                        <a:xfrm>
                          <a:off x="0" y="0"/>
                          <a:ext cx="1219200" cy="523875"/>
                        </a:xfrm>
                        <a:prstGeom prst="rect">
                          <a:avLst/>
                        </a:prstGeom>
                        <a:noFill/>
                        <a:ln w="12700" cap="flat" cmpd="sng" algn="ctr">
                          <a:noFill/>
                          <a:prstDash val="solid"/>
                          <a:miter lim="800000"/>
                        </a:ln>
                        <a:effectLst/>
                      </wps:spPr>
                      <wps:txbx>
                        <w:txbxContent>
                          <w:p w14:paraId="17D8565F" w14:textId="77777777" w:rsidR="00960052" w:rsidRPr="00D011E0" w:rsidRDefault="00960052" w:rsidP="009002F0">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5CE93" id="Rectangle 44" o:spid="_x0000_s1026" style="position:absolute;margin-left:-6.75pt;margin-top:210.75pt;width:96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" filled="f" stroked="f" strokeweight="1pt">
                <v:textbox>
                  <w:txbxContent>
                    <w:p w14:paraId="17D8565F" w14:textId="77777777" w:rsidR="00960052" w:rsidRPr="00D011E0" w:rsidRDefault="00960052" w:rsidP="009002F0">
                      <w:pPr>
                        <w:rPr>
                          <w:sz w:val="22"/>
                          <w:szCs w:val="22"/>
                        </w:rPr>
                      </w:pPr>
                    </w:p>
                  </w:txbxContent>
                </v:textbox>
              </v:rect>
            </w:pict>
          </mc:Fallback>
        </mc:AlternateContent>
      </w:r>
      <w:r w:rsidRPr="009002F0">
        <w:rPr>
          <w:rFonts w:ascii="Calibri" w:eastAsia="Malgun Gothic" w:hAnsi="Calibri" w:cs="Times New Roman"/>
          <w:noProof/>
          <w:color w:val="auto"/>
          <w:sz w:val="20"/>
          <w:szCs w:val="20"/>
          <w:lang w:eastAsia="ko-KR"/>
        </w:rPr>
        <w:t xml:space="preserve">     </w:t>
      </w:r>
    </w:p>
    <w:p w14:paraId="0FAE6A7B" w14:textId="77777777" w:rsidR="009002F0" w:rsidRPr="009002F0" w:rsidRDefault="009002F0" w:rsidP="009002F0">
      <w:pPr>
        <w:widowControl/>
        <w:autoSpaceDE/>
        <w:autoSpaceDN/>
        <w:adjustRightInd/>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Source: Authors, based on Immigration Department of Malaysia.</w:t>
      </w:r>
    </w:p>
    <w:p w14:paraId="3137A44F" w14:textId="77777777" w:rsidR="009002F0" w:rsidRPr="009002F0" w:rsidRDefault="009002F0" w:rsidP="009002F0">
      <w:pPr>
        <w:widowControl/>
        <w:autoSpaceDE/>
        <w:autoSpaceDN/>
        <w:adjustRightInd/>
        <w:jc w:val="both"/>
        <w:rPr>
          <w:rFonts w:ascii="Calibri" w:eastAsia="Malgun Gothic" w:hAnsi="Calibri" w:cs="Calibri"/>
          <w:color w:val="auto"/>
          <w:sz w:val="22"/>
          <w:szCs w:val="22"/>
          <w:lang w:eastAsia="zh-CN"/>
        </w:rPr>
      </w:pPr>
    </w:p>
    <w:p w14:paraId="3EA74A4F" w14:textId="77777777" w:rsidR="009002F0" w:rsidRPr="009002F0" w:rsidRDefault="009002F0" w:rsidP="009002F0">
      <w:pPr>
        <w:widowControl/>
        <w:autoSpaceDE/>
        <w:autoSpaceDN/>
        <w:adjustRightInd/>
        <w:jc w:val="both"/>
        <w:rPr>
          <w:rFonts w:ascii="Calibri" w:eastAsia="Malgun Gothic" w:hAnsi="Calibri" w:cs="Calibri"/>
          <w:color w:val="auto"/>
          <w:sz w:val="22"/>
          <w:szCs w:val="22"/>
          <w:lang w:eastAsia="zh-CN"/>
        </w:rPr>
      </w:pPr>
    </w:p>
    <w:p w14:paraId="32DA89D9"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The Employment Pass (EP)</w:t>
      </w:r>
      <w:r w:rsidRPr="009002F0">
        <w:rPr>
          <w:rFonts w:ascii="ZWAdobeF" w:eastAsia="Malgun Gothic" w:hAnsi="ZWAdobeF" w:cs="ZWAdobeF"/>
          <w:color w:val="auto"/>
          <w:sz w:val="2"/>
          <w:szCs w:val="2"/>
          <w:lang w:eastAsia="zh-CN"/>
        </w:rPr>
        <w:t>10F</w:t>
      </w:r>
      <w:r w:rsidRPr="009002F0">
        <w:rPr>
          <w:rFonts w:ascii="Calibri" w:eastAsia="Malgun Gothic" w:hAnsi="Calibri" w:cs="Calibri"/>
          <w:color w:val="auto"/>
          <w:szCs w:val="22"/>
          <w:vertAlign w:val="superscript"/>
          <w:lang w:eastAsia="zh-CN"/>
        </w:rPr>
        <w:footnoteReference w:id="11"/>
      </w:r>
      <w:r w:rsidRPr="009002F0">
        <w:rPr>
          <w:rFonts w:ascii="Calibri" w:eastAsia="Malgun Gothic" w:hAnsi="Calibri" w:cs="Calibri"/>
          <w:color w:val="auto"/>
          <w:szCs w:val="22"/>
          <w:lang w:eastAsia="zh-CN"/>
        </w:rPr>
        <w:t xml:space="preserve"> holders can take up employment up to 5 years and may change employers within Malaysia. EP holders have a pathway to become permanent residents. EP holders may accompany their family members (Dependent Pass/Long-Term Social Visit Pass), and these pass holders can obtain the right to work by applying for an EP. Furthermore, EP holders may employ domestic helpers from foreign countries (Social Visit Pass (Temporary Employment)). The validity of dependent and social passes is tied to the principal EP holders. Another category for Social Visit Pass is foreign spouses of Malaysian citizens who have the right to take up employment.  </w:t>
      </w:r>
    </w:p>
    <w:p w14:paraId="04E718CF"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p>
    <w:p w14:paraId="30AF81E9" w14:textId="77777777" w:rsidR="009002F0" w:rsidRPr="009002F0" w:rsidRDefault="009002F0" w:rsidP="009002F0">
      <w:pPr>
        <w:widowControl/>
        <w:autoSpaceDE/>
        <w:autoSpaceDN/>
        <w:snapToGrid w:val="0"/>
        <w:spacing w:after="160" w:line="259" w:lineRule="auto"/>
        <w:jc w:val="both"/>
        <w:rPr>
          <w:rFonts w:ascii="Calibri" w:eastAsia="Calibri" w:hAnsi="Calibri" w:cs="Times New Roman"/>
          <w:bCs/>
          <w:color w:val="auto"/>
          <w:szCs w:val="22"/>
        </w:rPr>
      </w:pPr>
      <w:r w:rsidRPr="009002F0">
        <w:rPr>
          <w:rFonts w:ascii="Calibri" w:eastAsia="Malgun Gothic" w:hAnsi="Calibri" w:cs="Calibri"/>
          <w:color w:val="auto"/>
          <w:szCs w:val="22"/>
          <w:lang w:eastAsia="zh-CN"/>
        </w:rPr>
        <w:lastRenderedPageBreak/>
        <w:t xml:space="preserve">The Visit Pass (Temporary Employment) corresponds to the “foreign workers” category. The Ministry of Home Affairs controls annual inflows through an employer-specific quota mechanism, coupled with the foreign worker levy system. </w:t>
      </w:r>
      <w:r w:rsidRPr="009002F0">
        <w:rPr>
          <w:rFonts w:ascii="Calibri" w:eastAsia="Calibri" w:hAnsi="Calibri" w:cs="Times New Roman"/>
          <w:bCs/>
          <w:color w:val="auto"/>
          <w:szCs w:val="22"/>
        </w:rPr>
        <w:t xml:space="preserve">Some important features of the VP(TE) system are: </w:t>
      </w:r>
    </w:p>
    <w:p w14:paraId="581790C6"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These workers are between 18 and 45 years of age (between 21 and 45 for domestic helpers) at the time of a VP(TE) application and therefore all foreign workers are, in principle, less than 56 years of age. </w:t>
      </w:r>
    </w:p>
    <w:p w14:paraId="1B19E090"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A VP(TE) is renewed every year, subject to approvals from medical check-ups </w:t>
      </w:r>
      <w:r w:rsidRPr="009002F0">
        <w:rPr>
          <w:rFonts w:ascii="Calibri" w:eastAsia="Malgun Gothic" w:hAnsi="Calibri" w:cs="Calibri"/>
          <w:color w:val="auto"/>
          <w:szCs w:val="22"/>
          <w:lang w:eastAsia="zh-CN"/>
        </w:rPr>
        <w:t xml:space="preserve">by Foreign Workers Medical Examination Monitoring Agency (FOMEMA) </w:t>
      </w:r>
      <w:r w:rsidRPr="009002F0">
        <w:rPr>
          <w:rFonts w:ascii="Calibri" w:eastAsia="Calibri" w:hAnsi="Calibri" w:cs="Times New Roman"/>
          <w:bCs/>
          <w:color w:val="auto"/>
          <w:szCs w:val="22"/>
        </w:rPr>
        <w:t xml:space="preserve">(for the first three years in the country). </w:t>
      </w:r>
    </w:p>
    <w:p w14:paraId="4AC8A59D"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The maximum stay is 10 years. T</w:t>
      </w:r>
      <w:r w:rsidRPr="009002F0">
        <w:rPr>
          <w:rFonts w:ascii="Calibri" w:eastAsia="Malgun Gothic" w:hAnsi="Calibri" w:cs="Calibri"/>
          <w:color w:val="auto"/>
          <w:szCs w:val="22"/>
          <w:lang w:eastAsia="zh-CN"/>
        </w:rPr>
        <w:t>hose VP(TE) holders under the amnesty program (the 6P Program, discussed later) can stay only up to three years.</w:t>
      </w:r>
    </w:p>
    <w:p w14:paraId="0E8665CF"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Once in the country, VP(TE) holders are not allowed to change their employer, even if it is within the same sector or industry. </w:t>
      </w:r>
    </w:p>
    <w:p w14:paraId="54FC6DA5"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VP(TE) holders’ dependents are not allowed to accompany the foreign worker to Malaysia. </w:t>
      </w:r>
    </w:p>
    <w:p w14:paraId="73073CAA" w14:textId="77777777" w:rsidR="009002F0" w:rsidRPr="009002F0" w:rsidRDefault="009002F0" w:rsidP="009002F0">
      <w:pPr>
        <w:widowControl/>
        <w:numPr>
          <w:ilvl w:val="0"/>
          <w:numId w:val="33"/>
        </w:numPr>
        <w:autoSpaceDE/>
        <w:autoSpaceDN/>
        <w:adjustRightInd/>
        <w:snapToGrid w:val="0"/>
        <w:spacing w:after="160" w:line="259"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VP(TE) holders have no pathways to become permanent residents and thus must return to their origin countries after the completion of their employment contracts.</w:t>
      </w:r>
    </w:p>
    <w:p w14:paraId="77AF2AE8"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The VP(TE) is restricted to those individuals from 15 countries with which Malaysia has concluded a bilateral labor mobility arrangement (</w:t>
      </w:r>
      <w:r w:rsidRPr="009002F0">
        <w:rPr>
          <w:rFonts w:ascii="Calibri" w:eastAsia="Malgun Gothic" w:hAnsi="Calibri" w:cs="Calibri"/>
          <w:color w:val="auto"/>
          <w:lang w:eastAsia="zh-CN"/>
        </w:rPr>
        <w:fldChar w:fldCharType="begin" w:fldLock="1"/>
      </w:r>
      <w:r w:rsidRPr="009002F0">
        <w:rPr>
          <w:rFonts w:ascii="Calibri" w:eastAsia="Malgun Gothic" w:hAnsi="Calibri" w:cs="Calibri"/>
          <w:color w:val="auto"/>
          <w:lang w:eastAsia="zh-CN"/>
        </w:rPr>
        <w:instrText xml:space="preserve"> REF _Ref535923035 \h  \* MERGEFORMAT </w:instrText>
      </w:r>
      <w:r w:rsidRPr="009002F0">
        <w:rPr>
          <w:rFonts w:ascii="Calibri" w:eastAsia="Malgun Gothic" w:hAnsi="Calibri" w:cs="Calibri"/>
          <w:color w:val="auto"/>
          <w:lang w:eastAsia="zh-CN"/>
        </w:rPr>
      </w:r>
      <w:r w:rsidRPr="009002F0">
        <w:rPr>
          <w:rFonts w:ascii="Calibri" w:eastAsia="Malgun Gothic" w:hAnsi="Calibri" w:cs="Calibri"/>
          <w:color w:val="auto"/>
          <w:lang w:eastAsia="zh-CN"/>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1</w:t>
      </w:r>
      <w:r w:rsidRPr="009002F0">
        <w:rPr>
          <w:rFonts w:ascii="Calibri" w:eastAsia="Malgun Gothic" w:hAnsi="Calibri" w:cs="Calibri"/>
          <w:color w:val="auto"/>
          <w:lang w:eastAsia="zh-CN"/>
        </w:rPr>
        <w:fldChar w:fldCharType="end"/>
      </w:r>
      <w:r w:rsidRPr="009002F0">
        <w:rPr>
          <w:rFonts w:ascii="Calibri" w:eastAsia="Malgun Gothic" w:hAnsi="Calibri" w:cs="Calibri"/>
          <w:color w:val="auto"/>
          <w:szCs w:val="22"/>
          <w:lang w:eastAsia="zh-CN"/>
        </w:rPr>
        <w:t xml:space="preserve">). VP(TE) holders can engage in low-skilled jobs in all sectors, except for those from the Philippines, India, Indonesia, and Bangladesh, who have sector and gender restrictions. Filipino females are not eligible for a VP(TE).  Indonesian males are not allowed to work in the manufacturing sector, but Indonesian females can work in all sectors. Jobs in the construction and services sectors that Indians take up are restricted as presented in </w:t>
      </w:r>
      <w:r w:rsidRPr="009002F0">
        <w:rPr>
          <w:rFonts w:ascii="Calibri" w:eastAsia="Malgun Gothic" w:hAnsi="Calibri" w:cs="Calibri"/>
          <w:color w:val="auto"/>
          <w:lang w:eastAsia="zh-CN"/>
        </w:rPr>
        <w:fldChar w:fldCharType="begin" w:fldLock="1"/>
      </w:r>
      <w:r w:rsidRPr="009002F0">
        <w:rPr>
          <w:rFonts w:ascii="Calibri" w:eastAsia="Malgun Gothic" w:hAnsi="Calibri" w:cs="Calibri"/>
          <w:color w:val="auto"/>
          <w:lang w:eastAsia="zh-CN"/>
        </w:rPr>
        <w:instrText xml:space="preserve"> REF _Ref535923035 \h  \* MERGEFORMAT </w:instrText>
      </w:r>
      <w:r w:rsidRPr="009002F0">
        <w:rPr>
          <w:rFonts w:ascii="Calibri" w:eastAsia="Malgun Gothic" w:hAnsi="Calibri" w:cs="Calibri"/>
          <w:color w:val="auto"/>
          <w:lang w:eastAsia="zh-CN"/>
        </w:rPr>
      </w:r>
      <w:r w:rsidRPr="009002F0">
        <w:rPr>
          <w:rFonts w:ascii="Calibri" w:eastAsia="Malgun Gothic" w:hAnsi="Calibri" w:cs="Calibri"/>
          <w:color w:val="auto"/>
          <w:lang w:eastAsia="zh-CN"/>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1</w:t>
      </w:r>
      <w:r w:rsidRPr="009002F0">
        <w:rPr>
          <w:rFonts w:ascii="Calibri" w:eastAsia="Malgun Gothic" w:hAnsi="Calibri" w:cs="Calibri"/>
          <w:color w:val="auto"/>
          <w:lang w:eastAsia="zh-CN"/>
        </w:rPr>
        <w:fldChar w:fldCharType="end"/>
      </w:r>
      <w:r w:rsidRPr="009002F0">
        <w:rPr>
          <w:rFonts w:ascii="Calibri" w:eastAsia="Malgun Gothic" w:hAnsi="Calibri" w:cs="Calibri"/>
          <w:color w:val="auto"/>
          <w:lang w:eastAsia="zh-CN"/>
        </w:rPr>
        <w:t>.</w:t>
      </w:r>
      <w:r w:rsidRPr="009002F0">
        <w:rPr>
          <w:rFonts w:ascii="Calibri" w:eastAsia="Malgun Gothic" w:hAnsi="Calibri" w:cs="Calibri"/>
          <w:color w:val="auto"/>
          <w:szCs w:val="22"/>
          <w:lang w:eastAsia="zh-CN"/>
        </w:rPr>
        <w:t xml:space="preserve"> Bangladeshis are permitted to work only in the plantation sector.</w:t>
      </w:r>
    </w:p>
    <w:p w14:paraId="160E0EE1"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 </w:t>
      </w:r>
    </w:p>
    <w:p w14:paraId="345D864F" w14:textId="77777777" w:rsidR="009002F0" w:rsidRPr="009002F0" w:rsidRDefault="009002F0" w:rsidP="009002F0">
      <w:pPr>
        <w:widowControl/>
        <w:autoSpaceDE/>
        <w:autoSpaceDN/>
        <w:adjustRightInd/>
        <w:spacing w:after="120" w:line="264" w:lineRule="auto"/>
        <w:rPr>
          <w:rFonts w:ascii="Calibri" w:eastAsia="Malgun Gothic" w:hAnsi="Calibri" w:cs="Calibri"/>
          <w:bCs/>
          <w:spacing w:val="4"/>
          <w:szCs w:val="22"/>
          <w:lang w:eastAsia="zh-CN"/>
        </w:rPr>
      </w:pPr>
      <w:r w:rsidRPr="009002F0">
        <w:rPr>
          <w:rFonts w:ascii="Calibri" w:eastAsia="Malgun Gothic" w:hAnsi="Calibri" w:cs="Calibri"/>
          <w:sz w:val="20"/>
          <w:szCs w:val="22"/>
          <w:lang w:eastAsia="zh-CN"/>
        </w:rPr>
        <w:br w:type="page"/>
      </w:r>
    </w:p>
    <w:p w14:paraId="02F663DD" w14:textId="77777777" w:rsidR="009002F0" w:rsidRPr="009002F0" w:rsidRDefault="009002F0" w:rsidP="009002F0">
      <w:pPr>
        <w:widowControl/>
        <w:autoSpaceDE/>
        <w:autoSpaceDN/>
        <w:adjustRightInd/>
        <w:spacing w:after="120"/>
        <w:rPr>
          <w:rFonts w:ascii="Calibri" w:eastAsia="Malgun Gothic" w:hAnsi="Calibri" w:cs="Calibri"/>
          <w:bCs/>
          <w:spacing w:val="4"/>
          <w:szCs w:val="22"/>
          <w:lang w:eastAsia="zh-CN"/>
        </w:rPr>
      </w:pPr>
      <w:r w:rsidRPr="009002F0">
        <w:rPr>
          <w:rFonts w:ascii="Calibri" w:eastAsia="Malgun Gothic" w:hAnsi="Calibri" w:cs="Calibri"/>
          <w:bCs/>
          <w:spacing w:val="4"/>
          <w:szCs w:val="22"/>
          <w:lang w:eastAsia="zh-CN"/>
        </w:rPr>
        <w:lastRenderedPageBreak/>
        <w:t xml:space="preserve"> </w:t>
      </w:r>
      <w:bookmarkStart w:id="22" w:name="_Ref535923035"/>
      <w:bookmarkStart w:id="23" w:name="_Toc4581544"/>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w:t>
      </w:r>
      <w:r w:rsidRPr="009002F0">
        <w:rPr>
          <w:rFonts w:ascii="Calibri" w:eastAsia="Malgun Gothic" w:hAnsi="Calibri" w:cs="Times New Roman"/>
          <w:bCs/>
          <w:spacing w:val="4"/>
          <w:szCs w:val="20"/>
          <w:lang w:eastAsia="ko-KR"/>
        </w:rPr>
        <w:fldChar w:fldCharType="end"/>
      </w:r>
      <w:bookmarkEnd w:id="22"/>
      <w:r w:rsidRPr="009002F0">
        <w:rPr>
          <w:rFonts w:ascii="Calibri" w:eastAsia="Malgun Gothic" w:hAnsi="Calibri" w:cs="Times New Roman"/>
          <w:bCs/>
          <w:spacing w:val="4"/>
          <w:szCs w:val="20"/>
          <w:lang w:eastAsia="ko-KR"/>
        </w:rPr>
        <w:t>: Approved source countries and sectors for foreign workers in Malaysia</w:t>
      </w:r>
      <w:bookmarkEnd w:id="23"/>
    </w:p>
    <w:p w14:paraId="4161BC9F"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p>
    <w:tbl>
      <w:tblPr>
        <w:tblStyle w:val="TableGrid"/>
        <w:tblW w:w="9000" w:type="dxa"/>
        <w:jc w:val="center"/>
        <w:tblLook w:val="04A0" w:firstRow="1" w:lastRow="0" w:firstColumn="1" w:lastColumn="0" w:noHBand="0" w:noVBand="1"/>
      </w:tblPr>
      <w:tblGrid>
        <w:gridCol w:w="2061"/>
        <w:gridCol w:w="2672"/>
        <w:gridCol w:w="4267"/>
      </w:tblGrid>
      <w:tr w:rsidR="009002F0" w:rsidRPr="009002F0" w14:paraId="27785D8E" w14:textId="77777777" w:rsidTr="009002F0">
        <w:trPr>
          <w:trHeight w:val="773"/>
          <w:jc w:val="center"/>
        </w:trPr>
        <w:tc>
          <w:tcPr>
            <w:tcW w:w="2061" w:type="dxa"/>
            <w:shd w:val="clear" w:color="auto" w:fill="006068"/>
            <w:vAlign w:val="center"/>
          </w:tcPr>
          <w:p w14:paraId="5D8E0777"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b/>
                <w:color w:val="FFFFFF"/>
                <w:sz w:val="22"/>
                <w:szCs w:val="22"/>
                <w:lang w:eastAsia="zh-CN"/>
              </w:rPr>
            </w:pPr>
            <w:r w:rsidRPr="009002F0">
              <w:rPr>
                <w:rFonts w:ascii="Calibri" w:eastAsia="Malgun Gothic" w:hAnsi="Calibri" w:cs="Calibri"/>
                <w:b/>
                <w:color w:val="FFFFFF"/>
                <w:sz w:val="22"/>
                <w:szCs w:val="22"/>
                <w:lang w:eastAsia="zh-CN"/>
              </w:rPr>
              <w:t>Country</w:t>
            </w:r>
          </w:p>
        </w:tc>
        <w:tc>
          <w:tcPr>
            <w:tcW w:w="2672" w:type="dxa"/>
            <w:shd w:val="clear" w:color="auto" w:fill="006068"/>
            <w:vAlign w:val="center"/>
          </w:tcPr>
          <w:p w14:paraId="2CC139B2"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b/>
                <w:color w:val="FFFFFF"/>
                <w:sz w:val="22"/>
                <w:szCs w:val="22"/>
                <w:lang w:eastAsia="zh-CN"/>
              </w:rPr>
            </w:pPr>
            <w:r w:rsidRPr="009002F0">
              <w:rPr>
                <w:rFonts w:ascii="Calibri" w:eastAsia="Malgun Gothic" w:hAnsi="Calibri" w:cs="Calibri"/>
                <w:b/>
                <w:color w:val="FFFFFF"/>
                <w:sz w:val="22"/>
                <w:szCs w:val="22"/>
                <w:lang w:eastAsia="zh-CN"/>
              </w:rPr>
              <w:t>Domestic helper sector</w:t>
            </w:r>
          </w:p>
        </w:tc>
        <w:tc>
          <w:tcPr>
            <w:tcW w:w="4267" w:type="dxa"/>
            <w:shd w:val="clear" w:color="auto" w:fill="006068"/>
            <w:vAlign w:val="center"/>
          </w:tcPr>
          <w:p w14:paraId="0BCF36DC"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b/>
                <w:color w:val="FFFFFF"/>
                <w:sz w:val="22"/>
                <w:szCs w:val="22"/>
                <w:lang w:eastAsia="zh-CN"/>
              </w:rPr>
            </w:pPr>
            <w:r w:rsidRPr="009002F0">
              <w:rPr>
                <w:rFonts w:ascii="Calibri" w:eastAsia="Malgun Gothic" w:hAnsi="Calibri" w:cs="Calibri"/>
                <w:b/>
                <w:color w:val="FFFFFF"/>
                <w:sz w:val="22"/>
                <w:szCs w:val="22"/>
                <w:lang w:eastAsia="zh-CN"/>
              </w:rPr>
              <w:t xml:space="preserve">Sectoral/ occupation restrictions </w:t>
            </w:r>
          </w:p>
        </w:tc>
      </w:tr>
      <w:tr w:rsidR="009002F0" w:rsidRPr="009002F0" w14:paraId="25D2933C" w14:textId="77777777" w:rsidTr="009002F0">
        <w:trPr>
          <w:trHeight w:val="432"/>
          <w:jc w:val="center"/>
        </w:trPr>
        <w:tc>
          <w:tcPr>
            <w:tcW w:w="2061" w:type="dxa"/>
            <w:shd w:val="clear" w:color="auto" w:fill="auto"/>
            <w:vAlign w:val="center"/>
          </w:tcPr>
          <w:p w14:paraId="4FA9DCF0"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Bangladesh</w:t>
            </w:r>
          </w:p>
        </w:tc>
        <w:tc>
          <w:tcPr>
            <w:tcW w:w="2672" w:type="dxa"/>
            <w:vAlign w:val="center"/>
          </w:tcPr>
          <w:p w14:paraId="428DC08C"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06FFDCD2" wp14:editId="20C70902">
                  <wp:extent cx="104775" cy="104775"/>
                  <wp:effectExtent l="0" t="0" r="9525" b="9525"/>
                  <wp:docPr id="69" name="Graphic 6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shd w:val="clear" w:color="auto" w:fill="auto"/>
            <w:vAlign w:val="center"/>
          </w:tcPr>
          <w:p w14:paraId="5320A123"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Plantation sector only</w:t>
            </w:r>
          </w:p>
        </w:tc>
      </w:tr>
      <w:tr w:rsidR="009002F0" w:rsidRPr="009002F0" w14:paraId="36B27531" w14:textId="77777777" w:rsidTr="009002F0">
        <w:trPr>
          <w:trHeight w:val="432"/>
          <w:jc w:val="center"/>
        </w:trPr>
        <w:tc>
          <w:tcPr>
            <w:tcW w:w="2061" w:type="dxa"/>
            <w:shd w:val="clear" w:color="auto" w:fill="auto"/>
            <w:vAlign w:val="center"/>
          </w:tcPr>
          <w:p w14:paraId="1A671E45"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Cambodia</w:t>
            </w:r>
          </w:p>
        </w:tc>
        <w:tc>
          <w:tcPr>
            <w:tcW w:w="2672" w:type="dxa"/>
            <w:vAlign w:val="center"/>
          </w:tcPr>
          <w:p w14:paraId="0100FCC2"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0EB1455B" wp14:editId="41BE6D4E">
                  <wp:extent cx="142875" cy="142875"/>
                  <wp:effectExtent l="0" t="0" r="9525" b="9525"/>
                  <wp:docPr id="88" name="Graphic 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shd w:val="clear" w:color="auto" w:fill="auto"/>
            <w:vAlign w:val="center"/>
          </w:tcPr>
          <w:p w14:paraId="1DED6117"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 xml:space="preserve">No restriction </w:t>
            </w:r>
          </w:p>
        </w:tc>
      </w:tr>
      <w:tr w:rsidR="009002F0" w:rsidRPr="009002F0" w14:paraId="349418E1" w14:textId="77777777" w:rsidTr="009002F0">
        <w:trPr>
          <w:trHeight w:val="2024"/>
          <w:jc w:val="center"/>
        </w:trPr>
        <w:tc>
          <w:tcPr>
            <w:tcW w:w="2061" w:type="dxa"/>
            <w:shd w:val="clear" w:color="auto" w:fill="auto"/>
            <w:vAlign w:val="center"/>
          </w:tcPr>
          <w:p w14:paraId="7746A2D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India</w:t>
            </w:r>
          </w:p>
        </w:tc>
        <w:tc>
          <w:tcPr>
            <w:tcW w:w="2672" w:type="dxa"/>
            <w:vAlign w:val="center"/>
          </w:tcPr>
          <w:p w14:paraId="6BE2FA82" w14:textId="77777777" w:rsidR="009002F0" w:rsidRPr="009002F0" w:rsidRDefault="009002F0" w:rsidP="009002F0">
            <w:pPr>
              <w:widowControl/>
              <w:autoSpaceDE/>
              <w:autoSpaceDN/>
              <w:adjustRightInd/>
              <w:spacing w:after="120" w:line="264" w:lineRule="auto"/>
              <w:ind w:left="160"/>
              <w:contextualSpacing/>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41741A7C" wp14:editId="1E28D606">
                  <wp:extent cx="142875" cy="142875"/>
                  <wp:effectExtent l="0" t="0" r="9525" b="9525"/>
                  <wp:docPr id="63" name="Graphic 6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shd w:val="clear" w:color="auto" w:fill="auto"/>
            <w:vAlign w:val="center"/>
          </w:tcPr>
          <w:p w14:paraId="7DB141BD"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Not allowed in Manufacturing.</w:t>
            </w:r>
          </w:p>
          <w:p w14:paraId="1433DAE3"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Allowed for specific occupations in Construction (high tension cable only) and Services (goldsmith, wholesale/retail, restaurant-cooks only, metal/scrap materials and recycling, textiles and barbers).</w:t>
            </w:r>
          </w:p>
          <w:p w14:paraId="2460E73F"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Allowed in Agriculture and Plantation.</w:t>
            </w:r>
          </w:p>
        </w:tc>
      </w:tr>
      <w:tr w:rsidR="009002F0" w:rsidRPr="009002F0" w14:paraId="3EA7AB38" w14:textId="77777777" w:rsidTr="009002F0">
        <w:trPr>
          <w:trHeight w:val="386"/>
          <w:jc w:val="center"/>
        </w:trPr>
        <w:tc>
          <w:tcPr>
            <w:tcW w:w="2061" w:type="dxa"/>
            <w:shd w:val="clear" w:color="auto" w:fill="auto"/>
            <w:vAlign w:val="center"/>
          </w:tcPr>
          <w:p w14:paraId="308B4409"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Indonesia</w:t>
            </w:r>
          </w:p>
        </w:tc>
        <w:tc>
          <w:tcPr>
            <w:tcW w:w="2672" w:type="dxa"/>
            <w:vAlign w:val="center"/>
          </w:tcPr>
          <w:p w14:paraId="69BDCE01" w14:textId="77777777" w:rsidR="009002F0" w:rsidRPr="009002F0" w:rsidRDefault="009002F0" w:rsidP="009002F0">
            <w:pPr>
              <w:widowControl/>
              <w:autoSpaceDE/>
              <w:autoSpaceDN/>
              <w:adjustRightInd/>
              <w:spacing w:after="120" w:line="264" w:lineRule="auto"/>
              <w:ind w:left="160"/>
              <w:contextualSpacing/>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1FA768E4" wp14:editId="746FBBF5">
                  <wp:extent cx="142875" cy="142875"/>
                  <wp:effectExtent l="0" t="0" r="9525" b="9525"/>
                  <wp:docPr id="89" name="Graphic 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shd w:val="clear" w:color="auto" w:fill="auto"/>
            <w:vAlign w:val="center"/>
          </w:tcPr>
          <w:p w14:paraId="3194FA2B"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Males allowed for all sectors except Manufacturing.</w:t>
            </w:r>
          </w:p>
          <w:p w14:paraId="3B4E1C7D"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Females allowed for all sectors.</w:t>
            </w:r>
          </w:p>
        </w:tc>
      </w:tr>
      <w:tr w:rsidR="009002F0" w:rsidRPr="009002F0" w14:paraId="04A406C4" w14:textId="77777777" w:rsidTr="009002F0">
        <w:trPr>
          <w:trHeight w:val="432"/>
          <w:jc w:val="center"/>
        </w:trPr>
        <w:tc>
          <w:tcPr>
            <w:tcW w:w="2061" w:type="dxa"/>
            <w:shd w:val="clear" w:color="auto" w:fill="auto"/>
            <w:vAlign w:val="center"/>
          </w:tcPr>
          <w:p w14:paraId="41606BF2"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Kazakhstan</w:t>
            </w:r>
          </w:p>
        </w:tc>
        <w:tc>
          <w:tcPr>
            <w:tcW w:w="2672" w:type="dxa"/>
            <w:vAlign w:val="center"/>
          </w:tcPr>
          <w:p w14:paraId="2B19EC45"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7D8A8AA1" wp14:editId="46F54098">
                  <wp:extent cx="104775" cy="104775"/>
                  <wp:effectExtent l="0" t="0" r="9525" b="9525"/>
                  <wp:docPr id="81" name="Graphic 8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val="restart"/>
            <w:shd w:val="clear" w:color="auto" w:fill="auto"/>
            <w:vAlign w:val="center"/>
          </w:tcPr>
          <w:p w14:paraId="1C89E63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 xml:space="preserve">No restriction </w:t>
            </w:r>
          </w:p>
          <w:p w14:paraId="71527D76"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3018DD3B" w14:textId="77777777" w:rsidTr="009002F0">
        <w:trPr>
          <w:trHeight w:val="432"/>
          <w:jc w:val="center"/>
        </w:trPr>
        <w:tc>
          <w:tcPr>
            <w:tcW w:w="2061" w:type="dxa"/>
            <w:shd w:val="clear" w:color="auto" w:fill="auto"/>
            <w:vAlign w:val="center"/>
          </w:tcPr>
          <w:p w14:paraId="23A43A16"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Lao PDR</w:t>
            </w:r>
          </w:p>
        </w:tc>
        <w:tc>
          <w:tcPr>
            <w:tcW w:w="2672" w:type="dxa"/>
            <w:vAlign w:val="center"/>
          </w:tcPr>
          <w:p w14:paraId="6E553043"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49BBD5AB" wp14:editId="4600E1C7">
                  <wp:extent cx="142875" cy="142875"/>
                  <wp:effectExtent l="0" t="0" r="9525" b="9525"/>
                  <wp:docPr id="90" name="Graphic 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vMerge/>
            <w:shd w:val="clear" w:color="auto" w:fill="auto"/>
            <w:vAlign w:val="center"/>
          </w:tcPr>
          <w:p w14:paraId="5529651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649C93D0" w14:textId="77777777" w:rsidTr="009002F0">
        <w:trPr>
          <w:trHeight w:val="432"/>
          <w:jc w:val="center"/>
        </w:trPr>
        <w:tc>
          <w:tcPr>
            <w:tcW w:w="2061" w:type="dxa"/>
            <w:shd w:val="clear" w:color="auto" w:fill="auto"/>
            <w:vAlign w:val="center"/>
          </w:tcPr>
          <w:p w14:paraId="44EBF627"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Myanmar</w:t>
            </w:r>
          </w:p>
        </w:tc>
        <w:tc>
          <w:tcPr>
            <w:tcW w:w="2672" w:type="dxa"/>
            <w:vAlign w:val="center"/>
          </w:tcPr>
          <w:p w14:paraId="2B4F0837"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2AE27546" wp14:editId="4CB9BA12">
                  <wp:extent cx="104775" cy="104775"/>
                  <wp:effectExtent l="0" t="0" r="9525" b="9525"/>
                  <wp:docPr id="82" name="Graphic 8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shd w:val="clear" w:color="auto" w:fill="auto"/>
            <w:vAlign w:val="center"/>
          </w:tcPr>
          <w:p w14:paraId="11FAFBDA"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0C292861" w14:textId="77777777" w:rsidTr="009002F0">
        <w:trPr>
          <w:trHeight w:val="432"/>
          <w:jc w:val="center"/>
        </w:trPr>
        <w:tc>
          <w:tcPr>
            <w:tcW w:w="2061" w:type="dxa"/>
            <w:vAlign w:val="center"/>
          </w:tcPr>
          <w:p w14:paraId="65DF868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Nepal</w:t>
            </w:r>
          </w:p>
        </w:tc>
        <w:tc>
          <w:tcPr>
            <w:tcW w:w="2672" w:type="dxa"/>
            <w:vAlign w:val="center"/>
          </w:tcPr>
          <w:p w14:paraId="4B39AFF4"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0C2434DC" wp14:editId="640C9A1C">
                  <wp:extent cx="104775" cy="104775"/>
                  <wp:effectExtent l="0" t="0" r="9525" b="9525"/>
                  <wp:docPr id="83" name="Graphic 8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shd w:val="clear" w:color="auto" w:fill="auto"/>
            <w:vAlign w:val="center"/>
          </w:tcPr>
          <w:p w14:paraId="7F201095"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31E2E939" w14:textId="77777777" w:rsidTr="009002F0">
        <w:trPr>
          <w:trHeight w:val="432"/>
          <w:jc w:val="center"/>
        </w:trPr>
        <w:tc>
          <w:tcPr>
            <w:tcW w:w="2061" w:type="dxa"/>
            <w:vAlign w:val="center"/>
          </w:tcPr>
          <w:p w14:paraId="21FEDBA5"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Pakistan</w:t>
            </w:r>
          </w:p>
        </w:tc>
        <w:tc>
          <w:tcPr>
            <w:tcW w:w="2672" w:type="dxa"/>
            <w:vAlign w:val="center"/>
          </w:tcPr>
          <w:p w14:paraId="493D0A94"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52811B3B" wp14:editId="3DFE9853">
                  <wp:extent cx="104775" cy="104775"/>
                  <wp:effectExtent l="0" t="0" r="9525" b="9525"/>
                  <wp:docPr id="84" name="Graphic 8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shd w:val="clear" w:color="auto" w:fill="auto"/>
            <w:vAlign w:val="center"/>
          </w:tcPr>
          <w:p w14:paraId="45CBAE1A"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70E891A6" w14:textId="77777777" w:rsidTr="009002F0">
        <w:trPr>
          <w:trHeight w:val="288"/>
          <w:jc w:val="center"/>
        </w:trPr>
        <w:tc>
          <w:tcPr>
            <w:tcW w:w="2061" w:type="dxa"/>
            <w:vAlign w:val="center"/>
          </w:tcPr>
          <w:p w14:paraId="6919F803"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Philippines</w:t>
            </w:r>
          </w:p>
        </w:tc>
        <w:tc>
          <w:tcPr>
            <w:tcW w:w="2672" w:type="dxa"/>
            <w:vAlign w:val="center"/>
          </w:tcPr>
          <w:p w14:paraId="244C6FCC"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6B268596" wp14:editId="3FDFB8BD">
                  <wp:extent cx="104775" cy="104775"/>
                  <wp:effectExtent l="0" t="0" r="9525" b="9525"/>
                  <wp:docPr id="85" name="Graphic 8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shd w:val="clear" w:color="auto" w:fill="auto"/>
            <w:vAlign w:val="center"/>
          </w:tcPr>
          <w:p w14:paraId="23699D62"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 xml:space="preserve">Females not allowed in all sectors except the domestic helper segment. </w:t>
            </w:r>
          </w:p>
          <w:p w14:paraId="25C77BE4" w14:textId="77777777" w:rsidR="009002F0" w:rsidRPr="009002F0" w:rsidRDefault="009002F0" w:rsidP="009002F0">
            <w:pPr>
              <w:widowControl/>
              <w:numPr>
                <w:ilvl w:val="0"/>
                <w:numId w:val="14"/>
              </w:numPr>
              <w:autoSpaceDE/>
              <w:autoSpaceDN/>
              <w:adjustRightInd/>
              <w:spacing w:after="120" w:line="264" w:lineRule="auto"/>
              <w:ind w:left="160" w:hanging="180"/>
              <w:contextualSpacing/>
              <w:rPr>
                <w:rFonts w:ascii="Calibri" w:eastAsia="Malgun Gothic" w:hAnsi="Calibri" w:cs="Calibri"/>
                <w:sz w:val="22"/>
                <w:szCs w:val="22"/>
                <w:lang w:eastAsia="zh-CN"/>
              </w:rPr>
            </w:pPr>
            <w:r w:rsidRPr="009002F0">
              <w:rPr>
                <w:rFonts w:ascii="Calibri" w:eastAsia="Malgun Gothic" w:hAnsi="Calibri" w:cs="Calibri"/>
                <w:sz w:val="22"/>
                <w:szCs w:val="22"/>
                <w:lang w:eastAsia="zh-CN"/>
              </w:rPr>
              <w:t xml:space="preserve">No restrictions for males </w:t>
            </w:r>
          </w:p>
        </w:tc>
      </w:tr>
      <w:tr w:rsidR="009002F0" w:rsidRPr="009002F0" w14:paraId="003AD8C9" w14:textId="77777777" w:rsidTr="009002F0">
        <w:trPr>
          <w:trHeight w:val="432"/>
          <w:jc w:val="center"/>
        </w:trPr>
        <w:tc>
          <w:tcPr>
            <w:tcW w:w="2061" w:type="dxa"/>
            <w:vAlign w:val="center"/>
          </w:tcPr>
          <w:p w14:paraId="25287382"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Sri Lanka</w:t>
            </w:r>
          </w:p>
        </w:tc>
        <w:tc>
          <w:tcPr>
            <w:tcW w:w="2672" w:type="dxa"/>
            <w:vAlign w:val="center"/>
          </w:tcPr>
          <w:p w14:paraId="1BE412C7"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04BEFE36" wp14:editId="2E2AFF09">
                  <wp:extent cx="142875" cy="142875"/>
                  <wp:effectExtent l="0" t="0" r="9525" b="9525"/>
                  <wp:docPr id="91" name="Graphic 9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vMerge w:val="restart"/>
            <w:shd w:val="clear" w:color="auto" w:fill="auto"/>
            <w:vAlign w:val="center"/>
          </w:tcPr>
          <w:p w14:paraId="17B119E3"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No restriction</w:t>
            </w:r>
          </w:p>
        </w:tc>
      </w:tr>
      <w:tr w:rsidR="009002F0" w:rsidRPr="009002F0" w14:paraId="40DA49CB" w14:textId="77777777" w:rsidTr="009002F0">
        <w:trPr>
          <w:trHeight w:val="432"/>
          <w:jc w:val="center"/>
        </w:trPr>
        <w:tc>
          <w:tcPr>
            <w:tcW w:w="2061" w:type="dxa"/>
            <w:vAlign w:val="center"/>
          </w:tcPr>
          <w:p w14:paraId="6C9B36C9"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Thailand</w:t>
            </w:r>
          </w:p>
        </w:tc>
        <w:tc>
          <w:tcPr>
            <w:tcW w:w="2672" w:type="dxa"/>
            <w:vAlign w:val="center"/>
          </w:tcPr>
          <w:p w14:paraId="1991BDD3"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4286D68F" wp14:editId="49E20111">
                  <wp:extent cx="142875" cy="142875"/>
                  <wp:effectExtent l="0" t="0" r="9525" b="9525"/>
                  <wp:docPr id="92" name="Graphic 9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vMerge/>
            <w:shd w:val="clear" w:color="auto" w:fill="auto"/>
            <w:vAlign w:val="center"/>
          </w:tcPr>
          <w:p w14:paraId="072C12CF"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3D284511" w14:textId="77777777" w:rsidTr="009002F0">
        <w:trPr>
          <w:trHeight w:val="432"/>
          <w:jc w:val="center"/>
        </w:trPr>
        <w:tc>
          <w:tcPr>
            <w:tcW w:w="2061" w:type="dxa"/>
            <w:vAlign w:val="center"/>
          </w:tcPr>
          <w:p w14:paraId="114DCC3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Turkmenistan</w:t>
            </w:r>
          </w:p>
        </w:tc>
        <w:tc>
          <w:tcPr>
            <w:tcW w:w="2672" w:type="dxa"/>
            <w:vAlign w:val="center"/>
          </w:tcPr>
          <w:p w14:paraId="70A0EB51"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7E4FD033" wp14:editId="56F32B5D">
                  <wp:extent cx="104775" cy="104775"/>
                  <wp:effectExtent l="0" t="0" r="9525" b="9525"/>
                  <wp:docPr id="86" name="Graphic 8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shd w:val="clear" w:color="auto" w:fill="auto"/>
            <w:vAlign w:val="center"/>
          </w:tcPr>
          <w:p w14:paraId="6870743D"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11CFC964" w14:textId="77777777" w:rsidTr="009002F0">
        <w:trPr>
          <w:trHeight w:val="432"/>
          <w:jc w:val="center"/>
        </w:trPr>
        <w:tc>
          <w:tcPr>
            <w:tcW w:w="2061" w:type="dxa"/>
            <w:vAlign w:val="center"/>
          </w:tcPr>
          <w:p w14:paraId="4CEE6F26"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Uzbekistan</w:t>
            </w:r>
          </w:p>
        </w:tc>
        <w:tc>
          <w:tcPr>
            <w:tcW w:w="2672" w:type="dxa"/>
            <w:vAlign w:val="center"/>
          </w:tcPr>
          <w:p w14:paraId="722AD3B4"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49D36BEC" wp14:editId="4EE00E1B">
                  <wp:extent cx="104775" cy="104775"/>
                  <wp:effectExtent l="0" t="0" r="9525" b="9525"/>
                  <wp:docPr id="87" name="Graphic 8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775" cy="104775"/>
                          </a:xfrm>
                          <a:prstGeom prst="rect">
                            <a:avLst/>
                          </a:prstGeom>
                        </pic:spPr>
                      </pic:pic>
                    </a:graphicData>
                  </a:graphic>
                </wp:inline>
              </w:drawing>
            </w:r>
          </w:p>
        </w:tc>
        <w:tc>
          <w:tcPr>
            <w:tcW w:w="4267" w:type="dxa"/>
            <w:vMerge/>
            <w:shd w:val="clear" w:color="auto" w:fill="auto"/>
            <w:vAlign w:val="center"/>
          </w:tcPr>
          <w:p w14:paraId="7008847E"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r w:rsidR="009002F0" w:rsidRPr="009002F0" w14:paraId="201E4FD4" w14:textId="77777777" w:rsidTr="009002F0">
        <w:trPr>
          <w:trHeight w:val="432"/>
          <w:jc w:val="center"/>
        </w:trPr>
        <w:tc>
          <w:tcPr>
            <w:tcW w:w="2061" w:type="dxa"/>
            <w:vAlign w:val="center"/>
          </w:tcPr>
          <w:p w14:paraId="6B6DBF4B"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sz w:val="22"/>
                <w:szCs w:val="22"/>
                <w:lang w:eastAsia="zh-CN"/>
              </w:rPr>
              <w:t>Vietnam</w:t>
            </w:r>
          </w:p>
        </w:tc>
        <w:tc>
          <w:tcPr>
            <w:tcW w:w="2672" w:type="dxa"/>
            <w:vAlign w:val="center"/>
          </w:tcPr>
          <w:p w14:paraId="6C508266"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r w:rsidRPr="009002F0">
              <w:rPr>
                <w:rFonts w:ascii="Calibri" w:eastAsia="Malgun Gothic" w:hAnsi="Calibri" w:cs="Calibri"/>
                <w:noProof/>
                <w:sz w:val="22"/>
                <w:szCs w:val="22"/>
                <w:lang w:eastAsia="zh-CN"/>
              </w:rPr>
              <w:drawing>
                <wp:inline distT="0" distB="0" distL="0" distR="0" wp14:anchorId="048A05B1" wp14:editId="3E090FA6">
                  <wp:extent cx="142875" cy="142875"/>
                  <wp:effectExtent l="0" t="0" r="9525" b="9525"/>
                  <wp:docPr id="93" name="Graphic 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2875" cy="142875"/>
                          </a:xfrm>
                          <a:prstGeom prst="rect">
                            <a:avLst/>
                          </a:prstGeom>
                        </pic:spPr>
                      </pic:pic>
                    </a:graphicData>
                  </a:graphic>
                </wp:inline>
              </w:drawing>
            </w:r>
          </w:p>
        </w:tc>
        <w:tc>
          <w:tcPr>
            <w:tcW w:w="4267" w:type="dxa"/>
            <w:vMerge/>
            <w:shd w:val="clear" w:color="auto" w:fill="auto"/>
            <w:vAlign w:val="center"/>
          </w:tcPr>
          <w:p w14:paraId="67A78175"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sz w:val="22"/>
                <w:szCs w:val="22"/>
                <w:lang w:eastAsia="zh-CN"/>
              </w:rPr>
            </w:pPr>
          </w:p>
        </w:tc>
      </w:tr>
    </w:tbl>
    <w:p w14:paraId="45E94830" w14:textId="77777777" w:rsidR="009002F0" w:rsidRPr="009002F0" w:rsidRDefault="009002F0" w:rsidP="009002F0">
      <w:pPr>
        <w:widowControl/>
        <w:autoSpaceDE/>
        <w:autoSpaceDN/>
        <w:adjustRightInd/>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Source: Immigration Department of Malaysia (</w:t>
      </w:r>
      <w:hyperlink r:id="rId20" w:history="1">
        <w:r w:rsidRPr="009002F0">
          <w:rPr>
            <w:rFonts w:ascii="Calibri" w:eastAsia="Malgun Gothic" w:hAnsi="Calibri" w:cs="Calibri"/>
            <w:color w:val="0563C1"/>
            <w:sz w:val="20"/>
            <w:szCs w:val="22"/>
            <w:u w:val="single"/>
            <w:lang w:eastAsia="zh-CN"/>
          </w:rPr>
          <w:t>https://www.imi.gov.my/index.php/en/foreign-worker.html</w:t>
        </w:r>
      </w:hyperlink>
      <w:r w:rsidRPr="009002F0">
        <w:rPr>
          <w:rFonts w:ascii="Calibri" w:eastAsia="Malgun Gothic" w:hAnsi="Calibri" w:cs="Calibri"/>
          <w:color w:val="auto"/>
          <w:sz w:val="20"/>
          <w:szCs w:val="22"/>
          <w:lang w:eastAsia="zh-CN"/>
        </w:rPr>
        <w:t xml:space="preserve">). </w:t>
      </w:r>
    </w:p>
    <w:p w14:paraId="218340EA" w14:textId="77777777" w:rsidR="009002F0" w:rsidRPr="009002F0" w:rsidRDefault="009002F0" w:rsidP="009002F0">
      <w:pPr>
        <w:widowControl/>
        <w:autoSpaceDE/>
        <w:autoSpaceDN/>
        <w:adjustRightInd/>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 xml:space="preserve">Note: </w:t>
      </w:r>
      <w:r w:rsidRPr="009002F0">
        <w:rPr>
          <w:rFonts w:ascii="Calibri" w:eastAsia="Malgun Gothic" w:hAnsi="Calibri" w:cs="Calibri"/>
          <w:noProof/>
          <w:sz w:val="22"/>
          <w:szCs w:val="22"/>
          <w:lang w:eastAsia="zh-CN"/>
        </w:rPr>
        <w:drawing>
          <wp:inline distT="0" distB="0" distL="0" distR="0" wp14:anchorId="7CAA1D8E" wp14:editId="253CD104">
            <wp:extent cx="95250" cy="95250"/>
            <wp:effectExtent l="0" t="0" r="0" b="0"/>
            <wp:docPr id="79" name="Graphic 7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os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5250" cy="95250"/>
                    </a:xfrm>
                    <a:prstGeom prst="rect">
                      <a:avLst/>
                    </a:prstGeom>
                  </pic:spPr>
                </pic:pic>
              </a:graphicData>
            </a:graphic>
          </wp:inline>
        </w:drawing>
      </w:r>
      <w:r w:rsidRPr="009002F0">
        <w:rPr>
          <w:rFonts w:ascii="Calibri" w:eastAsia="Malgun Gothic" w:hAnsi="Calibri" w:cs="Calibri"/>
          <w:color w:val="auto"/>
          <w:sz w:val="20"/>
          <w:szCs w:val="22"/>
          <w:lang w:eastAsia="zh-CN"/>
        </w:rPr>
        <w:t xml:space="preserve"> Not allowed. </w:t>
      </w:r>
      <w:r w:rsidRPr="009002F0">
        <w:rPr>
          <w:rFonts w:ascii="Calibri" w:eastAsia="Malgun Gothic" w:hAnsi="Calibri" w:cs="Calibri"/>
          <w:noProof/>
          <w:sz w:val="22"/>
          <w:szCs w:val="22"/>
          <w:lang w:eastAsia="zh-CN"/>
        </w:rPr>
        <w:drawing>
          <wp:inline distT="0" distB="0" distL="0" distR="0" wp14:anchorId="292B46D1" wp14:editId="7C489AE3">
            <wp:extent cx="114300" cy="114300"/>
            <wp:effectExtent l="0" t="0" r="0" b="0"/>
            <wp:docPr id="80" name="Graphic 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mar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14300" cy="114300"/>
                    </a:xfrm>
                    <a:prstGeom prst="rect">
                      <a:avLst/>
                    </a:prstGeom>
                  </pic:spPr>
                </pic:pic>
              </a:graphicData>
            </a:graphic>
          </wp:inline>
        </w:drawing>
      </w:r>
      <w:r w:rsidRPr="009002F0">
        <w:rPr>
          <w:rFonts w:ascii="Calibri" w:eastAsia="Malgun Gothic" w:hAnsi="Calibri" w:cs="Calibri"/>
          <w:color w:val="auto"/>
          <w:sz w:val="20"/>
          <w:szCs w:val="22"/>
          <w:lang w:eastAsia="zh-CN"/>
        </w:rPr>
        <w:t xml:space="preserve"> Allowed. </w:t>
      </w:r>
    </w:p>
    <w:p w14:paraId="435E24ED"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i/>
          <w:color w:val="auto"/>
          <w:sz w:val="22"/>
          <w:szCs w:val="22"/>
          <w:lang w:eastAsia="zh-CN"/>
        </w:rPr>
      </w:pPr>
    </w:p>
    <w:p w14:paraId="0DBB82B9"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24" w:name="_Toc4581513"/>
      <w:r w:rsidRPr="009002F0">
        <w:rPr>
          <w:rFonts w:ascii="Calibri" w:eastAsia="Malgun Gothic" w:hAnsi="Calibri" w:cs="Times New Roman"/>
          <w:i/>
          <w:color w:val="00ADE4"/>
          <w:lang w:eastAsia="zh-CN"/>
        </w:rPr>
        <w:t>2.2.2 Who is not permitted to work?</w:t>
      </w:r>
      <w:bookmarkEnd w:id="24"/>
      <w:r w:rsidRPr="009002F0">
        <w:rPr>
          <w:rFonts w:ascii="Calibri" w:eastAsia="Malgun Gothic" w:hAnsi="Calibri" w:cs="Times New Roman"/>
          <w:i/>
          <w:color w:val="00ADE4"/>
          <w:lang w:eastAsia="zh-CN"/>
        </w:rPr>
        <w:t xml:space="preserve"> </w:t>
      </w:r>
    </w:p>
    <w:p w14:paraId="6D92B8E3"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A separate entry category for skilled workers is the Professional Visit Pass (PVP). PVP holders are not permitted to take up employment in Malaysia. Rather, the PVP allows skilled foreigners to provide services (including training) on behalf of an overseas company on a short-term basis of up to 12 months, consistent with Malaysia’s commitment to the World </w:t>
      </w:r>
      <w:r w:rsidRPr="009002F0">
        <w:rPr>
          <w:rFonts w:ascii="Calibri" w:eastAsia="Malgun Gothic" w:hAnsi="Calibri" w:cs="Calibri"/>
          <w:color w:val="auto"/>
          <w:szCs w:val="22"/>
          <w:lang w:eastAsia="zh-CN"/>
        </w:rPr>
        <w:lastRenderedPageBreak/>
        <w:t>Trade Organization General Agreement on Trade in Services. Foreign students hold a Student Pass that does not permit employment in Malaysia.</w:t>
      </w:r>
    </w:p>
    <w:p w14:paraId="30CBD9D2"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25" w:name="_Toc4581514"/>
      <w:r w:rsidRPr="009002F0">
        <w:rPr>
          <w:rFonts w:ascii="Calibri" w:eastAsia="Malgun Gothic" w:hAnsi="Calibri" w:cs="Times New Roman"/>
          <w:i/>
          <w:color w:val="00ADE4"/>
          <w:lang w:eastAsia="zh-CN"/>
        </w:rPr>
        <w:t>2.2.3 The process for employing foreign workers</w:t>
      </w:r>
      <w:bookmarkEnd w:id="25"/>
      <w:r w:rsidRPr="009002F0">
        <w:rPr>
          <w:rFonts w:ascii="Calibri" w:eastAsia="Malgun Gothic" w:hAnsi="Calibri" w:cs="Times New Roman"/>
          <w:i/>
          <w:color w:val="00ADE4"/>
          <w:lang w:eastAsia="zh-CN"/>
        </w:rPr>
        <w:t xml:space="preserve"> </w:t>
      </w:r>
    </w:p>
    <w:p w14:paraId="177022C9"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The process to hire a foreign worker is complex, and a clear understanding of the process helps identify potential sources of administrative data related to foreign workers. Before proceeding to the hiring process, it is necessary to discuss the institutional arrangements that are in place. The Ministry of Home Affairs (MOHA) and the Ministry of Human Resources (MOHR) implement foreign worker policies set out by the Cabinet Committee on Foreign Workers and Illegal Immigrants.</w:t>
      </w:r>
      <w:r w:rsidRPr="009002F0">
        <w:rPr>
          <w:rFonts w:ascii="ZWAdobeF" w:eastAsia="Malgun Gothic" w:hAnsi="ZWAdobeF" w:cs="ZWAdobeF"/>
          <w:color w:val="auto"/>
          <w:sz w:val="2"/>
          <w:szCs w:val="2"/>
          <w:lang w:eastAsia="zh-CN"/>
        </w:rPr>
        <w:t>11F</w:t>
      </w:r>
      <w:r w:rsidRPr="009002F0">
        <w:rPr>
          <w:rFonts w:ascii="Calibri" w:eastAsia="Malgun Gothic" w:hAnsi="Calibri" w:cs="Calibri"/>
          <w:color w:val="auto"/>
          <w:szCs w:val="22"/>
          <w:vertAlign w:val="superscript"/>
          <w:lang w:eastAsia="zh-CN"/>
        </w:rPr>
        <w:footnoteReference w:id="12"/>
      </w:r>
      <w:r w:rsidRPr="009002F0">
        <w:rPr>
          <w:rFonts w:ascii="Calibri" w:eastAsia="Malgun Gothic" w:hAnsi="Calibri" w:cs="Calibri"/>
          <w:color w:val="auto"/>
          <w:szCs w:val="22"/>
          <w:lang w:eastAsia="zh-CN"/>
        </w:rPr>
        <w:t xml:space="preserve"> The MOHR overseas the Foreign Workers Compensation Scheme (FWCS)</w:t>
      </w:r>
      <w:r w:rsidRPr="009002F0">
        <w:rPr>
          <w:rFonts w:ascii="ZWAdobeF" w:eastAsia="Malgun Gothic" w:hAnsi="ZWAdobeF" w:cs="ZWAdobeF"/>
          <w:color w:val="auto"/>
          <w:sz w:val="2"/>
          <w:szCs w:val="2"/>
          <w:lang w:eastAsia="zh-CN"/>
        </w:rPr>
        <w:t>12F</w:t>
      </w:r>
      <w:r w:rsidRPr="009002F0">
        <w:rPr>
          <w:rFonts w:ascii="Calibri" w:eastAsia="Malgun Gothic" w:hAnsi="Calibri" w:cs="Calibri"/>
          <w:color w:val="auto"/>
          <w:szCs w:val="22"/>
          <w:vertAlign w:val="superscript"/>
          <w:lang w:eastAsia="zh-CN"/>
        </w:rPr>
        <w:footnoteReference w:id="13"/>
      </w:r>
      <w:r w:rsidRPr="009002F0">
        <w:rPr>
          <w:rFonts w:ascii="Calibri" w:eastAsia="Malgun Gothic" w:hAnsi="Calibri" w:cs="Calibri"/>
          <w:color w:val="auto"/>
          <w:szCs w:val="22"/>
          <w:lang w:eastAsia="zh-CN"/>
        </w:rPr>
        <w:t xml:space="preserve">, and the Ministry of Health (MOH) administers the Foreign Worker </w:t>
      </w:r>
      <w:proofErr w:type="spellStart"/>
      <w:r w:rsidRPr="009002F0">
        <w:rPr>
          <w:rFonts w:ascii="Calibri" w:eastAsia="Malgun Gothic" w:hAnsi="Calibri" w:cs="Calibri"/>
          <w:color w:val="auto"/>
          <w:szCs w:val="22"/>
          <w:lang w:eastAsia="zh-CN"/>
        </w:rPr>
        <w:t>Hospitalisation</w:t>
      </w:r>
      <w:proofErr w:type="spellEnd"/>
      <w:r w:rsidRPr="009002F0">
        <w:rPr>
          <w:rFonts w:ascii="Calibri" w:eastAsia="Malgun Gothic" w:hAnsi="Calibri" w:cs="Calibri"/>
          <w:color w:val="auto"/>
          <w:szCs w:val="22"/>
          <w:lang w:eastAsia="zh-CN"/>
        </w:rPr>
        <w:t xml:space="preserve"> and Surgical Insurance (SPIKPA).</w:t>
      </w:r>
      <w:r w:rsidRPr="009002F0">
        <w:rPr>
          <w:rFonts w:ascii="ZWAdobeF" w:eastAsia="Malgun Gothic" w:hAnsi="ZWAdobeF" w:cs="ZWAdobeF"/>
          <w:color w:val="auto"/>
          <w:sz w:val="2"/>
          <w:szCs w:val="2"/>
          <w:lang w:eastAsia="zh-CN"/>
        </w:rPr>
        <w:t>13F</w:t>
      </w:r>
      <w:r w:rsidRPr="009002F0">
        <w:rPr>
          <w:rFonts w:ascii="Calibri" w:eastAsia="Malgun Gothic" w:hAnsi="Calibri" w:cs="Calibri"/>
          <w:color w:val="auto"/>
          <w:szCs w:val="22"/>
          <w:vertAlign w:val="superscript"/>
          <w:lang w:eastAsia="zh-CN"/>
        </w:rPr>
        <w:footnoteReference w:id="14"/>
      </w:r>
      <w:r w:rsidRPr="009002F0">
        <w:rPr>
          <w:rFonts w:ascii="Calibri" w:eastAsia="Malgun Gothic" w:hAnsi="Calibri" w:cs="Calibri"/>
          <w:color w:val="auto"/>
          <w:szCs w:val="22"/>
          <w:lang w:eastAsia="zh-CN"/>
        </w:rPr>
        <w:t xml:space="preserve"> The Royal Malaysia Police receives reports from employers in the event that their foreign workers unilaterally abandoned employment. </w:t>
      </w:r>
    </w:p>
    <w:p w14:paraId="43F33629"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Employers undertake lengthy steps to hire a foreign worker as displayed in </w:t>
      </w:r>
      <w:r w:rsidRPr="009002F0">
        <w:rPr>
          <w:rFonts w:ascii="Calibri" w:eastAsia="Malgun Gothic" w:hAnsi="Calibri" w:cs="Calibri"/>
          <w:lang w:eastAsia="zh-CN"/>
        </w:rPr>
        <w:fldChar w:fldCharType="begin" w:fldLock="1"/>
      </w:r>
      <w:r w:rsidRPr="009002F0">
        <w:rPr>
          <w:rFonts w:ascii="Calibri" w:eastAsia="Malgun Gothic" w:hAnsi="Calibri" w:cs="Calibri"/>
          <w:lang w:eastAsia="zh-CN"/>
        </w:rPr>
        <w:instrText xml:space="preserve"> REF _Ref536180336 \h  \* MERGEFORMAT </w:instrText>
      </w:r>
      <w:r w:rsidRPr="009002F0">
        <w:rPr>
          <w:rFonts w:ascii="Calibri" w:eastAsia="Malgun Gothic" w:hAnsi="Calibri" w:cs="Calibri"/>
          <w:lang w:eastAsia="zh-CN"/>
        </w:rPr>
      </w:r>
      <w:r w:rsidRPr="009002F0">
        <w:rPr>
          <w:rFonts w:ascii="Calibri" w:eastAsia="Malgun Gothic" w:hAnsi="Calibri" w:cs="Calibri"/>
          <w:lang w:eastAsia="zh-C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2</w:t>
      </w:r>
      <w:r w:rsidRPr="009002F0">
        <w:rPr>
          <w:rFonts w:ascii="Calibri" w:eastAsia="Malgun Gothic" w:hAnsi="Calibri" w:cs="Calibri"/>
          <w:lang w:eastAsia="zh-CN"/>
        </w:rPr>
        <w:fldChar w:fldCharType="end"/>
      </w:r>
      <w:r w:rsidRPr="009002F0">
        <w:rPr>
          <w:rFonts w:ascii="Calibri" w:eastAsia="Malgun Gothic" w:hAnsi="Calibri" w:cs="Calibri"/>
          <w:color w:val="auto"/>
          <w:szCs w:val="22"/>
          <w:lang w:eastAsia="zh-CN"/>
        </w:rPr>
        <w:t>. The process first starts by meeting the labor market needs test: the employer obtains a letter from the Department of Labour Peninsular Malaysia (JTKSM) which confirms that the employer made efforts to recruit local workers through the Job Clearing System/Jobs Malaysia. Then, the employer seeks permission for a foreign worker quota from MOHR, which checks if the employer complies with the qualifications and requirements to recruit a foreign worker.</w:t>
      </w:r>
      <w:r w:rsidRPr="009002F0">
        <w:rPr>
          <w:rFonts w:ascii="ZWAdobeF" w:eastAsia="Malgun Gothic" w:hAnsi="ZWAdobeF" w:cs="ZWAdobeF"/>
          <w:color w:val="auto"/>
          <w:sz w:val="2"/>
          <w:szCs w:val="2"/>
          <w:lang w:eastAsia="zh-CN"/>
        </w:rPr>
        <w:t>14F</w:t>
      </w:r>
      <w:r w:rsidRPr="009002F0">
        <w:rPr>
          <w:rFonts w:ascii="Calibri" w:eastAsia="Malgun Gothic" w:hAnsi="Calibri" w:cs="Calibri"/>
          <w:color w:val="auto"/>
          <w:szCs w:val="22"/>
          <w:vertAlign w:val="superscript"/>
          <w:lang w:eastAsia="zh-CN"/>
        </w:rPr>
        <w:footnoteReference w:id="15"/>
      </w:r>
      <w:r w:rsidRPr="009002F0">
        <w:rPr>
          <w:rFonts w:ascii="Calibri" w:eastAsia="Malgun Gothic" w:hAnsi="Calibri" w:cs="Calibri"/>
          <w:color w:val="auto"/>
          <w:szCs w:val="22"/>
          <w:lang w:eastAsia="zh-CN"/>
        </w:rPr>
        <w:t xml:space="preserve"> </w:t>
      </w:r>
    </w:p>
    <w:p w14:paraId="6471A520"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The remainder of the process resides within MOHA, through the Foreign Worker One-Stop Approval Agency, which is supported by the Foreign Workers Centralized Management System (FWCMS). The employer applies for approval of a foreign worker quota, followed by making the levy payment per worker, the purchase insurance policies (SPIKPA, FWCS), and a security bond (Foreign Worker Insurance Guarantee, or FWIG, which is refunded to the employer after the departure of the foreign worker for his or her home country). This approval permits an employer to bring a foreign worker candidate in Malaysia and is conditional on meeting further requirements. After obtaining the foreign worker candidate’s medical clearance in his or her home country and subsequently signing a labor contract with the candidate, the employer applies for Visa </w:t>
      </w:r>
      <w:proofErr w:type="gramStart"/>
      <w:r w:rsidRPr="009002F0">
        <w:rPr>
          <w:rFonts w:ascii="Calibri" w:eastAsia="Malgun Gothic" w:hAnsi="Calibri" w:cs="Calibri"/>
          <w:color w:val="auto"/>
          <w:szCs w:val="22"/>
          <w:lang w:eastAsia="zh-CN"/>
        </w:rPr>
        <w:t>With</w:t>
      </w:r>
      <w:proofErr w:type="gramEnd"/>
      <w:r w:rsidRPr="009002F0">
        <w:rPr>
          <w:rFonts w:ascii="Calibri" w:eastAsia="Malgun Gothic" w:hAnsi="Calibri" w:cs="Calibri"/>
          <w:color w:val="auto"/>
          <w:szCs w:val="22"/>
          <w:lang w:eastAsia="zh-CN"/>
        </w:rPr>
        <w:t xml:space="preserve"> Reference (VDR), which permits the foreign worker candidate to obtain a visa and subsequently enter Malaysia through an authorized point of entry. Within 30 days from the arrival, the foreign worker candidate undergoes a medical check-up by the Foreign Workers Medical Examination Monitoring Agency (FOMEMA). After receiving the medical clearance, the employer applies for a foreign worker </w:t>
      </w:r>
      <w:r w:rsidRPr="009002F0">
        <w:rPr>
          <w:rFonts w:ascii="Calibri" w:eastAsia="Malgun Gothic" w:hAnsi="Calibri" w:cs="Calibri"/>
          <w:color w:val="auto"/>
          <w:szCs w:val="22"/>
          <w:lang w:eastAsia="zh-CN"/>
        </w:rPr>
        <w:lastRenderedPageBreak/>
        <w:t>permit, the VP(TE). MOHA issues a VP(TE) and then the foreign worker employment starts. For renewal of a VP(TE), the employer must submit the three insurance documents and FOMEMA medical clearance (limited to the 2</w:t>
      </w:r>
      <w:r w:rsidRPr="009002F0">
        <w:rPr>
          <w:rFonts w:ascii="Calibri" w:eastAsia="Malgun Gothic" w:hAnsi="Calibri" w:cs="Calibri"/>
          <w:color w:val="auto"/>
          <w:szCs w:val="22"/>
          <w:vertAlign w:val="superscript"/>
          <w:lang w:eastAsia="zh-CN"/>
        </w:rPr>
        <w:t>nd</w:t>
      </w:r>
      <w:r w:rsidRPr="009002F0">
        <w:rPr>
          <w:rFonts w:ascii="Calibri" w:eastAsia="Malgun Gothic" w:hAnsi="Calibri" w:cs="Calibri"/>
          <w:color w:val="auto"/>
          <w:szCs w:val="22"/>
          <w:lang w:eastAsia="zh-CN"/>
        </w:rPr>
        <w:t xml:space="preserve"> and 3</w:t>
      </w:r>
      <w:r w:rsidRPr="009002F0">
        <w:rPr>
          <w:rFonts w:ascii="Calibri" w:eastAsia="Malgun Gothic" w:hAnsi="Calibri" w:cs="Calibri"/>
          <w:color w:val="auto"/>
          <w:szCs w:val="22"/>
          <w:vertAlign w:val="superscript"/>
          <w:lang w:eastAsia="zh-CN"/>
        </w:rPr>
        <w:t>rd</w:t>
      </w:r>
      <w:r w:rsidRPr="009002F0">
        <w:rPr>
          <w:rFonts w:ascii="Calibri" w:eastAsia="Malgun Gothic" w:hAnsi="Calibri" w:cs="Calibri"/>
          <w:color w:val="auto"/>
          <w:szCs w:val="22"/>
          <w:lang w:eastAsia="zh-CN"/>
        </w:rPr>
        <w:t xml:space="preserve"> year). The process to hire a foreign domestic helper does not have a requirement to purchase SPIKPA and FWCS as they are subject to labor laws as in many countries. </w:t>
      </w:r>
    </w:p>
    <w:p w14:paraId="76D89B7B"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sz w:val="20"/>
          <w:szCs w:val="20"/>
          <w:lang w:eastAsia="ko-KR"/>
        </w:rPr>
      </w:pPr>
      <w:r w:rsidRPr="009002F0">
        <w:rPr>
          <w:rFonts w:ascii="Calibri" w:eastAsia="Malgun Gothic" w:hAnsi="Calibri" w:cs="Calibri"/>
          <w:color w:val="auto"/>
          <w:szCs w:val="22"/>
          <w:lang w:eastAsia="zh-CN"/>
        </w:rPr>
        <w:t xml:space="preserve">The employer bears responsibility for managing the foreign workers. If a foreign worker unilaterally cancels or abandons employment, the employer must report it to the police. Prior to the foreign worker’s departure for his or her home country, the employer must file a Check Out Memo with MOHR. Throughout the process with MOHR, the employer uses the online platform, FWCMS.    </w:t>
      </w:r>
      <w:bookmarkStart w:id="26" w:name="_Ref535929427"/>
    </w:p>
    <w:p w14:paraId="6ED1BC3C" w14:textId="77777777" w:rsidR="009002F0" w:rsidRPr="009002F0" w:rsidRDefault="009002F0" w:rsidP="009002F0">
      <w:pPr>
        <w:widowControl/>
        <w:autoSpaceDE/>
        <w:autoSpaceDN/>
        <w:adjustRightInd/>
        <w:spacing w:after="120"/>
        <w:rPr>
          <w:rFonts w:ascii="Calibri" w:eastAsia="Malgun Gothic" w:hAnsi="Calibri" w:cs="Times New Roman"/>
          <w:bCs/>
          <w:spacing w:val="4"/>
          <w:szCs w:val="20"/>
          <w:lang w:eastAsia="ko-KR"/>
        </w:rPr>
      </w:pPr>
      <w:bookmarkStart w:id="27" w:name="_Ref536180336"/>
      <w:bookmarkStart w:id="28" w:name="_Toc4581554"/>
      <w:r w:rsidRPr="009002F0">
        <w:rPr>
          <w:rFonts w:ascii="Calibri" w:eastAsia="Malgun Gothic" w:hAnsi="Calibri" w:cs="Times New Roman"/>
          <w:bCs/>
          <w:spacing w:val="4"/>
          <w:szCs w:val="20"/>
          <w:lang w:eastAsia="ko-KR"/>
        </w:rPr>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2</w:t>
      </w:r>
      <w:r w:rsidRPr="009002F0">
        <w:rPr>
          <w:rFonts w:ascii="Calibri" w:eastAsia="Malgun Gothic" w:hAnsi="Calibri" w:cs="Times New Roman"/>
          <w:bCs/>
          <w:spacing w:val="4"/>
          <w:szCs w:val="20"/>
          <w:lang w:eastAsia="ko-KR"/>
        </w:rPr>
        <w:fldChar w:fldCharType="end"/>
      </w:r>
      <w:bookmarkEnd w:id="26"/>
      <w:bookmarkEnd w:id="27"/>
      <w:r w:rsidRPr="009002F0">
        <w:rPr>
          <w:rFonts w:ascii="Calibri" w:eastAsia="Malgun Gothic" w:hAnsi="Calibri" w:cs="Times New Roman"/>
          <w:bCs/>
          <w:spacing w:val="4"/>
          <w:szCs w:val="20"/>
          <w:lang w:eastAsia="ko-KR"/>
        </w:rPr>
        <w:t>: Process to hire foreign workers from the employer's perspective</w:t>
      </w:r>
      <w:bookmarkEnd w:id="28"/>
    </w:p>
    <w:p w14:paraId="47B75B28" w14:textId="77B8C929" w:rsidR="00102F1F" w:rsidRDefault="00102F1F" w:rsidP="009002F0">
      <w:pPr>
        <w:widowControl/>
        <w:autoSpaceDE/>
        <w:autoSpaceDN/>
        <w:adjustRightInd/>
        <w:spacing w:after="120"/>
        <w:rPr>
          <w:rFonts w:ascii="Calibri" w:eastAsia="Malgun Gothic" w:hAnsi="Calibri" w:cs="Calibri"/>
          <w:bCs/>
          <w:spacing w:val="4"/>
          <w:sz w:val="20"/>
          <w:szCs w:val="20"/>
          <w:lang w:eastAsia="zh-CN"/>
        </w:rPr>
      </w:pPr>
      <w:r w:rsidRPr="00102F1F">
        <w:drawing>
          <wp:inline distT="0" distB="0" distL="0" distR="0" wp14:anchorId="000B721A" wp14:editId="713DC917">
            <wp:extent cx="5731510" cy="4355521"/>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355521"/>
                    </a:xfrm>
                    <a:prstGeom prst="rect">
                      <a:avLst/>
                    </a:prstGeom>
                    <a:noFill/>
                    <a:ln>
                      <a:noFill/>
                    </a:ln>
                  </pic:spPr>
                </pic:pic>
              </a:graphicData>
            </a:graphic>
          </wp:inline>
        </w:drawing>
      </w:r>
    </w:p>
    <w:p w14:paraId="765AEFFA" w14:textId="58D6E90C" w:rsidR="009002F0" w:rsidRPr="009002F0" w:rsidRDefault="009002F0" w:rsidP="009002F0">
      <w:pPr>
        <w:widowControl/>
        <w:autoSpaceDE/>
        <w:autoSpaceDN/>
        <w:adjustRightInd/>
        <w:spacing w:after="120"/>
        <w:rPr>
          <w:rFonts w:ascii="Calibri" w:eastAsia="Malgun Gothic" w:hAnsi="Calibri" w:cs="Calibri"/>
          <w:bCs/>
          <w:spacing w:val="4"/>
          <w:sz w:val="20"/>
          <w:szCs w:val="20"/>
          <w:lang w:eastAsia="zh-CN"/>
        </w:rPr>
      </w:pPr>
      <w:r w:rsidRPr="009002F0">
        <w:rPr>
          <w:rFonts w:ascii="Calibri" w:eastAsia="Malgun Gothic" w:hAnsi="Calibri" w:cs="Calibri"/>
          <w:bCs/>
          <w:spacing w:val="4"/>
          <w:sz w:val="20"/>
          <w:szCs w:val="20"/>
          <w:lang w:eastAsia="zh-CN"/>
        </w:rPr>
        <w:t xml:space="preserve">Source: Authors’ compilation based on MOHA and MOHR </w:t>
      </w:r>
    </w:p>
    <w:p w14:paraId="19B53A24"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 w:val="22"/>
          <w:szCs w:val="22"/>
          <w:lang w:eastAsia="zh-CN"/>
        </w:rPr>
      </w:pPr>
    </w:p>
    <w:p w14:paraId="58843558"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By design, foreign workers arrive in Malaysia with a job in hand after incurring significant migration cost.</w:t>
      </w:r>
      <w:r w:rsidRPr="009002F0">
        <w:rPr>
          <w:rFonts w:ascii="ZWAdobeF" w:eastAsia="Malgun Gothic" w:hAnsi="ZWAdobeF" w:cs="ZWAdobeF"/>
          <w:color w:val="auto"/>
          <w:sz w:val="2"/>
          <w:szCs w:val="2"/>
          <w:lang w:eastAsia="zh-CN"/>
        </w:rPr>
        <w:t>15F</w:t>
      </w:r>
      <w:r w:rsidRPr="009002F0">
        <w:rPr>
          <w:rFonts w:ascii="Calibri" w:eastAsia="Malgun Gothic" w:hAnsi="Calibri" w:cs="Calibri"/>
          <w:color w:val="auto"/>
          <w:szCs w:val="22"/>
          <w:vertAlign w:val="superscript"/>
          <w:lang w:eastAsia="zh-CN"/>
        </w:rPr>
        <w:footnoteReference w:id="16"/>
      </w:r>
      <w:r w:rsidRPr="009002F0">
        <w:rPr>
          <w:rFonts w:ascii="Calibri" w:eastAsia="Malgun Gothic" w:hAnsi="Calibri" w:cs="Calibri"/>
          <w:color w:val="auto"/>
          <w:szCs w:val="22"/>
          <w:lang w:eastAsia="zh-CN"/>
        </w:rPr>
        <w:t xml:space="preserve"> Employers frequently recruit foreign workers through intermediations by private employment agencies (PEAs). For example, 95 percent of Vietnamese low-skilled workers in the manufacturing sector were recruited by PEAs and only 2 percent experienced </w:t>
      </w:r>
      <w:r w:rsidRPr="009002F0">
        <w:rPr>
          <w:rFonts w:ascii="Calibri" w:eastAsia="Malgun Gothic" w:hAnsi="Calibri" w:cs="Calibri"/>
          <w:color w:val="auto"/>
          <w:szCs w:val="22"/>
          <w:lang w:eastAsia="zh-CN"/>
        </w:rPr>
        <w:lastRenderedPageBreak/>
        <w:t>were directly hired by employers (World Bank KNOMAD and ILO, 2015). Opaque private recruitment practices, sometime coupled with complex worker-deployment procedures set out by governments in labor-sending countries, often involve burdensome recruitment fees, causing or increasing the indebtedness of foreign workers. The transaction costs can be as high as US$2700 (equivalent to ten-months’ earnings in Malaysia), but can vary, depending on the origin of the workers.</w:t>
      </w:r>
      <w:r w:rsidRPr="009002F0">
        <w:rPr>
          <w:rFonts w:ascii="ZWAdobeF" w:eastAsia="Malgun Gothic" w:hAnsi="ZWAdobeF" w:cs="ZWAdobeF"/>
          <w:color w:val="auto"/>
          <w:sz w:val="2"/>
          <w:szCs w:val="2"/>
          <w:lang w:eastAsia="zh-CN"/>
        </w:rPr>
        <w:t>16F</w:t>
      </w:r>
      <w:r w:rsidRPr="009002F0">
        <w:rPr>
          <w:rFonts w:ascii="Calibri" w:eastAsia="Malgun Gothic" w:hAnsi="Calibri" w:cs="Calibri"/>
          <w:color w:val="auto"/>
          <w:szCs w:val="22"/>
          <w:vertAlign w:val="superscript"/>
          <w:lang w:eastAsia="zh-CN"/>
        </w:rPr>
        <w:footnoteReference w:id="17"/>
      </w:r>
      <w:r w:rsidRPr="009002F0">
        <w:rPr>
          <w:rFonts w:ascii="Calibri" w:eastAsia="Malgun Gothic" w:hAnsi="Calibri" w:cs="Calibri"/>
          <w:color w:val="auto"/>
          <w:szCs w:val="22"/>
          <w:lang w:eastAsia="zh-CN"/>
        </w:rPr>
        <w:t xml:space="preserve"> </w:t>
      </w:r>
    </w:p>
    <w:p w14:paraId="62FF48A2"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Cs w:val="22"/>
          <w:lang w:eastAsia="zh-CN"/>
        </w:rPr>
      </w:pPr>
      <w:proofErr w:type="gramStart"/>
      <w:r w:rsidRPr="009002F0">
        <w:rPr>
          <w:rFonts w:ascii="Calibri" w:eastAsia="Malgun Gothic" w:hAnsi="Calibri" w:cs="Calibri"/>
          <w:color w:val="auto"/>
          <w:szCs w:val="22"/>
          <w:lang w:eastAsia="zh-CN"/>
        </w:rPr>
        <w:t>In an effort to</w:t>
      </w:r>
      <w:proofErr w:type="gramEnd"/>
      <w:r w:rsidRPr="009002F0">
        <w:rPr>
          <w:rFonts w:ascii="Calibri" w:eastAsia="Malgun Gothic" w:hAnsi="Calibri" w:cs="Calibri"/>
          <w:color w:val="auto"/>
          <w:szCs w:val="22"/>
          <w:lang w:eastAsia="zh-CN"/>
        </w:rPr>
        <w:t xml:space="preserve"> curb costs and improve transparency in foreign worker recruitment practices, Malaysia introduced a government agency-led recruitment system under a bilateral Government-to-Government (G2G) agreement with Bangladesh in November 2012. It helped lower the costs from RM12,000 to RM1,300 (</w:t>
      </w:r>
      <w:proofErr w:type="spellStart"/>
      <w:r w:rsidRPr="009002F0">
        <w:rPr>
          <w:rFonts w:ascii="Calibri" w:eastAsia="Malgun Gothic" w:hAnsi="Calibri" w:cs="Calibri"/>
          <w:color w:val="auto"/>
          <w:szCs w:val="22"/>
          <w:lang w:eastAsia="zh-CN"/>
        </w:rPr>
        <w:t>Wickramasekara</w:t>
      </w:r>
      <w:proofErr w:type="spellEnd"/>
      <w:r w:rsidRPr="009002F0">
        <w:rPr>
          <w:rFonts w:ascii="Calibri" w:eastAsia="Malgun Gothic" w:hAnsi="Calibri" w:cs="Calibri"/>
          <w:color w:val="auto"/>
          <w:szCs w:val="22"/>
          <w:lang w:eastAsia="zh-CN"/>
        </w:rPr>
        <w:t>, 2016, according to informant interviews in Malaysia). However, the G2G mechanism saw limited success in expanding labor mobility opportunities from Bangladesh to Malaysia: approximately 1.4 million workers registered themselves in the job-seeker pool but only 10,000 workers were deployed to Malaysia for the first 2.5 years of implementation (</w:t>
      </w:r>
      <w:proofErr w:type="spellStart"/>
      <w:r w:rsidRPr="009002F0">
        <w:rPr>
          <w:rFonts w:ascii="Calibri" w:eastAsia="Malgun Gothic" w:hAnsi="Calibri" w:cs="Calibri"/>
          <w:color w:val="auto"/>
          <w:szCs w:val="22"/>
          <w:lang w:eastAsia="zh-CN"/>
        </w:rPr>
        <w:t>Wickramasekara</w:t>
      </w:r>
      <w:proofErr w:type="spellEnd"/>
      <w:r w:rsidRPr="009002F0">
        <w:rPr>
          <w:rFonts w:ascii="Calibri" w:eastAsia="Malgun Gothic" w:hAnsi="Calibri" w:cs="Calibri"/>
          <w:color w:val="auto"/>
          <w:szCs w:val="22"/>
          <w:lang w:eastAsia="zh-CN"/>
        </w:rPr>
        <w:t>, 2016).</w:t>
      </w:r>
    </w:p>
    <w:p w14:paraId="76925C9E"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szCs w:val="20"/>
          <w:lang w:eastAsia="ko-KR"/>
        </w:rPr>
      </w:pPr>
      <w:r w:rsidRPr="009002F0">
        <w:rPr>
          <w:rFonts w:ascii="Calibri" w:eastAsia="Malgun Gothic" w:hAnsi="Calibri" w:cs="Calibri"/>
          <w:color w:val="auto"/>
          <w:szCs w:val="22"/>
          <w:lang w:eastAsia="zh-CN"/>
        </w:rPr>
        <w:t xml:space="preserve">Under the G2G agreement, employers who wish to hire Bangladeshi foreign workers must apply through the Foreign Workers Application System (SPPA). Unlike the private recruitment mechanism, employers are not required to submit job vacancy advertisement online (see </w:t>
      </w:r>
      <w:r w:rsidRPr="009002F0">
        <w:rPr>
          <w:rFonts w:ascii="Calibri" w:eastAsia="Malgun Gothic" w:hAnsi="Calibri" w:cs="Calibri"/>
          <w:lang w:eastAsia="zh-CN"/>
        </w:rPr>
        <w:fldChar w:fldCharType="begin" w:fldLock="1"/>
      </w:r>
      <w:r w:rsidRPr="009002F0">
        <w:rPr>
          <w:rFonts w:ascii="Calibri" w:eastAsia="Malgun Gothic" w:hAnsi="Calibri" w:cs="Calibri"/>
          <w:lang w:eastAsia="zh-CN"/>
        </w:rPr>
        <w:instrText xml:space="preserve"> REF _Ref535932385 \h  \* MERGEFORMAT </w:instrText>
      </w:r>
      <w:r w:rsidRPr="009002F0">
        <w:rPr>
          <w:rFonts w:ascii="Calibri" w:eastAsia="Malgun Gothic" w:hAnsi="Calibri" w:cs="Calibri"/>
          <w:lang w:eastAsia="zh-CN"/>
        </w:rPr>
      </w:r>
      <w:r w:rsidRPr="009002F0">
        <w:rPr>
          <w:rFonts w:ascii="Calibri" w:eastAsia="Malgun Gothic" w:hAnsi="Calibri" w:cs="Calibri"/>
          <w:lang w:eastAsia="zh-C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3</w:t>
      </w:r>
      <w:r w:rsidRPr="009002F0">
        <w:rPr>
          <w:rFonts w:ascii="Calibri" w:eastAsia="Malgun Gothic" w:hAnsi="Calibri" w:cs="Calibri"/>
          <w:lang w:eastAsia="zh-CN"/>
        </w:rPr>
        <w:fldChar w:fldCharType="end"/>
      </w:r>
      <w:r w:rsidRPr="009002F0">
        <w:rPr>
          <w:rFonts w:ascii="Calibri" w:eastAsia="Malgun Gothic" w:hAnsi="Calibri" w:cs="Calibri"/>
          <w:lang w:eastAsia="zh-CN"/>
        </w:rPr>
        <w:t>)</w:t>
      </w:r>
      <w:r w:rsidRPr="009002F0">
        <w:rPr>
          <w:rFonts w:ascii="Calibri" w:eastAsia="Malgun Gothic" w:hAnsi="Calibri" w:cs="Calibri"/>
          <w:color w:val="auto"/>
          <w:szCs w:val="22"/>
          <w:lang w:eastAsia="zh-CN"/>
        </w:rPr>
        <w:t xml:space="preserve">. Instead, an employer will first have an interview session with MOHA before sending the notification to JTKSM, which is responsible to only conduct checking on the employer’s eligibility to hire foreign workers.  </w:t>
      </w:r>
    </w:p>
    <w:p w14:paraId="67F81D92"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szCs w:val="20"/>
          <w:lang w:eastAsia="ko-KR"/>
        </w:rPr>
      </w:pPr>
      <w:r w:rsidRPr="009002F0">
        <w:rPr>
          <w:rFonts w:ascii="Calibri" w:eastAsia="Malgun Gothic" w:hAnsi="Calibri" w:cs="Times New Roman"/>
          <w:szCs w:val="20"/>
          <w:lang w:eastAsia="ko-KR"/>
        </w:rPr>
        <w:br w:type="page"/>
      </w:r>
      <w:bookmarkStart w:id="29" w:name="_Ref535932385"/>
      <w:bookmarkStart w:id="30" w:name="_Ref535935806"/>
      <w:bookmarkStart w:id="31" w:name="_Toc4581555"/>
      <w:r w:rsidRPr="009002F0">
        <w:rPr>
          <w:rFonts w:ascii="Calibri" w:eastAsia="Malgun Gothic" w:hAnsi="Calibri" w:cs="Times New Roman"/>
          <w:szCs w:val="20"/>
          <w:lang w:eastAsia="ko-KR"/>
        </w:rPr>
        <w:lastRenderedPageBreak/>
        <w:t xml:space="preserve">Figure </w:t>
      </w:r>
      <w:r w:rsidRPr="009002F0">
        <w:rPr>
          <w:rFonts w:ascii="Calibri" w:eastAsia="Malgun Gothic" w:hAnsi="Calibri" w:cs="Times New Roman"/>
          <w:szCs w:val="20"/>
          <w:lang w:eastAsia="ko-KR"/>
        </w:rPr>
        <w:fldChar w:fldCharType="begin"/>
      </w:r>
      <w:r w:rsidRPr="009002F0">
        <w:rPr>
          <w:rFonts w:ascii="Calibri" w:eastAsia="Malgun Gothic" w:hAnsi="Calibri" w:cs="Times New Roman"/>
          <w:szCs w:val="20"/>
          <w:lang w:eastAsia="ko-KR"/>
        </w:rPr>
        <w:instrText xml:space="preserve"> SEQ Figure \* ARABIC </w:instrText>
      </w:r>
      <w:r w:rsidRPr="009002F0">
        <w:rPr>
          <w:rFonts w:ascii="Calibri" w:eastAsia="Malgun Gothic" w:hAnsi="Calibri" w:cs="Times New Roman"/>
          <w:szCs w:val="20"/>
          <w:lang w:eastAsia="ko-KR"/>
        </w:rPr>
        <w:fldChar w:fldCharType="separate"/>
      </w:r>
      <w:r w:rsidRPr="009002F0">
        <w:rPr>
          <w:rFonts w:ascii="Calibri" w:eastAsia="Malgun Gothic" w:hAnsi="Calibri" w:cs="Times New Roman"/>
          <w:noProof/>
          <w:szCs w:val="20"/>
          <w:lang w:eastAsia="ko-KR"/>
        </w:rPr>
        <w:t>3</w:t>
      </w:r>
      <w:r w:rsidRPr="009002F0">
        <w:rPr>
          <w:rFonts w:ascii="Calibri" w:eastAsia="Malgun Gothic" w:hAnsi="Calibri" w:cs="Times New Roman"/>
          <w:szCs w:val="20"/>
          <w:lang w:eastAsia="ko-KR"/>
        </w:rPr>
        <w:fldChar w:fldCharType="end"/>
      </w:r>
      <w:bookmarkEnd w:id="29"/>
      <w:bookmarkEnd w:id="30"/>
      <w:r w:rsidRPr="009002F0">
        <w:rPr>
          <w:rFonts w:ascii="Calibri" w:eastAsia="Malgun Gothic" w:hAnsi="Calibri" w:cs="Times New Roman"/>
          <w:szCs w:val="20"/>
          <w:lang w:eastAsia="ko-KR"/>
        </w:rPr>
        <w:t>: Process to hire Bangladeshi workers under the G2G mechanism</w:t>
      </w:r>
      <w:bookmarkEnd w:id="31"/>
    </w:p>
    <w:p w14:paraId="13AA4982" w14:textId="41F0B147" w:rsidR="00B70913" w:rsidRDefault="00B70913" w:rsidP="009002F0">
      <w:pPr>
        <w:widowControl/>
        <w:autoSpaceDE/>
        <w:autoSpaceDN/>
        <w:adjustRightInd/>
        <w:spacing w:after="160" w:line="259" w:lineRule="auto"/>
        <w:jc w:val="both"/>
        <w:rPr>
          <w:rFonts w:ascii="Calibri" w:eastAsia="Malgun Gothic" w:hAnsi="Calibri" w:cs="Calibri"/>
          <w:color w:val="auto"/>
          <w:sz w:val="20"/>
          <w:szCs w:val="22"/>
          <w:lang w:eastAsia="zh-CN"/>
        </w:rPr>
      </w:pPr>
      <w:r w:rsidRPr="00B70913">
        <w:drawing>
          <wp:inline distT="0" distB="0" distL="0" distR="0" wp14:anchorId="3959189D" wp14:editId="45EA2218">
            <wp:extent cx="5731510" cy="3934763"/>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34763"/>
                    </a:xfrm>
                    <a:prstGeom prst="rect">
                      <a:avLst/>
                    </a:prstGeom>
                    <a:noFill/>
                    <a:ln>
                      <a:noFill/>
                    </a:ln>
                  </pic:spPr>
                </pic:pic>
              </a:graphicData>
            </a:graphic>
          </wp:inline>
        </w:drawing>
      </w:r>
    </w:p>
    <w:p w14:paraId="335BFC9F" w14:textId="75DF5419"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 xml:space="preserve">Source: Authors’ compilation based on ILMIA, and MOHA. </w:t>
      </w:r>
    </w:p>
    <w:p w14:paraId="6AF73C5F"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color w:val="auto"/>
          <w:sz w:val="20"/>
          <w:szCs w:val="22"/>
          <w:lang w:eastAsia="zh-CN"/>
        </w:rPr>
      </w:pPr>
    </w:p>
    <w:p w14:paraId="29D3F5D5"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32" w:name="_Toc4581515"/>
      <w:r w:rsidRPr="009002F0">
        <w:rPr>
          <w:rFonts w:ascii="Calibri" w:eastAsia="Malgun Gothic" w:hAnsi="Calibri" w:cs="Times New Roman"/>
          <w:color w:val="006068"/>
          <w:sz w:val="26"/>
          <w:szCs w:val="28"/>
          <w:u w:val="single"/>
        </w:rPr>
        <w:t>2.3 Pathways to irregular foreign workers</w:t>
      </w:r>
      <w:bookmarkEnd w:id="32"/>
      <w:r w:rsidRPr="009002F0">
        <w:rPr>
          <w:rFonts w:ascii="Calibri" w:eastAsia="Malgun Gothic" w:hAnsi="Calibri" w:cs="Times New Roman"/>
          <w:color w:val="006068"/>
          <w:sz w:val="26"/>
          <w:szCs w:val="28"/>
          <w:u w:val="single"/>
        </w:rPr>
        <w:t xml:space="preserve"> </w:t>
      </w:r>
    </w:p>
    <w:p w14:paraId="438AC6D1"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rPr>
      </w:pPr>
    </w:p>
    <w:p w14:paraId="3DFA22FB"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section discusses in more detail how a regular foreign worker may become an irregular foreign worker. Because of the complexity and fragmentation of the system for admitting and regulating foreign </w:t>
      </w:r>
      <w:r w:rsidRPr="009002F0">
        <w:rPr>
          <w:rFonts w:ascii="Calibri" w:eastAsia="Malgun Gothic" w:hAnsi="Calibri" w:cs="Calibri"/>
          <w:color w:val="auto"/>
          <w:szCs w:val="22"/>
          <w:lang w:eastAsia="zh-CN"/>
        </w:rPr>
        <w:t xml:space="preserve">workers there are many stages at which a foreign worker could become undocumented or irregular (for example, admissions, employment, repatriation, see </w:t>
      </w:r>
      <w:r w:rsidRPr="009002F0">
        <w:rPr>
          <w:rFonts w:ascii="Calibri" w:eastAsia="Malgun Gothic" w:hAnsi="Calibri" w:cs="Calibri"/>
          <w:color w:val="auto"/>
          <w:szCs w:val="22"/>
          <w:lang w:eastAsia="zh-CN"/>
        </w:rPr>
        <w:fldChar w:fldCharType="begin" w:fldLock="1"/>
      </w:r>
      <w:r w:rsidRPr="009002F0">
        <w:rPr>
          <w:rFonts w:ascii="Calibri" w:eastAsia="Malgun Gothic" w:hAnsi="Calibri" w:cs="Calibri"/>
          <w:color w:val="auto"/>
          <w:szCs w:val="22"/>
          <w:lang w:eastAsia="zh-CN"/>
        </w:rPr>
        <w:instrText xml:space="preserve"> REF _Ref536180441 \h </w:instrText>
      </w:r>
      <w:r w:rsidRPr="009002F0">
        <w:rPr>
          <w:rFonts w:ascii="Calibri" w:eastAsia="Malgun Gothic" w:hAnsi="Calibri" w:cs="Calibri"/>
          <w:color w:val="auto"/>
          <w:szCs w:val="22"/>
          <w:lang w:eastAsia="zh-CN"/>
        </w:rPr>
      </w:r>
      <w:r w:rsidRPr="009002F0">
        <w:rPr>
          <w:rFonts w:ascii="Calibri" w:eastAsia="Malgun Gothic" w:hAnsi="Calibri" w:cs="Calibri"/>
          <w:color w:val="auto"/>
          <w:szCs w:val="22"/>
          <w:lang w:eastAsia="zh-CN"/>
        </w:rPr>
        <w:fldChar w:fldCharType="separate"/>
      </w:r>
      <w:r w:rsidRPr="009002F0">
        <w:rPr>
          <w:rFonts w:ascii="Calibri" w:eastAsia="Malgun Gothic" w:hAnsi="Calibri" w:cs="Times New Roman"/>
          <w:sz w:val="20"/>
          <w:szCs w:val="20"/>
          <w:lang w:eastAsia="ko-KR"/>
        </w:rPr>
        <w:t xml:space="preserve">Figure </w:t>
      </w:r>
      <w:r w:rsidRPr="009002F0">
        <w:rPr>
          <w:rFonts w:ascii="Calibri" w:eastAsia="Malgun Gothic" w:hAnsi="Calibri" w:cs="Times New Roman"/>
          <w:noProof/>
          <w:sz w:val="20"/>
          <w:szCs w:val="20"/>
          <w:lang w:eastAsia="ko-KR"/>
        </w:rPr>
        <w:t>4</w:t>
      </w:r>
      <w:r w:rsidRPr="009002F0">
        <w:rPr>
          <w:rFonts w:ascii="Calibri" w:eastAsia="Malgun Gothic" w:hAnsi="Calibri" w:cs="Calibri"/>
          <w:color w:val="auto"/>
          <w:szCs w:val="22"/>
          <w:lang w:eastAsia="zh-CN"/>
        </w:rPr>
        <w:fldChar w:fldCharType="end"/>
      </w:r>
      <w:r w:rsidRPr="009002F0">
        <w:rPr>
          <w:rFonts w:ascii="Calibri" w:eastAsia="Malgun Gothic" w:hAnsi="Calibri" w:cs="Calibri"/>
          <w:lang w:eastAsia="zh-CN"/>
        </w:rPr>
        <w:t>)</w:t>
      </w:r>
      <w:r w:rsidRPr="009002F0">
        <w:rPr>
          <w:rFonts w:ascii="Calibri" w:eastAsia="Malgun Gothic" w:hAnsi="Calibri" w:cs="Calibri"/>
          <w:color w:val="auto"/>
          <w:szCs w:val="22"/>
          <w:lang w:eastAsia="zh-CN"/>
        </w:rPr>
        <w:t xml:space="preserve">.  </w:t>
      </w:r>
    </w:p>
    <w:p w14:paraId="401CD5F8" w14:textId="77777777" w:rsidR="009002F0" w:rsidRPr="009002F0" w:rsidRDefault="009002F0" w:rsidP="009002F0">
      <w:pPr>
        <w:keepNext/>
        <w:widowControl/>
        <w:autoSpaceDE/>
        <w:autoSpaceDN/>
        <w:adjustRightInd/>
        <w:spacing w:after="120"/>
        <w:rPr>
          <w:rFonts w:ascii="Calibri" w:eastAsia="Malgun Gothic" w:hAnsi="Calibri" w:cs="Calibri"/>
          <w:bCs/>
          <w:spacing w:val="4"/>
          <w:szCs w:val="22"/>
          <w:lang w:eastAsia="zh-CN"/>
        </w:rPr>
      </w:pPr>
      <w:bookmarkStart w:id="33" w:name="_Ref535933254"/>
      <w:bookmarkStart w:id="34" w:name="_Ref536180441"/>
      <w:bookmarkStart w:id="35" w:name="_Toc4581556"/>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4</w:t>
      </w:r>
      <w:r w:rsidRPr="009002F0">
        <w:rPr>
          <w:rFonts w:ascii="Calibri" w:eastAsia="Malgun Gothic" w:hAnsi="Calibri" w:cs="Times New Roman"/>
          <w:bCs/>
          <w:spacing w:val="4"/>
          <w:szCs w:val="20"/>
          <w:lang w:eastAsia="ko-KR"/>
        </w:rPr>
        <w:fldChar w:fldCharType="end"/>
      </w:r>
      <w:bookmarkEnd w:id="33"/>
      <w:bookmarkEnd w:id="34"/>
      <w:r w:rsidRPr="009002F0">
        <w:rPr>
          <w:rFonts w:ascii="Calibri" w:eastAsia="Malgun Gothic" w:hAnsi="Calibri" w:cs="Times New Roman"/>
          <w:bCs/>
          <w:spacing w:val="4"/>
          <w:szCs w:val="20"/>
          <w:lang w:eastAsia="ko-KR"/>
        </w:rPr>
        <w:t>: Pathways to becoming an irregular foreign worker</w:t>
      </w:r>
      <w:bookmarkEnd w:id="35"/>
    </w:p>
    <w:p w14:paraId="2D495C51"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 w:val="22"/>
          <w:szCs w:val="22"/>
          <w:lang w:eastAsia="zh-CN"/>
        </w:rPr>
      </w:pPr>
      <w:r w:rsidRPr="009002F0">
        <w:rPr>
          <w:rFonts w:ascii="Calibri" w:eastAsia="Malgun Gothic" w:hAnsi="Calibri" w:cs="Calibri"/>
          <w:noProof/>
          <w:color w:val="auto"/>
          <w:sz w:val="22"/>
          <w:szCs w:val="22"/>
          <w:lang w:eastAsia="zh-CN"/>
        </w:rPr>
        <w:drawing>
          <wp:inline distT="0" distB="0" distL="0" distR="0" wp14:anchorId="1886D569" wp14:editId="07B5D68B">
            <wp:extent cx="5898227" cy="24765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3186" cy="2499576"/>
                    </a:xfrm>
                    <a:prstGeom prst="rect">
                      <a:avLst/>
                    </a:prstGeom>
                    <a:ln>
                      <a:solidFill>
                        <a:sysClr val="window" lastClr="FFFFFF">
                          <a:lumMod val="65000"/>
                        </a:sysClr>
                      </a:solidFill>
                    </a:ln>
                  </pic:spPr>
                </pic:pic>
              </a:graphicData>
            </a:graphic>
          </wp:inline>
        </w:drawing>
      </w:r>
    </w:p>
    <w:p w14:paraId="7267655E"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Source: Adapted from World Bank, 2016</w:t>
      </w:r>
    </w:p>
    <w:p w14:paraId="03A8AE1B"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36" w:name="_Toc4581516"/>
      <w:r w:rsidRPr="009002F0">
        <w:rPr>
          <w:rFonts w:ascii="Calibri" w:eastAsia="Malgun Gothic" w:hAnsi="Calibri" w:cs="Times New Roman"/>
          <w:i/>
          <w:color w:val="00ADE4"/>
          <w:lang w:eastAsia="zh-CN"/>
        </w:rPr>
        <w:t xml:space="preserve">2.3.1 During the </w:t>
      </w:r>
      <w:r w:rsidRPr="009002F0">
        <w:rPr>
          <w:rFonts w:ascii="Calibri" w:eastAsia="MS Gothic" w:hAnsi="Calibri" w:cs="Times New Roman"/>
          <w:i/>
          <w:color w:val="00ADE4"/>
        </w:rPr>
        <w:t>admission</w:t>
      </w:r>
      <w:r w:rsidRPr="009002F0">
        <w:rPr>
          <w:rFonts w:ascii="Calibri" w:eastAsia="Malgun Gothic" w:hAnsi="Calibri" w:cs="Times New Roman"/>
          <w:i/>
          <w:color w:val="00ADE4"/>
          <w:lang w:eastAsia="zh-CN"/>
        </w:rPr>
        <w:t xml:space="preserve"> stage</w:t>
      </w:r>
      <w:bookmarkEnd w:id="36"/>
      <w:r w:rsidRPr="009002F0">
        <w:rPr>
          <w:rFonts w:ascii="Calibri" w:eastAsia="Malgun Gothic" w:hAnsi="Calibri" w:cs="Times New Roman"/>
          <w:i/>
          <w:color w:val="00ADE4"/>
          <w:lang w:eastAsia="zh-CN"/>
        </w:rPr>
        <w:t xml:space="preserve"> </w:t>
      </w:r>
    </w:p>
    <w:p w14:paraId="792BE519"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Foreign workers can become undocumented upon entry, by landing at a job different from that specified in a VP(TE). As noted earlier, foreign workers usually incur burdensome migration costs, owing to complex, lengthy, and opaque recruitment procedures (likely to be in both labor-sending and receiving countries)</w:t>
      </w:r>
      <w:r w:rsidRPr="009002F0">
        <w:rPr>
          <w:rFonts w:ascii="ZWAdobeF" w:eastAsia="Malgun Gothic" w:hAnsi="ZWAdobeF" w:cs="ZWAdobeF"/>
          <w:color w:val="auto"/>
          <w:sz w:val="2"/>
          <w:szCs w:val="2"/>
          <w:lang w:eastAsia="zh-CN"/>
        </w:rPr>
        <w:t>17F</w:t>
      </w:r>
      <w:r w:rsidRPr="009002F0">
        <w:rPr>
          <w:rFonts w:ascii="Calibri" w:eastAsia="Malgun Gothic" w:hAnsi="Calibri" w:cs="Calibri"/>
          <w:color w:val="auto"/>
          <w:szCs w:val="22"/>
          <w:vertAlign w:val="superscript"/>
          <w:lang w:eastAsia="zh-CN"/>
        </w:rPr>
        <w:footnoteReference w:id="18"/>
      </w:r>
      <w:r w:rsidRPr="009002F0">
        <w:rPr>
          <w:rFonts w:ascii="Calibri" w:eastAsia="Malgun Gothic" w:hAnsi="Calibri" w:cs="Calibri"/>
          <w:color w:val="auto"/>
          <w:szCs w:val="22"/>
          <w:lang w:eastAsia="zh-CN"/>
        </w:rPr>
        <w:t>. Interviews with relevant stakeholders indicate that to reduce costs, foreign workers may choose a job in the plantation sector, which requires the lowest levy. Then, after obtaining a VP(TE), they sometimes change to a higher-paying job such as in the manufacturing sector (see also World Bank 2017 on the positive link between migration cost and irregular out-migration in Indonesia).</w:t>
      </w:r>
      <w:r w:rsidRPr="009002F0">
        <w:rPr>
          <w:rFonts w:ascii="ZWAdobeF" w:eastAsia="Malgun Gothic" w:hAnsi="ZWAdobeF" w:cs="ZWAdobeF"/>
          <w:color w:val="auto"/>
          <w:sz w:val="2"/>
          <w:szCs w:val="2"/>
          <w:lang w:eastAsia="zh-CN"/>
        </w:rPr>
        <w:t>18F</w:t>
      </w:r>
      <w:r w:rsidRPr="009002F0">
        <w:rPr>
          <w:rFonts w:ascii="Calibri" w:eastAsia="Malgun Gothic" w:hAnsi="Calibri" w:cs="Calibri"/>
          <w:color w:val="auto"/>
          <w:szCs w:val="22"/>
          <w:vertAlign w:val="superscript"/>
          <w:lang w:eastAsia="zh-CN"/>
        </w:rPr>
        <w:footnoteReference w:id="19"/>
      </w:r>
      <w:r w:rsidRPr="009002F0">
        <w:rPr>
          <w:rFonts w:ascii="Calibri" w:eastAsia="Malgun Gothic" w:hAnsi="Calibri" w:cs="Calibri"/>
          <w:color w:val="auto"/>
          <w:szCs w:val="22"/>
          <w:lang w:eastAsia="zh-CN"/>
        </w:rPr>
        <w:t xml:space="preserve"> It is not uncommon for foreign workers to migrate to Malaysia and end up unemployed, or employed in a sector different from that stated on their VP(TE) </w:t>
      </w:r>
      <w:r w:rsidRPr="009002F0">
        <w:rPr>
          <w:rFonts w:ascii="Calibri" w:eastAsia="Malgun Gothic" w:hAnsi="Calibri" w:cs="Calibri"/>
          <w:color w:val="auto"/>
          <w:szCs w:val="22"/>
          <w:lang w:val="en-MY" w:eastAsia="zh-CN"/>
        </w:rPr>
        <w:t xml:space="preserve">(Amnesty International 2010; </w:t>
      </w:r>
      <w:proofErr w:type="spellStart"/>
      <w:r w:rsidRPr="009002F0">
        <w:rPr>
          <w:rFonts w:ascii="Calibri" w:eastAsia="Malgun Gothic" w:hAnsi="Calibri" w:cs="Calibri"/>
          <w:color w:val="auto"/>
          <w:szCs w:val="22"/>
          <w:lang w:val="en-MY" w:eastAsia="zh-CN"/>
        </w:rPr>
        <w:t>Ajis</w:t>
      </w:r>
      <w:proofErr w:type="spellEnd"/>
      <w:r w:rsidRPr="009002F0">
        <w:rPr>
          <w:rFonts w:ascii="Calibri" w:eastAsia="Malgun Gothic" w:hAnsi="Calibri" w:cs="Calibri"/>
          <w:color w:val="auto"/>
          <w:szCs w:val="22"/>
          <w:lang w:val="en-MY" w:eastAsia="zh-CN"/>
        </w:rPr>
        <w:t xml:space="preserve"> et al 2015; Verité 2014; World Bank 2016),</w:t>
      </w:r>
      <w:r w:rsidRPr="009002F0">
        <w:rPr>
          <w:rFonts w:ascii="Calibri" w:eastAsia="Malgun Gothic" w:hAnsi="Calibri" w:cs="Calibri"/>
          <w:color w:val="auto"/>
          <w:szCs w:val="22"/>
          <w:lang w:eastAsia="zh-CN"/>
        </w:rPr>
        <w:t xml:space="preserve"> resulting in their irregular status in Malaysia.</w:t>
      </w:r>
    </w:p>
    <w:p w14:paraId="2400DF21"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Regular foreign workers may become irregular after failing mandatory medical screening by FOMEMA. In principle they must return home after failing the medical screening, but in practice often choose to work illegally in Malaysia </w:t>
      </w:r>
      <w:proofErr w:type="gramStart"/>
      <w:r w:rsidRPr="009002F0">
        <w:rPr>
          <w:rFonts w:ascii="Calibri" w:eastAsia="Malgun Gothic" w:hAnsi="Calibri" w:cs="Calibri"/>
          <w:color w:val="auto"/>
          <w:szCs w:val="22"/>
          <w:lang w:eastAsia="zh-CN"/>
        </w:rPr>
        <w:t>in order to</w:t>
      </w:r>
      <w:proofErr w:type="gramEnd"/>
      <w:r w:rsidRPr="009002F0">
        <w:rPr>
          <w:rFonts w:ascii="Calibri" w:eastAsia="Malgun Gothic" w:hAnsi="Calibri" w:cs="Calibri"/>
          <w:color w:val="auto"/>
          <w:szCs w:val="22"/>
          <w:lang w:eastAsia="zh-CN"/>
        </w:rPr>
        <w:t xml:space="preserve"> at least recover the upfront migration cost incurred. The World Bank/ILO KNOMAD survey of Vietnamese workers in the manufacturing sector in Malaysia indicates that 80 percent of the respondents borrowed money to finance their migration to Malaysia, with the loans averaging US$1,185 (in 2014 dollars). The medical check-ups are designed to assess whether foreign workers are fit to work and to prevent the spread of communicable diseases at the workplace or more broadly within </w:t>
      </w:r>
      <w:r w:rsidRPr="009002F0">
        <w:rPr>
          <w:rFonts w:ascii="Calibri" w:eastAsia="Malgun Gothic" w:hAnsi="Calibri" w:cs="Calibri"/>
          <w:color w:val="auto"/>
          <w:szCs w:val="22"/>
          <w:lang w:eastAsia="zh-CN"/>
        </w:rPr>
        <w:lastRenderedPageBreak/>
        <w:t xml:space="preserve">Malaysia (Jayakumar, 2016). According to FOMEMA, reasons for medical rejection include tuberculosis, sexually transmitted diseases, hepatitis-B, HIV/AIDS, and mental illnesses, as well as pregnancy and the detection of opiates or cannabis in urine samples. No actors in the immigration system are responsible for treating unfit workers with infectious disease and therefore, this medical screening is an imperfect measure to control hazards and could also potentially raise ethical issues (Jayakumar, 2016). </w:t>
      </w:r>
    </w:p>
    <w:p w14:paraId="507CAFF5"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Foreign individuals sometimes enter Malaysia with a travel/student pass and then proceed to work in Malaysia even though they do not have a proper work permit. </w:t>
      </w:r>
      <w:r w:rsidRPr="009002F0">
        <w:rPr>
          <w:rFonts w:ascii="Calibri" w:eastAsia="Calibri" w:hAnsi="Calibri" w:cs="Times New Roman"/>
          <w:color w:val="auto"/>
          <w:szCs w:val="22"/>
        </w:rPr>
        <w:t>Under the ASEAN framework, citizens of member countries enjoy the visa-free entry to Malaysia for tourism purposes. The visa-free regime may increase the short-term mobility of individuals and promote economic integration among member countries. However, short-term mobility for tourism can also serve as an entry channel for irregular immigration.</w:t>
      </w:r>
      <w:r w:rsidRPr="009002F0">
        <w:rPr>
          <w:rFonts w:ascii="ZWAdobeF" w:eastAsia="Calibri" w:hAnsi="ZWAdobeF" w:cs="ZWAdobeF"/>
          <w:color w:val="auto"/>
          <w:sz w:val="2"/>
          <w:szCs w:val="2"/>
        </w:rPr>
        <w:t>19F</w:t>
      </w:r>
      <w:r w:rsidRPr="009002F0">
        <w:rPr>
          <w:rFonts w:ascii="Calibri" w:eastAsia="Calibri" w:hAnsi="Calibri" w:cs="Times New Roman"/>
          <w:color w:val="auto"/>
          <w:szCs w:val="22"/>
          <w:vertAlign w:val="superscript"/>
        </w:rPr>
        <w:footnoteReference w:id="20"/>
      </w:r>
      <w:r w:rsidRPr="009002F0">
        <w:rPr>
          <w:rFonts w:ascii="Calibri" w:eastAsia="Calibri" w:hAnsi="Calibri" w:cs="Times New Roman"/>
          <w:color w:val="auto"/>
          <w:szCs w:val="22"/>
        </w:rPr>
        <w:t xml:space="preserve"> For instance, EU member states have experienced that visa liberalization poses challenges such as persisting irregular migration </w:t>
      </w:r>
      <w:sdt>
        <w:sdtPr>
          <w:rPr>
            <w:rFonts w:ascii="Calibri" w:eastAsia="Calibri" w:hAnsi="Calibri" w:cs="Times New Roman"/>
            <w:color w:val="auto"/>
            <w:szCs w:val="22"/>
          </w:rPr>
          <w:id w:val="-2016446184"/>
          <w:citation/>
        </w:sdtPr>
        <w:sdtContent>
          <w:r w:rsidRPr="009002F0">
            <w:rPr>
              <w:rFonts w:ascii="Calibri" w:eastAsia="Calibri" w:hAnsi="Calibri" w:cs="Times New Roman"/>
              <w:color w:val="auto"/>
              <w:szCs w:val="22"/>
            </w:rPr>
            <w:fldChar w:fldCharType="begin"/>
          </w:r>
          <w:r w:rsidRPr="009002F0">
            <w:rPr>
              <w:rFonts w:ascii="Calibri" w:eastAsia="Calibri" w:hAnsi="Calibri" w:cs="Times New Roman"/>
              <w:color w:val="auto"/>
              <w:szCs w:val="22"/>
            </w:rPr>
            <w:instrText xml:space="preserve"> CITATION Eur17 \l 1033 </w:instrText>
          </w:r>
          <w:r w:rsidRPr="009002F0">
            <w:rPr>
              <w:rFonts w:ascii="Calibri" w:eastAsia="Calibri" w:hAnsi="Calibri" w:cs="Times New Roman"/>
              <w:color w:val="auto"/>
              <w:szCs w:val="22"/>
            </w:rPr>
            <w:fldChar w:fldCharType="separate"/>
          </w:r>
          <w:r w:rsidRPr="009002F0">
            <w:rPr>
              <w:rFonts w:ascii="Calibri" w:eastAsia="Calibri" w:hAnsi="Calibri" w:cs="Times New Roman"/>
              <w:noProof/>
              <w:color w:val="auto"/>
              <w:szCs w:val="22"/>
            </w:rPr>
            <w:t>(Europeach Commission, 2017)</w:t>
          </w:r>
          <w:r w:rsidRPr="009002F0">
            <w:rPr>
              <w:rFonts w:ascii="Calibri" w:eastAsia="Calibri" w:hAnsi="Calibri" w:cs="Times New Roman"/>
              <w:color w:val="auto"/>
              <w:szCs w:val="22"/>
            </w:rPr>
            <w:fldChar w:fldCharType="end"/>
          </w:r>
        </w:sdtContent>
      </w:sdt>
      <w:r w:rsidRPr="009002F0">
        <w:rPr>
          <w:rFonts w:ascii="Calibri" w:eastAsia="Calibri" w:hAnsi="Calibri" w:cs="Times New Roman"/>
          <w:color w:val="auto"/>
          <w:szCs w:val="22"/>
        </w:rPr>
        <w:t xml:space="preserve">. A similar situation could prevail in </w:t>
      </w:r>
      <w:r w:rsidRPr="009002F0">
        <w:rPr>
          <w:rFonts w:ascii="Calibri" w:eastAsia="Malgun Gothic" w:hAnsi="Calibri" w:cs="Calibri"/>
          <w:color w:val="auto"/>
          <w:szCs w:val="22"/>
          <w:lang w:eastAsia="zh-CN"/>
        </w:rPr>
        <w:t xml:space="preserve">Sarawak, where most foreign workers come from Kalimantan. </w:t>
      </w:r>
    </w:p>
    <w:p w14:paraId="5A7721F8"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Refugees and asylum seekers </w:t>
      </w:r>
      <w:r w:rsidRPr="009002F0">
        <w:rPr>
          <w:rFonts w:ascii="Calibri" w:eastAsia="Malgun Gothic" w:hAnsi="Calibri" w:cs="Calibri"/>
          <w:color w:val="auto"/>
          <w:szCs w:val="22"/>
          <w:lang w:eastAsia="ko-KR"/>
        </w:rPr>
        <w:t>who enter Malaysia without documentation could join the labor market and become undocumented foreign workers. Most refugees are de facto integrated in the Malaysian society as part of a foreign worker economy</w:t>
      </w:r>
      <w:sdt>
        <w:sdtPr>
          <w:rPr>
            <w:rFonts w:ascii="Calibri" w:eastAsia="Malgun Gothic" w:hAnsi="Calibri" w:cs="Calibri"/>
            <w:color w:val="auto"/>
            <w:szCs w:val="22"/>
            <w:lang w:eastAsia="ko-KR"/>
          </w:rPr>
          <w:id w:val="-1454941337"/>
          <w:citation/>
        </w:sdtPr>
        <w:sdtContent>
          <w:r w:rsidRPr="009002F0">
            <w:rPr>
              <w:rFonts w:ascii="Calibri" w:eastAsia="Malgun Gothic" w:hAnsi="Calibri" w:cs="Calibri"/>
              <w:color w:val="auto"/>
              <w:szCs w:val="22"/>
              <w:lang w:eastAsia="ko-KR"/>
            </w:rPr>
            <w:fldChar w:fldCharType="begin"/>
          </w:r>
          <w:r w:rsidRPr="009002F0">
            <w:rPr>
              <w:rFonts w:ascii="Calibri" w:eastAsia="Malgun Gothic" w:hAnsi="Calibri" w:cs="Calibri"/>
              <w:color w:val="auto"/>
              <w:szCs w:val="22"/>
              <w:lang w:eastAsia="ko-KR"/>
            </w:rPr>
            <w:instrText xml:space="preserve"> CITATION Wur18 \l 1033 </w:instrText>
          </w:r>
          <w:r w:rsidRPr="009002F0">
            <w:rPr>
              <w:rFonts w:ascii="Calibri" w:eastAsia="Malgun Gothic" w:hAnsi="Calibri" w:cs="Calibri"/>
              <w:color w:val="auto"/>
              <w:szCs w:val="22"/>
              <w:lang w:eastAsia="ko-KR"/>
            </w:rPr>
            <w:fldChar w:fldCharType="separate"/>
          </w:r>
          <w:r w:rsidRPr="009002F0">
            <w:rPr>
              <w:rFonts w:ascii="Calibri" w:eastAsia="Malgun Gothic" w:hAnsi="Calibri" w:cs="Calibri"/>
              <w:noProof/>
              <w:color w:val="auto"/>
              <w:szCs w:val="22"/>
              <w:lang w:eastAsia="ko-KR"/>
            </w:rPr>
            <w:t xml:space="preserve"> (Wurscher, 2018)</w:t>
          </w:r>
          <w:r w:rsidRPr="009002F0">
            <w:rPr>
              <w:rFonts w:ascii="Calibri" w:eastAsia="Malgun Gothic" w:hAnsi="Calibri" w:cs="Calibri"/>
              <w:color w:val="auto"/>
              <w:szCs w:val="22"/>
              <w:lang w:eastAsia="ko-KR"/>
            </w:rPr>
            <w:fldChar w:fldCharType="end"/>
          </w:r>
        </w:sdtContent>
      </w:sdt>
      <w:r w:rsidRPr="009002F0">
        <w:rPr>
          <w:rFonts w:ascii="Calibri" w:eastAsia="Malgun Gothic" w:hAnsi="Calibri" w:cs="Calibri"/>
          <w:color w:val="auto"/>
          <w:szCs w:val="22"/>
          <w:lang w:eastAsia="ko-KR"/>
        </w:rPr>
        <w:t xml:space="preserve">. Filipino refugees who resettled in Sabah during the 1970s and 1980s </w:t>
      </w:r>
      <w:proofErr w:type="gramStart"/>
      <w:r w:rsidRPr="009002F0">
        <w:rPr>
          <w:rFonts w:ascii="Calibri" w:eastAsia="Malgun Gothic" w:hAnsi="Calibri" w:cs="Calibri"/>
          <w:color w:val="auto"/>
          <w:szCs w:val="22"/>
          <w:lang w:eastAsia="ko-KR"/>
        </w:rPr>
        <w:t>are considered to be</w:t>
      </w:r>
      <w:proofErr w:type="gramEnd"/>
      <w:r w:rsidRPr="009002F0">
        <w:rPr>
          <w:rFonts w:ascii="Calibri" w:eastAsia="Malgun Gothic" w:hAnsi="Calibri" w:cs="Calibri"/>
          <w:color w:val="auto"/>
          <w:szCs w:val="22"/>
          <w:lang w:eastAsia="ko-KR"/>
        </w:rPr>
        <w:t xml:space="preserve"> better off than other refugees (</w:t>
      </w:r>
      <w:proofErr w:type="spellStart"/>
      <w:r w:rsidRPr="009002F0">
        <w:rPr>
          <w:rFonts w:ascii="Calibri" w:eastAsia="Malgun Gothic" w:hAnsi="Calibri" w:cs="Calibri"/>
          <w:color w:val="auto"/>
          <w:szCs w:val="22"/>
          <w:lang w:eastAsia="ko-KR"/>
        </w:rPr>
        <w:t>Kassim</w:t>
      </w:r>
      <w:proofErr w:type="spellEnd"/>
      <w:r w:rsidRPr="009002F0">
        <w:rPr>
          <w:rFonts w:ascii="Calibri" w:eastAsia="Malgun Gothic" w:hAnsi="Calibri" w:cs="Calibri"/>
          <w:color w:val="auto"/>
          <w:szCs w:val="22"/>
          <w:lang w:eastAsia="ko-KR"/>
        </w:rPr>
        <w:t>, 2009) because they received permission to stay and work in Sabah by the Malaysian Federal authorities under a special pass, the HF7 (later changed to IMM13), which is extended to their children and renewed annually. The United Nations High Commissioner for Refugees (UNHCR) classifies them as “people of concern”, but there exists confusion regarding their status and the local population tends to see them as “illegal immigrants”.  Reasons include failure to renew the IMM13 passes (often because they cannot the afford pass renewal fees), being unregistered children of refugees, and IMM13 holders accommodating economic migrants from their home villages in the Philippines (</w:t>
      </w:r>
      <w:proofErr w:type="spellStart"/>
      <w:r w:rsidRPr="009002F0">
        <w:rPr>
          <w:rFonts w:ascii="Calibri" w:eastAsia="Malgun Gothic" w:hAnsi="Calibri" w:cs="Calibri"/>
          <w:color w:val="auto"/>
          <w:szCs w:val="22"/>
          <w:lang w:eastAsia="ko-KR"/>
        </w:rPr>
        <w:t>Kassim</w:t>
      </w:r>
      <w:proofErr w:type="spellEnd"/>
      <w:r w:rsidRPr="009002F0">
        <w:rPr>
          <w:rFonts w:ascii="Calibri" w:eastAsia="Malgun Gothic" w:hAnsi="Calibri" w:cs="Calibri"/>
          <w:color w:val="auto"/>
          <w:szCs w:val="22"/>
          <w:lang w:eastAsia="ko-KR"/>
        </w:rPr>
        <w:t xml:space="preserve">, 2009).   </w:t>
      </w:r>
    </w:p>
    <w:p w14:paraId="275F0A60"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37" w:name="_Toc4581517"/>
      <w:r w:rsidRPr="009002F0">
        <w:rPr>
          <w:rFonts w:ascii="Calibri" w:eastAsia="Malgun Gothic" w:hAnsi="Calibri" w:cs="Times New Roman"/>
          <w:i/>
          <w:color w:val="00ADE4"/>
          <w:lang w:eastAsia="zh-CN"/>
        </w:rPr>
        <w:t xml:space="preserve">2.3.2 During the </w:t>
      </w:r>
      <w:r w:rsidRPr="009002F0">
        <w:rPr>
          <w:rFonts w:ascii="Calibri" w:eastAsia="MS Gothic" w:hAnsi="Calibri" w:cs="Times New Roman"/>
          <w:i/>
          <w:color w:val="00ADE4"/>
        </w:rPr>
        <w:t>employment</w:t>
      </w:r>
      <w:r w:rsidRPr="009002F0">
        <w:rPr>
          <w:rFonts w:ascii="Calibri" w:eastAsia="Malgun Gothic" w:hAnsi="Calibri" w:cs="Times New Roman"/>
          <w:i/>
          <w:color w:val="00ADE4"/>
          <w:lang w:eastAsia="zh-CN"/>
        </w:rPr>
        <w:t xml:space="preserve"> stage</w:t>
      </w:r>
      <w:bookmarkEnd w:id="37"/>
      <w:r w:rsidRPr="009002F0">
        <w:rPr>
          <w:rFonts w:ascii="Calibri" w:eastAsia="Malgun Gothic" w:hAnsi="Calibri" w:cs="Times New Roman"/>
          <w:i/>
          <w:color w:val="00ADE4"/>
          <w:lang w:eastAsia="zh-CN"/>
        </w:rPr>
        <w:t xml:space="preserve"> </w:t>
      </w:r>
    </w:p>
    <w:p w14:paraId="041DD234"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lang w:eastAsia="ko-KR"/>
        </w:rPr>
      </w:pPr>
      <w:r w:rsidRPr="009002F0">
        <w:rPr>
          <w:rFonts w:ascii="Calibri" w:eastAsia="Malgun Gothic" w:hAnsi="Calibri" w:cs="Calibri"/>
          <w:color w:val="auto"/>
          <w:szCs w:val="22"/>
          <w:lang w:eastAsia="zh-CN"/>
        </w:rPr>
        <w:t xml:space="preserve">Even after obtaining VP(TE) to work legally in Malaysia, foreign workers may decide to switch employers or sectors in Malaysia, becoming irregulars. Several factors are at play. Demand for undocumented foreign workers is apparent: in 2016, a total of 1174 employers were involved in hiring, harboring and helping irregular foreign workers escape arrest according to the Immigration Department, and in 2017, an estimated 70–80 percent of the 650,000 small- and medium-sized enterprises (SMEs) had undocumented foreign workers (Low, 2017). </w:t>
      </w:r>
      <w:r w:rsidRPr="009002F0">
        <w:rPr>
          <w:rFonts w:ascii="Calibri" w:eastAsia="Malgun Gothic" w:hAnsi="Calibri" w:cs="Calibri"/>
          <w:lang w:eastAsia="zh-CN"/>
        </w:rPr>
        <w:fldChar w:fldCharType="begin" w:fldLock="1"/>
      </w:r>
      <w:r w:rsidRPr="009002F0">
        <w:rPr>
          <w:rFonts w:ascii="Calibri" w:eastAsia="Malgun Gothic" w:hAnsi="Calibri" w:cs="Calibri"/>
          <w:lang w:eastAsia="zh-CN"/>
        </w:rPr>
        <w:instrText xml:space="preserve"> REF _Ref535934337 \h  \* MERGEFORMAT </w:instrText>
      </w:r>
      <w:r w:rsidRPr="009002F0">
        <w:rPr>
          <w:rFonts w:ascii="Calibri" w:eastAsia="Malgun Gothic" w:hAnsi="Calibri" w:cs="Calibri"/>
          <w:lang w:eastAsia="zh-CN"/>
        </w:rPr>
      </w:r>
      <w:r w:rsidRPr="009002F0">
        <w:rPr>
          <w:rFonts w:ascii="Calibri" w:eastAsia="Malgun Gothic" w:hAnsi="Calibri" w:cs="Calibri"/>
          <w:lang w:eastAsia="zh-CN"/>
        </w:rPr>
        <w:fldChar w:fldCharType="separate"/>
      </w:r>
    </w:p>
    <w:p w14:paraId="0715D9C1" w14:textId="77777777" w:rsidR="009002F0" w:rsidRPr="009002F0" w:rsidRDefault="009002F0" w:rsidP="009002F0">
      <w:pPr>
        <w:widowControl/>
        <w:autoSpaceDE/>
        <w:autoSpaceDN/>
        <w:snapToGrid w:val="0"/>
        <w:spacing w:after="160" w:line="259" w:lineRule="auto"/>
        <w:jc w:val="both"/>
        <w:rPr>
          <w:rFonts w:ascii="Calibri" w:eastAsia="Malgun Gothic" w:hAnsi="Calibri" w:cs="Times New Roman"/>
          <w:sz w:val="20"/>
          <w:szCs w:val="20"/>
          <w:lang w:eastAsia="ko-KR"/>
        </w:rPr>
      </w:pPr>
      <w:r w:rsidRPr="009002F0">
        <w:rPr>
          <w:rFonts w:ascii="Calibri" w:eastAsia="Malgun Gothic" w:hAnsi="Calibri" w:cs="Times New Roman"/>
          <w:lang w:eastAsia="ko-KR"/>
        </w:rPr>
        <w:t>Table</w:t>
      </w:r>
      <w:r w:rsidRPr="009002F0">
        <w:rPr>
          <w:rFonts w:ascii="Calibri" w:eastAsia="Malgun Gothic" w:hAnsi="Calibri" w:cs="Times New Roman"/>
          <w:noProof/>
          <w:lang w:eastAsia="ko-KR"/>
        </w:rPr>
        <w:t xml:space="preserve"> </w:t>
      </w:r>
      <w:r w:rsidRPr="009002F0">
        <w:rPr>
          <w:rFonts w:ascii="Calibri" w:eastAsia="Malgun Gothic" w:hAnsi="Calibri" w:cs="Times New Roman"/>
          <w:noProof/>
          <w:sz w:val="20"/>
          <w:szCs w:val="20"/>
          <w:lang w:eastAsia="ko-KR"/>
        </w:rPr>
        <w:t>2</w:t>
      </w:r>
      <w:r w:rsidRPr="009002F0">
        <w:rPr>
          <w:rFonts w:ascii="Calibri" w:eastAsia="Malgun Gothic" w:hAnsi="Calibri" w:cs="Calibri"/>
          <w:lang w:eastAsia="zh-CN"/>
        </w:rPr>
        <w:fldChar w:fldCharType="end"/>
      </w:r>
      <w:r w:rsidRPr="009002F0">
        <w:rPr>
          <w:rFonts w:ascii="Calibri" w:eastAsia="Malgun Gothic" w:hAnsi="Calibri" w:cs="Calibri"/>
          <w:lang w:eastAsia="zh-CN"/>
        </w:rPr>
        <w:t xml:space="preserve"> </w:t>
      </w:r>
      <w:r w:rsidRPr="009002F0">
        <w:rPr>
          <w:rFonts w:ascii="Calibri" w:eastAsia="Malgun Gothic" w:hAnsi="Calibri" w:cs="Calibri"/>
          <w:color w:val="auto"/>
          <w:szCs w:val="22"/>
          <w:lang w:eastAsia="zh-CN"/>
        </w:rPr>
        <w:t xml:space="preserve">below shows that employers knowingly hire irregulars to reduce costs (including opportunity costs) from the complex, lengthy recruitment process and financial costs to hire foreign workers, including foreign-worker levies and the purchase of insurance policies.  They would also sometimes hire irregulars after applying for foreign workers through regular </w:t>
      </w:r>
      <w:r w:rsidRPr="009002F0">
        <w:rPr>
          <w:rFonts w:ascii="Calibri" w:eastAsia="Malgun Gothic" w:hAnsi="Calibri" w:cs="Calibri"/>
          <w:color w:val="auto"/>
          <w:szCs w:val="22"/>
          <w:lang w:eastAsia="zh-CN"/>
        </w:rPr>
        <w:lastRenderedPageBreak/>
        <w:t xml:space="preserve">channels and not receiving approval for the full number of workers requested, or even having the application rejected completely. </w:t>
      </w:r>
      <w:bookmarkStart w:id="38" w:name="_Ref535934337"/>
      <w:bookmarkStart w:id="39" w:name="_Ref535934333"/>
    </w:p>
    <w:p w14:paraId="6C4F71D0" w14:textId="77777777" w:rsidR="009002F0" w:rsidRPr="009002F0" w:rsidRDefault="009002F0" w:rsidP="009002F0">
      <w:pPr>
        <w:widowControl/>
        <w:autoSpaceDE/>
        <w:autoSpaceDN/>
        <w:adjustRightInd/>
        <w:spacing w:after="120"/>
        <w:rPr>
          <w:rFonts w:ascii="Calibri" w:eastAsia="Malgun Gothic" w:hAnsi="Calibri" w:cs="Calibri"/>
          <w:bCs/>
          <w:color w:val="595959"/>
          <w:spacing w:val="4"/>
          <w:szCs w:val="22"/>
          <w:lang w:eastAsia="zh-CN"/>
        </w:rPr>
      </w:pPr>
      <w:bookmarkStart w:id="40" w:name="_Toc4581545"/>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2</w:t>
      </w:r>
      <w:r w:rsidRPr="009002F0">
        <w:rPr>
          <w:rFonts w:ascii="Calibri" w:eastAsia="Malgun Gothic" w:hAnsi="Calibri" w:cs="Times New Roman"/>
          <w:bCs/>
          <w:spacing w:val="4"/>
          <w:szCs w:val="20"/>
          <w:lang w:eastAsia="ko-KR"/>
        </w:rPr>
        <w:fldChar w:fldCharType="end"/>
      </w:r>
      <w:bookmarkEnd w:id="38"/>
      <w:r w:rsidRPr="009002F0">
        <w:rPr>
          <w:rFonts w:ascii="Calibri" w:eastAsia="Malgun Gothic" w:hAnsi="Calibri" w:cs="Times New Roman"/>
          <w:bCs/>
          <w:spacing w:val="4"/>
          <w:szCs w:val="20"/>
          <w:lang w:eastAsia="ko-KR"/>
        </w:rPr>
        <w:t>: Demand for undocumented workers by employers</w:t>
      </w:r>
      <w:bookmarkEnd w:id="39"/>
      <w:bookmarkEnd w:id="40"/>
    </w:p>
    <w:tbl>
      <w:tblPr>
        <w:tblStyle w:val="TableGrid"/>
        <w:tblW w:w="0" w:type="auto"/>
        <w:tblLook w:val="04A0" w:firstRow="1" w:lastRow="0" w:firstColumn="1" w:lastColumn="0" w:noHBand="0" w:noVBand="1"/>
      </w:tblPr>
      <w:tblGrid>
        <w:gridCol w:w="2708"/>
        <w:gridCol w:w="6308"/>
      </w:tblGrid>
      <w:tr w:rsidR="009002F0" w:rsidRPr="009002F0" w14:paraId="3940C2EB" w14:textId="77777777" w:rsidTr="009002F0">
        <w:trPr>
          <w:trHeight w:val="557"/>
        </w:trPr>
        <w:tc>
          <w:tcPr>
            <w:tcW w:w="2785" w:type="dxa"/>
            <w:shd w:val="clear" w:color="auto" w:fill="006068"/>
            <w:vAlign w:val="center"/>
          </w:tcPr>
          <w:p w14:paraId="3ECE3B50"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b/>
                <w:color w:val="FFFFFF"/>
                <w:szCs w:val="22"/>
                <w:lang w:eastAsia="zh-CN"/>
              </w:rPr>
            </w:pPr>
            <w:r w:rsidRPr="009002F0">
              <w:rPr>
                <w:rFonts w:ascii="Calibri" w:eastAsia="Malgun Gothic" w:hAnsi="Calibri" w:cs="Calibri"/>
                <w:b/>
                <w:color w:val="FFFFFF"/>
                <w:szCs w:val="22"/>
                <w:lang w:eastAsia="zh-CN"/>
              </w:rPr>
              <w:t>Factors</w:t>
            </w:r>
          </w:p>
        </w:tc>
        <w:tc>
          <w:tcPr>
            <w:tcW w:w="6565" w:type="dxa"/>
            <w:shd w:val="clear" w:color="auto" w:fill="006068"/>
            <w:vAlign w:val="center"/>
          </w:tcPr>
          <w:p w14:paraId="08C6448E" w14:textId="77777777" w:rsidR="009002F0" w:rsidRPr="009002F0" w:rsidRDefault="009002F0" w:rsidP="009002F0">
            <w:pPr>
              <w:widowControl/>
              <w:autoSpaceDE/>
              <w:autoSpaceDN/>
              <w:adjustRightInd/>
              <w:spacing w:after="120" w:line="264" w:lineRule="auto"/>
              <w:jc w:val="center"/>
              <w:rPr>
                <w:rFonts w:ascii="Calibri" w:eastAsia="Malgun Gothic" w:hAnsi="Calibri" w:cs="Calibri"/>
                <w:b/>
                <w:color w:val="FFFFFF"/>
                <w:szCs w:val="22"/>
                <w:lang w:eastAsia="zh-CN"/>
              </w:rPr>
            </w:pPr>
            <w:r w:rsidRPr="009002F0">
              <w:rPr>
                <w:rFonts w:ascii="Calibri" w:eastAsia="Malgun Gothic" w:hAnsi="Calibri" w:cs="Calibri"/>
                <w:b/>
                <w:color w:val="FFFFFF"/>
                <w:szCs w:val="22"/>
                <w:lang w:eastAsia="zh-CN"/>
              </w:rPr>
              <w:t>Demand for Undocumented Workers</w:t>
            </w:r>
          </w:p>
        </w:tc>
      </w:tr>
      <w:tr w:rsidR="009002F0" w:rsidRPr="009002F0" w14:paraId="2B119B8C" w14:textId="77777777" w:rsidTr="009002F0">
        <w:trPr>
          <w:trHeight w:val="720"/>
        </w:trPr>
        <w:tc>
          <w:tcPr>
            <w:tcW w:w="2785" w:type="dxa"/>
            <w:vAlign w:val="center"/>
          </w:tcPr>
          <w:p w14:paraId="04828838"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High employment cost</w:t>
            </w:r>
          </w:p>
        </w:tc>
        <w:tc>
          <w:tcPr>
            <w:tcW w:w="6565" w:type="dxa"/>
            <w:vAlign w:val="center"/>
          </w:tcPr>
          <w:p w14:paraId="1EB06D77" w14:textId="77777777" w:rsidR="009002F0" w:rsidRPr="009002F0" w:rsidRDefault="009002F0" w:rsidP="009002F0">
            <w:pPr>
              <w:widowControl/>
              <w:numPr>
                <w:ilvl w:val="0"/>
                <w:numId w:val="15"/>
              </w:numPr>
              <w:autoSpaceDE/>
              <w:autoSpaceDN/>
              <w:adjustRightInd/>
              <w:spacing w:after="120" w:line="264" w:lineRule="auto"/>
              <w:ind w:left="253" w:hanging="287"/>
              <w:contextualSpacing/>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Employers seek informal channels to avoid employment costs. Starting in the year 2018, employers must cover levy payments and provide housing in permanent structure for foreign workers. Employers also must cover the insurance and medical costs of foreign workers.</w:t>
            </w:r>
          </w:p>
          <w:p w14:paraId="71642CA5" w14:textId="77777777" w:rsidR="009002F0" w:rsidRPr="009002F0" w:rsidRDefault="009002F0" w:rsidP="009002F0">
            <w:pPr>
              <w:widowControl/>
              <w:numPr>
                <w:ilvl w:val="0"/>
                <w:numId w:val="15"/>
              </w:numPr>
              <w:autoSpaceDE/>
              <w:autoSpaceDN/>
              <w:adjustRightInd/>
              <w:spacing w:after="120" w:line="264" w:lineRule="auto"/>
              <w:ind w:left="253" w:hanging="287"/>
              <w:contextualSpacing/>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Employers in smaller operation seek informal channel due to high cost charged by outsourcing companies.</w:t>
            </w:r>
          </w:p>
        </w:tc>
      </w:tr>
      <w:tr w:rsidR="009002F0" w:rsidRPr="009002F0" w14:paraId="4D7E7A57" w14:textId="77777777" w:rsidTr="009002F0">
        <w:trPr>
          <w:trHeight w:val="720"/>
        </w:trPr>
        <w:tc>
          <w:tcPr>
            <w:tcW w:w="2785" w:type="dxa"/>
            <w:vAlign w:val="center"/>
          </w:tcPr>
          <w:p w14:paraId="5D890906"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Limited approved quantity</w:t>
            </w:r>
          </w:p>
        </w:tc>
        <w:tc>
          <w:tcPr>
            <w:tcW w:w="6565" w:type="dxa"/>
            <w:vAlign w:val="center"/>
          </w:tcPr>
          <w:p w14:paraId="6D2C09BD"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Employers hire undocumented foreign workers to fill in some positions when they do not get the desired quantity from regulating agencies.</w:t>
            </w:r>
          </w:p>
        </w:tc>
      </w:tr>
      <w:tr w:rsidR="009002F0" w:rsidRPr="009002F0" w14:paraId="2244D4EB" w14:textId="77777777" w:rsidTr="009002F0">
        <w:trPr>
          <w:trHeight w:val="720"/>
        </w:trPr>
        <w:tc>
          <w:tcPr>
            <w:tcW w:w="2785" w:type="dxa"/>
            <w:vAlign w:val="center"/>
          </w:tcPr>
          <w:p w14:paraId="08283DFD"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Long hiring process</w:t>
            </w:r>
          </w:p>
        </w:tc>
        <w:tc>
          <w:tcPr>
            <w:tcW w:w="6565" w:type="dxa"/>
            <w:vAlign w:val="center"/>
          </w:tcPr>
          <w:p w14:paraId="0ADED959"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 xml:space="preserve">Employers seek informal channel because of long hiring process. The hiring process of foreign workers could take about 6 months before employers receive approval from regulating agencies. </w:t>
            </w:r>
          </w:p>
        </w:tc>
      </w:tr>
      <w:tr w:rsidR="009002F0" w:rsidRPr="009002F0" w14:paraId="74DAF2E0" w14:textId="77777777" w:rsidTr="009002F0">
        <w:trPr>
          <w:trHeight w:val="720"/>
        </w:trPr>
        <w:tc>
          <w:tcPr>
            <w:tcW w:w="2785" w:type="dxa"/>
            <w:vAlign w:val="center"/>
          </w:tcPr>
          <w:p w14:paraId="45A90DF1"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High risk of paying penalty</w:t>
            </w:r>
          </w:p>
        </w:tc>
        <w:tc>
          <w:tcPr>
            <w:tcW w:w="6565" w:type="dxa"/>
            <w:vAlign w:val="center"/>
          </w:tcPr>
          <w:p w14:paraId="0188B6D6" w14:textId="77777777" w:rsidR="009002F0" w:rsidRPr="009002F0" w:rsidRDefault="009002F0" w:rsidP="009002F0">
            <w:pPr>
              <w:widowControl/>
              <w:autoSpaceDE/>
              <w:autoSpaceDN/>
              <w:adjustRightInd/>
              <w:spacing w:after="120" w:line="264" w:lineRule="auto"/>
              <w:rPr>
                <w:rFonts w:ascii="Calibri" w:eastAsia="Malgun Gothic" w:hAnsi="Calibri" w:cs="Calibri"/>
                <w:color w:val="auto"/>
                <w:sz w:val="22"/>
                <w:szCs w:val="22"/>
                <w:lang w:eastAsia="zh-CN"/>
              </w:rPr>
            </w:pPr>
            <w:r w:rsidRPr="009002F0">
              <w:rPr>
                <w:rFonts w:ascii="Calibri" w:eastAsia="Malgun Gothic" w:hAnsi="Calibri" w:cs="Calibri"/>
                <w:color w:val="auto"/>
                <w:sz w:val="22"/>
                <w:szCs w:val="22"/>
                <w:lang w:eastAsia="zh-CN"/>
              </w:rPr>
              <w:t>Employers may prefer to hire undocumented foreign workers to reduce the risks of paying penalty for runaway cases.</w:t>
            </w:r>
          </w:p>
        </w:tc>
      </w:tr>
    </w:tbl>
    <w:p w14:paraId="0EA471FE" w14:textId="77777777" w:rsidR="009002F0" w:rsidRPr="009002F0" w:rsidRDefault="009002F0" w:rsidP="009002F0">
      <w:pPr>
        <w:widowControl/>
        <w:autoSpaceDE/>
        <w:autoSpaceDN/>
        <w:adjustRightInd/>
        <w:jc w:val="both"/>
        <w:rPr>
          <w:rFonts w:ascii="Calibri" w:eastAsia="Malgun Gothic" w:hAnsi="Calibri" w:cs="Calibri"/>
          <w:color w:val="auto"/>
          <w:sz w:val="20"/>
          <w:szCs w:val="22"/>
          <w:lang w:eastAsia="zh-CN"/>
        </w:rPr>
      </w:pPr>
      <w:r w:rsidRPr="009002F0">
        <w:rPr>
          <w:rFonts w:ascii="Calibri" w:eastAsia="Malgun Gothic" w:hAnsi="Calibri" w:cs="Calibri"/>
          <w:color w:val="auto"/>
          <w:sz w:val="20"/>
          <w:szCs w:val="22"/>
          <w:lang w:eastAsia="zh-CN"/>
        </w:rPr>
        <w:t xml:space="preserve">Source: Authors’ compilation, based on newspapers which quote statements from MOHA and World Bank 2016.  </w:t>
      </w:r>
    </w:p>
    <w:p w14:paraId="55B5CA9B"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 w:val="22"/>
          <w:szCs w:val="22"/>
          <w:lang w:eastAsia="zh-CN"/>
        </w:rPr>
      </w:pPr>
    </w:p>
    <w:p w14:paraId="3A2A7207"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Weak enforcement of immigration rules, especially over practices by employers, would create a favorable environment for both employers and foreign workers to take the risks associated with working irregularly. The OECD (2018) calls for sanctioning employers who violate the immigration rules and regulations as a punitive measure, as well as increasing awareness of the risk of employing workers in irregular situations as a preventive measure.</w:t>
      </w:r>
    </w:p>
    <w:p w14:paraId="09654898"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In addition, the outsourcing practices may push employers to turn a blind eye on the status of foreign workers. Companies hiring fewer than 50 foreign workers are required to use labor outsourcing firms.</w:t>
      </w:r>
      <w:r w:rsidRPr="009002F0">
        <w:rPr>
          <w:rFonts w:ascii="ZWAdobeF" w:eastAsia="Malgun Gothic" w:hAnsi="ZWAdobeF" w:cs="ZWAdobeF"/>
          <w:color w:val="auto"/>
          <w:sz w:val="2"/>
          <w:szCs w:val="2"/>
          <w:lang w:eastAsia="zh-CN"/>
        </w:rPr>
        <w:t>20F</w:t>
      </w:r>
      <w:r w:rsidRPr="009002F0">
        <w:rPr>
          <w:rFonts w:ascii="Calibri" w:eastAsia="Malgun Gothic" w:hAnsi="Calibri" w:cs="Calibri"/>
          <w:color w:val="auto"/>
          <w:szCs w:val="22"/>
          <w:vertAlign w:val="superscript"/>
          <w:lang w:eastAsia="zh-CN"/>
        </w:rPr>
        <w:footnoteReference w:id="21"/>
      </w:r>
      <w:r w:rsidRPr="009002F0">
        <w:rPr>
          <w:rFonts w:ascii="Calibri" w:eastAsia="Malgun Gothic" w:hAnsi="Calibri" w:cs="Calibri"/>
          <w:color w:val="auto"/>
          <w:szCs w:val="22"/>
          <w:lang w:eastAsia="zh-CN"/>
        </w:rPr>
        <w:t xml:space="preserve"> With this arrangement, the responsibilities of managing foreign workers move from employers to outsourcing firms, which increases the exposure of foreign workers to being exploited. MOHA introduced the Foreign Workers </w:t>
      </w:r>
      <w:proofErr w:type="spellStart"/>
      <w:r w:rsidRPr="009002F0">
        <w:rPr>
          <w:rFonts w:ascii="Calibri" w:eastAsia="Malgun Gothic" w:hAnsi="Calibri" w:cs="Calibri"/>
          <w:color w:val="auto"/>
          <w:szCs w:val="22"/>
          <w:lang w:eastAsia="zh-CN"/>
        </w:rPr>
        <w:t>Colour</w:t>
      </w:r>
      <w:proofErr w:type="spellEnd"/>
      <w:r w:rsidRPr="009002F0">
        <w:rPr>
          <w:rFonts w:ascii="Calibri" w:eastAsia="Malgun Gothic" w:hAnsi="Calibri" w:cs="Calibri"/>
          <w:color w:val="auto"/>
          <w:szCs w:val="22"/>
          <w:lang w:eastAsia="zh-CN"/>
        </w:rPr>
        <w:t xml:space="preserve">-Coded Identity Card (E-Card) by sector of employment for every WP(TE), which is issued together with a VP(TE) to the employer, but not all foreign workers carry these cards and may not present them to the employers. An easy verification system may help employers to check the status of a foreign worker supplied through outsourcing firms such as E-Verify of the United States Department of Homeland Security (DHS), a free online service, which allows employers to check the eligibility of foreign employees to work in the U.S. </w:t>
      </w:r>
    </w:p>
    <w:p w14:paraId="0D9E9EBA"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p>
    <w:p w14:paraId="193BFF31"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zh-CN"/>
        </w:rPr>
      </w:pPr>
      <w:bookmarkStart w:id="41" w:name="_Toc4581518"/>
      <w:r w:rsidRPr="009002F0">
        <w:rPr>
          <w:rFonts w:ascii="Calibri" w:eastAsia="Malgun Gothic" w:hAnsi="Calibri" w:cs="Times New Roman"/>
          <w:i/>
          <w:color w:val="00ADE4"/>
          <w:lang w:eastAsia="zh-CN"/>
        </w:rPr>
        <w:t xml:space="preserve">2.3.3 At the </w:t>
      </w:r>
      <w:r w:rsidRPr="009002F0">
        <w:rPr>
          <w:rFonts w:ascii="Calibri" w:eastAsia="MS Gothic" w:hAnsi="Calibri" w:cs="Times New Roman"/>
          <w:i/>
          <w:color w:val="00ADE4"/>
        </w:rPr>
        <w:t>exit</w:t>
      </w:r>
      <w:r w:rsidRPr="009002F0">
        <w:rPr>
          <w:rFonts w:ascii="Calibri" w:eastAsia="Malgun Gothic" w:hAnsi="Calibri" w:cs="Times New Roman"/>
          <w:i/>
          <w:color w:val="00ADE4"/>
          <w:lang w:eastAsia="zh-CN"/>
        </w:rPr>
        <w:t xml:space="preserve"> stage</w:t>
      </w:r>
      <w:bookmarkEnd w:id="41"/>
      <w:r w:rsidRPr="009002F0">
        <w:rPr>
          <w:rFonts w:ascii="Calibri" w:eastAsia="Malgun Gothic" w:hAnsi="Calibri" w:cs="Times New Roman"/>
          <w:i/>
          <w:color w:val="00ADE4"/>
          <w:lang w:eastAsia="zh-CN"/>
        </w:rPr>
        <w:t xml:space="preserve"> </w:t>
      </w:r>
    </w:p>
    <w:p w14:paraId="2DB9C86E"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Foreign workers, even after their Visit Passes have expired, would frequently have incentives take the risk of staying in Malaysia, potentially to meet their savings targets. Even though irregular foreign workers are likely to be paid below the minimum wage, the benefits of staying in Malaysia often still outweigh the cost of going back to their home countries where wages are generally lower than what they would receive in Malaysia. According to the World Bank/ILO KNOMAD survey data, 20 percent of Vietnamese respondents in the manufacturing sector had no income in Vietnam, and half of respondent had earned less than US$200 (in 2014 dollars) per month. </w:t>
      </w:r>
    </w:p>
    <w:p w14:paraId="4B4ADE54" w14:textId="77777777" w:rsidR="009002F0" w:rsidRPr="009002F0" w:rsidRDefault="009002F0" w:rsidP="009002F0">
      <w:pPr>
        <w:widowControl/>
        <w:autoSpaceDE/>
        <w:autoSpaceDN/>
        <w:snapToGrid w:val="0"/>
        <w:spacing w:after="160" w:line="259" w:lineRule="auto"/>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After settling in Malaysia, foreign workers often invite family members to enter on tourist visas who then overstay their visas. Sabah has long seen the problem of overstaying foreign workers (World Bank, 2013). The weak coordination across enforcement agencies makes it easier for foreign workers to overstay. Anecdotal evidence suggests that the corruption practices in Malaysia’s governance structure is penetrated at different levels, and bribery to allow undocumented foreign workers to overstay is not uncommon (New Straits Times, 2018). </w:t>
      </w:r>
    </w:p>
    <w:p w14:paraId="12402977" w14:textId="77777777" w:rsidR="009002F0" w:rsidRPr="009002F0" w:rsidRDefault="009002F0" w:rsidP="009002F0">
      <w:pPr>
        <w:widowControl/>
        <w:autoSpaceDE/>
        <w:autoSpaceDN/>
        <w:adjustRightInd/>
        <w:jc w:val="both"/>
        <w:rPr>
          <w:rFonts w:ascii="Calibri" w:eastAsia="Malgun Gothic" w:hAnsi="Calibri" w:cs="Calibri"/>
          <w:color w:val="auto"/>
          <w:szCs w:val="22"/>
          <w:lang w:eastAsia="zh-CN"/>
        </w:rPr>
      </w:pPr>
      <w:r w:rsidRPr="009002F0">
        <w:rPr>
          <w:rFonts w:ascii="Calibri" w:eastAsia="Malgun Gothic" w:hAnsi="Calibri" w:cs="Calibri"/>
          <w:color w:val="auto"/>
          <w:szCs w:val="22"/>
          <w:lang w:eastAsia="zh-CN"/>
        </w:rPr>
        <w:t xml:space="preserve">In sum, the presence of undocumented foreign workers in Malaysia is a result of many players, including employers, the migration system, and foreign workers themselves. Solving the undocumented foreign worker issue depends not only on the coordination within regulatory agencies, but also on better coordination of public and private sectors as well. Ongoing efforts to improve the immigration systems exist under the leadership of the MOHR. </w:t>
      </w:r>
    </w:p>
    <w:p w14:paraId="428371C1"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002345"/>
          <w:sz w:val="32"/>
          <w:szCs w:val="32"/>
          <w:lang w:eastAsia="ko-KR"/>
        </w:rPr>
      </w:pPr>
      <w:r w:rsidRPr="009002F0">
        <w:rPr>
          <w:rFonts w:ascii="Andes" w:eastAsia="Malgun Gothic" w:hAnsi="Andes" w:cs="Times New Roman"/>
          <w:color w:val="002345"/>
          <w:sz w:val="32"/>
          <w:szCs w:val="32"/>
          <w:lang w:eastAsia="ko-KR"/>
        </w:rPr>
        <w:br w:type="page"/>
      </w:r>
    </w:p>
    <w:p w14:paraId="47AFC371"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002345"/>
          <w:sz w:val="32"/>
          <w:szCs w:val="32"/>
          <w:lang w:eastAsia="ko-KR"/>
        </w:rPr>
      </w:pPr>
      <w:bookmarkStart w:id="42" w:name="_Toc4581519"/>
      <w:r w:rsidRPr="009002F0">
        <w:rPr>
          <w:rFonts w:ascii="Andes" w:eastAsia="Malgun Gothic" w:hAnsi="Andes" w:cs="Times New Roman"/>
          <w:b/>
          <w:color w:val="002345"/>
          <w:sz w:val="32"/>
          <w:szCs w:val="32"/>
          <w:lang w:eastAsia="ko-KR"/>
        </w:rPr>
        <w:lastRenderedPageBreak/>
        <w:t>Existing estimates of foreign workers</w:t>
      </w:r>
      <w:bookmarkEnd w:id="42"/>
      <w:r w:rsidRPr="009002F0">
        <w:rPr>
          <w:rFonts w:ascii="Andes" w:eastAsia="Malgun Gothic" w:hAnsi="Andes" w:cs="Times New Roman"/>
          <w:b/>
          <w:color w:val="002345"/>
          <w:sz w:val="32"/>
          <w:szCs w:val="32"/>
          <w:lang w:eastAsia="ko-KR"/>
        </w:rPr>
        <w:t xml:space="preserve"> </w:t>
      </w:r>
    </w:p>
    <w:p w14:paraId="3CE9A715"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lang w:eastAsia="ko-KR"/>
        </w:rPr>
      </w:pPr>
      <w:bookmarkStart w:id="43" w:name="_Toc4581520"/>
      <w:r w:rsidRPr="009002F0">
        <w:rPr>
          <w:rFonts w:ascii="Calibri" w:eastAsia="Malgun Gothic" w:hAnsi="Calibri" w:cs="Times New Roman"/>
          <w:color w:val="006068"/>
          <w:sz w:val="26"/>
          <w:szCs w:val="28"/>
          <w:u w:val="single"/>
          <w:lang w:eastAsia="ko-KR"/>
        </w:rPr>
        <w:t>3.1 The latest available estimates of foreign workers</w:t>
      </w:r>
      <w:bookmarkEnd w:id="43"/>
      <w:r w:rsidRPr="009002F0">
        <w:rPr>
          <w:rFonts w:ascii="Calibri" w:eastAsia="Malgun Gothic" w:hAnsi="Calibri" w:cs="Times New Roman"/>
          <w:color w:val="006068"/>
          <w:sz w:val="26"/>
          <w:szCs w:val="28"/>
          <w:u w:val="single"/>
          <w:lang w:eastAsia="ko-KR"/>
        </w:rPr>
        <w:t xml:space="preserve"> </w:t>
      </w:r>
    </w:p>
    <w:p w14:paraId="6ABBB315"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Official estimates suggest the number of foreign workers in Malaysia could be as high as three million. A wide range of estimates are provided by different government sources: 1.8 million as of December 2017 estimated by the Ministry of Home Affairs (MOHA), 2.26 million by the Labour Force Survey (2017), and 3.3 million by the Population and Demography Department of DOSM (2018). </w:t>
      </w:r>
    </w:p>
    <w:p w14:paraId="3DD22065"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Two factors may help explain these differences. First, definitions differ. As presented in </w:t>
      </w:r>
      <w:r w:rsidRPr="009002F0">
        <w:rPr>
          <w:rFonts w:ascii="Calibri" w:eastAsia="Malgun Gothic" w:hAnsi="Calibri" w:cs="Times New Roman"/>
          <w:lang w:eastAsia="ko-KR"/>
        </w:rPr>
        <w:fldChar w:fldCharType="begin" w:fldLock="1"/>
      </w:r>
      <w:r w:rsidRPr="009002F0">
        <w:rPr>
          <w:rFonts w:ascii="Calibri" w:eastAsia="Malgun Gothic" w:hAnsi="Calibri" w:cs="Times New Roman"/>
          <w:lang w:eastAsia="ko-KR"/>
        </w:rPr>
        <w:instrText xml:space="preserve"> REF _Ref535944439 \h  \* MERGEFORMAT </w:instrText>
      </w:r>
      <w:r w:rsidRPr="009002F0">
        <w:rPr>
          <w:rFonts w:ascii="Calibri" w:eastAsia="Malgun Gothic" w:hAnsi="Calibri" w:cs="Times New Roman"/>
          <w:lang w:eastAsia="ko-KR"/>
        </w:rPr>
      </w:r>
      <w:r w:rsidRPr="009002F0">
        <w:rPr>
          <w:rFonts w:ascii="Calibri" w:eastAsia="Malgun Gothic" w:hAnsi="Calibri" w:cs="Times New Roman"/>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3</w:t>
      </w:r>
      <w:r w:rsidRPr="009002F0">
        <w:rPr>
          <w:rFonts w:ascii="Calibri" w:eastAsia="Malgun Gothic" w:hAnsi="Calibri" w:cs="Times New Roman"/>
          <w:lang w:eastAsia="ko-KR"/>
        </w:rPr>
        <w:fldChar w:fldCharType="end"/>
      </w:r>
      <w:r w:rsidRPr="009002F0">
        <w:rPr>
          <w:rFonts w:ascii="Calibri" w:eastAsia="Malgun Gothic" w:hAnsi="Calibri" w:cs="Times New Roman"/>
          <w:color w:val="auto"/>
          <w:szCs w:val="22"/>
          <w:lang w:eastAsia="ko-KR"/>
        </w:rPr>
        <w:t xml:space="preserve">, the figures published by MOHA and MOHR cover only legally “documented” foreign workers under the VP(TE). DOSM figures, on the other hand, have a broader coverage: the LFS refers to “non-Malaysian citizens” in the labor force and therefore includes higher-skilled foreigners with employment passes, and the Population and Demography estimates cover both regular and irregular foreign workers, as well as high-skilled expatriates and their dependents as the non-citizen population is identified by the census questions on “place of birth” and “citizenship”. </w:t>
      </w:r>
    </w:p>
    <w:p w14:paraId="41318E85"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p>
    <w:p w14:paraId="25355744" w14:textId="77777777" w:rsidR="009002F0" w:rsidRPr="009002F0" w:rsidRDefault="009002F0" w:rsidP="009002F0">
      <w:pPr>
        <w:widowControl/>
        <w:autoSpaceDE/>
        <w:autoSpaceDN/>
        <w:adjustRightInd/>
        <w:spacing w:after="120"/>
        <w:rPr>
          <w:rFonts w:ascii="Calibri" w:eastAsia="Malgun Gothic" w:hAnsi="Calibri" w:cs="Times New Roman"/>
          <w:bCs/>
          <w:spacing w:val="4"/>
          <w:szCs w:val="22"/>
          <w:lang w:eastAsia="ko-KR"/>
        </w:rPr>
      </w:pPr>
      <w:bookmarkStart w:id="44" w:name="_Ref535944439"/>
      <w:bookmarkStart w:id="45" w:name="_Toc4581546"/>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3</w:t>
      </w:r>
      <w:r w:rsidRPr="009002F0">
        <w:rPr>
          <w:rFonts w:ascii="Calibri" w:eastAsia="Malgun Gothic" w:hAnsi="Calibri" w:cs="Times New Roman"/>
          <w:bCs/>
          <w:spacing w:val="4"/>
          <w:szCs w:val="20"/>
          <w:lang w:eastAsia="ko-KR"/>
        </w:rPr>
        <w:fldChar w:fldCharType="end"/>
      </w:r>
      <w:bookmarkEnd w:id="44"/>
      <w:r w:rsidRPr="009002F0">
        <w:rPr>
          <w:rFonts w:ascii="Calibri" w:eastAsia="Malgun Gothic" w:hAnsi="Calibri" w:cs="Times New Roman"/>
          <w:bCs/>
          <w:spacing w:val="4"/>
          <w:szCs w:val="20"/>
          <w:lang w:eastAsia="ko-KR"/>
        </w:rPr>
        <w:t>: Foreign worker estimates and associated definitions (2017)</w:t>
      </w:r>
      <w:bookmarkEnd w:id="45"/>
    </w:p>
    <w:tbl>
      <w:tblPr>
        <w:tblStyle w:val="TableGrid"/>
        <w:tblW w:w="0" w:type="auto"/>
        <w:tblLook w:val="04A0" w:firstRow="1" w:lastRow="0" w:firstColumn="1" w:lastColumn="0" w:noHBand="0" w:noVBand="1"/>
      </w:tblPr>
      <w:tblGrid>
        <w:gridCol w:w="1336"/>
        <w:gridCol w:w="2350"/>
        <w:gridCol w:w="2677"/>
        <w:gridCol w:w="2653"/>
      </w:tblGrid>
      <w:tr w:rsidR="009002F0" w:rsidRPr="009002F0" w14:paraId="235974A5" w14:textId="77777777" w:rsidTr="009002F0">
        <w:trPr>
          <w:trHeight w:val="720"/>
        </w:trPr>
        <w:tc>
          <w:tcPr>
            <w:tcW w:w="1345" w:type="dxa"/>
            <w:shd w:val="clear" w:color="auto" w:fill="006068"/>
            <w:vAlign w:val="center"/>
          </w:tcPr>
          <w:p w14:paraId="0A61821B"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FFFFFF"/>
                <w:szCs w:val="22"/>
              </w:rPr>
            </w:pPr>
            <w:r w:rsidRPr="009002F0">
              <w:rPr>
                <w:rFonts w:ascii="Calibri" w:eastAsia="Malgun Gothic" w:hAnsi="Calibri" w:cs="Times New Roman"/>
                <w:b/>
                <w:color w:val="FFFFFF"/>
                <w:szCs w:val="22"/>
              </w:rPr>
              <w:t>Agency</w:t>
            </w:r>
          </w:p>
        </w:tc>
        <w:tc>
          <w:tcPr>
            <w:tcW w:w="2395" w:type="dxa"/>
            <w:shd w:val="clear" w:color="auto" w:fill="006068"/>
            <w:vAlign w:val="center"/>
          </w:tcPr>
          <w:p w14:paraId="59C8F456"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FFFFFF"/>
                <w:szCs w:val="22"/>
              </w:rPr>
            </w:pPr>
            <w:r w:rsidRPr="009002F0">
              <w:rPr>
                <w:rFonts w:ascii="Calibri" w:eastAsia="Malgun Gothic" w:hAnsi="Calibri" w:cs="Times New Roman"/>
                <w:b/>
                <w:color w:val="FFFFFF"/>
                <w:szCs w:val="22"/>
              </w:rPr>
              <w:t>MOHA</w:t>
            </w:r>
          </w:p>
        </w:tc>
        <w:tc>
          <w:tcPr>
            <w:tcW w:w="2735" w:type="dxa"/>
            <w:shd w:val="clear" w:color="auto" w:fill="006068"/>
            <w:vAlign w:val="center"/>
          </w:tcPr>
          <w:p w14:paraId="0D527FBB"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FFFFFF"/>
                <w:szCs w:val="22"/>
              </w:rPr>
            </w:pPr>
            <w:r w:rsidRPr="009002F0">
              <w:rPr>
                <w:rFonts w:ascii="Calibri" w:eastAsia="Malgun Gothic" w:hAnsi="Calibri" w:cs="Times New Roman"/>
                <w:b/>
                <w:color w:val="FFFFFF"/>
                <w:szCs w:val="22"/>
              </w:rPr>
              <w:t>LFS (DOSM)</w:t>
            </w:r>
          </w:p>
        </w:tc>
        <w:tc>
          <w:tcPr>
            <w:tcW w:w="2700" w:type="dxa"/>
            <w:shd w:val="clear" w:color="auto" w:fill="006068"/>
            <w:vAlign w:val="center"/>
          </w:tcPr>
          <w:p w14:paraId="30FADF68"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b/>
                <w:color w:val="FFFFFF"/>
                <w:szCs w:val="22"/>
              </w:rPr>
            </w:pPr>
            <w:r w:rsidRPr="009002F0">
              <w:rPr>
                <w:rFonts w:ascii="Calibri" w:eastAsia="Malgun Gothic" w:hAnsi="Calibri" w:cs="Times New Roman"/>
                <w:b/>
                <w:color w:val="FFFFFF"/>
                <w:szCs w:val="22"/>
              </w:rPr>
              <w:t>Population and Demography (DOSM)</w:t>
            </w:r>
          </w:p>
        </w:tc>
      </w:tr>
      <w:tr w:rsidR="009002F0" w:rsidRPr="009002F0" w14:paraId="3132E4AE" w14:textId="77777777" w:rsidTr="009002F0">
        <w:trPr>
          <w:trHeight w:val="720"/>
        </w:trPr>
        <w:tc>
          <w:tcPr>
            <w:tcW w:w="1345" w:type="dxa"/>
            <w:vAlign w:val="center"/>
          </w:tcPr>
          <w:p w14:paraId="39DCABF1"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 xml:space="preserve">Estimates </w:t>
            </w:r>
          </w:p>
        </w:tc>
        <w:tc>
          <w:tcPr>
            <w:tcW w:w="2395" w:type="dxa"/>
            <w:vAlign w:val="center"/>
          </w:tcPr>
          <w:p w14:paraId="61BD19C3"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1.797 million</w:t>
            </w:r>
          </w:p>
        </w:tc>
        <w:tc>
          <w:tcPr>
            <w:tcW w:w="2735" w:type="dxa"/>
            <w:vAlign w:val="center"/>
          </w:tcPr>
          <w:p w14:paraId="2E92262F" w14:textId="77777777" w:rsidR="009002F0" w:rsidRPr="009002F0" w:rsidRDefault="009002F0" w:rsidP="009002F0">
            <w:pPr>
              <w:widowControl/>
              <w:autoSpaceDE/>
              <w:autoSpaceDN/>
              <w:adjustRightInd/>
              <w:spacing w:after="120" w:line="264" w:lineRule="auto"/>
              <w:jc w:val="center"/>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2.27 million</w:t>
            </w:r>
          </w:p>
        </w:tc>
        <w:tc>
          <w:tcPr>
            <w:tcW w:w="2700" w:type="dxa"/>
            <w:vAlign w:val="center"/>
          </w:tcPr>
          <w:p w14:paraId="37CF9278"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 xml:space="preserve">3.287 million (estimate of 2018 based on the 2010 census) </w:t>
            </w:r>
          </w:p>
        </w:tc>
      </w:tr>
      <w:tr w:rsidR="009002F0" w:rsidRPr="009002F0" w14:paraId="1DF29E38" w14:textId="77777777" w:rsidTr="009002F0">
        <w:trPr>
          <w:trHeight w:val="720"/>
        </w:trPr>
        <w:tc>
          <w:tcPr>
            <w:tcW w:w="1345" w:type="dxa"/>
            <w:vAlign w:val="center"/>
          </w:tcPr>
          <w:p w14:paraId="087BADF2"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Definition</w:t>
            </w:r>
          </w:p>
        </w:tc>
        <w:tc>
          <w:tcPr>
            <w:tcW w:w="2395" w:type="dxa"/>
            <w:vAlign w:val="center"/>
          </w:tcPr>
          <w:p w14:paraId="0BCCE260"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 xml:space="preserve">Foreign workers to whom a VP(TE) issued for the given year (VP subject to an annual renewal) (so-called ‘registered’ foreign workers) </w:t>
            </w:r>
          </w:p>
        </w:tc>
        <w:tc>
          <w:tcPr>
            <w:tcW w:w="2735" w:type="dxa"/>
            <w:vAlign w:val="center"/>
          </w:tcPr>
          <w:p w14:paraId="4E153EF6"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 xml:space="preserve">Non-citizen labor force, including irregular foreign workers but excluding tourists or foreign workers who do not reside in households (for example, hostels, labor camps). </w:t>
            </w:r>
          </w:p>
        </w:tc>
        <w:tc>
          <w:tcPr>
            <w:tcW w:w="2700" w:type="dxa"/>
            <w:vAlign w:val="center"/>
          </w:tcPr>
          <w:p w14:paraId="201D4527"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 xml:space="preserve">People who are not born in Malaysia including children, students, spouses of Malaysian citizens, and expatriates and their dependents.  </w:t>
            </w:r>
          </w:p>
        </w:tc>
      </w:tr>
    </w:tbl>
    <w:p w14:paraId="7FAC94E5"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Source: MOHA, MOHR, DOSM, and authors’ compilation </w:t>
      </w:r>
    </w:p>
    <w:p w14:paraId="1AD90B22" w14:textId="77777777" w:rsidR="009002F0" w:rsidRPr="009002F0" w:rsidRDefault="009002F0" w:rsidP="009002F0">
      <w:pPr>
        <w:widowControl/>
        <w:autoSpaceDE/>
        <w:autoSpaceDN/>
        <w:adjustRightInd/>
        <w:rPr>
          <w:rFonts w:ascii="Calibri" w:eastAsia="Calibri" w:hAnsi="Calibri" w:cs="Times New Roman"/>
          <w:b/>
          <w:color w:val="auto"/>
          <w:sz w:val="22"/>
          <w:szCs w:val="22"/>
        </w:rPr>
      </w:pPr>
    </w:p>
    <w:p w14:paraId="138CC73C" w14:textId="77777777" w:rsidR="009002F0" w:rsidRPr="009002F0" w:rsidRDefault="009002F0" w:rsidP="009002F0">
      <w:pPr>
        <w:widowControl/>
        <w:autoSpaceDE/>
        <w:autoSpaceDN/>
        <w:adjustRightInd/>
        <w:jc w:val="both"/>
        <w:rPr>
          <w:rFonts w:ascii="Calibri" w:eastAsia="Malgun Gothic" w:hAnsi="Calibri" w:cs="Times New Roman"/>
          <w:color w:val="auto"/>
          <w:lang w:eastAsia="ko-KR"/>
        </w:rPr>
      </w:pPr>
      <w:r w:rsidRPr="009002F0">
        <w:rPr>
          <w:rFonts w:ascii="Calibri" w:eastAsia="Calibri" w:hAnsi="Calibri" w:cs="Times New Roman"/>
          <w:color w:val="auto"/>
        </w:rPr>
        <w:t>Unofficial estimates of the total number of foreign workers tend to be much higher, ranging from 3.4 million to 5.5 million. The Institute of Labour Market Information Analysis (ILMIA) under MOHR attempted to estimate the number of foreign workers based on the number of foreign workers who subscribe the mandatory Foreign Workers Insurance Scheme. Measured that way, the average number of foreign workers during 2012-2016 was approximately 3.429 million, with higher concentrations in Selangor, Johor, and Sarawak states as official estimates suggest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_Ref535944669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5</w:t>
      </w:r>
      <w:r w:rsidRPr="009002F0">
        <w:rPr>
          <w:rFonts w:ascii="Calibri" w:eastAsia="Calibri" w:hAnsi="Calibri" w:cs="Times New Roman"/>
        </w:rPr>
        <w:fldChar w:fldCharType="end"/>
      </w:r>
      <w:r w:rsidRPr="009002F0">
        <w:rPr>
          <w:rFonts w:ascii="Calibri" w:eastAsia="Calibri" w:hAnsi="Calibri" w:cs="Times New Roman"/>
          <w:color w:val="auto"/>
        </w:rPr>
        <w:t xml:space="preserve">). </w:t>
      </w:r>
      <w:r w:rsidRPr="009002F0">
        <w:rPr>
          <w:rFonts w:ascii="Calibri" w:eastAsia="Calibri" w:hAnsi="Calibri" w:cs="Times New Roman"/>
          <w:noProof/>
          <w:color w:val="auto"/>
        </w:rPr>
        <w:t xml:space="preserve">Leng and Khor (2018) </w:t>
      </w:r>
      <w:r w:rsidRPr="009002F0">
        <w:rPr>
          <w:rFonts w:ascii="Calibri" w:eastAsia="Calibri" w:hAnsi="Calibri" w:cs="Times New Roman"/>
          <w:color w:val="auto"/>
        </w:rPr>
        <w:t xml:space="preserve">estimated a minimum number of foreign workers of about 3.85 million by multiplying the number of the employed in LFS 2016 by a share of foreign workers in each sector identified by National Employment Returns data (2016). They </w:t>
      </w:r>
      <w:r w:rsidRPr="009002F0">
        <w:rPr>
          <w:rFonts w:ascii="Calibri" w:eastAsia="Calibri" w:hAnsi="Calibri" w:cs="Times New Roman"/>
          <w:color w:val="auto"/>
        </w:rPr>
        <w:lastRenderedPageBreak/>
        <w:t xml:space="preserve">suggest that the actual total number of foreign workers could be around 5.5 million. </w:t>
      </w:r>
      <w:r w:rsidRPr="009002F0">
        <w:rPr>
          <w:rFonts w:ascii="Calibri" w:eastAsia="Malgun Gothic" w:hAnsi="Calibri" w:cs="Times New Roman"/>
          <w:color w:val="auto"/>
          <w:lang w:eastAsia="ko-KR"/>
        </w:rPr>
        <w:t xml:space="preserve">A Malaysia Parliament Discussion document (2016) suggested that the ratio of Malaysian citizens to foreign workers is 2.5:1. </w:t>
      </w:r>
    </w:p>
    <w:p w14:paraId="1AC3FEE6" w14:textId="77777777" w:rsidR="009002F0" w:rsidRPr="009002F0" w:rsidRDefault="009002F0" w:rsidP="009002F0">
      <w:pPr>
        <w:widowControl/>
        <w:autoSpaceDE/>
        <w:autoSpaceDN/>
        <w:adjustRightInd/>
        <w:jc w:val="both"/>
        <w:rPr>
          <w:rFonts w:ascii="Calibri" w:eastAsia="Calibri" w:hAnsi="Calibri" w:cs="Times New Roman"/>
          <w:color w:val="auto"/>
        </w:rPr>
      </w:pPr>
    </w:p>
    <w:p w14:paraId="6C167693" w14:textId="77777777" w:rsidR="009002F0" w:rsidRPr="009002F0" w:rsidRDefault="009002F0" w:rsidP="009002F0">
      <w:pPr>
        <w:widowControl/>
        <w:autoSpaceDE/>
        <w:autoSpaceDN/>
        <w:adjustRightInd/>
        <w:spacing w:after="120"/>
        <w:rPr>
          <w:rFonts w:ascii="Calibri" w:eastAsia="Malgun Gothic" w:hAnsi="Calibri" w:cs="Times New Roman"/>
          <w:bCs/>
          <w:spacing w:val="4"/>
          <w:szCs w:val="20"/>
          <w:lang w:eastAsia="ko-KR"/>
        </w:rPr>
      </w:pPr>
      <w:bookmarkStart w:id="46" w:name="_Ref535944669"/>
      <w:bookmarkStart w:id="47" w:name="_Toc4581557"/>
      <w:r w:rsidRPr="009002F0">
        <w:rPr>
          <w:rFonts w:ascii="Calibri" w:eastAsia="Malgun Gothic" w:hAnsi="Calibri" w:cs="Times New Roman"/>
          <w:bCs/>
          <w:spacing w:val="4"/>
          <w:szCs w:val="20"/>
          <w:lang w:eastAsia="ko-KR"/>
        </w:rPr>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5</w:t>
      </w:r>
      <w:r w:rsidRPr="009002F0">
        <w:rPr>
          <w:rFonts w:ascii="Calibri" w:eastAsia="Malgun Gothic" w:hAnsi="Calibri" w:cs="Times New Roman"/>
          <w:bCs/>
          <w:spacing w:val="4"/>
          <w:szCs w:val="20"/>
          <w:lang w:eastAsia="ko-KR"/>
        </w:rPr>
        <w:fldChar w:fldCharType="end"/>
      </w:r>
      <w:bookmarkEnd w:id="46"/>
      <w:r w:rsidRPr="009002F0">
        <w:rPr>
          <w:rFonts w:ascii="Calibri" w:eastAsia="Malgun Gothic" w:hAnsi="Calibri" w:cs="Times New Roman"/>
          <w:bCs/>
          <w:spacing w:val="4"/>
          <w:szCs w:val="20"/>
          <w:lang w:eastAsia="ko-KR"/>
        </w:rPr>
        <w:t>: Estimate of foreign worker distribution by state</w:t>
      </w:r>
      <w:bookmarkEnd w:id="47"/>
      <w:r w:rsidRPr="009002F0">
        <w:rPr>
          <w:rFonts w:ascii="Calibri" w:eastAsia="Malgun Gothic" w:hAnsi="Calibri" w:cs="Times New Roman"/>
          <w:bCs/>
          <w:spacing w:val="4"/>
          <w:szCs w:val="20"/>
          <w:lang w:eastAsia="ko-KR"/>
        </w:rPr>
        <w:t xml:space="preserve"> </w:t>
      </w:r>
    </w:p>
    <w:p w14:paraId="34CFC802" w14:textId="77777777" w:rsidR="009002F0" w:rsidRPr="009002F0" w:rsidRDefault="009002F0" w:rsidP="009002F0">
      <w:pPr>
        <w:widowControl/>
        <w:autoSpaceDE/>
        <w:autoSpaceDN/>
        <w:adjustRightInd/>
        <w:spacing w:after="120"/>
        <w:rPr>
          <w:rFonts w:ascii="Calibri" w:eastAsia="Calibri" w:hAnsi="Calibri" w:cs="Times New Roman"/>
          <w:bCs/>
          <w:color w:val="595959"/>
          <w:spacing w:val="4"/>
        </w:rPr>
      </w:pPr>
      <w:r w:rsidRPr="009002F0">
        <w:rPr>
          <w:rFonts w:ascii="Calibri" w:eastAsia="Malgun Gothic" w:hAnsi="Calibri" w:cs="Times New Roman"/>
          <w:bCs/>
          <w:noProof/>
          <w:color w:val="595959"/>
          <w:spacing w:val="4"/>
          <w:szCs w:val="20"/>
          <w:lang w:eastAsia="ko-KR"/>
        </w:rPr>
        <w:drawing>
          <wp:inline distT="0" distB="0" distL="0" distR="0" wp14:anchorId="65F44B37" wp14:editId="67F66A13">
            <wp:extent cx="5905500" cy="2868386"/>
            <wp:effectExtent l="0" t="0" r="0" b="8255"/>
            <wp:docPr id="29" name="Chart 29">
              <a:extLst xmlns:a="http://schemas.openxmlformats.org/drawingml/2006/main">
                <a:ext uri="{FF2B5EF4-FFF2-40B4-BE49-F238E27FC236}">
                  <a16:creationId xmlns:a16="http://schemas.microsoft.com/office/drawing/2014/main" id="{85DA4F7C-58A2-433C-AB05-96C044B36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38D011" w14:textId="77777777" w:rsidR="009002F0" w:rsidRPr="009002F0" w:rsidRDefault="009002F0" w:rsidP="009002F0">
      <w:pPr>
        <w:widowControl/>
        <w:autoSpaceDE/>
        <w:autoSpaceDN/>
        <w:adjustRightInd/>
        <w:rPr>
          <w:rFonts w:ascii="Calibri" w:eastAsia="Calibri" w:hAnsi="Calibri" w:cs="Times New Roman"/>
          <w:color w:val="auto"/>
          <w:sz w:val="20"/>
        </w:rPr>
      </w:pPr>
      <w:r w:rsidRPr="009002F0">
        <w:rPr>
          <w:rFonts w:ascii="Calibri" w:eastAsia="Calibri" w:hAnsi="Calibri" w:cs="Times New Roman"/>
          <w:color w:val="auto"/>
          <w:sz w:val="20"/>
        </w:rPr>
        <w:t>Source: ILMIA 2018</w:t>
      </w:r>
    </w:p>
    <w:p w14:paraId="7892DFC2" w14:textId="77777777" w:rsidR="009002F0" w:rsidRPr="009002F0" w:rsidRDefault="009002F0" w:rsidP="009002F0">
      <w:pPr>
        <w:widowControl/>
        <w:autoSpaceDE/>
        <w:autoSpaceDN/>
        <w:adjustRightInd/>
        <w:rPr>
          <w:rFonts w:ascii="Calibri" w:eastAsia="Calibri" w:hAnsi="Calibri" w:cs="Times New Roman"/>
          <w:color w:val="auto"/>
          <w:sz w:val="22"/>
          <w:szCs w:val="22"/>
        </w:rPr>
      </w:pPr>
    </w:p>
    <w:p w14:paraId="359F0F89"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48" w:name="_Toc4581521"/>
      <w:r w:rsidRPr="009002F0">
        <w:rPr>
          <w:rFonts w:ascii="Calibri" w:eastAsia="Malgun Gothic" w:hAnsi="Calibri" w:cs="Times New Roman"/>
          <w:color w:val="006068"/>
          <w:sz w:val="26"/>
          <w:szCs w:val="28"/>
          <w:u w:val="single"/>
        </w:rPr>
        <w:t>3.2 Trends and stylized facts of foreign workers</w:t>
      </w:r>
      <w:bookmarkEnd w:id="48"/>
      <w:r w:rsidRPr="009002F0">
        <w:rPr>
          <w:rFonts w:ascii="Calibri" w:eastAsia="Malgun Gothic" w:hAnsi="Calibri" w:cs="Times New Roman"/>
          <w:color w:val="006068"/>
          <w:sz w:val="26"/>
          <w:szCs w:val="28"/>
          <w:u w:val="single"/>
        </w:rPr>
        <w:t xml:space="preserve"> </w:t>
      </w:r>
    </w:p>
    <w:p w14:paraId="3223D090" w14:textId="77777777" w:rsidR="009002F0" w:rsidRPr="009002F0" w:rsidRDefault="009002F0" w:rsidP="009002F0">
      <w:pPr>
        <w:widowControl/>
        <w:autoSpaceDE/>
        <w:autoSpaceDN/>
        <w:adjustRightInd/>
        <w:jc w:val="both"/>
        <w:rPr>
          <w:rFonts w:ascii="Calibri" w:eastAsia="Calibri" w:hAnsi="Calibri" w:cs="Times New Roman"/>
          <w:szCs w:val="22"/>
        </w:rPr>
      </w:pPr>
      <w:r w:rsidRPr="009002F0">
        <w:rPr>
          <w:rFonts w:ascii="Calibri" w:eastAsia="Calibri" w:hAnsi="Calibri" w:cs="Times New Roman"/>
          <w:szCs w:val="22"/>
        </w:rPr>
        <w:t>MOHA’s administrative data offer a glimpse of trends and stylized facts regarding foreign workers. According to this source, after peaking at 2.25 million in 2013, the number of foreign workers has been declining, hovering around 1.8 million during 2016–2017. The jump in 2013 is largely attributable to the legalization of irregular foreign workers through the “6P” regularization program. Although lower than the 2013 peak, the number of foreign workers in 2017 was approximately 30 percent higher than the total in 2011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_Ref536568088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6</w:t>
      </w:r>
      <w:r w:rsidRPr="009002F0">
        <w:rPr>
          <w:rFonts w:ascii="Calibri" w:eastAsia="Calibri" w:hAnsi="Calibri" w:cs="Times New Roman"/>
        </w:rPr>
        <w:fldChar w:fldCharType="end"/>
      </w:r>
      <w:r w:rsidRPr="009002F0">
        <w:rPr>
          <w:rFonts w:ascii="Calibri" w:eastAsia="Calibri" w:hAnsi="Calibri" w:cs="Times New Roman"/>
          <w:szCs w:val="22"/>
        </w:rPr>
        <w:t xml:space="preserve">).         </w:t>
      </w:r>
    </w:p>
    <w:p w14:paraId="2304FD54" w14:textId="77777777" w:rsidR="009002F0" w:rsidRPr="009002F0" w:rsidRDefault="009002F0" w:rsidP="009002F0">
      <w:pPr>
        <w:widowControl/>
        <w:autoSpaceDE/>
        <w:autoSpaceDN/>
        <w:adjustRightInd/>
        <w:spacing w:after="120" w:line="264" w:lineRule="auto"/>
        <w:rPr>
          <w:rFonts w:ascii="Calibri" w:eastAsia="Malgun Gothic" w:hAnsi="Calibri" w:cs="Times New Roman"/>
          <w:bCs/>
          <w:spacing w:val="4"/>
          <w:szCs w:val="20"/>
          <w:lang w:eastAsia="ko-KR"/>
        </w:rPr>
      </w:pPr>
      <w:r w:rsidRPr="009002F0">
        <w:rPr>
          <w:rFonts w:ascii="Calibri" w:eastAsia="Malgun Gothic" w:hAnsi="Calibri" w:cs="Times New Roman"/>
          <w:sz w:val="20"/>
          <w:szCs w:val="20"/>
          <w:lang w:eastAsia="ko-KR"/>
        </w:rPr>
        <w:br w:type="page"/>
      </w:r>
    </w:p>
    <w:p w14:paraId="11775144" w14:textId="77777777" w:rsidR="009002F0" w:rsidRPr="009002F0" w:rsidRDefault="009002F0" w:rsidP="009002F0">
      <w:pPr>
        <w:widowControl/>
        <w:autoSpaceDE/>
        <w:autoSpaceDN/>
        <w:adjustRightInd/>
        <w:spacing w:after="120"/>
        <w:rPr>
          <w:rFonts w:ascii="Calibri" w:eastAsia="Calibri" w:hAnsi="Calibri" w:cs="Times New Roman"/>
          <w:bCs/>
          <w:color w:val="00B0F0"/>
          <w:spacing w:val="4"/>
          <w:szCs w:val="22"/>
          <w14:textOutline w14:w="9525" w14:cap="rnd" w14:cmpd="sng" w14:algn="ctr">
            <w14:solidFill>
              <w14:srgbClr w14:val="4472C4"/>
            </w14:solidFill>
            <w14:prstDash w14:val="solid"/>
            <w14:bevel/>
          </w14:textOutline>
        </w:rPr>
      </w:pPr>
      <w:bookmarkStart w:id="49" w:name="_Ref536568088"/>
      <w:bookmarkStart w:id="50" w:name="_Toc4581558"/>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6</w:t>
      </w:r>
      <w:r w:rsidRPr="009002F0">
        <w:rPr>
          <w:rFonts w:ascii="Calibri" w:eastAsia="Malgun Gothic" w:hAnsi="Calibri" w:cs="Times New Roman"/>
          <w:bCs/>
          <w:spacing w:val="4"/>
          <w:szCs w:val="20"/>
          <w:lang w:eastAsia="ko-KR"/>
        </w:rPr>
        <w:fldChar w:fldCharType="end"/>
      </w:r>
      <w:bookmarkEnd w:id="49"/>
      <w:r w:rsidRPr="009002F0">
        <w:rPr>
          <w:rFonts w:ascii="Calibri" w:eastAsia="Malgun Gothic" w:hAnsi="Calibri" w:cs="Times New Roman"/>
          <w:bCs/>
          <w:spacing w:val="4"/>
          <w:szCs w:val="20"/>
          <w:lang w:eastAsia="ko-KR"/>
        </w:rPr>
        <w:t>: Number of foreign workers from 2011 to 2017</w:t>
      </w:r>
      <w:bookmarkEnd w:id="50"/>
      <w:r w:rsidRPr="009002F0">
        <w:rPr>
          <w:rFonts w:ascii="Calibri" w:eastAsia="Calibri" w:hAnsi="Calibri" w:cs="Times New Roman"/>
          <w:bCs/>
          <w:spacing w:val="4"/>
          <w:szCs w:val="22"/>
        </w:rPr>
        <w:t xml:space="preserve"> </w:t>
      </w:r>
    </w:p>
    <w:p w14:paraId="297557B3" w14:textId="77777777" w:rsidR="009002F0" w:rsidRPr="009002F0" w:rsidRDefault="009002F0" w:rsidP="009002F0">
      <w:pPr>
        <w:widowControl/>
        <w:autoSpaceDE/>
        <w:autoSpaceDN/>
        <w:adjustRightInd/>
        <w:rPr>
          <w:rFonts w:ascii="Calibri" w:eastAsia="Calibri" w:hAnsi="Calibri" w:cs="Times New Roman"/>
          <w:color w:val="auto"/>
          <w:sz w:val="22"/>
          <w:szCs w:val="22"/>
        </w:rPr>
      </w:pPr>
      <w:r w:rsidRPr="009002F0">
        <w:rPr>
          <w:rFonts w:ascii="Calibri" w:eastAsia="Malgun Gothic" w:hAnsi="Calibri" w:cs="Times New Roman"/>
          <w:noProof/>
          <w:color w:val="auto"/>
          <w:sz w:val="20"/>
          <w:szCs w:val="20"/>
          <w:lang w:eastAsia="ko-KR"/>
        </w:rPr>
        <w:drawing>
          <wp:inline distT="0" distB="0" distL="0" distR="0" wp14:anchorId="735046B9" wp14:editId="69B60FA8">
            <wp:extent cx="5937250" cy="2867025"/>
            <wp:effectExtent l="0" t="0" r="6350" b="9525"/>
            <wp:docPr id="33" name="Chart 33">
              <a:extLst xmlns:a="http://schemas.openxmlformats.org/drawingml/2006/main">
                <a:ext uri="{FF2B5EF4-FFF2-40B4-BE49-F238E27FC236}">
                  <a16:creationId xmlns:a16="http://schemas.microsoft.com/office/drawing/2014/main" id="{67A8990C-848F-40F3-8C5D-0646A51C2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B23822" w14:textId="77777777" w:rsidR="009002F0" w:rsidRPr="009002F0" w:rsidRDefault="009002F0" w:rsidP="009002F0">
      <w:pPr>
        <w:widowControl/>
        <w:autoSpaceDE/>
        <w:autoSpaceDN/>
        <w:adjustRightInd/>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Source: MOHA. </w:t>
      </w:r>
    </w:p>
    <w:p w14:paraId="71203C7A" w14:textId="77777777" w:rsidR="009002F0" w:rsidRPr="009002F0" w:rsidRDefault="009002F0" w:rsidP="009002F0">
      <w:pPr>
        <w:widowControl/>
        <w:autoSpaceDE/>
        <w:autoSpaceDN/>
        <w:adjustRightInd/>
        <w:rPr>
          <w:rFonts w:ascii="Calibri" w:eastAsia="Calibri" w:hAnsi="Calibri" w:cs="Times New Roman"/>
          <w:color w:val="auto"/>
          <w:sz w:val="20"/>
          <w:szCs w:val="22"/>
        </w:rPr>
      </w:pPr>
      <w:r w:rsidRPr="009002F0">
        <w:rPr>
          <w:rFonts w:ascii="Calibri" w:eastAsia="Calibri" w:hAnsi="Calibri" w:cs="Times New Roman"/>
          <w:color w:val="auto"/>
          <w:sz w:val="20"/>
          <w:szCs w:val="22"/>
        </w:rPr>
        <w:t>Note: Number of foreign workers (LHS); Changes in the number of foreign workers (RHS)</w:t>
      </w:r>
    </w:p>
    <w:p w14:paraId="7CBD0323" w14:textId="77777777" w:rsidR="009002F0" w:rsidRPr="009002F0" w:rsidRDefault="009002F0" w:rsidP="009002F0">
      <w:pPr>
        <w:widowControl/>
        <w:autoSpaceDE/>
        <w:autoSpaceDN/>
        <w:adjustRightInd/>
        <w:rPr>
          <w:rFonts w:ascii="Calibri" w:eastAsia="Calibri" w:hAnsi="Calibri" w:cs="Times New Roman"/>
          <w:color w:val="auto"/>
          <w:sz w:val="22"/>
          <w:szCs w:val="22"/>
        </w:rPr>
      </w:pPr>
    </w:p>
    <w:p w14:paraId="7A2E486D" w14:textId="77777777" w:rsidR="009002F0" w:rsidRPr="009002F0" w:rsidRDefault="009002F0" w:rsidP="009002F0">
      <w:pPr>
        <w:widowControl/>
        <w:autoSpaceDE/>
        <w:autoSpaceDN/>
        <w:adjustRightInd/>
        <w:jc w:val="both"/>
        <w:rPr>
          <w:rFonts w:ascii="Calibri" w:eastAsia="Calibri" w:hAnsi="Calibri" w:cs="Times New Roman"/>
        </w:rPr>
      </w:pP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_Ref535946021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7</w:t>
      </w:r>
      <w:r w:rsidRPr="009002F0">
        <w:rPr>
          <w:rFonts w:ascii="Calibri" w:eastAsia="Calibri" w:hAnsi="Calibri" w:cs="Times New Roman"/>
        </w:rPr>
        <w:fldChar w:fldCharType="end"/>
      </w:r>
      <w:r w:rsidRPr="009002F0">
        <w:rPr>
          <w:rFonts w:ascii="Calibri" w:eastAsia="Calibri" w:hAnsi="Calibri" w:cs="Times New Roman"/>
        </w:rPr>
        <w:t xml:space="preserve"> to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_Ref535946033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12</w:t>
      </w:r>
      <w:r w:rsidRPr="009002F0">
        <w:rPr>
          <w:rFonts w:ascii="Calibri" w:eastAsia="Calibri" w:hAnsi="Calibri" w:cs="Times New Roman"/>
        </w:rPr>
        <w:fldChar w:fldCharType="end"/>
      </w:r>
      <w:r w:rsidRPr="009002F0">
        <w:rPr>
          <w:rFonts w:ascii="Calibri" w:eastAsia="Calibri" w:hAnsi="Calibri" w:cs="Times New Roman"/>
        </w:rPr>
        <w:t xml:space="preserve"> depict salient features of foreign workers: by nationality, gender, state, sector, occupation, as well as salary of foreign workers by occupation type. Indonesians make up 40 percent of Malaysia’s total foreign worker population, followed by Nepalese (22 percent) and Bangladeshis (14 percent)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_Ref535946021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7</w:t>
      </w:r>
      <w:r w:rsidRPr="009002F0">
        <w:rPr>
          <w:rFonts w:ascii="Calibri" w:eastAsia="Calibri" w:hAnsi="Calibri" w:cs="Times New Roman"/>
        </w:rPr>
        <w:fldChar w:fldCharType="end"/>
      </w:r>
      <w:r w:rsidRPr="009002F0">
        <w:rPr>
          <w:rFonts w:ascii="Calibri" w:eastAsia="Calibri" w:hAnsi="Calibri" w:cs="Times New Roman"/>
        </w:rPr>
        <w:t>).  Females account for only 20 percent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_Ref535949468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8</w:t>
      </w:r>
      <w:r w:rsidRPr="009002F0">
        <w:rPr>
          <w:rFonts w:ascii="Calibri" w:eastAsia="Calibri" w:hAnsi="Calibri" w:cs="Times New Roman"/>
        </w:rPr>
        <w:fldChar w:fldCharType="end"/>
      </w:r>
      <w:r w:rsidRPr="009002F0">
        <w:rPr>
          <w:rFonts w:ascii="Calibri" w:eastAsia="Calibri" w:hAnsi="Calibri" w:cs="Times New Roman"/>
        </w:rPr>
        <w:t>). MOHR data show that more than half of the registered foreign workers reside in the three states of Selangor (30 percent), Johor (18 percent) and WP Kuala Lumpur (15 percent)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_Ref535949504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9</w:t>
      </w:r>
      <w:r w:rsidRPr="009002F0">
        <w:rPr>
          <w:rFonts w:ascii="Calibri" w:eastAsia="Calibri" w:hAnsi="Calibri" w:cs="Times New Roman"/>
        </w:rPr>
        <w:fldChar w:fldCharType="end"/>
      </w:r>
      <w:r w:rsidRPr="009002F0">
        <w:rPr>
          <w:rFonts w:ascii="Calibri" w:eastAsia="Calibri" w:hAnsi="Calibri" w:cs="Times New Roman"/>
        </w:rPr>
        <w:t>). This is a departure from what the LFS 2016 presents, which is Sabah is the most common destination, followed by Selangor and Johor, potentially indicating the high presence of irregular foreign workers in Sabah.</w:t>
      </w:r>
      <w:r w:rsidRPr="009002F0">
        <w:rPr>
          <w:rFonts w:ascii="ZWAdobeF" w:eastAsia="Calibri" w:hAnsi="ZWAdobeF" w:cs="ZWAdobeF"/>
          <w:color w:val="auto"/>
          <w:sz w:val="2"/>
          <w:szCs w:val="2"/>
        </w:rPr>
        <w:t>21F</w:t>
      </w:r>
      <w:r w:rsidRPr="009002F0">
        <w:rPr>
          <w:rFonts w:ascii="Calibri" w:eastAsia="Calibri" w:hAnsi="Calibri" w:cs="Times New Roman"/>
          <w:vertAlign w:val="superscript"/>
        </w:rPr>
        <w:footnoteReference w:id="22"/>
      </w:r>
      <w:r w:rsidRPr="009002F0">
        <w:rPr>
          <w:rFonts w:ascii="Calibri" w:eastAsia="Calibri" w:hAnsi="Calibri" w:cs="Times New Roman"/>
        </w:rPr>
        <w:t xml:space="preserve"> Foreign domestic helpers account for only 7 percent of the total foreign worker population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_Ref535949554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10</w:t>
      </w:r>
      <w:r w:rsidRPr="009002F0">
        <w:rPr>
          <w:rFonts w:ascii="Calibri" w:eastAsia="Calibri" w:hAnsi="Calibri" w:cs="Times New Roman"/>
        </w:rPr>
        <w:fldChar w:fldCharType="end"/>
      </w:r>
      <w:r w:rsidRPr="009002F0">
        <w:rPr>
          <w:rFonts w:ascii="Calibri" w:eastAsia="Calibri" w:hAnsi="Calibri" w:cs="Times New Roman"/>
        </w:rPr>
        <w:t>). Foreign workers tend to have elementary jobs or machine operating occupations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_Ref535949683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11</w:t>
      </w:r>
      <w:r w:rsidRPr="009002F0">
        <w:rPr>
          <w:rFonts w:ascii="Calibri" w:eastAsia="Calibri" w:hAnsi="Calibri" w:cs="Times New Roman"/>
        </w:rPr>
        <w:fldChar w:fldCharType="end"/>
      </w:r>
      <w:r w:rsidRPr="009002F0">
        <w:rPr>
          <w:rFonts w:ascii="Calibri" w:eastAsia="Calibri" w:hAnsi="Calibri" w:cs="Times New Roman"/>
        </w:rPr>
        <w:t xml:space="preserve">) and are concentrated in the manufacturing (36 percent), construction (19 percent), plantation (15 percent), and services (14 percent) sectors and sub-sectors. </w:t>
      </w:r>
    </w:p>
    <w:p w14:paraId="5C9D8165"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2179ED04" w14:textId="77777777" w:rsidR="009002F0" w:rsidRPr="009002F0" w:rsidRDefault="009002F0" w:rsidP="009002F0">
      <w:pPr>
        <w:widowControl/>
        <w:autoSpaceDE/>
        <w:autoSpaceDN/>
        <w:adjustRightInd/>
        <w:jc w:val="both"/>
        <w:rPr>
          <w:rFonts w:ascii="Calibri" w:eastAsia="Calibri" w:hAnsi="Calibri" w:cs="Times New Roman"/>
          <w:color w:val="auto"/>
        </w:rPr>
      </w:pPr>
      <w:r w:rsidRPr="009002F0">
        <w:rPr>
          <w:rFonts w:ascii="Calibri" w:eastAsia="Calibri" w:hAnsi="Calibri" w:cs="Times New Roman"/>
          <w:color w:val="auto"/>
          <w:szCs w:val="22"/>
        </w:rPr>
        <w:t xml:space="preserve">Foreign workers’ monthly salaries tend to be lower than those of their native counterparts in general, and appeared to range between RM 1,200 (US$289) and RM 970 ($234) in 2016 (measured by median salaries for different occupations, </w:t>
      </w:r>
      <w:r w:rsidRPr="009002F0">
        <w:rPr>
          <w:rFonts w:ascii="Calibri" w:eastAsia="Calibri" w:hAnsi="Calibri" w:cs="Times New Roman"/>
          <w:color w:val="auto"/>
        </w:rPr>
        <w:fldChar w:fldCharType="begin" w:fldLock="1"/>
      </w:r>
      <w:r w:rsidRPr="009002F0">
        <w:rPr>
          <w:rFonts w:ascii="Calibri" w:eastAsia="Calibri" w:hAnsi="Calibri" w:cs="Times New Roman"/>
          <w:color w:val="auto"/>
        </w:rPr>
        <w:instrText xml:space="preserve"> REF _Ref535946033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12</w:t>
      </w:r>
      <w:r w:rsidRPr="009002F0">
        <w:rPr>
          <w:rFonts w:ascii="Calibri" w:eastAsia="Calibri" w:hAnsi="Calibri" w:cs="Times New Roman"/>
          <w:color w:val="auto"/>
        </w:rPr>
        <w:fldChar w:fldCharType="end"/>
      </w:r>
      <w:r w:rsidRPr="009002F0">
        <w:rPr>
          <w:rFonts w:ascii="Calibri" w:eastAsia="Calibri" w:hAnsi="Calibri" w:cs="Times New Roman"/>
          <w:color w:val="auto"/>
          <w:szCs w:val="22"/>
        </w:rPr>
        <w:t>). The Malaysian Employment Federation (MEF) Survey on the management of foreign workers in 2016 on the other hand reports that approximately 81 percent of the 210 MEF member firms confirmed that they paid their workers at least the minimum wage, and that the average monthly basic salary of foreign workers ranges from RM1,200 to RM1,758 (US$424)</w:t>
      </w:r>
      <w:r w:rsidRPr="009002F0">
        <w:rPr>
          <w:rFonts w:ascii="ZWAdobeF" w:eastAsia="Calibri" w:hAnsi="ZWAdobeF" w:cs="ZWAdobeF"/>
          <w:color w:val="auto"/>
          <w:sz w:val="2"/>
          <w:szCs w:val="2"/>
        </w:rPr>
        <w:t>22F</w:t>
      </w:r>
      <w:r w:rsidRPr="009002F0">
        <w:rPr>
          <w:rFonts w:ascii="Calibri" w:eastAsia="Calibri" w:hAnsi="Calibri" w:cs="Times New Roman"/>
          <w:color w:val="auto"/>
          <w:szCs w:val="22"/>
          <w:vertAlign w:val="superscript"/>
        </w:rPr>
        <w:footnoteReference w:id="23"/>
      </w:r>
      <w:r w:rsidRPr="009002F0">
        <w:rPr>
          <w:rFonts w:ascii="Calibri" w:eastAsia="Calibri" w:hAnsi="Calibri" w:cs="Times New Roman"/>
          <w:color w:val="auto"/>
          <w:szCs w:val="22"/>
        </w:rPr>
        <w:t xml:space="preserve">, depending on the length of employment (MEF, 2016). The MEF estimates may have an upward bias, as the MEF Survey tends to capture a smaller proportion of SMEs and a larger proportion of large firms, </w:t>
      </w:r>
      <w:r w:rsidRPr="009002F0">
        <w:rPr>
          <w:rFonts w:ascii="Calibri" w:eastAsia="Calibri" w:hAnsi="Calibri" w:cs="Times New Roman"/>
          <w:color w:val="auto"/>
          <w:szCs w:val="22"/>
        </w:rPr>
        <w:lastRenderedPageBreak/>
        <w:t>which may be more likely to comply with immigration regulations</w:t>
      </w:r>
      <w:r w:rsidRPr="009002F0">
        <w:rPr>
          <w:rFonts w:ascii="Calibri" w:eastAsia="Calibri" w:hAnsi="Calibri" w:cs="Times New Roman"/>
          <w:color w:val="auto"/>
        </w:rPr>
        <w:t xml:space="preserve">. The KNOMAD survey respondents reported lower amounts – earning an average of US$354 per month (in 2014 US dollars).  </w:t>
      </w:r>
    </w:p>
    <w:p w14:paraId="5D866674" w14:textId="77777777" w:rsidR="009002F0" w:rsidRPr="009002F0" w:rsidRDefault="009002F0" w:rsidP="009002F0">
      <w:pPr>
        <w:widowControl/>
        <w:autoSpaceDE/>
        <w:autoSpaceDN/>
        <w:adjustRightInd/>
        <w:rPr>
          <w:rFonts w:ascii="Calibri" w:eastAsia="Calibri" w:hAnsi="Calibri" w:cs="Times New Roman"/>
          <w:color w:val="auto"/>
        </w:rPr>
      </w:pPr>
      <w:r w:rsidRPr="009002F0">
        <w:rPr>
          <w:rFonts w:ascii="Calibri" w:eastAsia="Calibri" w:hAnsi="Calibri" w:cs="Times New Roman"/>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9002F0" w:rsidRPr="009002F0" w14:paraId="5632EED6" w14:textId="77777777" w:rsidTr="00CE1943">
        <w:tc>
          <w:tcPr>
            <w:tcW w:w="4527" w:type="dxa"/>
          </w:tcPr>
          <w:p w14:paraId="08154C3B" w14:textId="77777777" w:rsidR="009002F0" w:rsidRPr="009002F0" w:rsidRDefault="009002F0" w:rsidP="009002F0">
            <w:pPr>
              <w:widowControl/>
              <w:autoSpaceDE/>
              <w:autoSpaceDN/>
              <w:adjustRightInd/>
              <w:spacing w:after="120"/>
              <w:rPr>
                <w:rFonts w:ascii="Calibri" w:eastAsia="Calibri" w:hAnsi="Calibri" w:cs="Times New Roman"/>
                <w:bCs/>
                <w:spacing w:val="4"/>
              </w:rPr>
            </w:pPr>
            <w:bookmarkStart w:id="51" w:name="_Ref535946021"/>
            <w:bookmarkStart w:id="52" w:name="_Toc4581559"/>
            <w:r w:rsidRPr="009002F0">
              <w:rPr>
                <w:rFonts w:ascii="Calibri" w:eastAsia="Malgun Gothic" w:hAnsi="Calibri" w:cs="Times New Roman"/>
                <w:bCs/>
                <w:spacing w:val="4"/>
                <w:szCs w:val="20"/>
              </w:rPr>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7</w:t>
            </w:r>
            <w:r w:rsidRPr="009002F0">
              <w:rPr>
                <w:rFonts w:ascii="Calibri" w:eastAsia="Malgun Gothic" w:hAnsi="Calibri" w:cs="Times New Roman"/>
                <w:bCs/>
                <w:spacing w:val="4"/>
                <w:szCs w:val="20"/>
              </w:rPr>
              <w:fldChar w:fldCharType="end"/>
            </w:r>
            <w:bookmarkEnd w:id="51"/>
            <w:r w:rsidRPr="009002F0">
              <w:rPr>
                <w:rFonts w:ascii="Calibri" w:eastAsia="Malgun Gothic" w:hAnsi="Calibri" w:cs="Times New Roman"/>
                <w:bCs/>
                <w:spacing w:val="4"/>
                <w:szCs w:val="20"/>
              </w:rPr>
              <w:t>: Number of foreign workers by country of origin</w:t>
            </w:r>
            <w:bookmarkEnd w:id="52"/>
            <w:r w:rsidRPr="009002F0">
              <w:rPr>
                <w:rFonts w:ascii="Calibri" w:eastAsia="Malgun Gothic" w:hAnsi="Calibri" w:cs="Times New Roman"/>
                <w:bCs/>
                <w:spacing w:val="4"/>
                <w:szCs w:val="20"/>
              </w:rPr>
              <w:t xml:space="preserve"> </w:t>
            </w:r>
          </w:p>
          <w:p w14:paraId="341A2FFA" w14:textId="77777777" w:rsidR="009002F0" w:rsidRPr="009002F0" w:rsidRDefault="009002F0" w:rsidP="009002F0">
            <w:pPr>
              <w:widowControl/>
              <w:autoSpaceDE/>
              <w:autoSpaceDN/>
              <w:adjustRightInd/>
              <w:spacing w:after="120" w:line="264" w:lineRule="auto"/>
              <w:rPr>
                <w:rFonts w:ascii="Calibri" w:eastAsia="Calibri" w:hAnsi="Calibri" w:cs="Times New Roman"/>
              </w:rPr>
            </w:pPr>
            <w:r w:rsidRPr="009002F0">
              <w:rPr>
                <w:rFonts w:ascii="Calibri" w:eastAsia="Calibri" w:hAnsi="Calibri" w:cs="Times New Roman"/>
              </w:rPr>
              <w:t xml:space="preserve">(number of foreign workers, 2018) </w:t>
            </w:r>
          </w:p>
          <w:p w14:paraId="6BAF5AAA" w14:textId="77777777" w:rsidR="009002F0" w:rsidRPr="009002F0" w:rsidRDefault="009002F0" w:rsidP="009002F0">
            <w:pPr>
              <w:widowControl/>
              <w:autoSpaceDE/>
              <w:autoSpaceDN/>
              <w:adjustRightInd/>
              <w:spacing w:after="120" w:line="264" w:lineRule="auto"/>
              <w:rPr>
                <w:rFonts w:ascii="Calibri" w:eastAsia="Calibri" w:hAnsi="Calibri" w:cs="Times New Roman"/>
              </w:rPr>
            </w:pPr>
            <w:r w:rsidRPr="009002F0">
              <w:rPr>
                <w:rFonts w:ascii="Calibri" w:eastAsia="Malgun Gothic" w:hAnsi="Calibri" w:cs="Times New Roman"/>
                <w:noProof/>
                <w:color w:val="auto"/>
                <w:sz w:val="20"/>
                <w:szCs w:val="20"/>
              </w:rPr>
              <w:drawing>
                <wp:inline distT="0" distB="0" distL="0" distR="0" wp14:anchorId="088381F7" wp14:editId="381DA3B8">
                  <wp:extent cx="2676525" cy="2324100"/>
                  <wp:effectExtent l="0" t="0" r="9525" b="0"/>
                  <wp:docPr id="9" name="Chart 9">
                    <a:extLst xmlns:a="http://schemas.openxmlformats.org/drawingml/2006/main">
                      <a:ext uri="{FF2B5EF4-FFF2-40B4-BE49-F238E27FC236}">
                        <a16:creationId xmlns:a16="http://schemas.microsoft.com/office/drawing/2014/main" id="{C0CCB5B9-DF7C-4FC1-A7CD-A44532B27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499" w:type="dxa"/>
          </w:tcPr>
          <w:p w14:paraId="41362B96" w14:textId="77777777" w:rsidR="009002F0" w:rsidRPr="009002F0" w:rsidRDefault="009002F0" w:rsidP="009002F0">
            <w:pPr>
              <w:widowControl/>
              <w:autoSpaceDE/>
              <w:autoSpaceDN/>
              <w:adjustRightInd/>
              <w:spacing w:after="120"/>
              <w:rPr>
                <w:rFonts w:ascii="Calibri" w:eastAsia="Calibri" w:hAnsi="Calibri" w:cs="Times New Roman"/>
                <w:bCs/>
                <w:color w:val="595959"/>
                <w:spacing w:val="4"/>
              </w:rPr>
            </w:pPr>
            <w:bookmarkStart w:id="53" w:name="_Ref535949468"/>
            <w:bookmarkStart w:id="54" w:name="_Toc4581560"/>
            <w:r w:rsidRPr="009002F0">
              <w:rPr>
                <w:rFonts w:ascii="Calibri" w:eastAsia="Malgun Gothic" w:hAnsi="Calibri" w:cs="Times New Roman"/>
                <w:bCs/>
                <w:noProof/>
                <w:spacing w:val="4"/>
                <w:szCs w:val="20"/>
              </w:rPr>
              <w:drawing>
                <wp:anchor distT="0" distB="0" distL="114300" distR="114300" simplePos="0" relativeHeight="251660288" behindDoc="0" locked="0" layoutInCell="1" allowOverlap="1" wp14:anchorId="641E8C27" wp14:editId="02F3AADC">
                  <wp:simplePos x="0" y="0"/>
                  <wp:positionH relativeFrom="column">
                    <wp:posOffset>36195</wp:posOffset>
                  </wp:positionH>
                  <wp:positionV relativeFrom="paragraph">
                    <wp:posOffset>561975</wp:posOffset>
                  </wp:positionV>
                  <wp:extent cx="2686050" cy="2390775"/>
                  <wp:effectExtent l="0" t="0" r="0" b="9525"/>
                  <wp:wrapSquare wrapText="bothSides"/>
                  <wp:docPr id="28" name="Chart 28">
                    <a:extLst xmlns:a="http://schemas.openxmlformats.org/drawingml/2006/main">
                      <a:ext uri="{FF2B5EF4-FFF2-40B4-BE49-F238E27FC236}">
                        <a16:creationId xmlns:a16="http://schemas.microsoft.com/office/drawing/2014/main" id="{14FB2B52-4602-4FAB-AA80-8FDD9875D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9002F0">
              <w:rPr>
                <w:rFonts w:ascii="Calibri" w:eastAsia="Malgun Gothic" w:hAnsi="Calibri" w:cs="Times New Roman"/>
                <w:bCs/>
                <w:spacing w:val="4"/>
                <w:szCs w:val="20"/>
              </w:rPr>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8</w:t>
            </w:r>
            <w:r w:rsidRPr="009002F0">
              <w:rPr>
                <w:rFonts w:ascii="Calibri" w:eastAsia="Malgun Gothic" w:hAnsi="Calibri" w:cs="Times New Roman"/>
                <w:bCs/>
                <w:spacing w:val="4"/>
                <w:szCs w:val="20"/>
              </w:rPr>
              <w:fldChar w:fldCharType="end"/>
            </w:r>
            <w:bookmarkEnd w:id="53"/>
            <w:r w:rsidRPr="009002F0">
              <w:rPr>
                <w:rFonts w:ascii="Calibri" w:eastAsia="Malgun Gothic" w:hAnsi="Calibri" w:cs="Times New Roman"/>
                <w:bCs/>
                <w:spacing w:val="4"/>
                <w:szCs w:val="20"/>
              </w:rPr>
              <w:t xml:space="preserve">: </w:t>
            </w:r>
            <w:r w:rsidRPr="009002F0">
              <w:rPr>
                <w:rFonts w:ascii="Calibri" w:eastAsia="Malgun Gothic" w:hAnsi="Calibri" w:cs="Times New Roman"/>
                <w:bCs/>
                <w:noProof/>
                <w:spacing w:val="4"/>
              </w:rPr>
              <w:t>The majority of foreign workers are male (gender distribution, 2016)</w:t>
            </w:r>
            <w:bookmarkEnd w:id="54"/>
          </w:p>
        </w:tc>
      </w:tr>
      <w:tr w:rsidR="009002F0" w:rsidRPr="009002F0" w14:paraId="1872982C" w14:textId="77777777" w:rsidTr="00CE1943">
        <w:tc>
          <w:tcPr>
            <w:tcW w:w="4527" w:type="dxa"/>
          </w:tcPr>
          <w:p w14:paraId="7B015D4F"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0"/>
                <w:szCs w:val="22"/>
              </w:rPr>
            </w:pPr>
            <w:r w:rsidRPr="009002F0">
              <w:rPr>
                <w:rFonts w:ascii="Calibri" w:eastAsia="Calibri" w:hAnsi="Calibri" w:cs="Times New Roman"/>
                <w:color w:val="auto"/>
                <w:sz w:val="20"/>
                <w:szCs w:val="22"/>
              </w:rPr>
              <w:t>Source: MOHR, 2018</w:t>
            </w:r>
          </w:p>
        </w:tc>
        <w:tc>
          <w:tcPr>
            <w:tcW w:w="4499" w:type="dxa"/>
          </w:tcPr>
          <w:p w14:paraId="7E658A2B"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0"/>
                <w:szCs w:val="22"/>
              </w:rPr>
            </w:pPr>
            <w:r w:rsidRPr="009002F0">
              <w:rPr>
                <w:rFonts w:ascii="Calibri" w:eastAsia="Calibri" w:hAnsi="Calibri" w:cs="Times New Roman"/>
                <w:color w:val="auto"/>
                <w:sz w:val="20"/>
                <w:szCs w:val="22"/>
              </w:rPr>
              <w:t>Source: MOHA</w:t>
            </w:r>
          </w:p>
        </w:tc>
      </w:tr>
      <w:tr w:rsidR="009002F0" w:rsidRPr="009002F0" w14:paraId="3C608C5F" w14:textId="77777777" w:rsidTr="00CE1943">
        <w:tc>
          <w:tcPr>
            <w:tcW w:w="4527" w:type="dxa"/>
          </w:tcPr>
          <w:p w14:paraId="7F448FE5"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p>
        </w:tc>
        <w:tc>
          <w:tcPr>
            <w:tcW w:w="4499" w:type="dxa"/>
          </w:tcPr>
          <w:p w14:paraId="04514213"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p>
        </w:tc>
      </w:tr>
      <w:tr w:rsidR="009002F0" w:rsidRPr="009002F0" w14:paraId="42D7B3B7" w14:textId="77777777" w:rsidTr="00CE1943">
        <w:tc>
          <w:tcPr>
            <w:tcW w:w="4527" w:type="dxa"/>
          </w:tcPr>
          <w:p w14:paraId="5EF5FE90" w14:textId="77777777" w:rsidR="009002F0" w:rsidRPr="009002F0" w:rsidRDefault="009002F0" w:rsidP="009002F0">
            <w:pPr>
              <w:widowControl/>
              <w:autoSpaceDE/>
              <w:autoSpaceDN/>
              <w:adjustRightInd/>
              <w:spacing w:after="120"/>
              <w:rPr>
                <w:rFonts w:ascii="Calibri" w:eastAsia="Calibri" w:hAnsi="Calibri" w:cs="Times New Roman"/>
                <w:bCs/>
                <w:color w:val="595959"/>
                <w:spacing w:val="4"/>
                <w:szCs w:val="22"/>
              </w:rPr>
            </w:pPr>
            <w:bookmarkStart w:id="55" w:name="_Ref535949504"/>
            <w:bookmarkStart w:id="56" w:name="_Toc4581561"/>
            <w:r w:rsidRPr="009002F0">
              <w:rPr>
                <w:rFonts w:ascii="Calibri" w:eastAsia="Malgun Gothic" w:hAnsi="Calibri" w:cs="Times New Roman"/>
                <w:bCs/>
                <w:spacing w:val="4"/>
                <w:szCs w:val="20"/>
              </w:rPr>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9</w:t>
            </w:r>
            <w:r w:rsidRPr="009002F0">
              <w:rPr>
                <w:rFonts w:ascii="Calibri" w:eastAsia="Malgun Gothic" w:hAnsi="Calibri" w:cs="Times New Roman"/>
                <w:bCs/>
                <w:spacing w:val="4"/>
                <w:szCs w:val="20"/>
              </w:rPr>
              <w:fldChar w:fldCharType="end"/>
            </w:r>
            <w:bookmarkEnd w:id="55"/>
            <w:r w:rsidRPr="009002F0">
              <w:rPr>
                <w:rFonts w:ascii="Calibri" w:eastAsia="Malgun Gothic" w:hAnsi="Calibri" w:cs="Times New Roman"/>
                <w:bCs/>
                <w:spacing w:val="4"/>
                <w:szCs w:val="20"/>
              </w:rPr>
              <w:t xml:space="preserve">: </w:t>
            </w:r>
            <w:r w:rsidRPr="009002F0">
              <w:rPr>
                <w:rFonts w:ascii="Calibri" w:eastAsia="Calibri" w:hAnsi="Calibri" w:cs="Times New Roman"/>
                <w:bCs/>
                <w:spacing w:val="4"/>
                <w:szCs w:val="22"/>
              </w:rPr>
              <w:t>Selangor, Johor, and Kuala Lumpur are the main destinations of regular foreign workers (number of foreign workers, 2018)</w:t>
            </w:r>
            <w:bookmarkEnd w:id="56"/>
          </w:p>
        </w:tc>
        <w:tc>
          <w:tcPr>
            <w:tcW w:w="4499" w:type="dxa"/>
          </w:tcPr>
          <w:p w14:paraId="1E33C34A" w14:textId="77777777" w:rsidR="009002F0" w:rsidRPr="009002F0" w:rsidRDefault="009002F0" w:rsidP="009002F0">
            <w:pPr>
              <w:widowControl/>
              <w:autoSpaceDE/>
              <w:autoSpaceDN/>
              <w:adjustRightInd/>
              <w:spacing w:after="120"/>
              <w:rPr>
                <w:rFonts w:ascii="Calibri" w:eastAsia="Calibri" w:hAnsi="Calibri" w:cs="Times New Roman"/>
                <w:bCs/>
                <w:spacing w:val="4"/>
                <w:szCs w:val="22"/>
              </w:rPr>
            </w:pPr>
            <w:bookmarkStart w:id="57" w:name="_Ref535949554"/>
            <w:bookmarkStart w:id="58" w:name="_Toc4581562"/>
            <w:r w:rsidRPr="009002F0">
              <w:rPr>
                <w:rFonts w:ascii="Calibri" w:eastAsia="Malgun Gothic" w:hAnsi="Calibri" w:cs="Times New Roman"/>
                <w:bCs/>
                <w:spacing w:val="4"/>
                <w:szCs w:val="20"/>
              </w:rPr>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10</w:t>
            </w:r>
            <w:r w:rsidRPr="009002F0">
              <w:rPr>
                <w:rFonts w:ascii="Calibri" w:eastAsia="Malgun Gothic" w:hAnsi="Calibri" w:cs="Times New Roman"/>
                <w:bCs/>
                <w:spacing w:val="4"/>
                <w:szCs w:val="20"/>
              </w:rPr>
              <w:fldChar w:fldCharType="end"/>
            </w:r>
            <w:bookmarkEnd w:id="57"/>
            <w:r w:rsidRPr="009002F0">
              <w:rPr>
                <w:rFonts w:ascii="Calibri" w:eastAsia="Malgun Gothic" w:hAnsi="Calibri" w:cs="Times New Roman"/>
                <w:bCs/>
                <w:spacing w:val="4"/>
                <w:szCs w:val="20"/>
              </w:rPr>
              <w:t xml:space="preserve">: </w:t>
            </w:r>
            <w:r w:rsidRPr="009002F0">
              <w:rPr>
                <w:rFonts w:ascii="Calibri" w:eastAsia="Calibri" w:hAnsi="Calibri" w:cs="Times New Roman"/>
                <w:bCs/>
                <w:spacing w:val="4"/>
                <w:szCs w:val="22"/>
              </w:rPr>
              <w:t>70 percent of foreign workers employed are engage in three sectors/sub-sectors: manufacturing, construction and plantation (sectoral distribution of foreign workers, percent, 2018)</w:t>
            </w:r>
            <w:bookmarkEnd w:id="58"/>
          </w:p>
        </w:tc>
      </w:tr>
      <w:tr w:rsidR="009002F0" w:rsidRPr="009002F0" w14:paraId="11500414" w14:textId="77777777" w:rsidTr="00CE1943">
        <w:tc>
          <w:tcPr>
            <w:tcW w:w="4527" w:type="dxa"/>
          </w:tcPr>
          <w:p w14:paraId="68165868"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r w:rsidRPr="009002F0">
              <w:rPr>
                <w:rFonts w:ascii="Calibri" w:eastAsia="Calibri" w:hAnsi="Calibri" w:cs="Times New Roman"/>
                <w:color w:val="auto"/>
                <w:sz w:val="22"/>
                <w:szCs w:val="22"/>
              </w:rPr>
              <w:t xml:space="preserve"> </w:t>
            </w:r>
            <w:r w:rsidRPr="009002F0">
              <w:rPr>
                <w:rFonts w:ascii="Calibri" w:eastAsia="Malgun Gothic" w:hAnsi="Calibri" w:cs="Times New Roman"/>
                <w:noProof/>
                <w:color w:val="auto"/>
                <w:sz w:val="20"/>
                <w:szCs w:val="20"/>
                <w:shd w:val="clear" w:color="auto" w:fill="002060"/>
              </w:rPr>
              <w:drawing>
                <wp:inline distT="0" distB="0" distL="0" distR="0" wp14:anchorId="58EE629B" wp14:editId="4C49C65A">
                  <wp:extent cx="2524125" cy="2165350"/>
                  <wp:effectExtent l="0" t="0" r="9525" b="6350"/>
                  <wp:docPr id="30" name="Chart 30">
                    <a:extLst xmlns:a="http://schemas.openxmlformats.org/drawingml/2006/main">
                      <a:ext uri="{FF2B5EF4-FFF2-40B4-BE49-F238E27FC236}">
                        <a16:creationId xmlns:a16="http://schemas.microsoft.com/office/drawing/2014/main" id="{73D2A940-F776-4BFC-BEB5-85F670138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499" w:type="dxa"/>
          </w:tcPr>
          <w:p w14:paraId="3C4A8152"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r w:rsidRPr="009002F0">
              <w:rPr>
                <w:rFonts w:ascii="Calibri" w:eastAsia="Calibri" w:hAnsi="Calibri" w:cs="Times New Roman"/>
                <w:noProof/>
                <w:color w:val="auto"/>
                <w:sz w:val="22"/>
                <w:szCs w:val="22"/>
              </w:rPr>
              <w:drawing>
                <wp:inline distT="0" distB="0" distL="0" distR="0" wp14:anchorId="454B46B5" wp14:editId="73E469B0">
                  <wp:extent cx="2847975" cy="2143125"/>
                  <wp:effectExtent l="0" t="0" r="9525" b="9525"/>
                  <wp:docPr id="27" name="Chart 27">
                    <a:extLst xmlns:a="http://schemas.openxmlformats.org/drawingml/2006/main">
                      <a:ext uri="{FF2B5EF4-FFF2-40B4-BE49-F238E27FC236}">
                        <a16:creationId xmlns:a16="http://schemas.microsoft.com/office/drawing/2014/main" id="{16199FD1-0D00-43F2-9776-1D0008123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002F0" w:rsidRPr="009002F0" w14:paraId="55A47012" w14:textId="77777777" w:rsidTr="00CE1943">
        <w:tc>
          <w:tcPr>
            <w:tcW w:w="4527" w:type="dxa"/>
          </w:tcPr>
          <w:p w14:paraId="45B92C36"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0"/>
                <w:szCs w:val="22"/>
              </w:rPr>
            </w:pPr>
            <w:r w:rsidRPr="009002F0">
              <w:rPr>
                <w:rFonts w:ascii="Calibri" w:eastAsia="Malgun Gothic" w:hAnsi="Calibri" w:cs="Times New Roman"/>
                <w:noProof/>
                <w:color w:val="auto"/>
                <w:sz w:val="20"/>
                <w:szCs w:val="22"/>
              </w:rPr>
              <w:t xml:space="preserve">Source: </w:t>
            </w:r>
            <w:r w:rsidRPr="009002F0">
              <w:rPr>
                <w:rFonts w:ascii="Calibri" w:eastAsia="Calibri" w:hAnsi="Calibri" w:cs="Times New Roman"/>
                <w:color w:val="auto"/>
                <w:sz w:val="20"/>
                <w:szCs w:val="22"/>
              </w:rPr>
              <w:t>MOHR, May 2018</w:t>
            </w:r>
          </w:p>
        </w:tc>
        <w:tc>
          <w:tcPr>
            <w:tcW w:w="4499" w:type="dxa"/>
          </w:tcPr>
          <w:p w14:paraId="6BE1EF41"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0"/>
                <w:szCs w:val="22"/>
              </w:rPr>
            </w:pPr>
            <w:r w:rsidRPr="009002F0">
              <w:rPr>
                <w:rFonts w:ascii="Calibri" w:eastAsia="Calibri" w:hAnsi="Calibri" w:cs="Times New Roman"/>
                <w:color w:val="auto"/>
                <w:sz w:val="20"/>
                <w:szCs w:val="22"/>
              </w:rPr>
              <w:t>Source: MOHR, May 2018</w:t>
            </w:r>
          </w:p>
        </w:tc>
      </w:tr>
      <w:tr w:rsidR="009002F0" w:rsidRPr="009002F0" w14:paraId="771242DA" w14:textId="77777777" w:rsidTr="00CE1943">
        <w:tc>
          <w:tcPr>
            <w:tcW w:w="4527" w:type="dxa"/>
          </w:tcPr>
          <w:p w14:paraId="206C4C44" w14:textId="77777777" w:rsidR="009002F0" w:rsidRPr="009002F0" w:rsidRDefault="009002F0" w:rsidP="009002F0">
            <w:pPr>
              <w:widowControl/>
              <w:autoSpaceDE/>
              <w:autoSpaceDN/>
              <w:adjustRightInd/>
              <w:spacing w:after="120" w:line="264" w:lineRule="auto"/>
              <w:rPr>
                <w:rFonts w:ascii="Calibri" w:eastAsia="Malgun Gothic" w:hAnsi="Calibri" w:cs="Times New Roman"/>
                <w:noProof/>
                <w:color w:val="auto"/>
                <w:sz w:val="22"/>
                <w:szCs w:val="22"/>
              </w:rPr>
            </w:pPr>
          </w:p>
        </w:tc>
        <w:tc>
          <w:tcPr>
            <w:tcW w:w="4499" w:type="dxa"/>
          </w:tcPr>
          <w:p w14:paraId="75B68B7D"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p>
        </w:tc>
      </w:tr>
      <w:tr w:rsidR="009002F0" w:rsidRPr="009002F0" w14:paraId="66D071B8" w14:textId="77777777" w:rsidTr="00CE1943">
        <w:tc>
          <w:tcPr>
            <w:tcW w:w="4527" w:type="dxa"/>
          </w:tcPr>
          <w:p w14:paraId="248329C8" w14:textId="77777777" w:rsidR="009002F0" w:rsidRPr="009002F0" w:rsidRDefault="009002F0" w:rsidP="009002F0">
            <w:pPr>
              <w:widowControl/>
              <w:autoSpaceDE/>
              <w:autoSpaceDN/>
              <w:adjustRightInd/>
              <w:spacing w:after="120"/>
              <w:rPr>
                <w:rFonts w:ascii="Calibri" w:eastAsia="Malgun Gothic" w:hAnsi="Calibri" w:cs="Times New Roman"/>
                <w:bCs/>
                <w:noProof/>
                <w:color w:val="595959"/>
                <w:spacing w:val="4"/>
                <w:szCs w:val="22"/>
              </w:rPr>
            </w:pPr>
            <w:bookmarkStart w:id="59" w:name="_Ref535949683"/>
            <w:bookmarkStart w:id="60" w:name="_Toc4581563"/>
            <w:r w:rsidRPr="009002F0">
              <w:rPr>
                <w:rFonts w:ascii="Calibri" w:eastAsia="Malgun Gothic" w:hAnsi="Calibri" w:cs="Times New Roman"/>
                <w:bCs/>
                <w:spacing w:val="4"/>
                <w:szCs w:val="20"/>
              </w:rPr>
              <w:lastRenderedPageBreak/>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11</w:t>
            </w:r>
            <w:r w:rsidRPr="009002F0">
              <w:rPr>
                <w:rFonts w:ascii="Calibri" w:eastAsia="Malgun Gothic" w:hAnsi="Calibri" w:cs="Times New Roman"/>
                <w:bCs/>
                <w:spacing w:val="4"/>
                <w:szCs w:val="20"/>
              </w:rPr>
              <w:fldChar w:fldCharType="end"/>
            </w:r>
            <w:bookmarkEnd w:id="59"/>
            <w:r w:rsidRPr="009002F0">
              <w:rPr>
                <w:rFonts w:ascii="Calibri" w:eastAsia="Malgun Gothic" w:hAnsi="Calibri" w:cs="Times New Roman"/>
                <w:bCs/>
                <w:spacing w:val="4"/>
                <w:szCs w:val="20"/>
              </w:rPr>
              <w:t xml:space="preserve">: </w:t>
            </w:r>
            <w:r w:rsidRPr="009002F0">
              <w:rPr>
                <w:rFonts w:ascii="Calibri" w:eastAsia="Calibri" w:hAnsi="Calibri" w:cs="Times New Roman"/>
                <w:bCs/>
                <w:spacing w:val="4"/>
                <w:szCs w:val="22"/>
              </w:rPr>
              <w:t>Foreign workers tend to engage in low-skilled jobs (distribution of foreign workers by occupation, 2011 and 2014)</w:t>
            </w:r>
            <w:bookmarkEnd w:id="60"/>
            <w:r w:rsidRPr="009002F0">
              <w:rPr>
                <w:rFonts w:ascii="Calibri" w:eastAsia="Calibri" w:hAnsi="Calibri" w:cs="Times New Roman"/>
                <w:bCs/>
                <w:spacing w:val="4"/>
                <w:szCs w:val="22"/>
              </w:rPr>
              <w:t xml:space="preserve"> </w:t>
            </w:r>
          </w:p>
        </w:tc>
        <w:tc>
          <w:tcPr>
            <w:tcW w:w="4499" w:type="dxa"/>
          </w:tcPr>
          <w:p w14:paraId="56E69434" w14:textId="77777777" w:rsidR="009002F0" w:rsidRPr="009002F0" w:rsidRDefault="009002F0" w:rsidP="009002F0">
            <w:pPr>
              <w:widowControl/>
              <w:autoSpaceDE/>
              <w:autoSpaceDN/>
              <w:adjustRightInd/>
              <w:spacing w:after="120"/>
              <w:rPr>
                <w:rFonts w:ascii="Calibri" w:eastAsia="Calibri" w:hAnsi="Calibri" w:cs="Times New Roman"/>
                <w:bCs/>
                <w:color w:val="595959"/>
                <w:spacing w:val="4"/>
                <w:szCs w:val="22"/>
              </w:rPr>
            </w:pPr>
            <w:bookmarkStart w:id="61" w:name="_Ref535946033"/>
            <w:bookmarkStart w:id="62" w:name="_Toc4581564"/>
            <w:r w:rsidRPr="009002F0">
              <w:rPr>
                <w:rFonts w:ascii="Calibri" w:eastAsia="Malgun Gothic" w:hAnsi="Calibri" w:cs="Times New Roman"/>
                <w:bCs/>
                <w:spacing w:val="4"/>
                <w:szCs w:val="20"/>
              </w:rPr>
              <w:t xml:space="preserve">Figure </w:t>
            </w:r>
            <w:r w:rsidRPr="009002F0">
              <w:rPr>
                <w:rFonts w:ascii="Calibri" w:eastAsia="Malgun Gothic" w:hAnsi="Calibri" w:cs="Times New Roman"/>
                <w:bCs/>
                <w:spacing w:val="4"/>
                <w:szCs w:val="20"/>
              </w:rPr>
              <w:fldChar w:fldCharType="begin"/>
            </w:r>
            <w:r w:rsidRPr="009002F0">
              <w:rPr>
                <w:rFonts w:ascii="Calibri" w:eastAsia="Malgun Gothic" w:hAnsi="Calibri" w:cs="Times New Roman"/>
                <w:bCs/>
                <w:spacing w:val="4"/>
                <w:szCs w:val="20"/>
              </w:rPr>
              <w:instrText xml:space="preserve"> SEQ Figure \* ARABIC </w:instrText>
            </w:r>
            <w:r w:rsidRPr="009002F0">
              <w:rPr>
                <w:rFonts w:ascii="Calibri" w:eastAsia="Malgun Gothic" w:hAnsi="Calibri" w:cs="Times New Roman"/>
                <w:bCs/>
                <w:spacing w:val="4"/>
                <w:szCs w:val="20"/>
              </w:rPr>
              <w:fldChar w:fldCharType="separate"/>
            </w:r>
            <w:r w:rsidRPr="009002F0">
              <w:rPr>
                <w:rFonts w:ascii="Calibri" w:eastAsia="Malgun Gothic" w:hAnsi="Calibri" w:cs="Times New Roman"/>
                <w:bCs/>
                <w:noProof/>
                <w:spacing w:val="4"/>
                <w:szCs w:val="20"/>
              </w:rPr>
              <w:t>12</w:t>
            </w:r>
            <w:r w:rsidRPr="009002F0">
              <w:rPr>
                <w:rFonts w:ascii="Calibri" w:eastAsia="Malgun Gothic" w:hAnsi="Calibri" w:cs="Times New Roman"/>
                <w:bCs/>
                <w:spacing w:val="4"/>
                <w:szCs w:val="20"/>
              </w:rPr>
              <w:fldChar w:fldCharType="end"/>
            </w:r>
            <w:bookmarkEnd w:id="61"/>
            <w:r w:rsidRPr="009002F0">
              <w:rPr>
                <w:rFonts w:ascii="Calibri" w:eastAsia="Malgun Gothic" w:hAnsi="Calibri" w:cs="Times New Roman"/>
                <w:bCs/>
                <w:spacing w:val="4"/>
                <w:szCs w:val="20"/>
              </w:rPr>
              <w:t xml:space="preserve">: </w:t>
            </w:r>
            <w:r w:rsidRPr="009002F0">
              <w:rPr>
                <w:rFonts w:ascii="Calibri" w:eastAsia="Malgun Gothic" w:hAnsi="Calibri" w:cs="Times New Roman"/>
                <w:bCs/>
                <w:noProof/>
                <w:spacing w:val="4"/>
                <w:szCs w:val="22"/>
              </w:rPr>
              <w:t>National Employment Returns, ILMIA 2016</w:t>
            </w:r>
            <w:r w:rsidRPr="009002F0">
              <w:rPr>
                <w:rFonts w:ascii="Calibri" w:eastAsia="Calibri" w:hAnsi="Calibri" w:cs="Times New Roman"/>
                <w:bCs/>
                <w:spacing w:val="4"/>
                <w:szCs w:val="22"/>
              </w:rPr>
              <w:t xml:space="preserve"> Median salary of foreign workers in low-skilled occupations is less than RM1,200 per month (median, RM, 2016)</w:t>
            </w:r>
            <w:bookmarkEnd w:id="62"/>
          </w:p>
        </w:tc>
      </w:tr>
      <w:tr w:rsidR="009002F0" w:rsidRPr="009002F0" w14:paraId="4BF7F796" w14:textId="77777777" w:rsidTr="00CE1943">
        <w:tc>
          <w:tcPr>
            <w:tcW w:w="4527" w:type="dxa"/>
          </w:tcPr>
          <w:p w14:paraId="65A79016" w14:textId="77777777" w:rsidR="009002F0" w:rsidRPr="009002F0" w:rsidRDefault="009002F0" w:rsidP="009002F0">
            <w:pPr>
              <w:widowControl/>
              <w:autoSpaceDE/>
              <w:autoSpaceDN/>
              <w:adjustRightInd/>
              <w:spacing w:after="120" w:line="264" w:lineRule="auto"/>
              <w:rPr>
                <w:rFonts w:ascii="Calibri" w:eastAsia="Malgun Gothic" w:hAnsi="Calibri" w:cs="Times New Roman"/>
                <w:noProof/>
                <w:color w:val="auto"/>
                <w:sz w:val="22"/>
                <w:szCs w:val="22"/>
              </w:rPr>
            </w:pPr>
            <w:r w:rsidRPr="009002F0">
              <w:rPr>
                <w:rFonts w:ascii="Calibri" w:eastAsia="Calibri" w:hAnsi="Calibri" w:cs="Times New Roman"/>
                <w:noProof/>
                <w:color w:val="auto"/>
                <w:sz w:val="22"/>
                <w:szCs w:val="22"/>
              </w:rPr>
              <w:drawing>
                <wp:inline distT="0" distB="0" distL="0" distR="0" wp14:anchorId="1CB78046" wp14:editId="46C0B04E">
                  <wp:extent cx="2867025" cy="2377097"/>
                  <wp:effectExtent l="19050" t="19050" r="9525" b="23495"/>
                  <wp:docPr id="8" name="Picture 7">
                    <a:extLst xmlns:a="http://schemas.openxmlformats.org/drawingml/2006/main">
                      <a:ext uri="{FF2B5EF4-FFF2-40B4-BE49-F238E27FC236}">
                        <a16:creationId xmlns:a16="http://schemas.microsoft.com/office/drawing/2014/main" id="{4EE81AC2-2BA8-4403-A09E-6100B0853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EE81AC2-2BA8-4403-A09E-6100B0853C11}"/>
                              </a:ext>
                            </a:extLst>
                          </pic:cNvPr>
                          <pic:cNvPicPr>
                            <a:picLocks noChangeAspect="1"/>
                          </pic:cNvPicPr>
                        </pic:nvPicPr>
                        <pic:blipFill>
                          <a:blip r:embed="rId30"/>
                          <a:stretch>
                            <a:fillRect/>
                          </a:stretch>
                        </pic:blipFill>
                        <pic:spPr>
                          <a:xfrm>
                            <a:off x="0" y="0"/>
                            <a:ext cx="2882694" cy="2390089"/>
                          </a:xfrm>
                          <a:prstGeom prst="rect">
                            <a:avLst/>
                          </a:prstGeom>
                          <a:ln>
                            <a:solidFill>
                              <a:sysClr val="window" lastClr="FFFFFF">
                                <a:lumMod val="65000"/>
                              </a:sysClr>
                            </a:solidFill>
                          </a:ln>
                        </pic:spPr>
                      </pic:pic>
                    </a:graphicData>
                  </a:graphic>
                </wp:inline>
              </w:drawing>
            </w:r>
          </w:p>
        </w:tc>
        <w:tc>
          <w:tcPr>
            <w:tcW w:w="4499" w:type="dxa"/>
          </w:tcPr>
          <w:p w14:paraId="684F7993"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r w:rsidRPr="009002F0">
              <w:rPr>
                <w:rFonts w:ascii="Calibri" w:eastAsia="Malgun Gothic" w:hAnsi="Calibri" w:cs="Times New Roman"/>
                <w:noProof/>
                <w:color w:val="auto"/>
                <w:sz w:val="20"/>
                <w:szCs w:val="20"/>
              </w:rPr>
              <w:drawing>
                <wp:inline distT="0" distB="0" distL="0" distR="0" wp14:anchorId="693886FC" wp14:editId="389F6BE8">
                  <wp:extent cx="2838450" cy="2419306"/>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7621" cy="2444169"/>
                          </a:xfrm>
                          <a:prstGeom prst="rect">
                            <a:avLst/>
                          </a:prstGeom>
                          <a:ln>
                            <a:solidFill>
                              <a:sysClr val="window" lastClr="FFFFFF">
                                <a:lumMod val="65000"/>
                              </a:sysClr>
                            </a:solidFill>
                          </a:ln>
                        </pic:spPr>
                      </pic:pic>
                    </a:graphicData>
                  </a:graphic>
                </wp:inline>
              </w:drawing>
            </w:r>
          </w:p>
        </w:tc>
      </w:tr>
      <w:tr w:rsidR="009002F0" w:rsidRPr="009002F0" w14:paraId="2A26450C" w14:textId="77777777" w:rsidTr="00CE1943">
        <w:tc>
          <w:tcPr>
            <w:tcW w:w="4527" w:type="dxa"/>
          </w:tcPr>
          <w:p w14:paraId="02E200A6" w14:textId="77777777" w:rsidR="009002F0" w:rsidRPr="009002F0" w:rsidRDefault="009002F0" w:rsidP="009002F0">
            <w:pPr>
              <w:widowControl/>
              <w:autoSpaceDE/>
              <w:autoSpaceDN/>
              <w:adjustRightInd/>
              <w:spacing w:after="120" w:line="264" w:lineRule="auto"/>
              <w:rPr>
                <w:rFonts w:ascii="Calibri" w:eastAsia="Malgun Gothic" w:hAnsi="Calibri" w:cs="Times New Roman"/>
                <w:noProof/>
                <w:color w:val="auto"/>
                <w:sz w:val="20"/>
                <w:szCs w:val="22"/>
              </w:rPr>
            </w:pPr>
            <w:r w:rsidRPr="009002F0">
              <w:rPr>
                <w:rFonts w:ascii="Calibri" w:eastAsia="Malgun Gothic" w:hAnsi="Calibri" w:cs="Times New Roman"/>
                <w:noProof/>
                <w:color w:val="auto"/>
                <w:sz w:val="20"/>
                <w:szCs w:val="22"/>
              </w:rPr>
              <w:t xml:space="preserve">Source: World Bank 2015.  </w:t>
            </w:r>
          </w:p>
        </w:tc>
        <w:tc>
          <w:tcPr>
            <w:tcW w:w="4499" w:type="dxa"/>
          </w:tcPr>
          <w:p w14:paraId="333F9AE6"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Source: ILMIA 2016.  </w:t>
            </w:r>
          </w:p>
        </w:tc>
      </w:tr>
    </w:tbl>
    <w:p w14:paraId="0C25A79A" w14:textId="77777777" w:rsidR="009002F0" w:rsidRPr="009002F0" w:rsidRDefault="009002F0" w:rsidP="009002F0">
      <w:pPr>
        <w:widowControl/>
        <w:autoSpaceDE/>
        <w:autoSpaceDN/>
        <w:adjustRightInd/>
        <w:rPr>
          <w:rFonts w:ascii="Calibri" w:eastAsia="Calibri" w:hAnsi="Calibri" w:cs="Times New Roman"/>
          <w:color w:val="auto"/>
          <w:sz w:val="22"/>
          <w:szCs w:val="22"/>
        </w:rPr>
      </w:pPr>
      <w:r w:rsidRPr="009002F0">
        <w:rPr>
          <w:rFonts w:ascii="Calibri" w:eastAsia="Calibri" w:hAnsi="Calibri" w:cs="Times New Roman"/>
          <w:color w:val="auto"/>
          <w:sz w:val="22"/>
          <w:szCs w:val="22"/>
        </w:rPr>
        <w:tab/>
      </w:r>
    </w:p>
    <w:p w14:paraId="1B9B6B9B"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63" w:name="_Toc4581522"/>
      <w:r w:rsidRPr="009002F0">
        <w:rPr>
          <w:rFonts w:ascii="Calibri" w:eastAsia="Malgun Gothic" w:hAnsi="Calibri" w:cs="Times New Roman"/>
          <w:color w:val="006068"/>
          <w:sz w:val="26"/>
          <w:szCs w:val="28"/>
          <w:u w:val="single"/>
        </w:rPr>
        <w:t>3.3 How many are irregulars?</w:t>
      </w:r>
      <w:bookmarkEnd w:id="63"/>
    </w:p>
    <w:p w14:paraId="347BD6AD"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rPr>
      </w:pPr>
    </w:p>
    <w:p w14:paraId="0DE77BA0"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There is no specific framework in place to estimate irregular foreign workers. Official estimates suggest four out of ten foreign workers are irregulars, based on data from enforcement operations by the Immigration Department. This suggests 1.258 million irregular workers based on MOHA’s official estimate of 1.8 million regular foreign workers in 2017. In other words, the total number of foreign workers are approximately 3.055 million. </w:t>
      </w:r>
    </w:p>
    <w:p w14:paraId="047E5543"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7D999E4A"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Caveats are warranted. The ratio is based on the Immigration Department’s enforcement activities and therefore could have errors owing to selection biases. The Department conducts raids based on reports by informants and the results can vary depending on enforcement efforts by the Immigration Department for a certain period, and the number of irregular workers rounded up during the implementation of regularization or voluntary departure programs. For instance, in 2017, 47,000 out of 190,000 people screened were identified as irregulars, according to the Immigration Department reports, suggesting that 1 in 4 foreign workers is an irregular.</w:t>
      </w:r>
      <w:r w:rsidRPr="009002F0">
        <w:rPr>
          <w:rFonts w:ascii="ZWAdobeF" w:eastAsia="Calibri" w:hAnsi="ZWAdobeF" w:cs="ZWAdobeF"/>
          <w:color w:val="auto"/>
          <w:sz w:val="2"/>
          <w:szCs w:val="2"/>
        </w:rPr>
        <w:t>23F</w:t>
      </w:r>
      <w:r w:rsidRPr="009002F0">
        <w:rPr>
          <w:rFonts w:ascii="Calibri" w:eastAsia="Calibri" w:hAnsi="Calibri" w:cs="Times New Roman"/>
          <w:color w:val="auto"/>
          <w:szCs w:val="22"/>
          <w:vertAlign w:val="superscript"/>
        </w:rPr>
        <w:footnoteReference w:id="24"/>
      </w:r>
      <w:r w:rsidRPr="009002F0">
        <w:rPr>
          <w:rFonts w:ascii="Calibri" w:eastAsia="Calibri" w:hAnsi="Calibri" w:cs="Times New Roman"/>
          <w:color w:val="auto"/>
          <w:szCs w:val="22"/>
        </w:rPr>
        <w:t xml:space="preserve"> </w:t>
      </w:r>
    </w:p>
    <w:p w14:paraId="095A6A82"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6CB4A6CF"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Nevertheless, the government’s continued efforts to curb irregular foreign workers—aiming to achieve “zero irregular migration” by 2020—contribute to assessing the magnitude of </w:t>
      </w:r>
      <w:r w:rsidRPr="009002F0">
        <w:rPr>
          <w:rFonts w:ascii="Calibri" w:eastAsia="Calibri" w:hAnsi="Calibri" w:cs="Times New Roman"/>
          <w:color w:val="auto"/>
          <w:szCs w:val="22"/>
        </w:rPr>
        <w:lastRenderedPageBreak/>
        <w:t>irregular foreign workers, albeit imperfectly</w:t>
      </w:r>
      <w:r w:rsidRPr="009002F0">
        <w:rPr>
          <w:rFonts w:ascii="ZWAdobeF" w:eastAsia="Calibri" w:hAnsi="ZWAdobeF" w:cs="ZWAdobeF"/>
          <w:color w:val="auto"/>
          <w:sz w:val="2"/>
          <w:szCs w:val="2"/>
        </w:rPr>
        <w:t>24F</w:t>
      </w:r>
      <w:r w:rsidRPr="009002F0">
        <w:rPr>
          <w:rFonts w:ascii="Calibri" w:eastAsia="Calibri" w:hAnsi="Calibri" w:cs="Times New Roman"/>
          <w:color w:val="auto"/>
          <w:szCs w:val="22"/>
          <w:vertAlign w:val="superscript"/>
        </w:rPr>
        <w:footnoteReference w:id="25"/>
      </w:r>
      <w:r w:rsidRPr="009002F0">
        <w:rPr>
          <w:rFonts w:ascii="Calibri" w:eastAsia="Calibri" w:hAnsi="Calibri" w:cs="Times New Roman"/>
          <w:color w:val="auto"/>
          <w:szCs w:val="22"/>
        </w:rPr>
        <w:t xml:space="preserve">. The government has implemented various regularization, voluntary departure, and deportation programs, leading to varying results as presented in </w:t>
      </w:r>
      <w:r w:rsidRPr="009002F0">
        <w:rPr>
          <w:rFonts w:ascii="Calibri" w:eastAsia="Calibri" w:hAnsi="Calibri" w:cs="Times New Roman"/>
          <w:color w:val="auto"/>
        </w:rPr>
        <w:fldChar w:fldCharType="begin" w:fldLock="1"/>
      </w:r>
      <w:r w:rsidRPr="009002F0">
        <w:rPr>
          <w:rFonts w:ascii="Calibri" w:eastAsia="Calibri" w:hAnsi="Calibri" w:cs="Times New Roman"/>
          <w:color w:val="auto"/>
        </w:rPr>
        <w:instrText xml:space="preserve"> REF _Ref535950173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4</w:t>
      </w:r>
      <w:r w:rsidRPr="009002F0">
        <w:rPr>
          <w:rFonts w:ascii="Calibri" w:eastAsia="Calibri" w:hAnsi="Calibri" w:cs="Times New Roman"/>
          <w:color w:val="auto"/>
        </w:rPr>
        <w:fldChar w:fldCharType="end"/>
      </w:r>
      <w:r w:rsidRPr="009002F0">
        <w:rPr>
          <w:rFonts w:ascii="Calibri" w:eastAsia="Calibri" w:hAnsi="Calibri" w:cs="Times New Roman"/>
          <w:color w:val="auto"/>
        </w:rPr>
        <w:t xml:space="preserve"> and </w:t>
      </w:r>
      <w:r w:rsidRPr="009002F0">
        <w:rPr>
          <w:rFonts w:ascii="Calibri" w:eastAsia="Calibri" w:hAnsi="Calibri" w:cs="Times New Roman"/>
          <w:color w:val="auto"/>
        </w:rPr>
        <w:fldChar w:fldCharType="begin" w:fldLock="1"/>
      </w:r>
      <w:r w:rsidRPr="009002F0">
        <w:rPr>
          <w:rFonts w:ascii="Calibri" w:eastAsia="Calibri" w:hAnsi="Calibri" w:cs="Times New Roman"/>
          <w:color w:val="auto"/>
        </w:rPr>
        <w:instrText xml:space="preserve"> REF _Ref535946259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5</w:t>
      </w:r>
      <w:r w:rsidRPr="009002F0">
        <w:rPr>
          <w:rFonts w:ascii="Calibri" w:eastAsia="Calibri" w:hAnsi="Calibri" w:cs="Times New Roman"/>
          <w:color w:val="auto"/>
        </w:rPr>
        <w:fldChar w:fldCharType="end"/>
      </w:r>
      <w:r w:rsidRPr="009002F0">
        <w:rPr>
          <w:rFonts w:ascii="Calibri" w:eastAsia="Calibri" w:hAnsi="Calibri" w:cs="Times New Roman"/>
          <w:color w:val="auto"/>
          <w:szCs w:val="22"/>
        </w:rPr>
        <w:t xml:space="preserve">. These figures do not, however, reveal how many irregulars remain unregistered or unidentified. </w:t>
      </w:r>
    </w:p>
    <w:p w14:paraId="69704C22"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color w:val="auto"/>
          <w:szCs w:val="22"/>
          <w:lang w:eastAsia="ko-KR"/>
        </w:rPr>
      </w:pPr>
      <w:r w:rsidRPr="009002F0">
        <w:rPr>
          <w:rFonts w:ascii="Calibri" w:eastAsia="Calibri" w:hAnsi="Calibri" w:cs="Times New Roman"/>
          <w:color w:val="auto"/>
          <w:szCs w:val="22"/>
        </w:rPr>
        <w:t>The government implemented the 6P program to legalize irregular foreign workers during 2011–2014</w:t>
      </w:r>
      <w:r w:rsidRPr="009002F0">
        <w:rPr>
          <w:rFonts w:ascii="ZWAdobeF" w:eastAsia="Calibri" w:hAnsi="ZWAdobeF" w:cs="ZWAdobeF"/>
          <w:color w:val="auto"/>
          <w:sz w:val="2"/>
          <w:szCs w:val="2"/>
        </w:rPr>
        <w:t>25F</w:t>
      </w:r>
      <w:r w:rsidRPr="009002F0">
        <w:rPr>
          <w:rFonts w:ascii="Calibri" w:eastAsia="Calibri" w:hAnsi="Calibri" w:cs="Times New Roman"/>
          <w:color w:val="auto"/>
          <w:szCs w:val="22"/>
          <w:vertAlign w:val="superscript"/>
        </w:rPr>
        <w:footnoteReference w:id="26"/>
      </w:r>
      <w:r w:rsidRPr="009002F0">
        <w:rPr>
          <w:rFonts w:ascii="Calibri" w:eastAsia="Malgun Gothic" w:hAnsi="Calibri" w:cs="Times New Roman"/>
          <w:color w:val="auto"/>
          <w:szCs w:val="22"/>
          <w:lang w:eastAsia="ko-KR"/>
        </w:rPr>
        <w:t xml:space="preserve"> as a total package solution.</w:t>
      </w:r>
      <w:r w:rsidRPr="009002F0">
        <w:rPr>
          <w:rFonts w:ascii="ZWAdobeF" w:eastAsia="Malgun Gothic" w:hAnsi="ZWAdobeF" w:cs="ZWAdobeF"/>
          <w:color w:val="auto"/>
          <w:sz w:val="2"/>
          <w:szCs w:val="2"/>
          <w:lang w:eastAsia="ko-KR"/>
        </w:rPr>
        <w:t>26F</w:t>
      </w:r>
      <w:r w:rsidRPr="009002F0">
        <w:rPr>
          <w:rFonts w:ascii="Calibri" w:eastAsia="Malgun Gothic" w:hAnsi="Calibri" w:cs="Times New Roman"/>
          <w:color w:val="auto"/>
          <w:szCs w:val="22"/>
          <w:vertAlign w:val="superscript"/>
          <w:lang w:eastAsia="ko-KR"/>
        </w:rPr>
        <w:footnoteReference w:id="27"/>
      </w:r>
      <w:r w:rsidRPr="009002F0">
        <w:rPr>
          <w:rFonts w:ascii="Calibri" w:eastAsia="Malgun Gothic" w:hAnsi="Calibri" w:cs="Times New Roman"/>
          <w:color w:val="auto"/>
          <w:szCs w:val="22"/>
          <w:lang w:eastAsia="ko-KR"/>
        </w:rPr>
        <w:t xml:space="preserve"> Under the program, irregular foreign workers are either legalized or deported without penalties. Through the biometric registration </w:t>
      </w:r>
      <w:r w:rsidRPr="009002F0">
        <w:rPr>
          <w:rFonts w:ascii="Calibri" w:eastAsia="Malgun Gothic" w:hAnsi="Calibri" w:cs="Times New Roman"/>
          <w:color w:val="auto"/>
          <w:lang w:eastAsia="ko-KR"/>
        </w:rPr>
        <w:t>process, it apprehended 1.3 million irregular foreign workers. A total of 521,734 irregular foreign workers registered (</w:t>
      </w:r>
      <w:r w:rsidRPr="009002F0">
        <w:rPr>
          <w:rFonts w:ascii="Calibri" w:eastAsia="Malgun Gothic" w:hAnsi="Calibri" w:cs="Times New Roman"/>
          <w:color w:val="auto"/>
          <w:lang w:eastAsia="ko-KR"/>
        </w:rPr>
        <w:fldChar w:fldCharType="begin" w:fldLock="1"/>
      </w:r>
      <w:r w:rsidRPr="009002F0">
        <w:rPr>
          <w:rFonts w:ascii="Calibri" w:eastAsia="Malgun Gothic" w:hAnsi="Calibri" w:cs="Times New Roman"/>
          <w:color w:val="auto"/>
          <w:lang w:eastAsia="ko-KR"/>
        </w:rPr>
        <w:instrText xml:space="preserve"> REF _Ref535950173 \h  \* MERGEFORMAT </w:instrText>
      </w:r>
      <w:r w:rsidRPr="009002F0">
        <w:rPr>
          <w:rFonts w:ascii="Calibri" w:eastAsia="Malgun Gothic" w:hAnsi="Calibri" w:cs="Times New Roman"/>
          <w:color w:val="auto"/>
          <w:lang w:eastAsia="ko-KR"/>
        </w:rPr>
      </w:r>
      <w:r w:rsidRPr="009002F0">
        <w:rPr>
          <w:rFonts w:ascii="Calibri" w:eastAsia="Malgun Gothic" w:hAnsi="Calibri" w:cs="Times New Roman"/>
          <w:color w:val="auto"/>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4</w:t>
      </w:r>
      <w:r w:rsidRPr="009002F0">
        <w:rPr>
          <w:rFonts w:ascii="Calibri" w:eastAsia="Malgun Gothic" w:hAnsi="Calibri" w:cs="Times New Roman"/>
          <w:color w:val="auto"/>
          <w:lang w:eastAsia="ko-KR"/>
        </w:rPr>
        <w:fldChar w:fldCharType="end"/>
      </w:r>
      <w:r w:rsidRPr="009002F0">
        <w:rPr>
          <w:rFonts w:ascii="Calibri" w:eastAsia="Malgun Gothic" w:hAnsi="Calibri" w:cs="Times New Roman"/>
          <w:color w:val="auto"/>
          <w:lang w:eastAsia="ko-KR"/>
        </w:rPr>
        <w:t>) and</w:t>
      </w:r>
      <w:r w:rsidRPr="009002F0">
        <w:rPr>
          <w:rFonts w:ascii="Calibri" w:eastAsia="Malgun Gothic" w:hAnsi="Calibri" w:cs="Times New Roman"/>
          <w:color w:val="auto"/>
          <w:szCs w:val="22"/>
          <w:lang w:eastAsia="ko-KR"/>
        </w:rPr>
        <w:t xml:space="preserve"> received work permits for 2–3 years depending on the sectors</w:t>
      </w:r>
      <w:r w:rsidRPr="009002F0">
        <w:rPr>
          <w:rFonts w:ascii="ZWAdobeF" w:eastAsia="Malgun Gothic" w:hAnsi="ZWAdobeF" w:cs="ZWAdobeF"/>
          <w:color w:val="auto"/>
          <w:sz w:val="2"/>
          <w:szCs w:val="2"/>
          <w:lang w:eastAsia="ko-KR"/>
        </w:rPr>
        <w:t>27F</w:t>
      </w:r>
      <w:r w:rsidRPr="009002F0">
        <w:rPr>
          <w:rFonts w:ascii="Calibri" w:eastAsia="Malgun Gothic" w:hAnsi="Calibri" w:cs="Times New Roman"/>
          <w:color w:val="auto"/>
          <w:szCs w:val="22"/>
          <w:vertAlign w:val="superscript"/>
          <w:lang w:eastAsia="ko-KR"/>
        </w:rPr>
        <w:footnoteReference w:id="28"/>
      </w:r>
      <w:r w:rsidRPr="009002F0">
        <w:rPr>
          <w:rFonts w:ascii="Calibri" w:eastAsia="Malgun Gothic" w:hAnsi="Calibri" w:cs="Times New Roman"/>
          <w:color w:val="auto"/>
          <w:szCs w:val="22"/>
          <w:lang w:eastAsia="ko-KR"/>
        </w:rPr>
        <w:t xml:space="preserve">, and therefore they are expected to have returned to their home countries by 2017. </w:t>
      </w:r>
    </w:p>
    <w:p w14:paraId="142594CA"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Based on the 6P implementation data, in 2016, the government estimated that there were 1.7 million irregular foreign workers, using a higher ratio between irregular and regular foreign workers (8 irregulars for every 10 regulars).</w:t>
      </w:r>
      <w:r w:rsidRPr="009002F0">
        <w:rPr>
          <w:rFonts w:ascii="ZWAdobeF" w:eastAsia="Malgun Gothic" w:hAnsi="ZWAdobeF" w:cs="ZWAdobeF"/>
          <w:color w:val="auto"/>
          <w:sz w:val="2"/>
          <w:szCs w:val="2"/>
          <w:lang w:eastAsia="ko-KR"/>
        </w:rPr>
        <w:t>28F</w:t>
      </w:r>
      <w:r w:rsidRPr="009002F0">
        <w:rPr>
          <w:rFonts w:ascii="Calibri" w:eastAsia="Malgun Gothic" w:hAnsi="Calibri" w:cs="Times New Roman"/>
          <w:color w:val="auto"/>
          <w:szCs w:val="22"/>
          <w:vertAlign w:val="superscript"/>
          <w:lang w:eastAsia="ko-KR"/>
        </w:rPr>
        <w:footnoteReference w:id="29"/>
      </w:r>
    </w:p>
    <w:p w14:paraId="00C9B419"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In 2017, the government granted “illegal immigrants” without valid passport or VP(TE) opportunities to obtain an identification card (the temporary Enforcement Card, or E-Card) which would create a pathway for “illegal immigrants” to register for a rehiring program. This was limited only those who have fixed-term employment. It </w:t>
      </w:r>
      <w:proofErr w:type="gramStart"/>
      <w:r w:rsidRPr="009002F0">
        <w:rPr>
          <w:rFonts w:ascii="Calibri" w:eastAsia="Malgun Gothic" w:hAnsi="Calibri" w:cs="Times New Roman"/>
          <w:color w:val="auto"/>
          <w:szCs w:val="22"/>
          <w:lang w:eastAsia="ko-KR"/>
        </w:rPr>
        <w:t>was seen as</w:t>
      </w:r>
      <w:proofErr w:type="gramEnd"/>
      <w:r w:rsidRPr="009002F0">
        <w:rPr>
          <w:rFonts w:ascii="Calibri" w:eastAsia="Malgun Gothic" w:hAnsi="Calibri" w:cs="Times New Roman"/>
          <w:color w:val="auto"/>
          <w:szCs w:val="22"/>
          <w:lang w:eastAsia="ko-KR"/>
        </w:rPr>
        <w:t xml:space="preserve"> a less effective measure, as more than half of irregulars do not have fixed-term contracts (Low, 2017). It was reported by the Immigration Department that only 164,808 “illegal immigrants” applied for E-</w:t>
      </w:r>
      <w:r w:rsidRPr="009002F0">
        <w:rPr>
          <w:rFonts w:ascii="Calibri" w:eastAsia="Malgun Gothic" w:hAnsi="Calibri" w:cs="Times New Roman"/>
          <w:color w:val="auto"/>
          <w:lang w:eastAsia="ko-KR"/>
        </w:rPr>
        <w:t>Card (</w:t>
      </w:r>
      <w:r w:rsidRPr="009002F0">
        <w:rPr>
          <w:rFonts w:ascii="Calibri" w:eastAsia="Malgun Gothic" w:hAnsi="Calibri" w:cs="Times New Roman"/>
          <w:color w:val="auto"/>
          <w:lang w:eastAsia="ko-KR"/>
        </w:rPr>
        <w:fldChar w:fldCharType="begin" w:fldLock="1"/>
      </w:r>
      <w:r w:rsidRPr="009002F0">
        <w:rPr>
          <w:rFonts w:ascii="Calibri" w:eastAsia="Malgun Gothic" w:hAnsi="Calibri" w:cs="Times New Roman"/>
          <w:color w:val="auto"/>
          <w:lang w:eastAsia="ko-KR"/>
        </w:rPr>
        <w:instrText xml:space="preserve"> REF _Ref535950173 \h  \* MERGEFORMAT </w:instrText>
      </w:r>
      <w:r w:rsidRPr="009002F0">
        <w:rPr>
          <w:rFonts w:ascii="Calibri" w:eastAsia="Malgun Gothic" w:hAnsi="Calibri" w:cs="Times New Roman"/>
          <w:color w:val="auto"/>
          <w:lang w:eastAsia="ko-KR"/>
        </w:rPr>
      </w:r>
      <w:r w:rsidRPr="009002F0">
        <w:rPr>
          <w:rFonts w:ascii="Calibri" w:eastAsia="Malgun Gothic" w:hAnsi="Calibri" w:cs="Times New Roman"/>
          <w:color w:val="auto"/>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4</w:t>
      </w:r>
      <w:r w:rsidRPr="009002F0">
        <w:rPr>
          <w:rFonts w:ascii="Calibri" w:eastAsia="Malgun Gothic" w:hAnsi="Calibri" w:cs="Times New Roman"/>
          <w:color w:val="auto"/>
          <w:lang w:eastAsia="ko-KR"/>
        </w:rPr>
        <w:fldChar w:fldCharType="end"/>
      </w:r>
      <w:r w:rsidRPr="009002F0">
        <w:rPr>
          <w:rFonts w:ascii="Calibri" w:eastAsia="Malgun Gothic" w:hAnsi="Calibri" w:cs="Times New Roman"/>
          <w:color w:val="auto"/>
          <w:lang w:eastAsia="ko-KR"/>
        </w:rPr>
        <w:t>).</w:t>
      </w:r>
      <w:r w:rsidRPr="009002F0">
        <w:rPr>
          <w:rFonts w:ascii="Calibri" w:eastAsia="Malgun Gothic" w:hAnsi="Calibri" w:cs="Times New Roman"/>
          <w:color w:val="auto"/>
          <w:szCs w:val="22"/>
          <w:lang w:eastAsia="ko-KR"/>
        </w:rPr>
        <w:t xml:space="preserve"> The card is valid only for one year during which the card holders can apply for a VP(TE) through the existing Rehiring </w:t>
      </w:r>
      <w:proofErr w:type="spellStart"/>
      <w:r w:rsidRPr="009002F0">
        <w:rPr>
          <w:rFonts w:ascii="Calibri" w:eastAsia="Malgun Gothic" w:hAnsi="Calibri" w:cs="Times New Roman"/>
          <w:color w:val="auto"/>
          <w:szCs w:val="22"/>
          <w:lang w:eastAsia="ko-KR"/>
        </w:rPr>
        <w:t>Programme</w:t>
      </w:r>
      <w:proofErr w:type="spellEnd"/>
      <w:r w:rsidRPr="009002F0">
        <w:rPr>
          <w:rFonts w:ascii="Calibri" w:eastAsia="Malgun Gothic" w:hAnsi="Calibri" w:cs="Times New Roman"/>
          <w:color w:val="auto"/>
          <w:szCs w:val="22"/>
          <w:lang w:eastAsia="ko-KR"/>
        </w:rPr>
        <w:t xml:space="preserve">. Those who failed to do so would be relegated to illegal status unless they leave the country. </w:t>
      </w:r>
    </w:p>
    <w:p w14:paraId="550EC4B9"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bCs/>
          <w:spacing w:val="4"/>
          <w:szCs w:val="20"/>
          <w:lang w:eastAsia="ko-KR"/>
        </w:rPr>
      </w:pPr>
      <w:r w:rsidRPr="009002F0">
        <w:rPr>
          <w:rFonts w:ascii="Calibri" w:eastAsia="Malgun Gothic" w:hAnsi="Calibri" w:cs="Times New Roman"/>
          <w:color w:val="auto"/>
          <w:szCs w:val="22"/>
          <w:lang w:eastAsia="ko-KR"/>
        </w:rPr>
        <w:t xml:space="preserve">The Rehiring </w:t>
      </w:r>
      <w:proofErr w:type="spellStart"/>
      <w:r w:rsidRPr="009002F0">
        <w:rPr>
          <w:rFonts w:ascii="Calibri" w:eastAsia="Malgun Gothic" w:hAnsi="Calibri" w:cs="Times New Roman"/>
          <w:color w:val="auto"/>
          <w:szCs w:val="22"/>
          <w:lang w:eastAsia="ko-KR"/>
        </w:rPr>
        <w:t>Programme</w:t>
      </w:r>
      <w:proofErr w:type="spellEnd"/>
      <w:r w:rsidRPr="009002F0">
        <w:rPr>
          <w:rFonts w:ascii="Calibri" w:eastAsia="Malgun Gothic" w:hAnsi="Calibri" w:cs="Times New Roman"/>
          <w:color w:val="auto"/>
          <w:szCs w:val="22"/>
          <w:lang w:eastAsia="ko-KR"/>
        </w:rPr>
        <w:t xml:space="preserve">, which ran from February 2016 through August 2018, is a regularization program for irregular foreign workers who meet three qualifying criteria: they </w:t>
      </w:r>
      <w:r w:rsidRPr="009002F0">
        <w:rPr>
          <w:rFonts w:ascii="Calibri" w:eastAsia="Calibri" w:hAnsi="Calibri" w:cs="Times New Roman"/>
          <w:color w:val="auto"/>
          <w:szCs w:val="22"/>
        </w:rPr>
        <w:t xml:space="preserve">entered Malaysia legally, are currently employed, and have no criminal record. Three companies were established to process the rehiring of all “illegal immigrants” who registered under the Rehiring </w:t>
      </w:r>
      <w:proofErr w:type="spellStart"/>
      <w:r w:rsidRPr="009002F0">
        <w:rPr>
          <w:rFonts w:ascii="Calibri" w:eastAsia="Calibri" w:hAnsi="Calibri" w:cs="Times New Roman"/>
          <w:color w:val="auto"/>
          <w:szCs w:val="22"/>
        </w:rPr>
        <w:t>Programme</w:t>
      </w:r>
      <w:proofErr w:type="spellEnd"/>
      <w:r w:rsidRPr="009002F0">
        <w:rPr>
          <w:rFonts w:ascii="Calibri" w:eastAsia="Calibri" w:hAnsi="Calibri" w:cs="Times New Roman"/>
          <w:color w:val="auto"/>
          <w:szCs w:val="22"/>
        </w:rPr>
        <w:t xml:space="preserve">. A VP issued under this program is valid for 5 years for those who had held a VP(TE) and for 3 years for irregulars who overstayed a Social Visit Pass. Those not meeting the qualification criteria were deported. During the two-plus years the Rehiring </w:t>
      </w:r>
      <w:proofErr w:type="spellStart"/>
      <w:r w:rsidRPr="009002F0">
        <w:rPr>
          <w:rFonts w:ascii="Calibri" w:eastAsia="Calibri" w:hAnsi="Calibri" w:cs="Times New Roman"/>
          <w:color w:val="auto"/>
          <w:szCs w:val="22"/>
        </w:rPr>
        <w:t>Programme</w:t>
      </w:r>
      <w:proofErr w:type="spellEnd"/>
      <w:r w:rsidRPr="009002F0">
        <w:rPr>
          <w:rFonts w:ascii="Calibri" w:eastAsia="Calibri" w:hAnsi="Calibri" w:cs="Times New Roman"/>
          <w:color w:val="auto"/>
          <w:szCs w:val="22"/>
        </w:rPr>
        <w:t xml:space="preserve"> was in effect, 744,942 “illegal immigrants” and 83,919 employers registered under the </w:t>
      </w:r>
      <w:proofErr w:type="spellStart"/>
      <w:r w:rsidRPr="009002F0">
        <w:rPr>
          <w:rFonts w:ascii="Calibri" w:eastAsia="Calibri" w:hAnsi="Calibri" w:cs="Times New Roman"/>
          <w:color w:val="auto"/>
          <w:szCs w:val="22"/>
        </w:rPr>
        <w:t>Programme</w:t>
      </w:r>
      <w:proofErr w:type="spellEnd"/>
      <w:r w:rsidRPr="009002F0">
        <w:rPr>
          <w:rFonts w:ascii="Calibri" w:eastAsia="Calibri" w:hAnsi="Calibri" w:cs="Times New Roman"/>
          <w:color w:val="auto"/>
          <w:szCs w:val="22"/>
        </w:rPr>
        <w:t xml:space="preserve">, according to the Ministry of Home Affairs (see </w:t>
      </w:r>
      <w:r w:rsidRPr="009002F0">
        <w:rPr>
          <w:rFonts w:ascii="Calibri" w:eastAsia="Calibri" w:hAnsi="Calibri" w:cs="Times New Roman"/>
          <w:color w:val="auto"/>
        </w:rPr>
        <w:fldChar w:fldCharType="begin" w:fldLock="1"/>
      </w:r>
      <w:r w:rsidRPr="009002F0">
        <w:rPr>
          <w:rFonts w:ascii="Calibri" w:eastAsia="Calibri" w:hAnsi="Calibri" w:cs="Times New Roman"/>
          <w:color w:val="auto"/>
        </w:rPr>
        <w:instrText xml:space="preserve"> REF _Ref535950173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4</w:t>
      </w:r>
      <w:r w:rsidRPr="009002F0">
        <w:rPr>
          <w:rFonts w:ascii="Calibri" w:eastAsia="Calibri" w:hAnsi="Calibri" w:cs="Times New Roman"/>
          <w:color w:val="auto"/>
        </w:rPr>
        <w:fldChar w:fldCharType="end"/>
      </w:r>
      <w:r w:rsidRPr="009002F0">
        <w:rPr>
          <w:rFonts w:ascii="Calibri" w:eastAsia="Calibri" w:hAnsi="Calibri" w:cs="Times New Roman"/>
          <w:color w:val="auto"/>
          <w:szCs w:val="22"/>
        </w:rPr>
        <w:t xml:space="preserve">). </w:t>
      </w:r>
      <w:bookmarkStart w:id="65" w:name="_Ref535946207"/>
    </w:p>
    <w:p w14:paraId="329DDC67" w14:textId="77777777" w:rsidR="009002F0" w:rsidRPr="009002F0" w:rsidRDefault="009002F0" w:rsidP="009002F0">
      <w:pPr>
        <w:widowControl/>
        <w:autoSpaceDE/>
        <w:autoSpaceDN/>
        <w:adjustRightInd/>
        <w:spacing w:after="120"/>
        <w:rPr>
          <w:rFonts w:ascii="Calibri" w:eastAsia="Calibri" w:hAnsi="Calibri" w:cs="Times New Roman"/>
          <w:bCs/>
          <w:spacing w:val="4"/>
          <w:szCs w:val="22"/>
        </w:rPr>
      </w:pPr>
      <w:bookmarkStart w:id="66" w:name="_Ref535950173"/>
      <w:bookmarkStart w:id="67" w:name="_Toc4581547"/>
      <w:r w:rsidRPr="009002F0">
        <w:rPr>
          <w:rFonts w:ascii="Calibri" w:eastAsia="Malgun Gothic" w:hAnsi="Calibri" w:cs="Times New Roman"/>
          <w:bCs/>
          <w:spacing w:val="4"/>
          <w:szCs w:val="20"/>
          <w:lang w:eastAsia="ko-KR"/>
        </w:rPr>
        <w:lastRenderedPageBreak/>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4</w:t>
      </w:r>
      <w:r w:rsidRPr="009002F0">
        <w:rPr>
          <w:rFonts w:ascii="Calibri" w:eastAsia="Malgun Gothic" w:hAnsi="Calibri" w:cs="Times New Roman"/>
          <w:bCs/>
          <w:spacing w:val="4"/>
          <w:szCs w:val="20"/>
          <w:lang w:eastAsia="ko-KR"/>
        </w:rPr>
        <w:fldChar w:fldCharType="end"/>
      </w:r>
      <w:bookmarkEnd w:id="65"/>
      <w:bookmarkEnd w:id="66"/>
      <w:r w:rsidRPr="009002F0">
        <w:rPr>
          <w:rFonts w:ascii="Calibri" w:eastAsia="Malgun Gothic" w:hAnsi="Calibri" w:cs="Times New Roman"/>
          <w:bCs/>
          <w:spacing w:val="4"/>
          <w:szCs w:val="20"/>
          <w:lang w:eastAsia="ko-KR"/>
        </w:rPr>
        <w:t xml:space="preserve">: </w:t>
      </w:r>
      <w:r w:rsidRPr="009002F0">
        <w:rPr>
          <w:rFonts w:ascii="Calibri" w:eastAsia="Calibri" w:hAnsi="Calibri" w:cs="Times New Roman"/>
          <w:bCs/>
          <w:spacing w:val="4"/>
          <w:szCs w:val="22"/>
        </w:rPr>
        <w:t>Irregular foreign workers registered under various regularization programs (1992 – 2018)</w:t>
      </w:r>
      <w:bookmarkEnd w:id="67"/>
    </w:p>
    <w:tbl>
      <w:tblPr>
        <w:tblStyle w:val="TableGrid"/>
        <w:tblW w:w="9355" w:type="dxa"/>
        <w:tblLook w:val="04A0" w:firstRow="1" w:lastRow="0" w:firstColumn="1" w:lastColumn="0" w:noHBand="0" w:noVBand="1"/>
      </w:tblPr>
      <w:tblGrid>
        <w:gridCol w:w="2155"/>
        <w:gridCol w:w="1800"/>
        <w:gridCol w:w="1710"/>
        <w:gridCol w:w="1710"/>
        <w:gridCol w:w="1980"/>
      </w:tblGrid>
      <w:tr w:rsidR="009002F0" w:rsidRPr="009002F0" w14:paraId="4E93837E" w14:textId="77777777" w:rsidTr="009002F0">
        <w:trPr>
          <w:trHeight w:val="620"/>
        </w:trPr>
        <w:tc>
          <w:tcPr>
            <w:tcW w:w="2155" w:type="dxa"/>
            <w:shd w:val="clear" w:color="auto" w:fill="006068"/>
            <w:vAlign w:val="center"/>
          </w:tcPr>
          <w:p w14:paraId="6D1D2FA3"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FFFFFF"/>
                <w:sz w:val="22"/>
                <w:szCs w:val="22"/>
              </w:rPr>
            </w:pPr>
          </w:p>
        </w:tc>
        <w:tc>
          <w:tcPr>
            <w:tcW w:w="1800" w:type="dxa"/>
            <w:shd w:val="clear" w:color="auto" w:fill="006068"/>
            <w:vAlign w:val="center"/>
          </w:tcPr>
          <w:p w14:paraId="13B9605A"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Regularization (1992-97)</w:t>
            </w:r>
          </w:p>
        </w:tc>
        <w:tc>
          <w:tcPr>
            <w:tcW w:w="1710" w:type="dxa"/>
            <w:shd w:val="clear" w:color="auto" w:fill="006068"/>
            <w:vAlign w:val="center"/>
          </w:tcPr>
          <w:p w14:paraId="49B211F8"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 xml:space="preserve">6P </w:t>
            </w:r>
            <w:proofErr w:type="spellStart"/>
            <w:r w:rsidRPr="009002F0">
              <w:rPr>
                <w:rFonts w:ascii="Calibri" w:eastAsia="Calibri" w:hAnsi="Calibri" w:cs="Times New Roman"/>
                <w:b/>
                <w:color w:val="FFFFFF"/>
                <w:sz w:val="22"/>
                <w:szCs w:val="22"/>
              </w:rPr>
              <w:t>Programme</w:t>
            </w:r>
            <w:proofErr w:type="spellEnd"/>
          </w:p>
          <w:p w14:paraId="4F68368D"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(2011-2014)</w:t>
            </w:r>
          </w:p>
        </w:tc>
        <w:tc>
          <w:tcPr>
            <w:tcW w:w="1710" w:type="dxa"/>
            <w:shd w:val="clear" w:color="auto" w:fill="006068"/>
            <w:vAlign w:val="center"/>
          </w:tcPr>
          <w:p w14:paraId="6C01A8CB"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 xml:space="preserve">E-Card </w:t>
            </w:r>
            <w:proofErr w:type="spellStart"/>
            <w:r w:rsidRPr="009002F0">
              <w:rPr>
                <w:rFonts w:ascii="Calibri" w:eastAsia="Calibri" w:hAnsi="Calibri" w:cs="Times New Roman"/>
                <w:b/>
                <w:color w:val="FFFFFF"/>
                <w:sz w:val="22"/>
                <w:szCs w:val="22"/>
              </w:rPr>
              <w:t>Programme</w:t>
            </w:r>
            <w:proofErr w:type="spellEnd"/>
          </w:p>
          <w:p w14:paraId="16B57154"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(2017)</w:t>
            </w:r>
          </w:p>
        </w:tc>
        <w:tc>
          <w:tcPr>
            <w:tcW w:w="1980" w:type="dxa"/>
            <w:shd w:val="clear" w:color="auto" w:fill="006068"/>
            <w:vAlign w:val="center"/>
          </w:tcPr>
          <w:p w14:paraId="49C9677A"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 xml:space="preserve">Rehiring </w:t>
            </w:r>
            <w:proofErr w:type="spellStart"/>
            <w:r w:rsidRPr="009002F0">
              <w:rPr>
                <w:rFonts w:ascii="Calibri" w:eastAsia="Calibri" w:hAnsi="Calibri" w:cs="Times New Roman"/>
                <w:b/>
                <w:color w:val="FFFFFF"/>
                <w:sz w:val="22"/>
                <w:szCs w:val="22"/>
              </w:rPr>
              <w:t>Programme</w:t>
            </w:r>
            <w:proofErr w:type="spellEnd"/>
            <w:r w:rsidRPr="009002F0">
              <w:rPr>
                <w:rFonts w:ascii="Calibri" w:eastAsia="Calibri" w:hAnsi="Calibri" w:cs="Times New Roman"/>
                <w:b/>
                <w:color w:val="FFFFFF"/>
                <w:sz w:val="22"/>
                <w:szCs w:val="22"/>
              </w:rPr>
              <w:t>* (2014-18)</w:t>
            </w:r>
          </w:p>
        </w:tc>
      </w:tr>
      <w:tr w:rsidR="009002F0" w:rsidRPr="009002F0" w14:paraId="273445B1" w14:textId="77777777" w:rsidTr="009002F0">
        <w:trPr>
          <w:trHeight w:val="710"/>
        </w:trPr>
        <w:tc>
          <w:tcPr>
            <w:tcW w:w="2155" w:type="dxa"/>
            <w:vAlign w:val="center"/>
          </w:tcPr>
          <w:p w14:paraId="0C286041" w14:textId="77777777" w:rsidR="009002F0" w:rsidRPr="009002F0" w:rsidRDefault="009002F0" w:rsidP="009002F0">
            <w:pPr>
              <w:widowControl/>
              <w:autoSpaceDE/>
              <w:autoSpaceDN/>
              <w:snapToGrid w:val="0"/>
              <w:spacing w:after="120" w:line="264" w:lineRule="auto"/>
              <w:jc w:val="both"/>
              <w:rPr>
                <w:rFonts w:ascii="Calibri" w:eastAsia="Calibri" w:hAnsi="Calibri" w:cs="Times New Roman"/>
                <w:b/>
                <w:color w:val="auto"/>
              </w:rPr>
            </w:pPr>
            <w:r w:rsidRPr="009002F0">
              <w:rPr>
                <w:rFonts w:ascii="Calibri" w:eastAsia="Calibri" w:hAnsi="Calibri" w:cs="Times New Roman"/>
                <w:b/>
                <w:color w:val="auto"/>
              </w:rPr>
              <w:t xml:space="preserve">Total </w:t>
            </w:r>
          </w:p>
        </w:tc>
        <w:tc>
          <w:tcPr>
            <w:tcW w:w="1800" w:type="dxa"/>
            <w:vAlign w:val="center"/>
          </w:tcPr>
          <w:p w14:paraId="04014B2C"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Malgun Gothic" w:hAnsi="Calibri" w:cs="Times New Roman"/>
                <w:color w:val="auto"/>
              </w:rPr>
              <w:t>1,452,537</w:t>
            </w:r>
          </w:p>
        </w:tc>
        <w:tc>
          <w:tcPr>
            <w:tcW w:w="1710" w:type="dxa"/>
            <w:vAlign w:val="center"/>
          </w:tcPr>
          <w:p w14:paraId="40AD9B3F"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1,303,126</w:t>
            </w:r>
          </w:p>
        </w:tc>
        <w:tc>
          <w:tcPr>
            <w:tcW w:w="1710" w:type="dxa"/>
            <w:vAlign w:val="center"/>
          </w:tcPr>
          <w:p w14:paraId="5F298592"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164,808</w:t>
            </w:r>
          </w:p>
          <w:p w14:paraId="56F60908"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(as of Aug.)</w:t>
            </w:r>
          </w:p>
        </w:tc>
        <w:tc>
          <w:tcPr>
            <w:tcW w:w="1980" w:type="dxa"/>
            <w:vAlign w:val="center"/>
          </w:tcPr>
          <w:p w14:paraId="37C54D53"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744,942</w:t>
            </w:r>
          </w:p>
        </w:tc>
      </w:tr>
      <w:tr w:rsidR="009002F0" w:rsidRPr="009002F0" w14:paraId="26BB905F" w14:textId="77777777" w:rsidTr="009002F0">
        <w:trPr>
          <w:trHeight w:val="350"/>
        </w:trPr>
        <w:tc>
          <w:tcPr>
            <w:tcW w:w="9355" w:type="dxa"/>
            <w:gridSpan w:val="5"/>
            <w:vAlign w:val="center"/>
          </w:tcPr>
          <w:p w14:paraId="1B62574B" w14:textId="77777777" w:rsidR="009002F0" w:rsidRPr="009002F0" w:rsidRDefault="009002F0" w:rsidP="009002F0">
            <w:pPr>
              <w:widowControl/>
              <w:autoSpaceDE/>
              <w:autoSpaceDN/>
              <w:snapToGrid w:val="0"/>
              <w:spacing w:after="120" w:line="264" w:lineRule="auto"/>
              <w:rPr>
                <w:rFonts w:ascii="Calibri" w:eastAsia="Calibri" w:hAnsi="Calibri" w:cs="Times New Roman"/>
                <w:i/>
                <w:color w:val="auto"/>
              </w:rPr>
            </w:pPr>
            <w:r w:rsidRPr="009002F0">
              <w:rPr>
                <w:rFonts w:ascii="Calibri" w:eastAsia="Calibri" w:hAnsi="Calibri" w:cs="Times New Roman"/>
                <w:i/>
                <w:color w:val="auto"/>
              </w:rPr>
              <w:t xml:space="preserve">Of which </w:t>
            </w:r>
          </w:p>
        </w:tc>
      </w:tr>
      <w:tr w:rsidR="009002F0" w:rsidRPr="009002F0" w14:paraId="27CD86E4" w14:textId="77777777" w:rsidTr="009002F0">
        <w:trPr>
          <w:trHeight w:val="593"/>
        </w:trPr>
        <w:tc>
          <w:tcPr>
            <w:tcW w:w="2155" w:type="dxa"/>
            <w:vAlign w:val="center"/>
          </w:tcPr>
          <w:p w14:paraId="049E41DD" w14:textId="77777777" w:rsidR="009002F0" w:rsidRPr="009002F0" w:rsidRDefault="009002F0" w:rsidP="009002F0">
            <w:pPr>
              <w:widowControl/>
              <w:autoSpaceDE/>
              <w:autoSpaceDN/>
              <w:snapToGrid w:val="0"/>
              <w:spacing w:after="120" w:line="264" w:lineRule="auto"/>
              <w:rPr>
                <w:rFonts w:ascii="Calibri" w:eastAsia="Calibri" w:hAnsi="Calibri" w:cs="Times New Roman"/>
                <w:b/>
                <w:color w:val="auto"/>
              </w:rPr>
            </w:pPr>
            <w:r w:rsidRPr="009002F0">
              <w:rPr>
                <w:rFonts w:ascii="Calibri" w:eastAsia="Calibri" w:hAnsi="Calibri" w:cs="Times New Roman"/>
                <w:b/>
                <w:color w:val="auto"/>
              </w:rPr>
              <w:t>Qualified to rehire</w:t>
            </w:r>
          </w:p>
        </w:tc>
        <w:tc>
          <w:tcPr>
            <w:tcW w:w="1800" w:type="dxa"/>
            <w:vAlign w:val="center"/>
          </w:tcPr>
          <w:p w14:paraId="46517B59"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roofErr w:type="spellStart"/>
            <w:r w:rsidRPr="009002F0">
              <w:rPr>
                <w:rFonts w:ascii="Calibri" w:eastAsia="Calibri" w:hAnsi="Calibri" w:cs="Times New Roman"/>
                <w:color w:val="auto"/>
              </w:rPr>
              <w:t>n.a.</w:t>
            </w:r>
            <w:proofErr w:type="spellEnd"/>
          </w:p>
        </w:tc>
        <w:tc>
          <w:tcPr>
            <w:tcW w:w="1710" w:type="dxa"/>
            <w:vAlign w:val="center"/>
          </w:tcPr>
          <w:p w14:paraId="3EF5EAC9"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521,734</w:t>
            </w:r>
          </w:p>
        </w:tc>
        <w:tc>
          <w:tcPr>
            <w:tcW w:w="1710" w:type="dxa"/>
            <w:vAlign w:val="center"/>
          </w:tcPr>
          <w:p w14:paraId="7B3CF89B"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
        </w:tc>
        <w:tc>
          <w:tcPr>
            <w:tcW w:w="1980" w:type="dxa"/>
            <w:vAlign w:val="center"/>
          </w:tcPr>
          <w:p w14:paraId="6D1A5F79"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307,557</w:t>
            </w:r>
          </w:p>
        </w:tc>
      </w:tr>
      <w:tr w:rsidR="009002F0" w:rsidRPr="009002F0" w14:paraId="2B0D7DD5" w14:textId="77777777" w:rsidTr="009002F0">
        <w:trPr>
          <w:trHeight w:val="432"/>
        </w:trPr>
        <w:tc>
          <w:tcPr>
            <w:tcW w:w="2155" w:type="dxa"/>
            <w:vAlign w:val="center"/>
          </w:tcPr>
          <w:p w14:paraId="12BC9BE4" w14:textId="77777777" w:rsidR="009002F0" w:rsidRPr="009002F0" w:rsidRDefault="009002F0" w:rsidP="009002F0">
            <w:pPr>
              <w:widowControl/>
              <w:autoSpaceDE/>
              <w:autoSpaceDN/>
              <w:snapToGrid w:val="0"/>
              <w:spacing w:after="120" w:line="264" w:lineRule="auto"/>
              <w:rPr>
                <w:rFonts w:ascii="Calibri" w:eastAsia="Calibri" w:hAnsi="Calibri" w:cs="Times New Roman"/>
                <w:b/>
                <w:color w:val="auto"/>
              </w:rPr>
            </w:pPr>
            <w:r w:rsidRPr="009002F0">
              <w:rPr>
                <w:rFonts w:ascii="Calibri" w:eastAsia="Calibri" w:hAnsi="Calibri" w:cs="Times New Roman"/>
                <w:b/>
                <w:color w:val="auto"/>
              </w:rPr>
              <w:t xml:space="preserve">Pending (registered </w:t>
            </w:r>
            <w:proofErr w:type="gramStart"/>
            <w:r w:rsidRPr="009002F0">
              <w:rPr>
                <w:rFonts w:ascii="Calibri" w:eastAsia="Calibri" w:hAnsi="Calibri" w:cs="Times New Roman"/>
                <w:b/>
                <w:color w:val="auto"/>
              </w:rPr>
              <w:t>but yet</w:t>
            </w:r>
            <w:proofErr w:type="gramEnd"/>
            <w:r w:rsidRPr="009002F0">
              <w:rPr>
                <w:rFonts w:ascii="Calibri" w:eastAsia="Calibri" w:hAnsi="Calibri" w:cs="Times New Roman"/>
                <w:b/>
                <w:color w:val="auto"/>
              </w:rPr>
              <w:t xml:space="preserve"> to provide biometric information) </w:t>
            </w:r>
          </w:p>
        </w:tc>
        <w:tc>
          <w:tcPr>
            <w:tcW w:w="1800" w:type="dxa"/>
            <w:vAlign w:val="center"/>
          </w:tcPr>
          <w:p w14:paraId="68B5431B"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roofErr w:type="spellStart"/>
            <w:proofErr w:type="gramStart"/>
            <w:r w:rsidRPr="009002F0">
              <w:rPr>
                <w:rFonts w:ascii="Calibri" w:eastAsia="Calibri" w:hAnsi="Calibri" w:cs="Times New Roman"/>
                <w:color w:val="auto"/>
              </w:rPr>
              <w:t>n.a</w:t>
            </w:r>
            <w:proofErr w:type="spellEnd"/>
            <w:proofErr w:type="gramEnd"/>
          </w:p>
        </w:tc>
        <w:tc>
          <w:tcPr>
            <w:tcW w:w="1710" w:type="dxa"/>
            <w:vAlign w:val="center"/>
          </w:tcPr>
          <w:p w14:paraId="0CDC5561"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roofErr w:type="spellStart"/>
            <w:r w:rsidRPr="009002F0">
              <w:rPr>
                <w:rFonts w:ascii="Calibri" w:eastAsia="Calibri" w:hAnsi="Calibri" w:cs="Times New Roman"/>
                <w:color w:val="auto"/>
              </w:rPr>
              <w:t>n.a.</w:t>
            </w:r>
            <w:proofErr w:type="spellEnd"/>
          </w:p>
        </w:tc>
        <w:tc>
          <w:tcPr>
            <w:tcW w:w="1710" w:type="dxa"/>
            <w:vAlign w:val="center"/>
          </w:tcPr>
          <w:p w14:paraId="7BC4134C"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
        </w:tc>
        <w:tc>
          <w:tcPr>
            <w:tcW w:w="1980" w:type="dxa"/>
            <w:vAlign w:val="center"/>
          </w:tcPr>
          <w:p w14:paraId="2C253921"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329,151</w:t>
            </w:r>
          </w:p>
        </w:tc>
      </w:tr>
      <w:tr w:rsidR="009002F0" w:rsidRPr="009002F0" w14:paraId="7BB6D6C4" w14:textId="77777777" w:rsidTr="009002F0">
        <w:trPr>
          <w:trHeight w:val="584"/>
        </w:trPr>
        <w:tc>
          <w:tcPr>
            <w:tcW w:w="2155" w:type="dxa"/>
            <w:vAlign w:val="center"/>
          </w:tcPr>
          <w:p w14:paraId="3FA11BDC" w14:textId="77777777" w:rsidR="009002F0" w:rsidRPr="009002F0" w:rsidRDefault="009002F0" w:rsidP="009002F0">
            <w:pPr>
              <w:widowControl/>
              <w:autoSpaceDE/>
              <w:autoSpaceDN/>
              <w:snapToGrid w:val="0"/>
              <w:spacing w:after="120" w:line="264" w:lineRule="auto"/>
              <w:rPr>
                <w:rFonts w:ascii="Calibri" w:eastAsia="Calibri" w:hAnsi="Calibri" w:cs="Times New Roman"/>
                <w:b/>
                <w:color w:val="auto"/>
              </w:rPr>
            </w:pPr>
            <w:r w:rsidRPr="009002F0">
              <w:rPr>
                <w:rFonts w:ascii="Calibri" w:eastAsia="Calibri" w:hAnsi="Calibri" w:cs="Times New Roman"/>
                <w:b/>
                <w:color w:val="auto"/>
              </w:rPr>
              <w:t xml:space="preserve">Deported </w:t>
            </w:r>
          </w:p>
        </w:tc>
        <w:tc>
          <w:tcPr>
            <w:tcW w:w="1800" w:type="dxa"/>
            <w:vAlign w:val="center"/>
          </w:tcPr>
          <w:p w14:paraId="22B6ABB4"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roofErr w:type="spellStart"/>
            <w:proofErr w:type="gramStart"/>
            <w:r w:rsidRPr="009002F0">
              <w:rPr>
                <w:rFonts w:ascii="Calibri" w:eastAsia="Calibri" w:hAnsi="Calibri" w:cs="Times New Roman"/>
                <w:color w:val="auto"/>
              </w:rPr>
              <w:t>n.a</w:t>
            </w:r>
            <w:proofErr w:type="spellEnd"/>
            <w:proofErr w:type="gramEnd"/>
          </w:p>
        </w:tc>
        <w:tc>
          <w:tcPr>
            <w:tcW w:w="1710" w:type="dxa"/>
            <w:vAlign w:val="center"/>
          </w:tcPr>
          <w:p w14:paraId="54E5D7A1"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760,392 (est.)</w:t>
            </w:r>
          </w:p>
        </w:tc>
        <w:tc>
          <w:tcPr>
            <w:tcW w:w="1710" w:type="dxa"/>
            <w:vAlign w:val="center"/>
          </w:tcPr>
          <w:p w14:paraId="108E2105"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p>
        </w:tc>
        <w:tc>
          <w:tcPr>
            <w:tcW w:w="1980" w:type="dxa"/>
            <w:vAlign w:val="center"/>
          </w:tcPr>
          <w:p w14:paraId="37957503"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rPr>
            </w:pPr>
            <w:r w:rsidRPr="009002F0">
              <w:rPr>
                <w:rFonts w:ascii="Calibri" w:eastAsia="Calibri" w:hAnsi="Calibri" w:cs="Times New Roman"/>
                <w:color w:val="auto"/>
              </w:rPr>
              <w:t>108,234</w:t>
            </w:r>
          </w:p>
        </w:tc>
      </w:tr>
    </w:tbl>
    <w:p w14:paraId="305A25E0" w14:textId="77777777" w:rsidR="009002F0" w:rsidRPr="009002F0" w:rsidRDefault="009002F0" w:rsidP="009002F0">
      <w:pPr>
        <w:widowControl/>
        <w:autoSpaceDE/>
        <w:autoSpaceDN/>
        <w:snapToGrid w:val="0"/>
        <w:jc w:val="both"/>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Source: Authors’ compilations, based on statements by the Immigration Department, and World Bank 2013. </w:t>
      </w:r>
    </w:p>
    <w:p w14:paraId="0D6BC1D8" w14:textId="77777777" w:rsidR="009002F0" w:rsidRPr="009002F0" w:rsidRDefault="009002F0" w:rsidP="009002F0">
      <w:pPr>
        <w:widowControl/>
        <w:autoSpaceDE/>
        <w:autoSpaceDN/>
        <w:snapToGrid w:val="0"/>
        <w:jc w:val="both"/>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Note: * estimates are likely to include some of those who applied E-Card and then subsequently applied for the Rehiring </w:t>
      </w:r>
      <w:proofErr w:type="spellStart"/>
      <w:r w:rsidRPr="009002F0">
        <w:rPr>
          <w:rFonts w:ascii="Calibri" w:eastAsia="Calibri" w:hAnsi="Calibri" w:cs="Times New Roman"/>
          <w:color w:val="auto"/>
          <w:sz w:val="20"/>
          <w:szCs w:val="22"/>
        </w:rPr>
        <w:t>Programme</w:t>
      </w:r>
      <w:proofErr w:type="spellEnd"/>
      <w:r w:rsidRPr="009002F0">
        <w:rPr>
          <w:rFonts w:ascii="Calibri" w:eastAsia="Calibri" w:hAnsi="Calibri" w:cs="Times New Roman"/>
          <w:color w:val="auto"/>
          <w:sz w:val="20"/>
          <w:szCs w:val="22"/>
        </w:rPr>
        <w:t xml:space="preserve">. </w:t>
      </w:r>
    </w:p>
    <w:p w14:paraId="79F8292C"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 w:val="22"/>
          <w:szCs w:val="22"/>
        </w:rPr>
      </w:pPr>
    </w:p>
    <w:p w14:paraId="4050758B"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color w:val="auto"/>
          <w:szCs w:val="22"/>
          <w:lang w:eastAsia="ko-KR"/>
        </w:rPr>
      </w:pPr>
      <w:r w:rsidRPr="009002F0">
        <w:rPr>
          <w:rFonts w:ascii="Calibri" w:eastAsia="Calibri" w:hAnsi="Calibri" w:cs="Times New Roman"/>
          <w:color w:val="auto"/>
          <w:szCs w:val="22"/>
        </w:rPr>
        <w:t xml:space="preserve">In parallel, the government operated </w:t>
      </w:r>
      <w:r w:rsidRPr="009002F0">
        <w:rPr>
          <w:rFonts w:ascii="Calibri" w:eastAsia="Malgun Gothic" w:hAnsi="Calibri" w:cs="Times New Roman"/>
          <w:color w:val="auto"/>
          <w:szCs w:val="22"/>
          <w:lang w:eastAsia="ko-KR"/>
        </w:rPr>
        <w:t xml:space="preserve">a voluntary repatriation program, the 3+1 amnesty program, to allow irregular foreign workers who are not qualified for the Rehiring </w:t>
      </w:r>
      <w:proofErr w:type="spellStart"/>
      <w:r w:rsidRPr="009002F0">
        <w:rPr>
          <w:rFonts w:ascii="Calibri" w:eastAsia="Malgun Gothic" w:hAnsi="Calibri" w:cs="Times New Roman"/>
          <w:color w:val="auto"/>
          <w:szCs w:val="22"/>
          <w:lang w:eastAsia="ko-KR"/>
        </w:rPr>
        <w:t>Programme</w:t>
      </w:r>
      <w:proofErr w:type="spellEnd"/>
      <w:r w:rsidRPr="009002F0">
        <w:rPr>
          <w:rFonts w:ascii="Calibri" w:eastAsia="Malgun Gothic" w:hAnsi="Calibri" w:cs="Times New Roman"/>
          <w:color w:val="auto"/>
          <w:szCs w:val="22"/>
          <w:lang w:eastAsia="ko-KR"/>
        </w:rPr>
        <w:t xml:space="preserve"> to return to their home countries voluntarily. Irregular immigrants who surrendered under this program could receive an exit pass upon paying RM 400 and not face punishment. </w:t>
      </w:r>
      <w:r w:rsidRPr="009002F0">
        <w:rPr>
          <w:rFonts w:ascii="Calibri" w:eastAsia="Calibri" w:hAnsi="Calibri" w:cs="Times New Roman"/>
          <w:color w:val="auto"/>
          <w:szCs w:val="22"/>
        </w:rPr>
        <w:t xml:space="preserve">Since its inception in 2014, some 867,336 irregulars surrendered. According to the Immigration Department, over </w:t>
      </w:r>
      <w:r w:rsidRPr="009002F0">
        <w:rPr>
          <w:rFonts w:ascii="Calibri" w:eastAsia="Malgun Gothic" w:hAnsi="Calibri" w:cs="Times New Roman"/>
          <w:color w:val="auto"/>
          <w:szCs w:val="22"/>
          <w:lang w:eastAsia="ko-KR"/>
        </w:rPr>
        <w:t xml:space="preserve">the first seven months of 2018, 148,774 “illegal immigrants” surrendered (see </w:t>
      </w:r>
      <w:r w:rsidRPr="009002F0">
        <w:rPr>
          <w:rFonts w:ascii="Calibri" w:eastAsia="Malgun Gothic" w:hAnsi="Calibri" w:cs="Times New Roman"/>
          <w:lang w:eastAsia="ko-KR"/>
        </w:rPr>
        <w:fldChar w:fldCharType="begin" w:fldLock="1"/>
      </w:r>
      <w:r w:rsidRPr="009002F0">
        <w:rPr>
          <w:rFonts w:ascii="Calibri" w:eastAsia="Malgun Gothic" w:hAnsi="Calibri" w:cs="Times New Roman"/>
          <w:lang w:eastAsia="ko-KR"/>
        </w:rPr>
        <w:instrText xml:space="preserve"> REF _Ref535946259 \h  \* MERGEFORMAT </w:instrText>
      </w:r>
      <w:r w:rsidRPr="009002F0">
        <w:rPr>
          <w:rFonts w:ascii="Calibri" w:eastAsia="Malgun Gothic" w:hAnsi="Calibri" w:cs="Times New Roman"/>
          <w:lang w:eastAsia="ko-KR"/>
        </w:rPr>
      </w:r>
      <w:r w:rsidRPr="009002F0">
        <w:rPr>
          <w:rFonts w:ascii="Calibri" w:eastAsia="Malgun Gothic" w:hAnsi="Calibri" w:cs="Times New Roman"/>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5</w:t>
      </w:r>
      <w:r w:rsidRPr="009002F0">
        <w:rPr>
          <w:rFonts w:ascii="Calibri" w:eastAsia="Malgun Gothic" w:hAnsi="Calibri" w:cs="Times New Roman"/>
          <w:lang w:eastAsia="ko-KR"/>
        </w:rPr>
        <w:fldChar w:fldCharType="end"/>
      </w:r>
      <w:r w:rsidRPr="009002F0">
        <w:rPr>
          <w:rFonts w:ascii="Calibri" w:eastAsia="Malgun Gothic" w:hAnsi="Calibri" w:cs="Times New Roman"/>
          <w:color w:val="auto"/>
          <w:szCs w:val="22"/>
          <w:lang w:eastAsia="ko-KR"/>
        </w:rPr>
        <w:t xml:space="preserve">). </w:t>
      </w:r>
    </w:p>
    <w:p w14:paraId="69BA3960" w14:textId="77777777" w:rsidR="009002F0" w:rsidRPr="009002F0" w:rsidRDefault="009002F0" w:rsidP="009002F0">
      <w:pPr>
        <w:widowControl/>
        <w:autoSpaceDE/>
        <w:autoSpaceDN/>
        <w:adjustRightInd/>
        <w:spacing w:after="160" w:line="259"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Between regularization programs, the government conducted nationwide crackdown operations against irregular foreign workers and their employers, for example, Ops 6P </w:t>
      </w:r>
      <w:proofErr w:type="spellStart"/>
      <w:r w:rsidRPr="009002F0">
        <w:rPr>
          <w:rFonts w:ascii="Calibri" w:eastAsia="Malgun Gothic" w:hAnsi="Calibri" w:cs="Times New Roman"/>
          <w:color w:val="auto"/>
          <w:szCs w:val="22"/>
          <w:lang w:eastAsia="ko-KR"/>
        </w:rPr>
        <w:t>Bersepadu</w:t>
      </w:r>
      <w:proofErr w:type="spellEnd"/>
      <w:r w:rsidRPr="009002F0">
        <w:rPr>
          <w:rFonts w:ascii="Calibri" w:eastAsia="Malgun Gothic" w:hAnsi="Calibri" w:cs="Times New Roman"/>
          <w:color w:val="auto"/>
          <w:szCs w:val="22"/>
          <w:lang w:eastAsia="ko-KR"/>
        </w:rPr>
        <w:t xml:space="preserve"> (Integrated Operations) in January 2014, which involved 10,000 personnel from the police, People’s Volunteer Corps (RELA, Volunteer Corp), armed forces, civil defense and local councils as well as the National Registration Department. These operations rounded up 27,000 “illegal immigrants”. In July 2017, the Immigration Department launched the Ops Mega 3.0 (Special Operations) special operation to track down foreign workers and employers who failed to apply for E-Card, the Rehiring </w:t>
      </w:r>
      <w:proofErr w:type="spellStart"/>
      <w:r w:rsidRPr="009002F0">
        <w:rPr>
          <w:rFonts w:ascii="Calibri" w:eastAsia="Malgun Gothic" w:hAnsi="Calibri" w:cs="Times New Roman"/>
          <w:color w:val="auto"/>
          <w:szCs w:val="22"/>
          <w:lang w:eastAsia="ko-KR"/>
        </w:rPr>
        <w:t>Programme</w:t>
      </w:r>
      <w:proofErr w:type="spellEnd"/>
      <w:r w:rsidRPr="009002F0">
        <w:rPr>
          <w:rFonts w:ascii="Calibri" w:eastAsia="Malgun Gothic" w:hAnsi="Calibri" w:cs="Times New Roman"/>
          <w:color w:val="auto"/>
          <w:szCs w:val="22"/>
          <w:lang w:eastAsia="ko-KR"/>
        </w:rPr>
        <w:t xml:space="preserve">, or voluntary repatriation programs before their respective deadline (see </w:t>
      </w:r>
      <w:r w:rsidRPr="009002F0">
        <w:rPr>
          <w:rFonts w:ascii="Calibri" w:eastAsia="Malgun Gothic" w:hAnsi="Calibri" w:cs="Times New Roman"/>
          <w:lang w:eastAsia="ko-KR"/>
        </w:rPr>
        <w:fldChar w:fldCharType="begin" w:fldLock="1"/>
      </w:r>
      <w:r w:rsidRPr="009002F0">
        <w:rPr>
          <w:rFonts w:ascii="Calibri" w:eastAsia="Malgun Gothic" w:hAnsi="Calibri" w:cs="Times New Roman"/>
          <w:lang w:eastAsia="ko-KR"/>
        </w:rPr>
        <w:instrText xml:space="preserve"> REF _Ref535946259 \h  \* MERGEFORMAT </w:instrText>
      </w:r>
      <w:r w:rsidRPr="009002F0">
        <w:rPr>
          <w:rFonts w:ascii="Calibri" w:eastAsia="Malgun Gothic" w:hAnsi="Calibri" w:cs="Times New Roman"/>
          <w:lang w:eastAsia="ko-KR"/>
        </w:rPr>
      </w:r>
      <w:r w:rsidRPr="009002F0">
        <w:rPr>
          <w:rFonts w:ascii="Calibri" w:eastAsia="Malgun Gothic" w:hAnsi="Calibri" w:cs="Times New Roman"/>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5</w:t>
      </w:r>
      <w:r w:rsidRPr="009002F0">
        <w:rPr>
          <w:rFonts w:ascii="Calibri" w:eastAsia="Malgun Gothic" w:hAnsi="Calibri" w:cs="Times New Roman"/>
          <w:lang w:eastAsia="ko-KR"/>
        </w:rPr>
        <w:fldChar w:fldCharType="end"/>
      </w:r>
      <w:r w:rsidRPr="009002F0">
        <w:rPr>
          <w:rFonts w:ascii="Calibri" w:eastAsia="Malgun Gothic" w:hAnsi="Calibri" w:cs="Times New Roman"/>
          <w:color w:val="auto"/>
          <w:szCs w:val="22"/>
          <w:lang w:eastAsia="ko-KR"/>
        </w:rPr>
        <w:t xml:space="preserve"> for the magnitude). </w:t>
      </w:r>
    </w:p>
    <w:p w14:paraId="2837F696"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p>
    <w:p w14:paraId="05FBA2C0"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p>
    <w:p w14:paraId="219F5374"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p>
    <w:p w14:paraId="7851495A"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p>
    <w:p w14:paraId="6177F515" w14:textId="77777777" w:rsidR="009002F0" w:rsidRPr="009002F0" w:rsidRDefault="009002F0" w:rsidP="009002F0">
      <w:pPr>
        <w:widowControl/>
        <w:autoSpaceDE/>
        <w:autoSpaceDN/>
        <w:adjustRightInd/>
        <w:spacing w:after="120"/>
        <w:rPr>
          <w:rFonts w:ascii="Calibri" w:eastAsia="Calibri" w:hAnsi="Calibri" w:cs="Times New Roman"/>
          <w:bCs/>
          <w:spacing w:val="4"/>
          <w:szCs w:val="22"/>
        </w:rPr>
      </w:pPr>
      <w:bookmarkStart w:id="68" w:name="_Ref535946259"/>
      <w:bookmarkStart w:id="69" w:name="_Toc4581548"/>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5</w:t>
      </w:r>
      <w:r w:rsidRPr="009002F0">
        <w:rPr>
          <w:rFonts w:ascii="Calibri" w:eastAsia="Malgun Gothic" w:hAnsi="Calibri" w:cs="Times New Roman"/>
          <w:bCs/>
          <w:spacing w:val="4"/>
          <w:szCs w:val="20"/>
          <w:lang w:eastAsia="ko-KR"/>
        </w:rPr>
        <w:fldChar w:fldCharType="end"/>
      </w:r>
      <w:bookmarkEnd w:id="68"/>
      <w:r w:rsidRPr="009002F0">
        <w:rPr>
          <w:rFonts w:ascii="Calibri" w:eastAsia="Malgun Gothic" w:hAnsi="Calibri" w:cs="Times New Roman"/>
          <w:bCs/>
          <w:spacing w:val="4"/>
          <w:szCs w:val="20"/>
          <w:lang w:eastAsia="ko-KR"/>
        </w:rPr>
        <w:t xml:space="preserve">: </w:t>
      </w:r>
      <w:r w:rsidRPr="009002F0">
        <w:rPr>
          <w:rFonts w:ascii="Calibri" w:eastAsia="Calibri" w:hAnsi="Calibri" w:cs="Times New Roman"/>
          <w:bCs/>
          <w:spacing w:val="4"/>
          <w:szCs w:val="22"/>
        </w:rPr>
        <w:t>Irregular foreign workers who were deported through amnesty or crackdowns (1998–2018)</w:t>
      </w:r>
      <w:bookmarkEnd w:id="69"/>
    </w:p>
    <w:tbl>
      <w:tblPr>
        <w:tblStyle w:val="TableGrid"/>
        <w:tblW w:w="0" w:type="auto"/>
        <w:tblLook w:val="04A0" w:firstRow="1" w:lastRow="0" w:firstColumn="1" w:lastColumn="0" w:noHBand="0" w:noVBand="1"/>
      </w:tblPr>
      <w:tblGrid>
        <w:gridCol w:w="1705"/>
        <w:gridCol w:w="3240"/>
        <w:gridCol w:w="3986"/>
      </w:tblGrid>
      <w:tr w:rsidR="009002F0" w:rsidRPr="009002F0" w14:paraId="4E61895F" w14:textId="77777777" w:rsidTr="009002F0">
        <w:trPr>
          <w:trHeight w:val="720"/>
        </w:trPr>
        <w:tc>
          <w:tcPr>
            <w:tcW w:w="1705" w:type="dxa"/>
            <w:shd w:val="clear" w:color="auto" w:fill="006068"/>
            <w:vAlign w:val="center"/>
          </w:tcPr>
          <w:p w14:paraId="52021C57"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Year</w:t>
            </w:r>
          </w:p>
        </w:tc>
        <w:tc>
          <w:tcPr>
            <w:tcW w:w="3240" w:type="dxa"/>
            <w:shd w:val="clear" w:color="auto" w:fill="006068"/>
            <w:vAlign w:val="center"/>
          </w:tcPr>
          <w:p w14:paraId="36061D28"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Amnesty (Voluntary deportation, 3+1 program)</w:t>
            </w:r>
          </w:p>
        </w:tc>
        <w:tc>
          <w:tcPr>
            <w:tcW w:w="3986" w:type="dxa"/>
            <w:shd w:val="clear" w:color="auto" w:fill="006068"/>
            <w:vAlign w:val="center"/>
          </w:tcPr>
          <w:p w14:paraId="2399626C"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b/>
                <w:color w:val="FFFFFF"/>
                <w:sz w:val="22"/>
                <w:szCs w:val="22"/>
              </w:rPr>
            </w:pPr>
            <w:r w:rsidRPr="009002F0">
              <w:rPr>
                <w:rFonts w:ascii="Calibri" w:eastAsia="Calibri" w:hAnsi="Calibri" w:cs="Times New Roman"/>
                <w:b/>
                <w:color w:val="FFFFFF"/>
                <w:sz w:val="22"/>
                <w:szCs w:val="22"/>
              </w:rPr>
              <w:t>Workplace raids/crackdown</w:t>
            </w:r>
          </w:p>
        </w:tc>
      </w:tr>
      <w:tr w:rsidR="009002F0" w:rsidRPr="009002F0" w14:paraId="390686A5" w14:textId="77777777" w:rsidTr="009002F0">
        <w:trPr>
          <w:trHeight w:val="432"/>
        </w:trPr>
        <w:tc>
          <w:tcPr>
            <w:tcW w:w="1705" w:type="dxa"/>
            <w:vAlign w:val="center"/>
          </w:tcPr>
          <w:p w14:paraId="0EDFEDF0"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1998</w:t>
            </w:r>
          </w:p>
        </w:tc>
        <w:tc>
          <w:tcPr>
            <w:tcW w:w="3240" w:type="dxa"/>
            <w:vAlign w:val="center"/>
          </w:tcPr>
          <w:p w14:paraId="3FB7BD4B"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187,486</w:t>
            </w:r>
          </w:p>
        </w:tc>
        <w:tc>
          <w:tcPr>
            <w:tcW w:w="3986" w:type="dxa"/>
            <w:vAlign w:val="center"/>
          </w:tcPr>
          <w:p w14:paraId="06E5CD6D"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r>
      <w:tr w:rsidR="009002F0" w:rsidRPr="009002F0" w14:paraId="752D76B7" w14:textId="77777777" w:rsidTr="009002F0">
        <w:trPr>
          <w:trHeight w:val="432"/>
        </w:trPr>
        <w:tc>
          <w:tcPr>
            <w:tcW w:w="1705" w:type="dxa"/>
            <w:vAlign w:val="center"/>
          </w:tcPr>
          <w:p w14:paraId="4A683CAF"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2002</w:t>
            </w:r>
          </w:p>
        </w:tc>
        <w:tc>
          <w:tcPr>
            <w:tcW w:w="3240" w:type="dxa"/>
            <w:vAlign w:val="center"/>
          </w:tcPr>
          <w:p w14:paraId="1BECF020"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439,727</w:t>
            </w:r>
          </w:p>
        </w:tc>
        <w:tc>
          <w:tcPr>
            <w:tcW w:w="3986" w:type="dxa"/>
            <w:vAlign w:val="center"/>
          </w:tcPr>
          <w:p w14:paraId="6BC4BA56"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r>
      <w:tr w:rsidR="009002F0" w:rsidRPr="009002F0" w14:paraId="0AE9A5CE" w14:textId="77777777" w:rsidTr="009002F0">
        <w:trPr>
          <w:trHeight w:val="432"/>
        </w:trPr>
        <w:tc>
          <w:tcPr>
            <w:tcW w:w="1705" w:type="dxa"/>
            <w:vAlign w:val="center"/>
          </w:tcPr>
          <w:p w14:paraId="6C3045E3"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2005</w:t>
            </w:r>
          </w:p>
        </w:tc>
        <w:tc>
          <w:tcPr>
            <w:tcW w:w="3240" w:type="dxa"/>
            <w:vAlign w:val="center"/>
          </w:tcPr>
          <w:p w14:paraId="12F5F59A"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398,758</w:t>
            </w:r>
          </w:p>
        </w:tc>
        <w:tc>
          <w:tcPr>
            <w:tcW w:w="3986" w:type="dxa"/>
            <w:vAlign w:val="center"/>
          </w:tcPr>
          <w:p w14:paraId="00DBCA39"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r>
      <w:tr w:rsidR="009002F0" w:rsidRPr="009002F0" w14:paraId="1E392507" w14:textId="77777777" w:rsidTr="009002F0">
        <w:trPr>
          <w:trHeight w:val="432"/>
        </w:trPr>
        <w:tc>
          <w:tcPr>
            <w:tcW w:w="1705" w:type="dxa"/>
            <w:vAlign w:val="center"/>
          </w:tcPr>
          <w:p w14:paraId="408A930C"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c>
          <w:tcPr>
            <w:tcW w:w="3240" w:type="dxa"/>
            <w:vAlign w:val="center"/>
          </w:tcPr>
          <w:p w14:paraId="1F381614"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c>
          <w:tcPr>
            <w:tcW w:w="3986" w:type="dxa"/>
            <w:vAlign w:val="center"/>
          </w:tcPr>
          <w:p w14:paraId="45B3CFD6"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 xml:space="preserve">1,039,219 </w:t>
            </w:r>
            <w:r w:rsidRPr="009002F0">
              <w:rPr>
                <w:rFonts w:ascii="Calibri" w:eastAsia="Malgun Gothic" w:hAnsi="Calibri" w:cs="Times New Roman"/>
                <w:i/>
                <w:color w:val="auto"/>
                <w:sz w:val="22"/>
                <w:szCs w:val="22"/>
              </w:rPr>
              <w:t xml:space="preserve">(Ops </w:t>
            </w:r>
            <w:proofErr w:type="spellStart"/>
            <w:r w:rsidRPr="009002F0">
              <w:rPr>
                <w:rFonts w:ascii="Calibri" w:eastAsia="Malgun Gothic" w:hAnsi="Calibri" w:cs="Times New Roman"/>
                <w:i/>
                <w:color w:val="auto"/>
                <w:sz w:val="22"/>
                <w:szCs w:val="22"/>
              </w:rPr>
              <w:t>Nyah</w:t>
            </w:r>
            <w:proofErr w:type="spellEnd"/>
            <w:r w:rsidRPr="009002F0">
              <w:rPr>
                <w:rFonts w:ascii="Calibri" w:eastAsia="Malgun Gothic" w:hAnsi="Calibri" w:cs="Times New Roman"/>
                <w:i/>
                <w:color w:val="auto"/>
                <w:sz w:val="22"/>
                <w:szCs w:val="22"/>
              </w:rPr>
              <w:t xml:space="preserve"> 1&amp; 2; Ops </w:t>
            </w:r>
            <w:proofErr w:type="spellStart"/>
            <w:r w:rsidRPr="009002F0">
              <w:rPr>
                <w:rFonts w:ascii="Calibri" w:eastAsia="Malgun Gothic" w:hAnsi="Calibri" w:cs="Times New Roman"/>
                <w:i/>
                <w:color w:val="auto"/>
                <w:sz w:val="22"/>
                <w:szCs w:val="22"/>
              </w:rPr>
              <w:t>Tegas</w:t>
            </w:r>
            <w:proofErr w:type="spellEnd"/>
            <w:r w:rsidRPr="009002F0">
              <w:rPr>
                <w:rFonts w:ascii="Calibri" w:eastAsia="Malgun Gothic" w:hAnsi="Calibri" w:cs="Times New Roman"/>
                <w:i/>
                <w:color w:val="auto"/>
                <w:sz w:val="22"/>
                <w:szCs w:val="22"/>
              </w:rPr>
              <w:t>)</w:t>
            </w:r>
          </w:p>
        </w:tc>
      </w:tr>
      <w:tr w:rsidR="009002F0" w:rsidRPr="009002F0" w14:paraId="176C9315" w14:textId="77777777" w:rsidTr="009002F0">
        <w:trPr>
          <w:trHeight w:val="432"/>
        </w:trPr>
        <w:tc>
          <w:tcPr>
            <w:tcW w:w="1705" w:type="dxa"/>
            <w:vAlign w:val="center"/>
          </w:tcPr>
          <w:p w14:paraId="114E40AF"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2007</w:t>
            </w:r>
          </w:p>
        </w:tc>
        <w:tc>
          <w:tcPr>
            <w:tcW w:w="3240" w:type="dxa"/>
            <w:vAlign w:val="center"/>
          </w:tcPr>
          <w:p w14:paraId="02142377"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175,282</w:t>
            </w:r>
          </w:p>
        </w:tc>
        <w:tc>
          <w:tcPr>
            <w:tcW w:w="3986" w:type="dxa"/>
            <w:vAlign w:val="center"/>
          </w:tcPr>
          <w:p w14:paraId="59A12DF2"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r>
      <w:tr w:rsidR="009002F0" w:rsidRPr="009002F0" w14:paraId="460AB299" w14:textId="77777777" w:rsidTr="009002F0">
        <w:trPr>
          <w:trHeight w:val="432"/>
        </w:trPr>
        <w:tc>
          <w:tcPr>
            <w:tcW w:w="1705" w:type="dxa"/>
            <w:vAlign w:val="center"/>
          </w:tcPr>
          <w:p w14:paraId="3B5341E7"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2013-14</w:t>
            </w:r>
          </w:p>
        </w:tc>
        <w:tc>
          <w:tcPr>
            <w:tcW w:w="3240" w:type="dxa"/>
            <w:vAlign w:val="center"/>
          </w:tcPr>
          <w:p w14:paraId="04141A61"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c>
          <w:tcPr>
            <w:tcW w:w="3986" w:type="dxa"/>
            <w:vAlign w:val="center"/>
          </w:tcPr>
          <w:p w14:paraId="1244BE74"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27,199</w:t>
            </w:r>
          </w:p>
          <w:p w14:paraId="724B18FE"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Malgun Gothic" w:hAnsi="Calibri" w:cs="Times New Roman"/>
                <w:i/>
                <w:color w:val="auto"/>
                <w:sz w:val="22"/>
                <w:szCs w:val="22"/>
              </w:rPr>
              <w:t xml:space="preserve">(Ops 6P </w:t>
            </w:r>
            <w:proofErr w:type="spellStart"/>
            <w:r w:rsidRPr="009002F0">
              <w:rPr>
                <w:rFonts w:ascii="Calibri" w:eastAsia="Malgun Gothic" w:hAnsi="Calibri" w:cs="Times New Roman"/>
                <w:i/>
                <w:color w:val="auto"/>
                <w:sz w:val="22"/>
                <w:szCs w:val="22"/>
              </w:rPr>
              <w:t>Bersepadu</w:t>
            </w:r>
            <w:proofErr w:type="spellEnd"/>
            <w:r w:rsidRPr="009002F0">
              <w:rPr>
                <w:rFonts w:ascii="Calibri" w:eastAsia="Malgun Gothic" w:hAnsi="Calibri" w:cs="Times New Roman"/>
                <w:i/>
                <w:color w:val="auto"/>
                <w:sz w:val="22"/>
                <w:szCs w:val="22"/>
              </w:rPr>
              <w:t>, or 6P Integrated Operations)</w:t>
            </w:r>
          </w:p>
        </w:tc>
      </w:tr>
      <w:tr w:rsidR="009002F0" w:rsidRPr="009002F0" w14:paraId="4F7C8C82" w14:textId="77777777" w:rsidTr="009002F0">
        <w:trPr>
          <w:trHeight w:val="432"/>
        </w:trPr>
        <w:tc>
          <w:tcPr>
            <w:tcW w:w="1705" w:type="dxa"/>
            <w:vAlign w:val="center"/>
          </w:tcPr>
          <w:p w14:paraId="237267D5"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2017</w:t>
            </w:r>
          </w:p>
        </w:tc>
        <w:tc>
          <w:tcPr>
            <w:tcW w:w="3240" w:type="dxa"/>
            <w:vAlign w:val="center"/>
          </w:tcPr>
          <w:p w14:paraId="77061E75"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125,061 (Jan – Jul, 3+1 program)</w:t>
            </w:r>
          </w:p>
        </w:tc>
        <w:tc>
          <w:tcPr>
            <w:tcW w:w="3986" w:type="dxa"/>
            <w:vAlign w:val="center"/>
          </w:tcPr>
          <w:p w14:paraId="40CB64AB"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5,065</w:t>
            </w:r>
          </w:p>
          <w:p w14:paraId="55E1B8D4"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rPr>
            </w:pPr>
            <w:r w:rsidRPr="009002F0">
              <w:rPr>
                <w:rFonts w:ascii="Calibri" w:eastAsia="Malgun Gothic" w:hAnsi="Calibri" w:cs="Times New Roman"/>
                <w:color w:val="auto"/>
                <w:sz w:val="22"/>
                <w:szCs w:val="22"/>
              </w:rPr>
              <w:t>(Ops Mega 3.0, Jul)</w:t>
            </w:r>
          </w:p>
        </w:tc>
      </w:tr>
      <w:tr w:rsidR="009002F0" w:rsidRPr="009002F0" w14:paraId="653C55DF" w14:textId="77777777" w:rsidTr="009002F0">
        <w:trPr>
          <w:trHeight w:val="432"/>
        </w:trPr>
        <w:tc>
          <w:tcPr>
            <w:tcW w:w="1705" w:type="dxa"/>
            <w:vAlign w:val="center"/>
          </w:tcPr>
          <w:p w14:paraId="78273BDA"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2018</w:t>
            </w:r>
          </w:p>
        </w:tc>
        <w:tc>
          <w:tcPr>
            <w:tcW w:w="3240" w:type="dxa"/>
            <w:vAlign w:val="center"/>
          </w:tcPr>
          <w:p w14:paraId="1430183A"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Malgun Gothic" w:hAnsi="Calibri" w:cs="Times New Roman"/>
                <w:color w:val="auto"/>
                <w:sz w:val="22"/>
                <w:szCs w:val="22"/>
              </w:rPr>
              <w:t xml:space="preserve">148,774 </w:t>
            </w:r>
            <w:r w:rsidRPr="009002F0">
              <w:rPr>
                <w:rFonts w:ascii="Calibri" w:eastAsia="Calibri" w:hAnsi="Calibri" w:cs="Times New Roman"/>
                <w:color w:val="auto"/>
                <w:sz w:val="22"/>
                <w:szCs w:val="22"/>
              </w:rPr>
              <w:t>(as of Jul)</w:t>
            </w:r>
          </w:p>
        </w:tc>
        <w:tc>
          <w:tcPr>
            <w:tcW w:w="3986" w:type="dxa"/>
            <w:vAlign w:val="center"/>
          </w:tcPr>
          <w:p w14:paraId="141E30A1"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45,499 (as of Dec. 6)</w:t>
            </w:r>
          </w:p>
        </w:tc>
      </w:tr>
      <w:tr w:rsidR="009002F0" w:rsidRPr="009002F0" w14:paraId="58693D8A" w14:textId="77777777" w:rsidTr="009002F0">
        <w:trPr>
          <w:trHeight w:val="432"/>
        </w:trPr>
        <w:tc>
          <w:tcPr>
            <w:tcW w:w="1705" w:type="dxa"/>
            <w:vAlign w:val="center"/>
          </w:tcPr>
          <w:p w14:paraId="56B72D7E"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2014-2018</w:t>
            </w:r>
          </w:p>
        </w:tc>
        <w:tc>
          <w:tcPr>
            <w:tcW w:w="3240" w:type="dxa"/>
            <w:vAlign w:val="center"/>
          </w:tcPr>
          <w:p w14:paraId="4C5920AD"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r w:rsidRPr="009002F0">
              <w:rPr>
                <w:rFonts w:ascii="Calibri" w:eastAsia="Calibri" w:hAnsi="Calibri" w:cs="Times New Roman"/>
                <w:color w:val="auto"/>
                <w:sz w:val="22"/>
                <w:szCs w:val="22"/>
              </w:rPr>
              <w:t>867,336*</w:t>
            </w:r>
          </w:p>
        </w:tc>
        <w:tc>
          <w:tcPr>
            <w:tcW w:w="3986" w:type="dxa"/>
            <w:vAlign w:val="center"/>
          </w:tcPr>
          <w:p w14:paraId="124767E3" w14:textId="77777777" w:rsidR="009002F0" w:rsidRPr="009002F0" w:rsidRDefault="009002F0" w:rsidP="009002F0">
            <w:pPr>
              <w:widowControl/>
              <w:autoSpaceDE/>
              <w:autoSpaceDN/>
              <w:snapToGrid w:val="0"/>
              <w:spacing w:after="120" w:line="264" w:lineRule="auto"/>
              <w:jc w:val="center"/>
              <w:rPr>
                <w:rFonts w:ascii="Calibri" w:eastAsia="Calibri" w:hAnsi="Calibri" w:cs="Times New Roman"/>
                <w:color w:val="auto"/>
                <w:sz w:val="22"/>
                <w:szCs w:val="22"/>
              </w:rPr>
            </w:pPr>
          </w:p>
        </w:tc>
      </w:tr>
    </w:tbl>
    <w:p w14:paraId="586ABB50" w14:textId="77777777" w:rsidR="009002F0" w:rsidRPr="009002F0" w:rsidRDefault="009002F0" w:rsidP="009002F0">
      <w:pPr>
        <w:widowControl/>
        <w:autoSpaceDE/>
        <w:autoSpaceDN/>
        <w:snapToGrid w:val="0"/>
        <w:jc w:val="both"/>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Authors’ compilations, based on statements by the Immigration Department, and World Bank 2013. </w:t>
      </w:r>
    </w:p>
    <w:p w14:paraId="11A0C049" w14:textId="77777777" w:rsidR="009002F0" w:rsidRPr="009002F0" w:rsidRDefault="009002F0" w:rsidP="009002F0">
      <w:pPr>
        <w:widowControl/>
        <w:autoSpaceDE/>
        <w:autoSpaceDN/>
        <w:snapToGrid w:val="0"/>
        <w:jc w:val="both"/>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Note: *estimates are likely to include some of those who were deported in through arrests and 3+1 program in 2017. </w:t>
      </w:r>
    </w:p>
    <w:p w14:paraId="5EFD6A4A" w14:textId="77777777" w:rsidR="009002F0" w:rsidRPr="009002F0" w:rsidRDefault="009002F0" w:rsidP="009002F0">
      <w:pPr>
        <w:widowControl/>
        <w:autoSpaceDE/>
        <w:autoSpaceDN/>
        <w:snapToGrid w:val="0"/>
        <w:jc w:val="center"/>
        <w:rPr>
          <w:rFonts w:ascii="Calibri" w:eastAsia="Calibri" w:hAnsi="Calibri" w:cs="Times New Roman"/>
          <w:color w:val="auto"/>
          <w:sz w:val="22"/>
          <w:szCs w:val="22"/>
        </w:rPr>
      </w:pPr>
    </w:p>
    <w:p w14:paraId="3AE37472" w14:textId="77777777" w:rsidR="009002F0" w:rsidRPr="009002F0" w:rsidRDefault="009002F0" w:rsidP="009002F0">
      <w:pPr>
        <w:widowControl/>
        <w:autoSpaceDE/>
        <w:autoSpaceDN/>
        <w:snapToGrid w:val="0"/>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Irregular foreign workers are likely to be from Bangladesh and Indonesia according to data from the Immigration Department. Nevertheless, the exact distribution of apprehended irregular foreign workers by nationality is challenging as the timing and duration of each program do not coincide. According to the Immigration Department, workers from Bangladesh account for 65 percent of the total irregular foreign workers who registered under the Rehiring </w:t>
      </w:r>
      <w:proofErr w:type="spellStart"/>
      <w:r w:rsidRPr="009002F0">
        <w:rPr>
          <w:rFonts w:ascii="Calibri" w:eastAsia="Calibri" w:hAnsi="Calibri" w:cs="Times New Roman"/>
          <w:color w:val="auto"/>
          <w:szCs w:val="22"/>
        </w:rPr>
        <w:t>Programme</w:t>
      </w:r>
      <w:proofErr w:type="spellEnd"/>
      <w:r w:rsidRPr="009002F0">
        <w:rPr>
          <w:rFonts w:ascii="Calibri" w:eastAsia="Calibri" w:hAnsi="Calibri" w:cs="Times New Roman"/>
          <w:color w:val="auto"/>
          <w:szCs w:val="22"/>
        </w:rPr>
        <w:t xml:space="preserve">, followed by Indonesians (16 percent), Myanmar workers (6 percent), and Indians (4 percent). These estimates are quite different from those of </w:t>
      </w:r>
      <w:proofErr w:type="spellStart"/>
      <w:r w:rsidRPr="009002F0">
        <w:rPr>
          <w:rFonts w:ascii="Calibri" w:eastAsia="Calibri" w:hAnsi="Calibri" w:cs="Times New Roman"/>
          <w:color w:val="auto"/>
          <w:szCs w:val="22"/>
        </w:rPr>
        <w:t>Djafar</w:t>
      </w:r>
      <w:proofErr w:type="spellEnd"/>
      <w:r w:rsidRPr="009002F0">
        <w:rPr>
          <w:rFonts w:ascii="Calibri" w:eastAsia="Calibri" w:hAnsi="Calibri" w:cs="Times New Roman"/>
          <w:color w:val="auto"/>
          <w:szCs w:val="22"/>
        </w:rPr>
        <w:t xml:space="preserve"> and Hassan (2012), who reported that well over half of irregular migrant workers are Indonesians. Documentation from the 6P program indicates that 70 percent of registered undocumented immigrants under the program are Indonesians (World Bank, 2013). Pull factors may explain the presence of high concentration of irregular Bangladeshis and Indonesians – such as the geographical proximity, porous borders, as well as Malaysia’s political and economic stability.</w:t>
      </w:r>
    </w:p>
    <w:p w14:paraId="42F711E8" w14:textId="77777777" w:rsidR="009002F0" w:rsidRPr="009002F0" w:rsidRDefault="009002F0" w:rsidP="009002F0">
      <w:pPr>
        <w:widowControl/>
        <w:autoSpaceDE/>
        <w:autoSpaceDN/>
        <w:snapToGrid w:val="0"/>
        <w:jc w:val="both"/>
        <w:rPr>
          <w:rFonts w:ascii="Calibri" w:eastAsia="Calibri" w:hAnsi="Calibri" w:cs="Times New Roman"/>
          <w:color w:val="auto"/>
          <w:szCs w:val="22"/>
        </w:rPr>
      </w:pPr>
    </w:p>
    <w:p w14:paraId="1B76B89E" w14:textId="77777777" w:rsidR="009002F0" w:rsidRPr="009002F0" w:rsidRDefault="009002F0" w:rsidP="009002F0">
      <w:pPr>
        <w:widowControl/>
        <w:autoSpaceDE/>
        <w:autoSpaceDN/>
        <w:adjustRightInd/>
        <w:spacing w:after="160" w:line="259" w:lineRule="auto"/>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As presented </w:t>
      </w:r>
      <w:r w:rsidRPr="009002F0">
        <w:rPr>
          <w:rFonts w:ascii="Calibri" w:eastAsia="Calibri" w:hAnsi="Calibri" w:cs="Times New Roman"/>
          <w:color w:val="auto"/>
        </w:rPr>
        <w:t xml:space="preserve">in </w:t>
      </w:r>
      <w:r w:rsidRPr="009002F0">
        <w:rPr>
          <w:rFonts w:ascii="Calibri" w:eastAsia="Calibri" w:hAnsi="Calibri" w:cs="Times New Roman"/>
          <w:color w:val="auto"/>
        </w:rPr>
        <w:fldChar w:fldCharType="begin" w:fldLock="1"/>
      </w:r>
      <w:r w:rsidRPr="009002F0">
        <w:rPr>
          <w:rFonts w:ascii="Calibri" w:eastAsia="Calibri" w:hAnsi="Calibri" w:cs="Times New Roman"/>
          <w:color w:val="auto"/>
        </w:rPr>
        <w:instrText xml:space="preserve"> REF _Ref535950804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6</w:t>
      </w:r>
      <w:r w:rsidRPr="009002F0">
        <w:rPr>
          <w:rFonts w:ascii="Calibri" w:eastAsia="Calibri" w:hAnsi="Calibri" w:cs="Times New Roman"/>
          <w:color w:val="auto"/>
        </w:rPr>
        <w:fldChar w:fldCharType="end"/>
      </w:r>
      <w:r w:rsidRPr="009002F0">
        <w:rPr>
          <w:rFonts w:ascii="Calibri" w:eastAsia="Calibri" w:hAnsi="Calibri" w:cs="Times New Roman"/>
          <w:color w:val="auto"/>
        </w:rPr>
        <w:t>,</w:t>
      </w:r>
      <w:r w:rsidRPr="009002F0">
        <w:rPr>
          <w:rFonts w:ascii="Calibri" w:eastAsia="Calibri" w:hAnsi="Calibri" w:cs="Times New Roman"/>
          <w:color w:val="auto"/>
          <w:szCs w:val="22"/>
        </w:rPr>
        <w:t xml:space="preserve"> other sources indicate that irregular foreign workers could be as many as 4.6 million, but those reports and studies provide very little information on the methodologies used to derive such estimates.  </w:t>
      </w:r>
    </w:p>
    <w:p w14:paraId="349535E1"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Cs w:val="22"/>
        </w:rPr>
      </w:pPr>
    </w:p>
    <w:p w14:paraId="5B40C038"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Cs w:val="22"/>
        </w:rPr>
      </w:pPr>
    </w:p>
    <w:p w14:paraId="5E1B091F"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Cs w:val="22"/>
        </w:rPr>
      </w:pPr>
    </w:p>
    <w:p w14:paraId="4E39CFDD"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Cs w:val="22"/>
        </w:rPr>
      </w:pPr>
    </w:p>
    <w:p w14:paraId="1AE836D1" w14:textId="77777777" w:rsidR="009002F0" w:rsidRPr="009002F0" w:rsidRDefault="009002F0" w:rsidP="009002F0">
      <w:pPr>
        <w:widowControl/>
        <w:tabs>
          <w:tab w:val="left" w:pos="4230"/>
        </w:tabs>
        <w:autoSpaceDE/>
        <w:autoSpaceDN/>
        <w:adjustRightInd/>
        <w:spacing w:after="120"/>
        <w:rPr>
          <w:rFonts w:ascii="Calibri" w:eastAsia="Calibri" w:hAnsi="Calibri" w:cs="Times New Roman"/>
          <w:bCs/>
          <w:spacing w:val="4"/>
          <w:szCs w:val="22"/>
        </w:rPr>
      </w:pPr>
      <w:bookmarkStart w:id="70" w:name="_Ref535950804"/>
      <w:bookmarkStart w:id="71" w:name="_Toc4581549"/>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6</w:t>
      </w:r>
      <w:r w:rsidRPr="009002F0">
        <w:rPr>
          <w:rFonts w:ascii="Calibri" w:eastAsia="Malgun Gothic" w:hAnsi="Calibri" w:cs="Times New Roman"/>
          <w:bCs/>
          <w:spacing w:val="4"/>
          <w:szCs w:val="20"/>
          <w:lang w:eastAsia="ko-KR"/>
        </w:rPr>
        <w:fldChar w:fldCharType="end"/>
      </w:r>
      <w:bookmarkEnd w:id="70"/>
      <w:r w:rsidRPr="009002F0">
        <w:rPr>
          <w:rFonts w:ascii="Calibri" w:eastAsia="Malgun Gothic" w:hAnsi="Calibri" w:cs="Times New Roman"/>
          <w:bCs/>
          <w:spacing w:val="4"/>
          <w:szCs w:val="20"/>
          <w:lang w:eastAsia="ko-KR"/>
        </w:rPr>
        <w:t xml:space="preserve">: </w:t>
      </w:r>
      <w:r w:rsidRPr="009002F0">
        <w:rPr>
          <w:rFonts w:ascii="Calibri" w:eastAsia="Calibri" w:hAnsi="Calibri" w:cs="Times New Roman"/>
          <w:bCs/>
          <w:spacing w:val="4"/>
          <w:szCs w:val="22"/>
        </w:rPr>
        <w:t>Irregular foreign workers reported by studies and reports</w:t>
      </w:r>
      <w:bookmarkEnd w:id="71"/>
      <w:r w:rsidRPr="009002F0">
        <w:rPr>
          <w:rFonts w:ascii="Calibri" w:eastAsia="Calibri" w:hAnsi="Calibri" w:cs="Times New Roman"/>
          <w:bCs/>
          <w:spacing w:val="4"/>
          <w:szCs w:val="22"/>
        </w:rPr>
        <w:t xml:space="preserve"> </w:t>
      </w:r>
    </w:p>
    <w:tbl>
      <w:tblPr>
        <w:tblStyle w:val="TableGrid1"/>
        <w:tblW w:w="0" w:type="auto"/>
        <w:jc w:val="center"/>
        <w:tblLook w:val="04A0" w:firstRow="1" w:lastRow="0" w:firstColumn="1" w:lastColumn="0" w:noHBand="0" w:noVBand="1"/>
      </w:tblPr>
      <w:tblGrid>
        <w:gridCol w:w="1605"/>
        <w:gridCol w:w="1120"/>
        <w:gridCol w:w="2548"/>
        <w:gridCol w:w="3743"/>
      </w:tblGrid>
      <w:tr w:rsidR="009002F0" w:rsidRPr="009002F0" w14:paraId="54082709" w14:textId="77777777" w:rsidTr="009002F0">
        <w:trPr>
          <w:trHeight w:val="746"/>
          <w:jc w:val="center"/>
        </w:trPr>
        <w:tc>
          <w:tcPr>
            <w:tcW w:w="1615" w:type="dxa"/>
            <w:shd w:val="clear" w:color="auto" w:fill="006068"/>
            <w:vAlign w:val="center"/>
          </w:tcPr>
          <w:p w14:paraId="598BA81F"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b/>
                <w:color w:val="FFFFFF"/>
                <w:szCs w:val="22"/>
                <w:lang w:eastAsia="ko-KR"/>
              </w:rPr>
            </w:pPr>
            <w:r w:rsidRPr="009002F0">
              <w:rPr>
                <w:rFonts w:ascii="Calibri" w:eastAsia="Malgun Gothic" w:hAnsi="Calibri" w:cs="Times New Roman"/>
                <w:b/>
                <w:color w:val="FFFFFF"/>
                <w:szCs w:val="22"/>
                <w:lang w:eastAsia="ko-KR"/>
              </w:rPr>
              <w:t xml:space="preserve">Authors </w:t>
            </w:r>
          </w:p>
        </w:tc>
        <w:tc>
          <w:tcPr>
            <w:tcW w:w="1127" w:type="dxa"/>
            <w:shd w:val="clear" w:color="auto" w:fill="006068"/>
            <w:vAlign w:val="center"/>
          </w:tcPr>
          <w:p w14:paraId="5DBD8FF1"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b/>
                <w:color w:val="FFFFFF"/>
                <w:szCs w:val="22"/>
                <w:lang w:eastAsia="ko-KR"/>
              </w:rPr>
            </w:pPr>
            <w:r w:rsidRPr="009002F0">
              <w:rPr>
                <w:rFonts w:ascii="Calibri" w:eastAsia="Malgun Gothic" w:hAnsi="Calibri" w:cs="Times New Roman"/>
                <w:b/>
                <w:color w:val="FFFFFF"/>
                <w:szCs w:val="22"/>
                <w:lang w:eastAsia="ko-KR"/>
              </w:rPr>
              <w:t>Year</w:t>
            </w:r>
          </w:p>
        </w:tc>
        <w:tc>
          <w:tcPr>
            <w:tcW w:w="2563" w:type="dxa"/>
            <w:shd w:val="clear" w:color="auto" w:fill="006068"/>
            <w:vAlign w:val="center"/>
          </w:tcPr>
          <w:p w14:paraId="4C47F2DB"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b/>
                <w:color w:val="FFFFFF"/>
                <w:szCs w:val="22"/>
                <w:lang w:eastAsia="ko-KR"/>
              </w:rPr>
            </w:pPr>
            <w:r w:rsidRPr="009002F0">
              <w:rPr>
                <w:rFonts w:ascii="Calibri" w:eastAsia="Malgun Gothic" w:hAnsi="Calibri" w:cs="Times New Roman"/>
                <w:b/>
                <w:color w:val="FFFFFF"/>
                <w:szCs w:val="22"/>
                <w:lang w:eastAsia="ko-KR"/>
              </w:rPr>
              <w:t xml:space="preserve">Estimates of irregular foreign workers </w:t>
            </w:r>
          </w:p>
        </w:tc>
        <w:tc>
          <w:tcPr>
            <w:tcW w:w="3780" w:type="dxa"/>
            <w:shd w:val="clear" w:color="auto" w:fill="006068"/>
            <w:vAlign w:val="center"/>
          </w:tcPr>
          <w:p w14:paraId="7F3CA162"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b/>
                <w:color w:val="FFFFFF"/>
                <w:szCs w:val="22"/>
                <w:lang w:eastAsia="ko-KR"/>
              </w:rPr>
            </w:pPr>
            <w:r w:rsidRPr="009002F0">
              <w:rPr>
                <w:rFonts w:ascii="Calibri" w:eastAsia="Malgun Gothic" w:hAnsi="Calibri" w:cs="Times New Roman"/>
                <w:b/>
                <w:color w:val="FFFFFF"/>
                <w:szCs w:val="22"/>
                <w:lang w:eastAsia="ko-KR"/>
              </w:rPr>
              <w:t>Data source</w:t>
            </w:r>
          </w:p>
        </w:tc>
      </w:tr>
      <w:tr w:rsidR="009002F0" w:rsidRPr="009002F0" w14:paraId="325846A9" w14:textId="77777777" w:rsidTr="009002F0">
        <w:trPr>
          <w:trHeight w:val="432"/>
          <w:jc w:val="center"/>
        </w:trPr>
        <w:tc>
          <w:tcPr>
            <w:tcW w:w="1615" w:type="dxa"/>
            <w:vAlign w:val="center"/>
          </w:tcPr>
          <w:p w14:paraId="57CE569D"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2"/>
                <w:szCs w:val="22"/>
                <w:lang w:eastAsia="ko-KR"/>
              </w:rPr>
              <w:t>Low (2017)</w:t>
            </w:r>
          </w:p>
        </w:tc>
        <w:tc>
          <w:tcPr>
            <w:tcW w:w="1127" w:type="dxa"/>
            <w:vAlign w:val="center"/>
          </w:tcPr>
          <w:p w14:paraId="21DDB6C7"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2017</w:t>
            </w:r>
          </w:p>
        </w:tc>
        <w:tc>
          <w:tcPr>
            <w:tcW w:w="2563" w:type="dxa"/>
            <w:vAlign w:val="center"/>
          </w:tcPr>
          <w:p w14:paraId="51B9BFCB"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 xml:space="preserve">4.6 million </w:t>
            </w:r>
          </w:p>
        </w:tc>
        <w:tc>
          <w:tcPr>
            <w:tcW w:w="3780" w:type="dxa"/>
            <w:vAlign w:val="center"/>
          </w:tcPr>
          <w:p w14:paraId="5DFF9DDE"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t>
            </w:r>
          </w:p>
        </w:tc>
      </w:tr>
      <w:tr w:rsidR="009002F0" w:rsidRPr="009002F0" w14:paraId="5E6172B2" w14:textId="77777777" w:rsidTr="009002F0">
        <w:trPr>
          <w:trHeight w:val="432"/>
          <w:jc w:val="center"/>
        </w:trPr>
        <w:tc>
          <w:tcPr>
            <w:tcW w:w="1615" w:type="dxa"/>
            <w:vAlign w:val="center"/>
          </w:tcPr>
          <w:p w14:paraId="7F9B8247"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2"/>
                <w:szCs w:val="22"/>
                <w:lang w:eastAsia="ko-KR"/>
              </w:rPr>
              <w:t>ILO (2018)</w:t>
            </w:r>
          </w:p>
        </w:tc>
        <w:tc>
          <w:tcPr>
            <w:tcW w:w="1127" w:type="dxa"/>
            <w:vAlign w:val="center"/>
          </w:tcPr>
          <w:p w14:paraId="0BE1E98A"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2005</w:t>
            </w:r>
          </w:p>
        </w:tc>
        <w:tc>
          <w:tcPr>
            <w:tcW w:w="2563" w:type="dxa"/>
            <w:vAlign w:val="center"/>
          </w:tcPr>
          <w:p w14:paraId="74C8FD77"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4 million in an irregular situation</w:t>
            </w:r>
          </w:p>
        </w:tc>
        <w:tc>
          <w:tcPr>
            <w:tcW w:w="3780" w:type="dxa"/>
            <w:vAlign w:val="center"/>
          </w:tcPr>
          <w:p w14:paraId="5DB0B01F"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Worker member of Malaysia during Malaysia’s ILO session on equality of treatment convention in 2018</w:t>
            </w:r>
          </w:p>
        </w:tc>
      </w:tr>
      <w:tr w:rsidR="009002F0" w:rsidRPr="009002F0" w14:paraId="7BFF7395" w14:textId="77777777" w:rsidTr="009002F0">
        <w:trPr>
          <w:trHeight w:val="432"/>
          <w:jc w:val="center"/>
        </w:trPr>
        <w:tc>
          <w:tcPr>
            <w:tcW w:w="1615" w:type="dxa"/>
            <w:vAlign w:val="center"/>
          </w:tcPr>
          <w:p w14:paraId="5B7A03E8" w14:textId="77777777" w:rsidR="009002F0" w:rsidRPr="009002F0" w:rsidRDefault="009002F0" w:rsidP="009002F0">
            <w:pPr>
              <w:widowControl/>
              <w:autoSpaceDE/>
              <w:autoSpaceDN/>
              <w:snapToGrid w:val="0"/>
              <w:spacing w:after="120" w:line="264" w:lineRule="auto"/>
              <w:rPr>
                <w:rFonts w:ascii="Calibri" w:eastAsia="Malgun Gothic" w:hAnsi="Calibri" w:cs="Times New Roman"/>
                <w:noProof/>
                <w:color w:val="auto"/>
                <w:sz w:val="22"/>
                <w:szCs w:val="22"/>
                <w:lang w:eastAsia="ko-KR"/>
              </w:rPr>
            </w:pPr>
            <w:r w:rsidRPr="009002F0">
              <w:rPr>
                <w:rFonts w:ascii="Calibri" w:eastAsia="Malgun Gothic" w:hAnsi="Calibri" w:cs="Times New Roman"/>
                <w:noProof/>
                <w:color w:val="auto"/>
                <w:sz w:val="22"/>
                <w:szCs w:val="22"/>
                <w:lang w:eastAsia="ko-KR"/>
              </w:rPr>
              <w:t xml:space="preserve">OECD </w:t>
            </w:r>
          </w:p>
        </w:tc>
        <w:tc>
          <w:tcPr>
            <w:tcW w:w="1127" w:type="dxa"/>
            <w:vAlign w:val="center"/>
          </w:tcPr>
          <w:p w14:paraId="72F4D509"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2011</w:t>
            </w:r>
          </w:p>
        </w:tc>
        <w:tc>
          <w:tcPr>
            <w:tcW w:w="2563" w:type="dxa"/>
            <w:vAlign w:val="center"/>
          </w:tcPr>
          <w:p w14:paraId="359DC0D7"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 xml:space="preserve">2.5 million </w:t>
            </w:r>
          </w:p>
        </w:tc>
        <w:tc>
          <w:tcPr>
            <w:tcW w:w="3780" w:type="dxa"/>
            <w:vAlign w:val="center"/>
          </w:tcPr>
          <w:p w14:paraId="7FFBDAA2"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Applications for regularization</w:t>
            </w:r>
          </w:p>
        </w:tc>
      </w:tr>
      <w:tr w:rsidR="009002F0" w:rsidRPr="009002F0" w14:paraId="06B3F97B" w14:textId="77777777" w:rsidTr="009002F0">
        <w:trPr>
          <w:trHeight w:val="432"/>
          <w:jc w:val="center"/>
        </w:trPr>
        <w:tc>
          <w:tcPr>
            <w:tcW w:w="1615" w:type="dxa"/>
            <w:vAlign w:val="center"/>
          </w:tcPr>
          <w:p w14:paraId="1202095A"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2"/>
                <w:szCs w:val="22"/>
                <w:lang w:eastAsia="ko-KR"/>
              </w:rPr>
              <w:t>Djafar and Hassan (2012)</w:t>
            </w:r>
          </w:p>
        </w:tc>
        <w:tc>
          <w:tcPr>
            <w:tcW w:w="1127" w:type="dxa"/>
            <w:vAlign w:val="center"/>
          </w:tcPr>
          <w:p w14:paraId="732D7CA9"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t>
            </w:r>
          </w:p>
        </w:tc>
        <w:tc>
          <w:tcPr>
            <w:tcW w:w="2563" w:type="dxa"/>
            <w:vAlign w:val="center"/>
          </w:tcPr>
          <w:p w14:paraId="33145DBA"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 million, over half of them from Indonesia</w:t>
            </w:r>
          </w:p>
        </w:tc>
        <w:tc>
          <w:tcPr>
            <w:tcW w:w="3780" w:type="dxa"/>
            <w:vAlign w:val="center"/>
          </w:tcPr>
          <w:p w14:paraId="2F5C65A3"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t>
            </w:r>
          </w:p>
        </w:tc>
      </w:tr>
      <w:tr w:rsidR="009002F0" w:rsidRPr="009002F0" w14:paraId="4340B922" w14:textId="77777777" w:rsidTr="009002F0">
        <w:trPr>
          <w:trHeight w:val="432"/>
          <w:jc w:val="center"/>
        </w:trPr>
        <w:tc>
          <w:tcPr>
            <w:tcW w:w="1615" w:type="dxa"/>
            <w:vAlign w:val="center"/>
          </w:tcPr>
          <w:p w14:paraId="4176A04D"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2"/>
                <w:szCs w:val="22"/>
                <w:lang w:eastAsia="ko-KR"/>
              </w:rPr>
              <w:t>Huling (2012)</w:t>
            </w:r>
          </w:p>
        </w:tc>
        <w:tc>
          <w:tcPr>
            <w:tcW w:w="1127" w:type="dxa"/>
            <w:vAlign w:val="center"/>
          </w:tcPr>
          <w:p w14:paraId="7EF081C9"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2009</w:t>
            </w:r>
          </w:p>
        </w:tc>
        <w:tc>
          <w:tcPr>
            <w:tcW w:w="2563" w:type="dxa"/>
            <w:vAlign w:val="center"/>
          </w:tcPr>
          <w:p w14:paraId="6BAFF7B9"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 xml:space="preserve">1.9 million without documentation </w:t>
            </w:r>
          </w:p>
        </w:tc>
        <w:tc>
          <w:tcPr>
            <w:tcW w:w="3780" w:type="dxa"/>
            <w:vAlign w:val="center"/>
          </w:tcPr>
          <w:p w14:paraId="58BF7036"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t>
            </w:r>
          </w:p>
        </w:tc>
      </w:tr>
      <w:tr w:rsidR="009002F0" w:rsidRPr="009002F0" w14:paraId="6783F0C1" w14:textId="77777777" w:rsidTr="009002F0">
        <w:trPr>
          <w:trHeight w:val="432"/>
          <w:jc w:val="center"/>
        </w:trPr>
        <w:tc>
          <w:tcPr>
            <w:tcW w:w="1615" w:type="dxa"/>
            <w:vAlign w:val="center"/>
          </w:tcPr>
          <w:p w14:paraId="250B2E50" w14:textId="77777777" w:rsidR="009002F0" w:rsidRPr="009002F0" w:rsidRDefault="009002F0" w:rsidP="009002F0">
            <w:pPr>
              <w:widowControl/>
              <w:autoSpaceDE/>
              <w:autoSpaceDN/>
              <w:snapToGrid w:val="0"/>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2"/>
                <w:szCs w:val="22"/>
                <w:lang w:eastAsia="ko-KR"/>
              </w:rPr>
              <w:t>Kudo (2013)</w:t>
            </w:r>
          </w:p>
        </w:tc>
        <w:tc>
          <w:tcPr>
            <w:tcW w:w="1127" w:type="dxa"/>
            <w:vAlign w:val="center"/>
          </w:tcPr>
          <w:p w14:paraId="38FC6830"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w:t>
            </w:r>
          </w:p>
        </w:tc>
        <w:tc>
          <w:tcPr>
            <w:tcW w:w="2563" w:type="dxa"/>
            <w:vAlign w:val="center"/>
          </w:tcPr>
          <w:p w14:paraId="4635CAF6" w14:textId="77777777" w:rsidR="009002F0" w:rsidRPr="009002F0" w:rsidRDefault="009002F0" w:rsidP="009002F0">
            <w:pPr>
              <w:widowControl/>
              <w:autoSpaceDE/>
              <w:autoSpaceDN/>
              <w:snapToGrid w:val="0"/>
              <w:spacing w:after="120" w:line="264" w:lineRule="auto"/>
              <w:jc w:val="center"/>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2 million undocumented</w:t>
            </w:r>
          </w:p>
        </w:tc>
        <w:tc>
          <w:tcPr>
            <w:tcW w:w="3780" w:type="dxa"/>
            <w:vAlign w:val="center"/>
          </w:tcPr>
          <w:p w14:paraId="18B80AD3" w14:textId="77777777" w:rsidR="009002F0" w:rsidRPr="009002F0" w:rsidRDefault="009002F0" w:rsidP="009002F0">
            <w:pPr>
              <w:widowControl/>
              <w:autoSpaceDE/>
              <w:autoSpaceDN/>
              <w:snapToGrid w:val="0"/>
              <w:spacing w:after="120" w:line="264" w:lineRule="auto"/>
              <w:rPr>
                <w:rFonts w:ascii="Calibri" w:eastAsia="Malgun Gothic" w:hAnsi="Calibri" w:cs="Times New Roman"/>
                <w:i/>
                <w:color w:val="auto"/>
                <w:sz w:val="22"/>
                <w:szCs w:val="22"/>
                <w:lang w:eastAsia="ko-KR"/>
              </w:rPr>
            </w:pPr>
            <w:r w:rsidRPr="009002F0">
              <w:rPr>
                <w:rFonts w:ascii="Calibri" w:eastAsia="Malgun Gothic" w:hAnsi="Calibri" w:cs="Times New Roman"/>
                <w:color w:val="auto"/>
                <w:sz w:val="22"/>
                <w:szCs w:val="22"/>
                <w:lang w:eastAsia="ko-KR"/>
              </w:rPr>
              <w:t>Based on operations conducted by People’s Volunteer Corps (RELA, volunteer-based paramilitary force)</w:t>
            </w:r>
          </w:p>
        </w:tc>
      </w:tr>
    </w:tbl>
    <w:p w14:paraId="4BB80D7B" w14:textId="77777777" w:rsidR="009002F0" w:rsidRPr="009002F0" w:rsidRDefault="009002F0" w:rsidP="009002F0">
      <w:pPr>
        <w:widowControl/>
        <w:autoSpaceDE/>
        <w:autoSpaceDN/>
        <w:snapToGrid w:val="0"/>
        <w:rPr>
          <w:rFonts w:ascii="Calibri" w:eastAsia="Calibri" w:hAnsi="Calibri" w:cs="Times New Roman"/>
          <w:color w:val="auto"/>
          <w:sz w:val="20"/>
          <w:szCs w:val="22"/>
        </w:rPr>
      </w:pPr>
      <w:r w:rsidRPr="009002F0">
        <w:rPr>
          <w:rFonts w:ascii="Calibri" w:eastAsia="Calibri" w:hAnsi="Calibri" w:cs="Times New Roman"/>
          <w:color w:val="auto"/>
          <w:sz w:val="20"/>
          <w:szCs w:val="22"/>
        </w:rPr>
        <w:t xml:space="preserve">Source: Authors’ compilations. </w:t>
      </w:r>
    </w:p>
    <w:p w14:paraId="6EE9FAB4" w14:textId="77777777" w:rsidR="009002F0" w:rsidRPr="009002F0" w:rsidRDefault="009002F0" w:rsidP="009002F0">
      <w:pPr>
        <w:widowControl/>
        <w:autoSpaceDE/>
        <w:autoSpaceDN/>
        <w:snapToGrid w:val="0"/>
        <w:rPr>
          <w:rFonts w:ascii="Calibri" w:eastAsia="Calibri" w:hAnsi="Calibri" w:cs="Times New Roman"/>
          <w:color w:val="auto"/>
          <w:sz w:val="22"/>
          <w:szCs w:val="22"/>
        </w:rPr>
      </w:pPr>
    </w:p>
    <w:p w14:paraId="2143AF1F"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In sum, data reported here indicate a vast range in the estimated number of irregular foreign workers in Malaysia. Estimates of irregular foreign workers vary across sources and each source has provided different insights on this group on multiple aspects. Although these sources make references to administrative sources, their precision is uncertain as they are related to time-bound initiatives to incentivize irregular foreign workers to register. Furthermore, the data do not capture those workers who reside in Malaysia without proper documents and may not come forward, may avoid arrest or miss the deadline of such initiatives. Nonetheless, there are potential alternative data sources that can be leveraged to narrow the estimated range, and these are discussed in the next section.</w:t>
      </w:r>
    </w:p>
    <w:p w14:paraId="3CA2091C"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2F4450A3" w14:textId="77777777" w:rsidR="009002F0" w:rsidRPr="009002F0" w:rsidRDefault="009002F0" w:rsidP="009002F0">
      <w:pPr>
        <w:widowControl/>
        <w:autoSpaceDE/>
        <w:autoSpaceDN/>
        <w:adjustRightInd/>
        <w:spacing w:after="120" w:line="264" w:lineRule="auto"/>
        <w:rPr>
          <w:rFonts w:ascii="Andes" w:eastAsia="Malgun Gothic" w:hAnsi="Andes" w:cs="Times New Roman"/>
          <w:color w:val="002345"/>
          <w:sz w:val="32"/>
          <w:szCs w:val="32"/>
          <w:lang w:eastAsia="ko-KR"/>
        </w:rPr>
      </w:pPr>
      <w:r w:rsidRPr="009002F0">
        <w:rPr>
          <w:rFonts w:ascii="Andes" w:eastAsia="Malgun Gothic" w:hAnsi="Andes" w:cs="Times New Roman"/>
          <w:color w:val="002345"/>
          <w:sz w:val="32"/>
          <w:szCs w:val="32"/>
          <w:lang w:eastAsia="ko-KR"/>
        </w:rPr>
        <w:br w:type="page"/>
      </w:r>
    </w:p>
    <w:p w14:paraId="6AD65268"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002345"/>
          <w:sz w:val="32"/>
          <w:szCs w:val="32"/>
          <w:lang w:eastAsia="ko-KR"/>
        </w:rPr>
      </w:pPr>
      <w:bookmarkStart w:id="72" w:name="_Toc4581523"/>
      <w:r w:rsidRPr="009002F0">
        <w:rPr>
          <w:rFonts w:ascii="Andes" w:eastAsia="Malgun Gothic" w:hAnsi="Andes" w:cs="Times New Roman"/>
          <w:b/>
          <w:color w:val="002345"/>
          <w:sz w:val="32"/>
          <w:szCs w:val="32"/>
          <w:lang w:eastAsia="ko-KR"/>
        </w:rPr>
        <w:lastRenderedPageBreak/>
        <w:t>Administrative data sources to estimate irregular foreign workers</w:t>
      </w:r>
      <w:bookmarkEnd w:id="72"/>
      <w:r w:rsidRPr="009002F0">
        <w:rPr>
          <w:rFonts w:ascii="Andes" w:eastAsia="Malgun Gothic" w:hAnsi="Andes" w:cs="Times New Roman"/>
          <w:b/>
          <w:color w:val="002345"/>
          <w:sz w:val="32"/>
          <w:szCs w:val="32"/>
          <w:lang w:eastAsia="ko-KR"/>
        </w:rPr>
        <w:t xml:space="preserve">   </w:t>
      </w:r>
    </w:p>
    <w:p w14:paraId="3B244DC7"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A common method to measure migration flows (for instance, in the United Kingdom) is by surveying individuals in air and sea ports and land border points. Malaysia currently does not have international passenger surveys. Tourism Malaysia conducts a Departing Visitors Survey every year to collect information on visitor demographics, traveling patterns, and tourist profiles, but its relevance to measure irregular foreign workers appears to be low owing to its sampling method that distributes the sample in proportion to arrivals by port.  </w:t>
      </w:r>
    </w:p>
    <w:p w14:paraId="7AC897A4"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7C6E724C"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As such, this section explores other administrative data and the extent to which these sources might potentially provide additional information that would help improve estimates of the number of irregular foreign workers. As displayed in </w:t>
      </w:r>
      <w:r w:rsidRPr="009002F0">
        <w:rPr>
          <w:rFonts w:ascii="Calibri" w:eastAsia="Calibri" w:hAnsi="Calibri" w:cs="Times New Roman"/>
          <w:color w:val="auto"/>
        </w:rPr>
        <w:fldChar w:fldCharType="begin"/>
      </w:r>
      <w:r w:rsidRPr="009002F0">
        <w:rPr>
          <w:rFonts w:ascii="Calibri" w:eastAsia="Calibri" w:hAnsi="Calibri" w:cs="Times New Roman"/>
          <w:color w:val="auto"/>
        </w:rPr>
        <w:instrText xml:space="preserve"> REF _Ref4581223 \h  \* MERGEFORMAT </w:instrText>
      </w:r>
      <w:r w:rsidRPr="009002F0">
        <w:rPr>
          <w:rFonts w:ascii="Calibri" w:eastAsia="Calibri" w:hAnsi="Calibri" w:cs="Times New Roman"/>
          <w:color w:val="auto"/>
        </w:rPr>
      </w:r>
      <w:r w:rsidRPr="009002F0">
        <w:rPr>
          <w:rFonts w:ascii="Calibri" w:eastAsia="Calibri" w:hAnsi="Calibri" w:cs="Times New Roman"/>
          <w:color w:val="auto"/>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13</w:t>
      </w:r>
      <w:r w:rsidRPr="009002F0">
        <w:rPr>
          <w:rFonts w:ascii="Calibri" w:eastAsia="Calibri" w:hAnsi="Calibri" w:cs="Times New Roman"/>
          <w:color w:val="auto"/>
        </w:rPr>
        <w:fldChar w:fldCharType="end"/>
      </w:r>
      <w:r w:rsidRPr="009002F0">
        <w:rPr>
          <w:rFonts w:ascii="Calibri" w:eastAsia="Calibri" w:hAnsi="Calibri" w:cs="Times New Roman"/>
          <w:color w:val="auto"/>
          <w:szCs w:val="22"/>
        </w:rPr>
        <w:t xml:space="preserve">, the approach rests on the conceptual framework set out earlier and therefore the key question is what administrative data are available to capture irregular entry and irregular stay/employment, and can indicate the stock and flows of irregulars and the demand for irregulars. Throughout this process, the Immigration Department is the principal data source. At the entry level, it compiles data on net tourist arrivals, applications of foreign worker quota, and refugees, asylees and asylum seekers. During the stay and repatriation stage, the Department’s operations to ensure the compliance of foreign-worker related regulations constitute another key data source. The underlying potential from the Immigration Department’s microdata is likely to be rich, but the Department shares aggregate administrative data through media and access to the microdata is highly restricted. Annex 1 presents further information on alternative administrative data and their relevance to measuring irregular foreign workers.      </w:t>
      </w:r>
    </w:p>
    <w:p w14:paraId="3423DA67"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5E7E6095" w14:textId="77777777" w:rsidR="009002F0" w:rsidRPr="009002F0" w:rsidRDefault="009002F0" w:rsidP="009002F0">
      <w:pPr>
        <w:widowControl/>
        <w:autoSpaceDE/>
        <w:autoSpaceDN/>
        <w:adjustRightInd/>
        <w:spacing w:after="120" w:line="264" w:lineRule="auto"/>
        <w:rPr>
          <w:rFonts w:ascii="Calibri" w:eastAsia="Malgun Gothic" w:hAnsi="Calibri" w:cs="Times New Roman"/>
          <w:bCs/>
          <w:spacing w:val="4"/>
          <w:szCs w:val="20"/>
          <w:lang w:eastAsia="ko-KR"/>
        </w:rPr>
      </w:pPr>
      <w:bookmarkStart w:id="73" w:name="_Ref536568908"/>
      <w:r w:rsidRPr="009002F0">
        <w:rPr>
          <w:rFonts w:ascii="Calibri" w:eastAsia="Malgun Gothic" w:hAnsi="Calibri" w:cs="Times New Roman"/>
          <w:sz w:val="20"/>
          <w:szCs w:val="20"/>
          <w:lang w:eastAsia="ko-KR"/>
        </w:rPr>
        <w:br w:type="page"/>
      </w:r>
    </w:p>
    <w:p w14:paraId="314C12B1" w14:textId="77777777" w:rsidR="009002F0" w:rsidRPr="009002F0" w:rsidRDefault="009002F0" w:rsidP="009002F0">
      <w:pPr>
        <w:widowControl/>
        <w:autoSpaceDE/>
        <w:autoSpaceDN/>
        <w:adjustRightInd/>
        <w:spacing w:after="120"/>
        <w:rPr>
          <w:rFonts w:ascii="Calibri" w:eastAsia="Calibri" w:hAnsi="Calibri" w:cs="Times New Roman"/>
          <w:bCs/>
          <w:color w:val="595959"/>
          <w:spacing w:val="4"/>
          <w:szCs w:val="22"/>
        </w:rPr>
      </w:pPr>
      <w:bookmarkStart w:id="74" w:name="_Ref4581223"/>
      <w:bookmarkStart w:id="75" w:name="_Toc4581565"/>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13</w:t>
      </w:r>
      <w:r w:rsidRPr="009002F0">
        <w:rPr>
          <w:rFonts w:ascii="Calibri" w:eastAsia="Malgun Gothic" w:hAnsi="Calibri" w:cs="Times New Roman"/>
          <w:bCs/>
          <w:spacing w:val="4"/>
          <w:szCs w:val="20"/>
          <w:lang w:eastAsia="ko-KR"/>
        </w:rPr>
        <w:fldChar w:fldCharType="end"/>
      </w:r>
      <w:bookmarkEnd w:id="73"/>
      <w:bookmarkEnd w:id="74"/>
      <w:r w:rsidRPr="009002F0">
        <w:rPr>
          <w:rFonts w:ascii="Calibri" w:eastAsia="Malgun Gothic" w:hAnsi="Calibri" w:cs="Times New Roman"/>
          <w:bCs/>
          <w:spacing w:val="4"/>
          <w:szCs w:val="20"/>
          <w:lang w:eastAsia="ko-KR"/>
        </w:rPr>
        <w:t>: Administrative data sources to capture irregular entry, stay, and departure of all foreign workers.</w:t>
      </w:r>
      <w:bookmarkEnd w:id="75"/>
      <w:r w:rsidRPr="009002F0">
        <w:rPr>
          <w:rFonts w:ascii="Calibri" w:eastAsia="Malgun Gothic" w:hAnsi="Calibri" w:cs="Times New Roman"/>
          <w:bCs/>
          <w:spacing w:val="4"/>
          <w:szCs w:val="20"/>
          <w:lang w:eastAsia="ko-KR"/>
        </w:rPr>
        <w:t xml:space="preserve"> </w:t>
      </w:r>
    </w:p>
    <w:p w14:paraId="16582C15" w14:textId="757EBD43" w:rsidR="006165DF" w:rsidRDefault="006165DF" w:rsidP="009002F0">
      <w:pPr>
        <w:widowControl/>
        <w:autoSpaceDE/>
        <w:autoSpaceDN/>
        <w:adjustRightInd/>
        <w:jc w:val="both"/>
        <w:rPr>
          <w:rFonts w:ascii="Calibri" w:eastAsia="Calibri" w:hAnsi="Calibri" w:cs="Times New Roman"/>
          <w:color w:val="auto"/>
          <w:szCs w:val="22"/>
        </w:rPr>
      </w:pPr>
      <w:r w:rsidRPr="006165DF">
        <w:drawing>
          <wp:inline distT="0" distB="0" distL="0" distR="0" wp14:anchorId="7EEFA99E" wp14:editId="343B94D7">
            <wp:extent cx="5731510" cy="304954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49547"/>
                    </a:xfrm>
                    <a:prstGeom prst="rect">
                      <a:avLst/>
                    </a:prstGeom>
                    <a:noFill/>
                    <a:ln>
                      <a:noFill/>
                    </a:ln>
                  </pic:spPr>
                </pic:pic>
              </a:graphicData>
            </a:graphic>
          </wp:inline>
        </w:drawing>
      </w:r>
    </w:p>
    <w:p w14:paraId="54E95D25" w14:textId="06AC2D72"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Source: Authors’ compilation. </w:t>
      </w:r>
    </w:p>
    <w:p w14:paraId="17A73062"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03F7CE36"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76" w:name="_Toc536052726"/>
      <w:bookmarkStart w:id="77" w:name="_Toc4581524"/>
      <w:r w:rsidRPr="009002F0">
        <w:rPr>
          <w:rFonts w:ascii="Calibri" w:eastAsia="Malgun Gothic" w:hAnsi="Calibri" w:cs="Times New Roman"/>
          <w:color w:val="006068"/>
          <w:sz w:val="26"/>
          <w:szCs w:val="28"/>
          <w:u w:val="single"/>
        </w:rPr>
        <w:t>4.1 Fore</w:t>
      </w:r>
      <w:bookmarkStart w:id="78" w:name="_Hlk536083019"/>
      <w:r w:rsidRPr="009002F0">
        <w:rPr>
          <w:rFonts w:ascii="Calibri" w:eastAsia="Malgun Gothic" w:hAnsi="Calibri" w:cs="Times New Roman"/>
          <w:color w:val="006068"/>
          <w:sz w:val="26"/>
          <w:szCs w:val="28"/>
          <w:u w:val="single"/>
        </w:rPr>
        <w:t>ign workers present as tourists</w:t>
      </w:r>
      <w:bookmarkEnd w:id="76"/>
      <w:bookmarkEnd w:id="77"/>
      <w:r w:rsidRPr="009002F0">
        <w:rPr>
          <w:rFonts w:ascii="Calibri" w:eastAsia="Malgun Gothic" w:hAnsi="Calibri" w:cs="Times New Roman"/>
          <w:color w:val="006068"/>
          <w:sz w:val="26"/>
          <w:szCs w:val="28"/>
          <w:u w:val="single"/>
        </w:rPr>
        <w:t xml:space="preserve">   </w:t>
      </w:r>
    </w:p>
    <w:p w14:paraId="54AEA058"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color w:val="auto"/>
          <w:sz w:val="22"/>
          <w:szCs w:val="22"/>
        </w:rPr>
        <w:t xml:space="preserve">The </w:t>
      </w:r>
      <w:r w:rsidRPr="009002F0">
        <w:rPr>
          <w:rFonts w:ascii="Calibri" w:eastAsia="Calibri" w:hAnsi="Calibri" w:cs="Times New Roman"/>
          <w:bCs/>
          <w:color w:val="auto"/>
          <w:szCs w:val="22"/>
        </w:rPr>
        <w:t xml:space="preserve">net arrivals of non-resident tourists by nationality for a given year provides information on the flows of tourists who do not depart but stay in </w:t>
      </w:r>
      <w:proofErr w:type="gramStart"/>
      <w:r w:rsidRPr="009002F0">
        <w:rPr>
          <w:rFonts w:ascii="Calibri" w:eastAsia="Calibri" w:hAnsi="Calibri" w:cs="Times New Roman"/>
          <w:bCs/>
          <w:color w:val="auto"/>
          <w:szCs w:val="22"/>
        </w:rPr>
        <w:t>Malaysia, and</w:t>
      </w:r>
      <w:proofErr w:type="gramEnd"/>
      <w:r w:rsidRPr="009002F0">
        <w:rPr>
          <w:rFonts w:ascii="Calibri" w:eastAsia="Calibri" w:hAnsi="Calibri" w:cs="Times New Roman"/>
          <w:bCs/>
          <w:color w:val="auto"/>
          <w:szCs w:val="22"/>
        </w:rPr>
        <w:t xml:space="preserve"> have higher probability of being irregular for the given year. By law, tourists from ASEAN member countries are permitted to stay up to 30 days. Among non-ASEAN member countries, the introduction of the Visa on Arrival in 2007 saw rampant abuse of tourist visas, particularly visitors from South Asian countries such as India, Pakistan, Bangladesh and Sri Lanka. </w:t>
      </w:r>
    </w:p>
    <w:p w14:paraId="4A4A28AF"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However, this exercise is hampered by limited data availability. Tourism Malaysia publishes time-series data on non-resident tourist arrivals by nationality but the Immigration Department’s data on non-resident tourist departures are not available to the World Bank and BNM teams. Sustained inflows of Indonesian tourists could imply the likelihood that some of these remain and work in Malaysia (</w:t>
      </w:r>
      <w:r w:rsidRPr="009002F0">
        <w:rPr>
          <w:rFonts w:ascii="Calibri" w:eastAsia="Calibri" w:hAnsi="Calibri" w:cs="Times New Roman"/>
          <w:bCs/>
        </w:rPr>
        <w:t xml:space="preserve">see </w:t>
      </w:r>
      <w:r w:rsidRPr="009002F0">
        <w:rPr>
          <w:rFonts w:ascii="Calibri" w:eastAsia="Calibri" w:hAnsi="Calibri" w:cs="Times New Roman"/>
          <w:bCs/>
        </w:rPr>
        <w:fldChar w:fldCharType="begin" w:fldLock="1"/>
      </w:r>
      <w:r w:rsidRPr="009002F0">
        <w:rPr>
          <w:rFonts w:ascii="Calibri" w:eastAsia="Calibri" w:hAnsi="Calibri" w:cs="Times New Roman"/>
          <w:bCs/>
        </w:rPr>
        <w:instrText xml:space="preserve"> REF _Ref536569171 \h  \* MERGEFORMAT </w:instrText>
      </w:r>
      <w:r w:rsidRPr="009002F0">
        <w:rPr>
          <w:rFonts w:ascii="Calibri" w:eastAsia="Calibri" w:hAnsi="Calibri" w:cs="Times New Roman"/>
          <w:bCs/>
        </w:rPr>
      </w:r>
      <w:r w:rsidRPr="009002F0">
        <w:rPr>
          <w:rFonts w:ascii="Calibri" w:eastAsia="Calibri" w:hAnsi="Calibri" w:cs="Times New Roman"/>
          <w:bCs/>
        </w:rPr>
        <w:fldChar w:fldCharType="separate"/>
      </w:r>
      <w:r w:rsidRPr="009002F0">
        <w:rPr>
          <w:rFonts w:ascii="Calibri" w:eastAsia="Calibri" w:hAnsi="Calibri" w:cs="Times New Roman"/>
        </w:rPr>
        <w:t xml:space="preserve">Figure </w:t>
      </w:r>
      <w:r w:rsidRPr="009002F0">
        <w:rPr>
          <w:rFonts w:ascii="Calibri" w:eastAsia="Calibri" w:hAnsi="Calibri" w:cs="Times New Roman"/>
          <w:noProof/>
        </w:rPr>
        <w:t>14</w:t>
      </w:r>
      <w:r w:rsidRPr="009002F0">
        <w:rPr>
          <w:rFonts w:ascii="Calibri" w:eastAsia="Calibri" w:hAnsi="Calibri" w:cs="Times New Roman"/>
          <w:bCs/>
        </w:rPr>
        <w:fldChar w:fldCharType="end"/>
      </w:r>
      <w:r w:rsidRPr="009002F0">
        <w:rPr>
          <w:rFonts w:ascii="Calibri" w:eastAsia="Calibri" w:hAnsi="Calibri" w:cs="Times New Roman"/>
          <w:bCs/>
          <w:color w:val="auto"/>
        </w:rPr>
        <w:t>).</w:t>
      </w:r>
      <w:r w:rsidRPr="009002F0">
        <w:rPr>
          <w:rFonts w:ascii="Calibri" w:eastAsia="Calibri" w:hAnsi="Calibri" w:cs="Times New Roman"/>
          <w:bCs/>
          <w:color w:val="auto"/>
          <w:szCs w:val="22"/>
        </w:rPr>
        <w:t xml:space="preserve"> Furthermore, some of social pass holders could be potential overstayers but the information is unavailable. </w:t>
      </w:r>
    </w:p>
    <w:p w14:paraId="1A079DD0"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Yet, a benchmark exists. It is estimated that 36 percent of the 146,500 tourists who arrived under Visa on Arrival (</w:t>
      </w:r>
      <w:proofErr w:type="spellStart"/>
      <w:r w:rsidRPr="009002F0">
        <w:rPr>
          <w:rFonts w:ascii="Calibri" w:eastAsia="Calibri" w:hAnsi="Calibri" w:cs="Times New Roman"/>
          <w:bCs/>
          <w:color w:val="auto"/>
          <w:szCs w:val="22"/>
        </w:rPr>
        <w:t>VoA</w:t>
      </w:r>
      <w:proofErr w:type="spellEnd"/>
      <w:r w:rsidRPr="009002F0">
        <w:rPr>
          <w:rFonts w:ascii="Calibri" w:eastAsia="Calibri" w:hAnsi="Calibri" w:cs="Times New Roman"/>
          <w:bCs/>
          <w:color w:val="auto"/>
          <w:szCs w:val="22"/>
        </w:rPr>
        <w:t xml:space="preserve">) in 2017 overstayed, with many seeking employment (World Bank, 2013). Facing concerns over </w:t>
      </w:r>
      <w:proofErr w:type="spellStart"/>
      <w:r w:rsidRPr="009002F0">
        <w:rPr>
          <w:rFonts w:ascii="Calibri" w:eastAsia="Calibri" w:hAnsi="Calibri" w:cs="Times New Roman"/>
          <w:bCs/>
          <w:color w:val="auto"/>
          <w:szCs w:val="22"/>
        </w:rPr>
        <w:t>VoA</w:t>
      </w:r>
      <w:proofErr w:type="spellEnd"/>
      <w:r w:rsidRPr="009002F0">
        <w:rPr>
          <w:rFonts w:ascii="Calibri" w:eastAsia="Calibri" w:hAnsi="Calibri" w:cs="Times New Roman"/>
          <w:bCs/>
          <w:color w:val="auto"/>
          <w:szCs w:val="22"/>
        </w:rPr>
        <w:t xml:space="preserve"> overstay, with effect from January 2019 the Malaysian government has stopped the </w:t>
      </w:r>
      <w:proofErr w:type="spellStart"/>
      <w:r w:rsidRPr="009002F0">
        <w:rPr>
          <w:rFonts w:ascii="Calibri" w:eastAsia="Calibri" w:hAnsi="Calibri" w:cs="Times New Roman"/>
          <w:bCs/>
          <w:color w:val="auto"/>
          <w:szCs w:val="22"/>
        </w:rPr>
        <w:t>VoA</w:t>
      </w:r>
      <w:proofErr w:type="spellEnd"/>
      <w:r w:rsidRPr="009002F0">
        <w:rPr>
          <w:rFonts w:ascii="Calibri" w:eastAsia="Calibri" w:hAnsi="Calibri" w:cs="Times New Roman"/>
          <w:bCs/>
          <w:color w:val="auto"/>
          <w:szCs w:val="22"/>
        </w:rPr>
        <w:t xml:space="preserve"> for tourists from Afghanistan, Bangladesh, China, India, Nepal, Pakistan and Myanmar. </w:t>
      </w:r>
    </w:p>
    <w:p w14:paraId="313DFF0B" w14:textId="77777777" w:rsidR="009002F0" w:rsidRPr="009002F0" w:rsidRDefault="009002F0" w:rsidP="009002F0">
      <w:pPr>
        <w:keepNext/>
        <w:widowControl/>
        <w:autoSpaceDE/>
        <w:autoSpaceDN/>
        <w:adjustRightInd/>
        <w:spacing w:after="120"/>
        <w:rPr>
          <w:rFonts w:ascii="Calibri" w:eastAsia="Malgun Gothic" w:hAnsi="Calibri" w:cs="Times New Roman"/>
          <w:bCs/>
          <w:spacing w:val="4"/>
          <w:szCs w:val="22"/>
          <w:lang w:eastAsia="ko-KR"/>
        </w:rPr>
      </w:pPr>
      <w:bookmarkStart w:id="79" w:name="_Ref536569171"/>
      <w:bookmarkStart w:id="80" w:name="_Toc4581566"/>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14</w:t>
      </w:r>
      <w:r w:rsidRPr="009002F0">
        <w:rPr>
          <w:rFonts w:ascii="Calibri" w:eastAsia="Malgun Gothic" w:hAnsi="Calibri" w:cs="Times New Roman"/>
          <w:bCs/>
          <w:spacing w:val="4"/>
          <w:szCs w:val="20"/>
          <w:lang w:eastAsia="ko-KR"/>
        </w:rPr>
        <w:fldChar w:fldCharType="end"/>
      </w:r>
      <w:bookmarkEnd w:id="79"/>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spacing w:val="4"/>
          <w:szCs w:val="22"/>
          <w:lang w:eastAsia="ko-KR"/>
        </w:rPr>
        <w:t>Nearly 3 million Indonesian tourist arrivals in Malaysia per year, suggesting repeat travels within a year (gross non-resident tourist arrivals by nationality, 2013-17)</w:t>
      </w:r>
      <w:bookmarkEnd w:id="80"/>
      <w:r w:rsidRPr="009002F0">
        <w:rPr>
          <w:rFonts w:ascii="Calibri" w:eastAsia="Malgun Gothic" w:hAnsi="Calibri" w:cs="Times New Roman"/>
          <w:spacing w:val="4"/>
          <w:szCs w:val="22"/>
          <w:lang w:eastAsia="ko-KR"/>
        </w:rPr>
        <w:t xml:space="preserve"> </w:t>
      </w:r>
    </w:p>
    <w:p w14:paraId="326E119A"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2"/>
          <w:szCs w:val="22"/>
        </w:rPr>
      </w:pPr>
      <w:r w:rsidRPr="009002F0">
        <w:rPr>
          <w:rFonts w:ascii="Calibri" w:eastAsia="Calibri" w:hAnsi="Calibri" w:cs="Times New Roman"/>
          <w:bCs/>
          <w:noProof/>
          <w:color w:val="auto"/>
          <w:sz w:val="22"/>
          <w:szCs w:val="22"/>
        </w:rPr>
        <w:drawing>
          <wp:inline distT="0" distB="0" distL="0" distR="0" wp14:anchorId="10AED6E0" wp14:editId="1E760A0C">
            <wp:extent cx="5892800" cy="3690752"/>
            <wp:effectExtent l="19050" t="19050" r="12700" b="2413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2800" cy="3690752"/>
                    </a:xfrm>
                    <a:prstGeom prst="rect">
                      <a:avLst/>
                    </a:prstGeom>
                    <a:noFill/>
                    <a:ln>
                      <a:solidFill>
                        <a:sysClr val="window" lastClr="FFFFFF">
                          <a:lumMod val="65000"/>
                        </a:sysClr>
                      </a:solidFill>
                    </a:ln>
                  </pic:spPr>
                </pic:pic>
              </a:graphicData>
            </a:graphic>
          </wp:inline>
        </w:drawing>
      </w:r>
    </w:p>
    <w:p w14:paraId="43A61B29"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2"/>
        </w:rPr>
      </w:pPr>
      <w:r w:rsidRPr="009002F0">
        <w:rPr>
          <w:rFonts w:ascii="Calibri" w:eastAsia="Calibri" w:hAnsi="Calibri" w:cs="Times New Roman"/>
          <w:bCs/>
          <w:color w:val="auto"/>
          <w:sz w:val="20"/>
          <w:szCs w:val="22"/>
        </w:rPr>
        <w:t xml:space="preserve">Source: Tourism Malaysia. </w:t>
      </w:r>
    </w:p>
    <w:p w14:paraId="566CC20B"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81" w:name="_Toc536052727"/>
      <w:bookmarkStart w:id="82" w:name="_Toc4581525"/>
      <w:r w:rsidRPr="009002F0">
        <w:rPr>
          <w:rFonts w:ascii="Calibri" w:eastAsia="Malgun Gothic" w:hAnsi="Calibri" w:cs="Times New Roman"/>
          <w:color w:val="006068"/>
          <w:sz w:val="26"/>
          <w:szCs w:val="28"/>
          <w:u w:val="single"/>
        </w:rPr>
        <w:t>4.2 Refugees and asylum seekers</w:t>
      </w:r>
      <w:bookmarkEnd w:id="81"/>
      <w:bookmarkEnd w:id="82"/>
      <w:r w:rsidRPr="009002F0">
        <w:rPr>
          <w:rFonts w:ascii="Calibri" w:eastAsia="Malgun Gothic" w:hAnsi="Calibri" w:cs="Times New Roman"/>
          <w:color w:val="006068"/>
          <w:sz w:val="26"/>
          <w:szCs w:val="28"/>
          <w:u w:val="single"/>
        </w:rPr>
        <w:t xml:space="preserve">    </w:t>
      </w:r>
    </w:p>
    <w:p w14:paraId="255D0B25"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UNHCR data report that about 163,600 refugees and asylum seekers currently remain registered with the UNHCR in Malaysia as of November 2018. Of those, approximately 141,700 were from Myanmar, including 81,760 Rohingyas. The other 21,890 originated from Pakistan, Yemen, Somalia, Syria, Sri Lanka, Afghanistan and other vulnerable countries in the Middle East and Africa. One in three refugees and asylum seekers were women and a little more than one-fourth were children, according to UNHCR. </w:t>
      </w:r>
    </w:p>
    <w:p w14:paraId="7D815A89"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These registered refugees and asylum seekers in Malaysia have no lawful access to the labor market. As a result, the informal labor market is their only option for earning a livelihood </w:t>
      </w:r>
      <w:sdt>
        <w:sdtPr>
          <w:rPr>
            <w:rFonts w:ascii="Calibri" w:eastAsia="Calibri" w:hAnsi="Calibri" w:cs="Times New Roman"/>
            <w:bCs/>
            <w:color w:val="auto"/>
            <w:szCs w:val="22"/>
          </w:rPr>
          <w:id w:val="1330176566"/>
          <w:citation/>
        </w:sdtPr>
        <w:sdtContent>
          <w:r w:rsidRPr="009002F0">
            <w:rPr>
              <w:rFonts w:ascii="Calibri" w:eastAsia="Calibri" w:hAnsi="Calibri" w:cs="Times New Roman"/>
              <w:bCs/>
              <w:color w:val="auto"/>
              <w:szCs w:val="22"/>
            </w:rPr>
            <w:fldChar w:fldCharType="begin"/>
          </w:r>
          <w:r w:rsidRPr="009002F0">
            <w:rPr>
              <w:rFonts w:ascii="Calibri" w:eastAsia="Calibri" w:hAnsi="Calibri" w:cs="Times New Roman"/>
              <w:bCs/>
              <w:color w:val="auto"/>
              <w:szCs w:val="22"/>
            </w:rPr>
            <w:instrText xml:space="preserve">CITATION Placeholder1 \l 1033 </w:instrText>
          </w:r>
          <w:r w:rsidRPr="009002F0">
            <w:rPr>
              <w:rFonts w:ascii="Calibri" w:eastAsia="Calibri" w:hAnsi="Calibri" w:cs="Times New Roman"/>
              <w:bCs/>
              <w:color w:val="auto"/>
              <w:szCs w:val="22"/>
            </w:rPr>
            <w:fldChar w:fldCharType="separate"/>
          </w:r>
          <w:r w:rsidRPr="009002F0">
            <w:rPr>
              <w:rFonts w:ascii="Calibri" w:eastAsia="Calibri" w:hAnsi="Calibri" w:cs="Times New Roman"/>
              <w:noProof/>
              <w:color w:val="auto"/>
              <w:szCs w:val="22"/>
            </w:rPr>
            <w:t>(Asylum Access Malaysia, 2018)</w:t>
          </w:r>
          <w:r w:rsidRPr="009002F0">
            <w:rPr>
              <w:rFonts w:ascii="Calibri" w:eastAsia="Calibri" w:hAnsi="Calibri" w:cs="Times New Roman"/>
              <w:bCs/>
              <w:color w:val="auto"/>
              <w:szCs w:val="22"/>
            </w:rPr>
            <w:fldChar w:fldCharType="end"/>
          </w:r>
        </w:sdtContent>
      </w:sdt>
      <w:r w:rsidRPr="009002F0">
        <w:rPr>
          <w:rFonts w:ascii="Calibri" w:eastAsia="Calibri" w:hAnsi="Calibri" w:cs="Times New Roman"/>
          <w:bCs/>
          <w:color w:val="auto"/>
          <w:szCs w:val="22"/>
        </w:rPr>
        <w:t xml:space="preserve">. </w:t>
      </w:r>
      <w:proofErr w:type="gramStart"/>
      <w:r w:rsidRPr="009002F0">
        <w:rPr>
          <w:rFonts w:ascii="Calibri" w:eastAsia="Calibri" w:hAnsi="Calibri" w:cs="Times New Roman"/>
          <w:bCs/>
          <w:color w:val="auto"/>
          <w:szCs w:val="22"/>
        </w:rPr>
        <w:t>In an effort to</w:t>
      </w:r>
      <w:proofErr w:type="gramEnd"/>
      <w:r w:rsidRPr="009002F0">
        <w:rPr>
          <w:rFonts w:ascii="Calibri" w:eastAsia="Calibri" w:hAnsi="Calibri" w:cs="Times New Roman"/>
          <w:bCs/>
          <w:color w:val="auto"/>
          <w:szCs w:val="22"/>
        </w:rPr>
        <w:t xml:space="preserve"> curtail this effect, the government launched a pilot project in 2015 to permit 300 Rohingya refugees to legally work in the plantation and manufacturing sectors, according to World Bulletin (2015). Furthermore, failed asylum seekers and their dependents may still be residents in Malaysia, taking up jobs as irregular foreign workers. MOHA does not publish data on failed asylum seekers. </w:t>
      </w:r>
    </w:p>
    <w:p w14:paraId="667B40A3"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Of 99,000 IMM13 holders (Filipino refugees) in Sabah, only approximately 55,000 have been renewing their passes annually (</w:t>
      </w:r>
      <w:proofErr w:type="spellStart"/>
      <w:r w:rsidRPr="009002F0">
        <w:rPr>
          <w:rFonts w:ascii="Calibri" w:eastAsia="Calibri" w:hAnsi="Calibri" w:cs="Times New Roman"/>
          <w:bCs/>
          <w:color w:val="auto"/>
          <w:szCs w:val="22"/>
        </w:rPr>
        <w:t>Kassim</w:t>
      </w:r>
      <w:proofErr w:type="spellEnd"/>
      <w:r w:rsidRPr="009002F0">
        <w:rPr>
          <w:rFonts w:ascii="Calibri" w:eastAsia="Calibri" w:hAnsi="Calibri" w:cs="Times New Roman"/>
          <w:bCs/>
          <w:color w:val="auto"/>
          <w:szCs w:val="22"/>
        </w:rPr>
        <w:t xml:space="preserve">, 2017, according to the Immigration Department). It is possible that those who didn’t renew their passes have either returned to the Philippines, have died, or have become permanent residents of Malaysia. Those who returned to the Philippines could potentially return to Sabah as irregular immigrants. The Sabah National </w:t>
      </w:r>
      <w:r w:rsidRPr="009002F0">
        <w:rPr>
          <w:rFonts w:ascii="Calibri" w:eastAsia="Calibri" w:hAnsi="Calibri" w:cs="Times New Roman"/>
          <w:bCs/>
          <w:color w:val="auto"/>
          <w:szCs w:val="22"/>
        </w:rPr>
        <w:lastRenderedPageBreak/>
        <w:t xml:space="preserve">Registration Department shows that, of 2,894,984 residents, 44,482 are permanent residents and 24,645 are temporary residents. </w:t>
      </w:r>
      <w:proofErr w:type="spellStart"/>
      <w:r w:rsidRPr="009002F0">
        <w:rPr>
          <w:rFonts w:ascii="Calibri" w:eastAsia="Calibri" w:hAnsi="Calibri" w:cs="Times New Roman"/>
          <w:bCs/>
          <w:color w:val="auto"/>
          <w:szCs w:val="22"/>
        </w:rPr>
        <w:t>Kanapathy</w:t>
      </w:r>
      <w:proofErr w:type="spellEnd"/>
      <w:r w:rsidRPr="009002F0">
        <w:rPr>
          <w:rFonts w:ascii="Calibri" w:eastAsia="Calibri" w:hAnsi="Calibri" w:cs="Times New Roman"/>
          <w:bCs/>
          <w:color w:val="auto"/>
          <w:szCs w:val="22"/>
        </w:rPr>
        <w:t xml:space="preserve"> (2008a) reports that there are approximately 100,000 stateless children in Sabah. </w:t>
      </w:r>
    </w:p>
    <w:p w14:paraId="216BAB9F"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83" w:name="_Toc536052728"/>
      <w:bookmarkStart w:id="84" w:name="_Toc4581526"/>
      <w:r w:rsidRPr="009002F0">
        <w:rPr>
          <w:rFonts w:ascii="Calibri" w:eastAsia="Malgun Gothic" w:hAnsi="Calibri" w:cs="Times New Roman"/>
          <w:color w:val="006068"/>
          <w:sz w:val="26"/>
          <w:szCs w:val="28"/>
          <w:u w:val="single"/>
        </w:rPr>
        <w:t>4.3 Regular foreign workers becoming irregular (flows)</w:t>
      </w:r>
      <w:bookmarkEnd w:id="83"/>
      <w:bookmarkEnd w:id="84"/>
      <w:r w:rsidRPr="009002F0">
        <w:rPr>
          <w:rFonts w:ascii="Calibri" w:eastAsia="Malgun Gothic" w:hAnsi="Calibri" w:cs="Times New Roman"/>
          <w:color w:val="006068"/>
          <w:sz w:val="26"/>
          <w:szCs w:val="28"/>
          <w:u w:val="single"/>
        </w:rPr>
        <w:t xml:space="preserve">   </w:t>
      </w:r>
    </w:p>
    <w:p w14:paraId="3AA3B6A6"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The FOMEMA data on the results of foreign worker medical examinations can be used to estimate annual flows of irregular foreign workers. As mentioned earlier, all foreign workers – new or existing, must go through a FOMEMA medical exam, part of the condition to obtain a VP for the given year. On average, about 3 percent of test applicants fail the medical test </w:t>
      </w:r>
      <w:r w:rsidRPr="009002F0">
        <w:rPr>
          <w:rFonts w:ascii="Calibri" w:eastAsia="Calibri" w:hAnsi="Calibri" w:cs="Times New Roman"/>
          <w:bCs/>
          <w:color w:val="auto"/>
        </w:rPr>
        <w:t>(</w:t>
      </w:r>
      <w:r w:rsidRPr="009002F0">
        <w:rPr>
          <w:rFonts w:ascii="Calibri" w:eastAsia="Calibri" w:hAnsi="Calibri" w:cs="Times New Roman"/>
          <w:bCs/>
        </w:rPr>
        <w:fldChar w:fldCharType="begin" w:fldLock="1"/>
      </w:r>
      <w:r w:rsidRPr="009002F0">
        <w:rPr>
          <w:rFonts w:ascii="Calibri" w:eastAsia="Calibri" w:hAnsi="Calibri" w:cs="Times New Roman"/>
          <w:bCs/>
        </w:rPr>
        <w:instrText xml:space="preserve"> REF _Ref536569418 \h  \* MERGEFORMAT </w:instrText>
      </w:r>
      <w:r w:rsidRPr="009002F0">
        <w:rPr>
          <w:rFonts w:ascii="Calibri" w:eastAsia="Calibri" w:hAnsi="Calibri" w:cs="Times New Roman"/>
          <w:bCs/>
        </w:rPr>
      </w:r>
      <w:r w:rsidRPr="009002F0">
        <w:rPr>
          <w:rFonts w:ascii="Calibri" w:eastAsia="Calibri" w:hAnsi="Calibri" w:cs="Times New Roman"/>
          <w:bCs/>
        </w:rPr>
        <w:fldChar w:fldCharType="separate"/>
      </w:r>
      <w:r w:rsidRPr="009002F0">
        <w:rPr>
          <w:rFonts w:ascii="Calibri" w:eastAsia="Calibri" w:hAnsi="Calibri" w:cs="Times New Roman"/>
        </w:rPr>
        <w:t xml:space="preserve">Table </w:t>
      </w:r>
      <w:r w:rsidRPr="009002F0">
        <w:rPr>
          <w:rFonts w:ascii="Calibri" w:eastAsia="Calibri" w:hAnsi="Calibri" w:cs="Times New Roman"/>
          <w:noProof/>
        </w:rPr>
        <w:t>7</w:t>
      </w:r>
      <w:r w:rsidRPr="009002F0">
        <w:rPr>
          <w:rFonts w:ascii="Calibri" w:eastAsia="Calibri" w:hAnsi="Calibri" w:cs="Times New Roman"/>
          <w:bCs/>
        </w:rPr>
        <w:fldChar w:fldCharType="end"/>
      </w:r>
      <w:r w:rsidRPr="009002F0">
        <w:rPr>
          <w:rFonts w:ascii="Calibri" w:eastAsia="Calibri" w:hAnsi="Calibri" w:cs="Times New Roman"/>
          <w:bCs/>
          <w:color w:val="auto"/>
        </w:rPr>
        <w:t>).</w:t>
      </w:r>
      <w:r w:rsidRPr="009002F0">
        <w:rPr>
          <w:rFonts w:ascii="Calibri" w:eastAsia="Calibri" w:hAnsi="Calibri" w:cs="Times New Roman"/>
          <w:bCs/>
          <w:color w:val="auto"/>
          <w:szCs w:val="22"/>
        </w:rPr>
        <w:t xml:space="preserve"> They are thus ineligible for a VP and must leave Malaysia. Some of those who fail the medical screening manage to stay in Malaysia and become irregulars, particularly new entrants who have just incurred migration costs and need to recover as much of the cost as possible. The shortcoming of these data is that there is no way of identifying how many of those who fail the medical screening have left Malaysia and how many have stayed, and for how long. </w:t>
      </w:r>
    </w:p>
    <w:p w14:paraId="35A2C783" w14:textId="77777777" w:rsidR="009002F0" w:rsidRPr="009002F0" w:rsidRDefault="009002F0" w:rsidP="009002F0">
      <w:pPr>
        <w:widowControl/>
        <w:autoSpaceDE/>
        <w:autoSpaceDN/>
        <w:adjustRightInd/>
        <w:spacing w:after="120"/>
        <w:rPr>
          <w:rFonts w:ascii="Calibri" w:eastAsia="Malgun Gothic" w:hAnsi="Calibri" w:cs="Times New Roman"/>
          <w:spacing w:val="4"/>
          <w:szCs w:val="22"/>
          <w:lang w:eastAsia="ko-KR"/>
        </w:rPr>
      </w:pPr>
      <w:bookmarkStart w:id="85" w:name="_Ref536569418"/>
      <w:bookmarkStart w:id="86" w:name="_Toc4581550"/>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7</w:t>
      </w:r>
      <w:r w:rsidRPr="009002F0">
        <w:rPr>
          <w:rFonts w:ascii="Calibri" w:eastAsia="Malgun Gothic" w:hAnsi="Calibri" w:cs="Times New Roman"/>
          <w:bCs/>
          <w:spacing w:val="4"/>
          <w:szCs w:val="20"/>
          <w:lang w:eastAsia="ko-KR"/>
        </w:rPr>
        <w:fldChar w:fldCharType="end"/>
      </w:r>
      <w:bookmarkEnd w:id="85"/>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spacing w:val="4"/>
          <w:szCs w:val="22"/>
          <w:lang w:eastAsia="ko-KR"/>
        </w:rPr>
        <w:t>About 2.8 percent of regular foreign workers may become irregulars annually.</w:t>
      </w:r>
      <w:bookmarkEnd w:id="86"/>
      <w:r w:rsidRPr="009002F0">
        <w:rPr>
          <w:rFonts w:ascii="Calibri" w:eastAsia="Malgun Gothic" w:hAnsi="Calibri" w:cs="Times New Roman"/>
          <w:spacing w:val="4"/>
          <w:szCs w:val="22"/>
          <w:lang w:eastAsia="ko-KR"/>
        </w:rPr>
        <w:t xml:space="preserve"> </w:t>
      </w:r>
    </w:p>
    <w:tbl>
      <w:tblPr>
        <w:tblW w:w="9355" w:type="dxa"/>
        <w:tblLayout w:type="fixed"/>
        <w:tblLook w:val="04A0" w:firstRow="1" w:lastRow="0" w:firstColumn="1" w:lastColumn="0" w:noHBand="0" w:noVBand="1"/>
      </w:tblPr>
      <w:tblGrid>
        <w:gridCol w:w="3160"/>
        <w:gridCol w:w="2065"/>
        <w:gridCol w:w="2065"/>
        <w:gridCol w:w="2065"/>
      </w:tblGrid>
      <w:tr w:rsidR="009002F0" w:rsidRPr="009002F0" w14:paraId="3EE2E3FD"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bottom"/>
            <w:hideMark/>
          </w:tcPr>
          <w:p w14:paraId="40CCB1D3" w14:textId="77777777" w:rsidR="009002F0" w:rsidRPr="009002F0" w:rsidRDefault="009002F0" w:rsidP="009002F0">
            <w:pPr>
              <w:widowControl/>
              <w:autoSpaceDE/>
              <w:autoSpaceDN/>
              <w:adjustRightInd/>
              <w:rPr>
                <w:rFonts w:ascii="Calibri" w:eastAsia="Times New Roman" w:hAnsi="Calibri" w:cs="Times New Roman"/>
                <w:color w:val="FFFFFF"/>
                <w:lang w:eastAsia="ko-KR"/>
              </w:rPr>
            </w:pPr>
            <w:r w:rsidRPr="009002F0">
              <w:rPr>
                <w:rFonts w:ascii="Calibri" w:eastAsia="Times New Roman" w:hAnsi="Calibri" w:cs="Times New Roman"/>
                <w:color w:val="FFFFFF"/>
                <w:lang w:eastAsia="ko-KR"/>
              </w:rPr>
              <w:t> </w:t>
            </w:r>
          </w:p>
        </w:tc>
        <w:tc>
          <w:tcPr>
            <w:tcW w:w="2065"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07CEBF33" w14:textId="77777777" w:rsidR="009002F0" w:rsidRPr="009002F0" w:rsidRDefault="009002F0" w:rsidP="009002F0">
            <w:pPr>
              <w:widowControl/>
              <w:autoSpaceDE/>
              <w:autoSpaceDN/>
              <w:adjustRightInd/>
              <w:jc w:val="center"/>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2010-2017</w:t>
            </w:r>
          </w:p>
        </w:tc>
        <w:tc>
          <w:tcPr>
            <w:tcW w:w="4130" w:type="dxa"/>
            <w:gridSpan w:val="2"/>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2189CF50" w14:textId="77777777" w:rsidR="009002F0" w:rsidRPr="009002F0" w:rsidRDefault="009002F0" w:rsidP="009002F0">
            <w:pPr>
              <w:widowControl/>
              <w:autoSpaceDE/>
              <w:autoSpaceDN/>
              <w:adjustRightInd/>
              <w:jc w:val="center"/>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2017</w:t>
            </w:r>
          </w:p>
        </w:tc>
      </w:tr>
      <w:tr w:rsidR="009002F0" w:rsidRPr="009002F0" w14:paraId="18B38534"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bottom"/>
            <w:hideMark/>
          </w:tcPr>
          <w:p w14:paraId="21513608" w14:textId="77777777" w:rsidR="009002F0" w:rsidRPr="009002F0" w:rsidRDefault="009002F0" w:rsidP="009002F0">
            <w:pPr>
              <w:widowControl/>
              <w:autoSpaceDE/>
              <w:autoSpaceDN/>
              <w:adjustRightInd/>
              <w:rPr>
                <w:rFonts w:ascii="Calibri" w:eastAsia="Times New Roman" w:hAnsi="Calibri" w:cs="Times New Roman"/>
                <w:color w:val="FFFFFF"/>
                <w:lang w:eastAsia="ko-KR"/>
              </w:rPr>
            </w:pPr>
            <w:r w:rsidRPr="009002F0">
              <w:rPr>
                <w:rFonts w:ascii="Calibri" w:eastAsia="Times New Roman" w:hAnsi="Calibri" w:cs="Times New Roman"/>
                <w:color w:val="FFFFFF"/>
                <w:lang w:eastAsia="ko-KR"/>
              </w:rPr>
              <w:t> </w:t>
            </w:r>
          </w:p>
        </w:tc>
        <w:tc>
          <w:tcPr>
            <w:tcW w:w="2065"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43929192" w14:textId="77777777" w:rsidR="009002F0" w:rsidRPr="009002F0" w:rsidRDefault="009002F0" w:rsidP="009002F0">
            <w:pPr>
              <w:widowControl/>
              <w:autoSpaceDE/>
              <w:autoSpaceDN/>
              <w:adjustRightInd/>
              <w:jc w:val="center"/>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Total</w:t>
            </w:r>
          </w:p>
        </w:tc>
        <w:tc>
          <w:tcPr>
            <w:tcW w:w="2065"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68E75E83" w14:textId="77777777" w:rsidR="009002F0" w:rsidRPr="009002F0" w:rsidRDefault="009002F0" w:rsidP="009002F0">
            <w:pPr>
              <w:widowControl/>
              <w:autoSpaceDE/>
              <w:autoSpaceDN/>
              <w:adjustRightInd/>
              <w:jc w:val="center"/>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New entry</w:t>
            </w:r>
          </w:p>
        </w:tc>
        <w:tc>
          <w:tcPr>
            <w:tcW w:w="2065"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0F21A494" w14:textId="77777777" w:rsidR="009002F0" w:rsidRPr="009002F0" w:rsidRDefault="009002F0" w:rsidP="009002F0">
            <w:pPr>
              <w:widowControl/>
              <w:autoSpaceDE/>
              <w:autoSpaceDN/>
              <w:adjustRightInd/>
              <w:jc w:val="center"/>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VP(TE) Renewal</w:t>
            </w:r>
          </w:p>
        </w:tc>
      </w:tr>
      <w:tr w:rsidR="009002F0" w:rsidRPr="009002F0" w14:paraId="30D2B27A"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3A09E1A6" w14:textId="77777777" w:rsidR="009002F0" w:rsidRPr="009002F0" w:rsidRDefault="009002F0" w:rsidP="009002F0">
            <w:pPr>
              <w:widowControl/>
              <w:autoSpaceDE/>
              <w:autoSpaceDN/>
              <w:adjustRightInd/>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 xml:space="preserve">Total </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7B44"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8,698,692</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B100"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469,622</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29EA"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449,440</w:t>
            </w:r>
          </w:p>
        </w:tc>
      </w:tr>
      <w:tr w:rsidR="009002F0" w:rsidRPr="009002F0" w14:paraId="631149A6"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1E15BC34" w14:textId="77777777" w:rsidR="009002F0" w:rsidRPr="009002F0" w:rsidRDefault="009002F0" w:rsidP="009002F0">
            <w:pPr>
              <w:widowControl/>
              <w:autoSpaceDE/>
              <w:autoSpaceDN/>
              <w:adjustRightInd/>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Passed</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CE1D"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8,455,716</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035A"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457,272</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8536"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441,369</w:t>
            </w:r>
          </w:p>
        </w:tc>
      </w:tr>
      <w:tr w:rsidR="009002F0" w:rsidRPr="009002F0" w14:paraId="48037E57"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294347C3" w14:textId="77777777" w:rsidR="009002F0" w:rsidRPr="009002F0" w:rsidRDefault="009002F0" w:rsidP="009002F0">
            <w:pPr>
              <w:widowControl/>
              <w:autoSpaceDE/>
              <w:autoSpaceDN/>
              <w:adjustRightInd/>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Failed</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4D13E"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242,976</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035A"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12,350</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966A3"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8,071</w:t>
            </w:r>
          </w:p>
        </w:tc>
      </w:tr>
      <w:tr w:rsidR="009002F0" w:rsidRPr="009002F0" w14:paraId="39CA8B06" w14:textId="77777777" w:rsidTr="009002F0">
        <w:trPr>
          <w:trHeight w:val="432"/>
        </w:trPr>
        <w:tc>
          <w:tcPr>
            <w:tcW w:w="3160" w:type="dxa"/>
            <w:tcBorders>
              <w:top w:val="single" w:sz="4" w:space="0" w:color="auto"/>
              <w:left w:val="single" w:sz="4" w:space="0" w:color="auto"/>
              <w:bottom w:val="single" w:sz="4" w:space="0" w:color="auto"/>
              <w:right w:val="single" w:sz="4" w:space="0" w:color="auto"/>
            </w:tcBorders>
            <w:shd w:val="clear" w:color="auto" w:fill="006068"/>
            <w:noWrap/>
            <w:vAlign w:val="center"/>
            <w:hideMark/>
          </w:tcPr>
          <w:p w14:paraId="4912A4A6" w14:textId="77777777" w:rsidR="009002F0" w:rsidRPr="009002F0" w:rsidRDefault="009002F0" w:rsidP="009002F0">
            <w:pPr>
              <w:widowControl/>
              <w:autoSpaceDE/>
              <w:autoSpaceDN/>
              <w:adjustRightInd/>
              <w:rPr>
                <w:rFonts w:ascii="Calibri" w:eastAsia="Times New Roman" w:hAnsi="Calibri" w:cs="Times New Roman"/>
                <w:b/>
                <w:color w:val="FFFFFF"/>
                <w:lang w:eastAsia="ko-KR"/>
              </w:rPr>
            </w:pPr>
            <w:r w:rsidRPr="009002F0">
              <w:rPr>
                <w:rFonts w:ascii="Calibri" w:eastAsia="Times New Roman" w:hAnsi="Calibri" w:cs="Times New Roman"/>
                <w:b/>
                <w:color w:val="FFFFFF"/>
                <w:lang w:eastAsia="ko-KR"/>
              </w:rPr>
              <w:t>Share of the failed (percent)</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3545C"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2.8</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84862"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2.6</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D8DEE" w14:textId="77777777" w:rsidR="009002F0" w:rsidRPr="009002F0" w:rsidRDefault="009002F0" w:rsidP="009002F0">
            <w:pPr>
              <w:widowControl/>
              <w:autoSpaceDE/>
              <w:autoSpaceDN/>
              <w:adjustRightInd/>
              <w:jc w:val="right"/>
              <w:rPr>
                <w:rFonts w:ascii="Calibri" w:eastAsia="Times New Roman" w:hAnsi="Calibri" w:cs="Times New Roman"/>
                <w:lang w:eastAsia="ko-KR"/>
              </w:rPr>
            </w:pPr>
            <w:r w:rsidRPr="009002F0">
              <w:rPr>
                <w:rFonts w:ascii="Calibri" w:eastAsia="Times New Roman" w:hAnsi="Calibri" w:cs="Times New Roman"/>
                <w:lang w:eastAsia="ko-KR"/>
              </w:rPr>
              <w:t>1.8</w:t>
            </w:r>
          </w:p>
        </w:tc>
      </w:tr>
    </w:tbl>
    <w:p w14:paraId="2A443B6C" w14:textId="77777777" w:rsidR="009002F0" w:rsidRPr="009002F0" w:rsidRDefault="009002F0" w:rsidP="009002F0">
      <w:pPr>
        <w:widowControl/>
        <w:autoSpaceDE/>
        <w:autoSpaceDN/>
        <w:adjustRightInd/>
        <w:spacing w:after="120" w:line="256" w:lineRule="auto"/>
        <w:rPr>
          <w:rFonts w:ascii="Calibri" w:eastAsia="Calibri" w:hAnsi="Calibri" w:cs="Calibri"/>
          <w:bCs/>
          <w:color w:val="auto"/>
        </w:rPr>
      </w:pPr>
      <w:r w:rsidRPr="009002F0">
        <w:rPr>
          <w:rFonts w:ascii="Calibri" w:eastAsia="Calibri" w:hAnsi="Calibri" w:cs="Calibri"/>
          <w:bCs/>
          <w:color w:val="auto"/>
          <w:sz w:val="20"/>
        </w:rPr>
        <w:t>Source: FOMEMA</w:t>
      </w:r>
    </w:p>
    <w:p w14:paraId="16A87AB3"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2"/>
          <w:szCs w:val="22"/>
        </w:rPr>
      </w:pPr>
    </w:p>
    <w:p w14:paraId="5877DE0C"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Through employers’ reporting, the Royal Malaysian Police compiles data on foreign workers who ran away from their designated employment sites and, by definition, became irregular. However, not all employers file these reports and therefore these data are far from complete.    </w:t>
      </w:r>
    </w:p>
    <w:p w14:paraId="098E54F8"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87" w:name="_Toc536052729"/>
      <w:bookmarkStart w:id="88" w:name="_Toc4581527"/>
      <w:r w:rsidRPr="009002F0">
        <w:rPr>
          <w:rFonts w:ascii="Calibri" w:eastAsia="Malgun Gothic" w:hAnsi="Calibri" w:cs="Times New Roman"/>
          <w:color w:val="006068"/>
          <w:sz w:val="26"/>
          <w:szCs w:val="28"/>
          <w:u w:val="single"/>
        </w:rPr>
        <w:t>4.4 Demand for irregular foreign workers (flows)</w:t>
      </w:r>
      <w:bookmarkEnd w:id="87"/>
      <w:bookmarkEnd w:id="88"/>
      <w:r w:rsidRPr="009002F0">
        <w:rPr>
          <w:rFonts w:ascii="Calibri" w:eastAsia="Malgun Gothic" w:hAnsi="Calibri" w:cs="Times New Roman"/>
          <w:color w:val="006068"/>
          <w:sz w:val="26"/>
          <w:szCs w:val="28"/>
          <w:u w:val="single"/>
        </w:rPr>
        <w:t xml:space="preserve">    </w:t>
      </w:r>
    </w:p>
    <w:p w14:paraId="345E6312"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Data on the number of rejected foreign worker applications by firms can shed light on the demand for foreign workers. As shown in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_Ref536180336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2</w:t>
      </w:r>
      <w:r w:rsidRPr="009002F0">
        <w:rPr>
          <w:rFonts w:ascii="Calibri" w:eastAsia="Calibri" w:hAnsi="Calibri" w:cs="Times New Roman"/>
        </w:rPr>
        <w:fldChar w:fldCharType="end"/>
      </w:r>
      <w:r w:rsidRPr="009002F0">
        <w:rPr>
          <w:rFonts w:ascii="Calibri" w:eastAsia="Calibri" w:hAnsi="Calibri" w:cs="Times New Roman"/>
          <w:color w:val="auto"/>
          <w:szCs w:val="22"/>
        </w:rPr>
        <w:t xml:space="preserve"> earlier, rejections take place at two stages of the application process. First the JTKM rejects the application after assessing qualifications of the employers. Second, MOHA rejects the JTKM-approved applications. </w:t>
      </w:r>
    </w:p>
    <w:p w14:paraId="240B6D20"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65663851"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The MOHR data reveals the total number of rejected foreign worker applications by sector on monthly basis. During January – September 2018, JTKM rejected approximately 15 percent of the initial applications for both new employment and renewals,</w:t>
      </w:r>
      <w:r w:rsidRPr="009002F0">
        <w:rPr>
          <w:rFonts w:ascii="Calibri" w:eastAsia="Calibri" w:hAnsi="Calibri" w:cs="Times New Roman"/>
          <w:color w:val="auto"/>
        </w:rPr>
        <w:t xml:space="preserve"> largely attributable to faults</w:t>
      </w:r>
      <w:r w:rsidRPr="009002F0">
        <w:rPr>
          <w:rFonts w:ascii="Calibri" w:eastAsia="Calibri" w:hAnsi="Calibri" w:cs="Times New Roman"/>
          <w:color w:val="auto"/>
          <w:szCs w:val="22"/>
        </w:rPr>
        <w:t xml:space="preserve"> on the employer side, such as employers’ poor track records on hiring foreign workers and facilities for foreign workers that do not comply with regulations. Subsequently, MOHA </w:t>
      </w:r>
      <w:r w:rsidRPr="009002F0">
        <w:rPr>
          <w:rFonts w:ascii="Calibri" w:eastAsia="Calibri" w:hAnsi="Calibri" w:cs="Times New Roman"/>
          <w:color w:val="auto"/>
          <w:szCs w:val="22"/>
        </w:rPr>
        <w:lastRenderedPageBreak/>
        <w:t xml:space="preserve">rejected 69 percent of the total JTKM-approved applications (Figure 14). The rejection rate is highest in the services sector – 92 percent. At the MOHA approval stage, 74 percent of new applications and slightly over half of renewal applications were rejected, </w:t>
      </w:r>
      <w:r w:rsidRPr="009002F0">
        <w:rPr>
          <w:rFonts w:ascii="Calibri" w:eastAsia="Calibri" w:hAnsi="Calibri" w:cs="Times New Roman"/>
          <w:color w:val="auto"/>
        </w:rPr>
        <w:t>amounting to a total of 268,164 and reasons for this high rejection rates at the MOHA approval stage are unclear.</w:t>
      </w:r>
      <w:r w:rsidRPr="009002F0">
        <w:rPr>
          <w:rFonts w:ascii="Calibri" w:eastAsia="Calibri" w:hAnsi="Calibri" w:cs="Times New Roman"/>
          <w:color w:val="auto"/>
          <w:szCs w:val="22"/>
        </w:rPr>
        <w:t xml:space="preserve"> </w:t>
      </w:r>
    </w:p>
    <w:p w14:paraId="1D8B7782"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0A748847"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The unmet demand may encourage workers to change their jobs to higher paying sectors, such as from construction to manufacturing, or from planation and agriculture to services. As displayed in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_Ref536569812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16</w:t>
      </w:r>
      <w:r w:rsidRPr="009002F0">
        <w:rPr>
          <w:rFonts w:ascii="Calibri" w:eastAsia="Calibri" w:hAnsi="Calibri" w:cs="Times New Roman"/>
        </w:rPr>
        <w:fldChar w:fldCharType="end"/>
      </w:r>
      <w:r w:rsidRPr="009002F0">
        <w:rPr>
          <w:rFonts w:ascii="Calibri" w:eastAsia="Calibri" w:hAnsi="Calibri" w:cs="Times New Roman"/>
          <w:color w:val="auto"/>
          <w:szCs w:val="22"/>
        </w:rPr>
        <w:t xml:space="preserve">, LFS data that capture irregulars show a higher share of foreign workers in the manufacturing sector than the MOHA data indicate.  </w:t>
      </w:r>
    </w:p>
    <w:p w14:paraId="339CBB4C"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1ECA3298"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Nevertheless, the data may not fully covey the unmet-demand for foreign workers as the rejections can be politically motivated, for example, to restrict the annual inflows of foreign workers or to contain the size of the foreign workers population. </w:t>
      </w:r>
    </w:p>
    <w:p w14:paraId="4E03BED8"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00BD4535"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 xml:space="preserve">An economic modelling approach to gauge demand for foreign workers was not considered as the input data on the overall foreign worker are very incomplete and therefore the results generated would likely be biased and not robust. </w:t>
      </w:r>
    </w:p>
    <w:p w14:paraId="7814A278" w14:textId="77777777" w:rsidR="009002F0" w:rsidRPr="009002F0" w:rsidRDefault="009002F0" w:rsidP="009002F0">
      <w:pPr>
        <w:widowControl/>
        <w:autoSpaceDE/>
        <w:autoSpaceDN/>
        <w:adjustRightInd/>
        <w:jc w:val="both"/>
        <w:rPr>
          <w:rFonts w:ascii="Calibri" w:eastAsia="Calibri" w:hAnsi="Calibri" w:cs="Times New Roman"/>
          <w:color w:val="auto"/>
          <w:sz w:val="22"/>
          <w:szCs w:val="22"/>
        </w:rPr>
      </w:pPr>
    </w:p>
    <w:p w14:paraId="4AA9D9D8" w14:textId="77777777" w:rsidR="009002F0" w:rsidRPr="009002F0" w:rsidRDefault="009002F0" w:rsidP="009002F0">
      <w:pPr>
        <w:widowControl/>
        <w:autoSpaceDE/>
        <w:autoSpaceDN/>
        <w:adjustRightInd/>
        <w:spacing w:after="120"/>
        <w:rPr>
          <w:rFonts w:ascii="Calibri" w:eastAsia="Malgun Gothic" w:hAnsi="Calibri" w:cs="Times New Roman"/>
          <w:bCs/>
          <w:spacing w:val="4"/>
          <w:szCs w:val="20"/>
          <w:lang w:eastAsia="ko-KR"/>
        </w:rPr>
      </w:pPr>
    </w:p>
    <w:p w14:paraId="71170969" w14:textId="77777777" w:rsidR="009002F0" w:rsidRPr="009002F0" w:rsidRDefault="009002F0" w:rsidP="009002F0">
      <w:pPr>
        <w:widowControl/>
        <w:autoSpaceDE/>
        <w:autoSpaceDN/>
        <w:adjustRightInd/>
        <w:spacing w:after="120"/>
        <w:rPr>
          <w:rFonts w:ascii="Calibri" w:eastAsia="Calibri" w:hAnsi="Calibri" w:cs="Times New Roman"/>
          <w:bCs/>
          <w:spacing w:val="4"/>
          <w:szCs w:val="22"/>
        </w:rPr>
      </w:pPr>
      <w:bookmarkStart w:id="89" w:name="_Toc4581567"/>
      <w:r w:rsidRPr="009002F0">
        <w:rPr>
          <w:rFonts w:ascii="Calibri" w:eastAsia="Malgun Gothic" w:hAnsi="Calibri" w:cs="Times New Roman"/>
          <w:bCs/>
          <w:spacing w:val="4"/>
          <w:szCs w:val="20"/>
          <w:lang w:eastAsia="ko-KR"/>
        </w:rPr>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15</w:t>
      </w:r>
      <w:r w:rsidRPr="009002F0">
        <w:rPr>
          <w:rFonts w:ascii="Calibri" w:eastAsia="Malgun Gothic" w:hAnsi="Calibri" w:cs="Times New Roman"/>
          <w:bCs/>
          <w:spacing w:val="4"/>
          <w:szCs w:val="20"/>
          <w:lang w:eastAsia="ko-KR"/>
        </w:rPr>
        <w:fldChar w:fldCharType="end"/>
      </w:r>
      <w:r w:rsidRPr="009002F0">
        <w:rPr>
          <w:rFonts w:ascii="Calibri" w:eastAsia="Malgun Gothic" w:hAnsi="Calibri" w:cs="Times New Roman"/>
          <w:bCs/>
          <w:spacing w:val="4"/>
          <w:szCs w:val="20"/>
          <w:lang w:eastAsia="ko-KR"/>
        </w:rPr>
        <w:t xml:space="preserve">: </w:t>
      </w:r>
      <w:r w:rsidRPr="009002F0">
        <w:rPr>
          <w:rFonts w:ascii="Calibri" w:eastAsia="Calibri" w:hAnsi="Calibri" w:cs="Times New Roman"/>
          <w:bCs/>
          <w:spacing w:val="4"/>
          <w:szCs w:val="22"/>
        </w:rPr>
        <w:t>Firms that applied for foreign workers but received rejections or reduced quotas might fill the unmet-demand with irregulars (January 1, 2018 through September 3, 2018, the rejection rate in the total application by sector)</w:t>
      </w:r>
      <w:bookmarkEnd w:id="89"/>
    </w:p>
    <w:p w14:paraId="1BD0E819"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 w:val="22"/>
          <w:szCs w:val="22"/>
        </w:rPr>
      </w:pPr>
      <w:r w:rsidRPr="009002F0">
        <w:rPr>
          <w:rFonts w:ascii="Calibri" w:eastAsia="Malgun Gothic" w:hAnsi="Calibri" w:cs="Times New Roman"/>
          <w:noProof/>
          <w:color w:val="auto"/>
          <w:sz w:val="20"/>
          <w:szCs w:val="20"/>
          <w:lang w:eastAsia="ko-KR"/>
        </w:rPr>
        <w:drawing>
          <wp:inline distT="0" distB="0" distL="0" distR="0" wp14:anchorId="316C2A74" wp14:editId="1DA5718B">
            <wp:extent cx="5724525" cy="2876550"/>
            <wp:effectExtent l="0" t="0" r="9525" b="0"/>
            <wp:docPr id="178" name="Chart 178">
              <a:extLst xmlns:a="http://schemas.openxmlformats.org/drawingml/2006/main">
                <a:ext uri="{FF2B5EF4-FFF2-40B4-BE49-F238E27FC236}">
                  <a16:creationId xmlns:a16="http://schemas.microsoft.com/office/drawing/2014/main" id="{B9881994-7378-4F15-A875-FA814FA92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64D0BD" w14:textId="77777777" w:rsidR="009002F0" w:rsidRPr="009002F0" w:rsidRDefault="009002F0" w:rsidP="009002F0">
      <w:pPr>
        <w:widowControl/>
        <w:autoSpaceDE/>
        <w:autoSpaceDN/>
        <w:adjustRightInd/>
        <w:rPr>
          <w:rFonts w:ascii="Calibri" w:eastAsia="Calibri" w:hAnsi="Calibri" w:cs="Times New Roman"/>
          <w:color w:val="auto"/>
          <w:sz w:val="20"/>
          <w:szCs w:val="22"/>
        </w:rPr>
      </w:pPr>
      <w:r w:rsidRPr="009002F0">
        <w:rPr>
          <w:rFonts w:ascii="Calibri" w:eastAsia="Calibri" w:hAnsi="Calibri" w:cs="Times New Roman"/>
          <w:color w:val="auto"/>
          <w:sz w:val="20"/>
          <w:szCs w:val="22"/>
        </w:rPr>
        <w:t>Source: MOHR</w:t>
      </w:r>
    </w:p>
    <w:p w14:paraId="0EA8AB58" w14:textId="77777777" w:rsidR="009002F0" w:rsidRPr="009002F0" w:rsidRDefault="009002F0" w:rsidP="009002F0">
      <w:pPr>
        <w:widowControl/>
        <w:autoSpaceDE/>
        <w:autoSpaceDN/>
        <w:adjustRightInd/>
        <w:spacing w:after="120" w:line="264" w:lineRule="auto"/>
        <w:rPr>
          <w:rFonts w:ascii="Calibri" w:eastAsia="Calibri" w:hAnsi="Calibri" w:cs="Times New Roman"/>
          <w:color w:val="auto"/>
          <w:szCs w:val="22"/>
        </w:rPr>
      </w:pPr>
    </w:p>
    <w:p w14:paraId="77C209C9" w14:textId="77777777" w:rsidR="009002F0" w:rsidRPr="009002F0" w:rsidRDefault="009002F0" w:rsidP="009002F0">
      <w:pPr>
        <w:keepNext/>
        <w:widowControl/>
        <w:autoSpaceDE/>
        <w:autoSpaceDN/>
        <w:adjustRightInd/>
        <w:spacing w:after="120"/>
        <w:rPr>
          <w:rFonts w:ascii="Calibri" w:eastAsia="Calibri" w:hAnsi="Calibri" w:cs="Times New Roman"/>
          <w:bCs/>
          <w:spacing w:val="4"/>
          <w:szCs w:val="22"/>
        </w:rPr>
      </w:pPr>
      <w:bookmarkStart w:id="90" w:name="_Ref536569812"/>
      <w:bookmarkStart w:id="91" w:name="_Toc4581568"/>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16</w:t>
      </w:r>
      <w:r w:rsidRPr="009002F0">
        <w:rPr>
          <w:rFonts w:ascii="Calibri" w:eastAsia="Malgun Gothic" w:hAnsi="Calibri" w:cs="Times New Roman"/>
          <w:bCs/>
          <w:spacing w:val="4"/>
          <w:szCs w:val="20"/>
          <w:lang w:eastAsia="ko-KR"/>
        </w:rPr>
        <w:fldChar w:fldCharType="end"/>
      </w:r>
      <w:bookmarkEnd w:id="90"/>
      <w:r w:rsidRPr="009002F0">
        <w:rPr>
          <w:rFonts w:ascii="Calibri" w:eastAsia="Malgun Gothic" w:hAnsi="Calibri" w:cs="Times New Roman"/>
          <w:bCs/>
          <w:spacing w:val="4"/>
          <w:szCs w:val="20"/>
          <w:lang w:eastAsia="ko-KR"/>
        </w:rPr>
        <w:t xml:space="preserve">: </w:t>
      </w:r>
      <w:r w:rsidRPr="009002F0">
        <w:rPr>
          <w:rFonts w:ascii="Calibri" w:eastAsia="Calibri" w:hAnsi="Calibri" w:cs="Times New Roman"/>
          <w:bCs/>
          <w:spacing w:val="4"/>
          <w:szCs w:val="22"/>
        </w:rPr>
        <w:t>Sectoral distribution of foreign workers/labor in 2016 (percent)</w:t>
      </w:r>
      <w:bookmarkEnd w:id="91"/>
      <w:r w:rsidRPr="009002F0">
        <w:rPr>
          <w:rFonts w:ascii="Calibri" w:eastAsia="Calibri" w:hAnsi="Calibri" w:cs="Times New Roman"/>
          <w:bCs/>
          <w:spacing w:val="4"/>
          <w:szCs w:val="22"/>
        </w:rPr>
        <w:t xml:space="preserve"> </w:t>
      </w:r>
    </w:p>
    <w:p w14:paraId="69FE5469" w14:textId="77777777" w:rsidR="009002F0" w:rsidRPr="009002F0" w:rsidRDefault="009002F0" w:rsidP="009002F0">
      <w:pPr>
        <w:widowControl/>
        <w:autoSpaceDE/>
        <w:autoSpaceDN/>
        <w:adjustRightInd/>
        <w:rPr>
          <w:rFonts w:ascii="Calibri" w:eastAsia="Calibri" w:hAnsi="Calibri" w:cs="Times New Roman"/>
          <w:color w:val="auto"/>
          <w:sz w:val="22"/>
          <w:szCs w:val="22"/>
        </w:rPr>
      </w:pPr>
      <w:r w:rsidRPr="009002F0">
        <w:rPr>
          <w:rFonts w:ascii="Calibri" w:eastAsia="Calibri" w:hAnsi="Calibri" w:cs="Times New Roman"/>
          <w:noProof/>
          <w:color w:val="auto"/>
          <w:sz w:val="22"/>
          <w:szCs w:val="22"/>
        </w:rPr>
        <w:drawing>
          <wp:inline distT="0" distB="0" distL="0" distR="0" wp14:anchorId="6F01AD52" wp14:editId="2E631C19">
            <wp:extent cx="5638800" cy="3062482"/>
            <wp:effectExtent l="19050" t="19050" r="19050" b="2413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0742" cy="3101555"/>
                    </a:xfrm>
                    <a:prstGeom prst="rect">
                      <a:avLst/>
                    </a:prstGeom>
                    <a:noFill/>
                    <a:ln>
                      <a:solidFill>
                        <a:sysClr val="window" lastClr="FFFFFF">
                          <a:lumMod val="65000"/>
                        </a:sysClr>
                      </a:solidFill>
                    </a:ln>
                  </pic:spPr>
                </pic:pic>
              </a:graphicData>
            </a:graphic>
          </wp:inline>
        </w:drawing>
      </w:r>
    </w:p>
    <w:p w14:paraId="5CF92BAA" w14:textId="77777777" w:rsidR="009002F0" w:rsidRPr="009002F0" w:rsidRDefault="009002F0" w:rsidP="009002F0">
      <w:pPr>
        <w:widowControl/>
        <w:autoSpaceDE/>
        <w:autoSpaceDN/>
        <w:adjustRightInd/>
        <w:rPr>
          <w:rFonts w:ascii="Calibri" w:eastAsia="Calibri" w:hAnsi="Calibri" w:cs="Times New Roman"/>
          <w:color w:val="auto"/>
          <w:sz w:val="20"/>
          <w:szCs w:val="22"/>
        </w:rPr>
      </w:pPr>
      <w:r w:rsidRPr="009002F0">
        <w:rPr>
          <w:rFonts w:ascii="Calibri" w:eastAsia="Calibri" w:hAnsi="Calibri" w:cs="Times New Roman"/>
          <w:color w:val="auto"/>
          <w:sz w:val="20"/>
          <w:szCs w:val="22"/>
        </w:rPr>
        <w:t>Source: MOHA and LFS</w:t>
      </w:r>
    </w:p>
    <w:p w14:paraId="5E0D0BB2" w14:textId="77777777" w:rsidR="009002F0" w:rsidRPr="009002F0" w:rsidRDefault="009002F0" w:rsidP="009002F0">
      <w:pPr>
        <w:widowControl/>
        <w:autoSpaceDE/>
        <w:autoSpaceDN/>
        <w:adjustRightInd/>
        <w:rPr>
          <w:rFonts w:ascii="Calibri" w:eastAsia="Calibri" w:hAnsi="Calibri" w:cs="Times New Roman"/>
          <w:color w:val="auto"/>
          <w:sz w:val="22"/>
          <w:szCs w:val="22"/>
        </w:rPr>
      </w:pPr>
    </w:p>
    <w:p w14:paraId="35869DEE" w14:textId="77777777" w:rsidR="009002F0" w:rsidRPr="009002F0" w:rsidRDefault="009002F0" w:rsidP="009002F0">
      <w:pPr>
        <w:widowControl/>
        <w:autoSpaceDE/>
        <w:autoSpaceDN/>
        <w:adjustRightInd/>
        <w:spacing w:after="120" w:line="264" w:lineRule="auto"/>
        <w:rPr>
          <w:rFonts w:ascii="Andes" w:eastAsia="Malgun Gothic" w:hAnsi="Andes" w:cs="Calibri"/>
          <w:color w:val="002345"/>
          <w:sz w:val="32"/>
          <w:szCs w:val="32"/>
          <w:lang w:eastAsia="ko-KR"/>
        </w:rPr>
      </w:pPr>
      <w:r w:rsidRPr="009002F0">
        <w:rPr>
          <w:rFonts w:ascii="Andes" w:eastAsia="Malgun Gothic" w:hAnsi="Andes" w:cs="Calibri"/>
          <w:color w:val="002345"/>
          <w:sz w:val="32"/>
          <w:szCs w:val="32"/>
          <w:lang w:eastAsia="ko-KR"/>
        </w:rPr>
        <w:br w:type="page"/>
      </w:r>
    </w:p>
    <w:p w14:paraId="08658D61"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002345"/>
          <w:sz w:val="32"/>
          <w:szCs w:val="32"/>
          <w:lang w:eastAsia="ko-KR"/>
        </w:rPr>
      </w:pPr>
      <w:bookmarkStart w:id="92" w:name="_Toc536052730"/>
      <w:bookmarkStart w:id="93" w:name="_Toc4581528"/>
      <w:r w:rsidRPr="009002F0">
        <w:rPr>
          <w:rFonts w:ascii="Andes" w:eastAsia="Malgun Gothic" w:hAnsi="Andes" w:cs="Times New Roman"/>
          <w:b/>
          <w:color w:val="002345"/>
          <w:sz w:val="32"/>
          <w:szCs w:val="32"/>
          <w:lang w:eastAsia="ko-KR"/>
        </w:rPr>
        <w:lastRenderedPageBreak/>
        <w:t>Estimates of the irregular foreign worker population</w:t>
      </w:r>
      <w:bookmarkEnd w:id="92"/>
      <w:bookmarkEnd w:id="93"/>
      <w:r w:rsidRPr="009002F0">
        <w:rPr>
          <w:rFonts w:ascii="Andes" w:eastAsia="Malgun Gothic" w:hAnsi="Andes" w:cs="Times New Roman"/>
          <w:b/>
          <w:color w:val="002345"/>
          <w:sz w:val="32"/>
          <w:szCs w:val="32"/>
          <w:lang w:eastAsia="ko-KR"/>
        </w:rPr>
        <w:t xml:space="preserve">  </w:t>
      </w:r>
    </w:p>
    <w:p w14:paraId="3AED7484"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Estimating the size of the irregular foreign worker population is a challenging task. One key reason is that they would avoid engagements with government agencies because of the fear of being removed from the country. Furthermore, as discussed in Section 2, irregulars are not homogenous but include irregular entries, work-permit violations, overstays, and refugees/asylum seekers. Given these circumstances, this report employs two methods to fill data gaps – a residual method (indirect measurement) and a build-up approach (direct measurement) utilizing official statistics and available administrative data. Furthermore, the report also explores using BNM’s remittance transaction data to estimate the stock of irregular foreign workers for a given period. </w:t>
      </w:r>
    </w:p>
    <w:p w14:paraId="429BC139"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rPr>
      </w:pPr>
      <w:bookmarkStart w:id="94" w:name="_Toc536052731"/>
      <w:bookmarkStart w:id="95" w:name="_Toc4581529"/>
      <w:r w:rsidRPr="009002F0">
        <w:rPr>
          <w:rFonts w:ascii="Calibri" w:eastAsia="Malgun Gothic" w:hAnsi="Calibri" w:cs="Times New Roman"/>
          <w:color w:val="006068"/>
          <w:sz w:val="26"/>
          <w:szCs w:val="28"/>
          <w:u w:val="single"/>
        </w:rPr>
        <w:t>5.1 A residual approach</w:t>
      </w:r>
      <w:bookmarkEnd w:id="94"/>
      <w:bookmarkEnd w:id="95"/>
      <w:r w:rsidRPr="009002F0">
        <w:rPr>
          <w:rFonts w:ascii="Calibri" w:eastAsia="Malgun Gothic" w:hAnsi="Calibri" w:cs="Times New Roman"/>
          <w:color w:val="006068"/>
          <w:sz w:val="26"/>
          <w:szCs w:val="28"/>
          <w:u w:val="single"/>
        </w:rPr>
        <w:t xml:space="preserve">     </w:t>
      </w:r>
    </w:p>
    <w:p w14:paraId="6C50764E"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96" w:name="_Toc536052732"/>
      <w:bookmarkStart w:id="97" w:name="_Toc4581530"/>
      <w:r w:rsidRPr="009002F0">
        <w:rPr>
          <w:rFonts w:ascii="Calibri" w:eastAsia="Malgun Gothic" w:hAnsi="Calibri" w:cs="Times New Roman"/>
          <w:i/>
          <w:color w:val="00ADE4"/>
          <w:lang w:eastAsia="ko-KR"/>
        </w:rPr>
        <w:t>5.1.1 Methodology and data</w:t>
      </w:r>
      <w:bookmarkEnd w:id="96"/>
      <w:bookmarkEnd w:id="97"/>
      <w:r w:rsidRPr="009002F0">
        <w:rPr>
          <w:rFonts w:ascii="Calibri" w:eastAsia="Malgun Gothic" w:hAnsi="Calibri" w:cs="Times New Roman"/>
          <w:i/>
          <w:color w:val="00ADE4"/>
          <w:lang w:eastAsia="ko-KR"/>
        </w:rPr>
        <w:t xml:space="preserve"> </w:t>
      </w:r>
    </w:p>
    <w:p w14:paraId="65D77CEE"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The irregular foreign worker population is the remainder after the lawfully present foreign nationals are subtracted from the total foreign-born population (that is, the difference between the two estimates). This indirect method is the most straightforward and widely used, for example, by the US Department of Homeland Security’s (DHS) Office of Immigration Statistics, the Pew Research Center </w:t>
      </w:r>
      <w:r w:rsidRPr="009002F0">
        <w:rPr>
          <w:rFonts w:ascii="Calibri" w:eastAsia="Malgun Gothic" w:hAnsi="Calibri" w:cs="Times New Roman"/>
          <w:noProof/>
          <w:color w:val="auto"/>
          <w:szCs w:val="22"/>
          <w:lang w:eastAsia="ko-KR"/>
        </w:rPr>
        <w:t>(Passel and Cohen, 2018)</w:t>
      </w:r>
      <w:r w:rsidRPr="009002F0">
        <w:rPr>
          <w:rFonts w:ascii="Calibri" w:eastAsia="Malgun Gothic" w:hAnsi="Calibri" w:cs="Times New Roman"/>
          <w:color w:val="auto"/>
          <w:szCs w:val="22"/>
          <w:lang w:eastAsia="ko-KR"/>
        </w:rPr>
        <w:t xml:space="preserve">, Migration Policy Institute, and in the United Kingdom </w:t>
      </w:r>
      <w:sdt>
        <w:sdtPr>
          <w:rPr>
            <w:rFonts w:ascii="Calibri" w:eastAsia="Malgun Gothic" w:hAnsi="Calibri" w:cs="Times New Roman"/>
            <w:color w:val="auto"/>
            <w:szCs w:val="22"/>
            <w:lang w:eastAsia="ko-KR"/>
          </w:rPr>
          <w:id w:val="-1678656496"/>
          <w:citation/>
        </w:sdtPr>
        <w:sdtContent>
          <w:r w:rsidRPr="009002F0">
            <w:rPr>
              <w:rFonts w:ascii="Calibri" w:eastAsia="Malgun Gothic" w:hAnsi="Calibri" w:cs="Times New Roman"/>
              <w:color w:val="auto"/>
              <w:szCs w:val="22"/>
              <w:lang w:eastAsia="ko-KR"/>
            </w:rPr>
            <w:fldChar w:fldCharType="begin"/>
          </w:r>
          <w:r w:rsidRPr="009002F0">
            <w:rPr>
              <w:rFonts w:ascii="Calibri" w:eastAsia="Malgun Gothic" w:hAnsi="Calibri" w:cs="Times New Roman"/>
              <w:color w:val="auto"/>
              <w:szCs w:val="22"/>
              <w:lang w:eastAsia="ko-KR"/>
            </w:rPr>
            <w:instrText xml:space="preserve"> CITATION Woo05 \l 1033 </w:instrText>
          </w:r>
          <w:r w:rsidRPr="009002F0">
            <w:rPr>
              <w:rFonts w:ascii="Calibri" w:eastAsia="Malgun Gothic" w:hAnsi="Calibri" w:cs="Times New Roman"/>
              <w:color w:val="auto"/>
              <w:szCs w:val="22"/>
              <w:lang w:eastAsia="ko-KR"/>
            </w:rPr>
            <w:fldChar w:fldCharType="separate"/>
          </w:r>
          <w:r w:rsidRPr="009002F0">
            <w:rPr>
              <w:rFonts w:ascii="Calibri" w:eastAsia="Malgun Gothic" w:hAnsi="Calibri" w:cs="Times New Roman"/>
              <w:noProof/>
              <w:color w:val="auto"/>
              <w:szCs w:val="22"/>
              <w:lang w:eastAsia="ko-KR"/>
            </w:rPr>
            <w:t>(Woodbridge, 2005)</w:t>
          </w:r>
          <w:r w:rsidRPr="009002F0">
            <w:rPr>
              <w:rFonts w:ascii="Calibri" w:eastAsia="Malgun Gothic" w:hAnsi="Calibri" w:cs="Times New Roman"/>
              <w:color w:val="auto"/>
              <w:szCs w:val="22"/>
              <w:lang w:eastAsia="ko-KR"/>
            </w:rPr>
            <w:fldChar w:fldCharType="end"/>
          </w:r>
        </w:sdtContent>
      </w:sdt>
      <w:r w:rsidRPr="009002F0">
        <w:rPr>
          <w:rFonts w:ascii="Calibri" w:eastAsia="Malgun Gothic" w:hAnsi="Calibri" w:cs="Times New Roman"/>
          <w:color w:val="auto"/>
          <w:szCs w:val="22"/>
          <w:lang w:eastAsia="ko-KR"/>
        </w:rPr>
        <w:t xml:space="preserve">. </w:t>
      </w:r>
    </w:p>
    <w:p w14:paraId="16E09433"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The first step is to use the total current size of the foreign-born population estimated by DOSM’s Population and Demography division based on the 2010 census. Next, this report employs official counts of permits/passes issued to foreign nationals compiled by MOHR. These two estimates are then subtracted at the high level to obtain an estimate of the irregular foreign worker population. This could lead to an overestimation as it includes children and retirees in the irregular foreign worker population, even though they many are not engaged in employment.   </w:t>
      </w:r>
    </w:p>
    <w:p w14:paraId="40A224EB"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Multiple data sources are generally required to employ the residual method, and these data typically come from various government agencies. The U.S. Census Bureau and the DHS’s Office of Immigration Statistics are good examples. Using more than one data source is needed to complement the missing information in each data source (Costanzo et al 2002). </w:t>
      </w:r>
    </w:p>
    <w:p w14:paraId="276F34A6"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Passel and Cohen (2018) estimate the lawful resident immigrant population by applying demographic methods to counts of lawful admissions spanning the period since 1980 obtained from the US DHS. Given the available demographic information, they calculate age-gender groups separately in six states</w:t>
      </w:r>
      <w:r w:rsidRPr="009002F0">
        <w:rPr>
          <w:rFonts w:ascii="ZWAdobeF" w:eastAsia="Malgun Gothic" w:hAnsi="ZWAdobeF" w:cs="ZWAdobeF"/>
          <w:color w:val="auto"/>
          <w:sz w:val="2"/>
          <w:szCs w:val="2"/>
          <w:lang w:eastAsia="ko-KR"/>
        </w:rPr>
        <w:t>29F</w:t>
      </w:r>
      <w:r w:rsidRPr="009002F0">
        <w:rPr>
          <w:rFonts w:ascii="Calibri" w:eastAsia="Malgun Gothic" w:hAnsi="Calibri" w:cs="Times New Roman"/>
          <w:color w:val="auto"/>
          <w:szCs w:val="22"/>
          <w:vertAlign w:val="superscript"/>
          <w:lang w:eastAsia="ko-KR"/>
        </w:rPr>
        <w:footnoteReference w:id="30"/>
      </w:r>
      <w:r w:rsidRPr="009002F0">
        <w:rPr>
          <w:rFonts w:ascii="Calibri" w:eastAsia="Malgun Gothic" w:hAnsi="Calibri" w:cs="Times New Roman"/>
          <w:color w:val="auto"/>
          <w:szCs w:val="22"/>
          <w:lang w:eastAsia="ko-KR"/>
        </w:rPr>
        <w:t xml:space="preserve"> and the balance of the country. They further subdivide the estimates into immigrant populations from 35 countries (or groups of countries) by the period of their arrival in the United States. Once the residuals are estimated, individual foreign respondents in the American Community Survey (ACS) are assigned a specific status based on “…the individuals’ demographic, social, economic, geographic, and family </w:t>
      </w:r>
      <w:r w:rsidRPr="009002F0">
        <w:rPr>
          <w:rFonts w:ascii="Calibri" w:eastAsia="Malgun Gothic" w:hAnsi="Calibri" w:cs="Times New Roman"/>
          <w:color w:val="auto"/>
          <w:szCs w:val="22"/>
          <w:lang w:eastAsia="ko-KR"/>
        </w:rPr>
        <w:lastRenderedPageBreak/>
        <w:t xml:space="preserve">characteristics in numbers that agree with the initial residual estimates for the estimated lawful immigrant and unauthorized immigrant populations” in the ACS survey (p.37). The final step is to assign weights in the estimation process by developing state-level estimates that “take into account trends over time in estimates” (p.37). </w:t>
      </w:r>
    </w:p>
    <w:p w14:paraId="70437FA5"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report is unable to undertake a similar exercise because only aggregate data are available. To carry out an analysis </w:t>
      </w:r>
      <w:proofErr w:type="gramStart"/>
      <w:r w:rsidRPr="009002F0">
        <w:rPr>
          <w:rFonts w:ascii="Calibri" w:eastAsia="Malgun Gothic" w:hAnsi="Calibri" w:cs="Times New Roman"/>
          <w:color w:val="auto"/>
          <w:szCs w:val="22"/>
          <w:lang w:eastAsia="ko-KR"/>
        </w:rPr>
        <w:t>similar to</w:t>
      </w:r>
      <w:proofErr w:type="gramEnd"/>
      <w:r w:rsidRPr="009002F0">
        <w:rPr>
          <w:rFonts w:ascii="Calibri" w:eastAsia="Malgun Gothic" w:hAnsi="Calibri" w:cs="Times New Roman"/>
          <w:color w:val="auto"/>
          <w:szCs w:val="22"/>
          <w:lang w:eastAsia="ko-KR"/>
        </w:rPr>
        <w:t xml:space="preserve"> Passel and Cohen (2018), one must obtain data at the micro level which contains information on demographic characteristics of lawfully resident foreigners and unauthorized immigrants. Data sources in Malaysia are VP(TE) issuance data by individual foreign worker (with demographic information) as well as regularization, amnesty, and workplace raids data at the micro level. This would allow us to tabulate individual’s demographic, social, economic, and geographical characteristics, to the extent possible, by lawful or irregular immigrant. Next, we need the population census survey data from DOSM to identify lawful and irregular foreign individuals in the census using the tabulated individual characteristics. At the time of writing, however, such data are not available to the World Bank and BNM teams. </w:t>
      </w:r>
    </w:p>
    <w:p w14:paraId="6884D7BF"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Thus, we limit our attempts to compute irregular foreign workers at the aggregate level, contributing to identifying which components of each population should be in place in the computation framework. The following steps and assumptions are involved in estimating each component, closely following the methods employed by the US DHS (2018). </w:t>
      </w:r>
    </w:p>
    <w:p w14:paraId="4B55AF80" w14:textId="77777777" w:rsidR="009002F0" w:rsidRPr="009002F0" w:rsidRDefault="009002F0" w:rsidP="009002F0">
      <w:pPr>
        <w:widowControl/>
        <w:numPr>
          <w:ilvl w:val="0"/>
          <w:numId w:val="21"/>
        </w:numPr>
        <w:autoSpaceDE/>
        <w:autoSpaceDN/>
        <w:adjustRightInd/>
        <w:spacing w:after="120" w:line="264" w:lineRule="auto"/>
        <w:contextualSpacing/>
        <w:jc w:val="both"/>
        <w:rPr>
          <w:rFonts w:ascii="Calibri" w:eastAsia="Malgun Gothic" w:hAnsi="Calibri" w:cs="Times New Roman"/>
          <w:b/>
          <w:color w:val="auto"/>
          <w:szCs w:val="22"/>
          <w:lang w:eastAsia="ko-KR"/>
        </w:rPr>
      </w:pPr>
      <w:r w:rsidRPr="009002F0">
        <w:rPr>
          <w:rFonts w:ascii="Calibri" w:eastAsia="Malgun Gothic" w:hAnsi="Calibri" w:cs="Times New Roman"/>
          <w:b/>
          <w:color w:val="auto"/>
          <w:szCs w:val="22"/>
          <w:lang w:eastAsia="ko-KR"/>
        </w:rPr>
        <w:t>Foreign-born population (</w:t>
      </w:r>
      <w:proofErr w:type="spellStart"/>
      <w:r w:rsidRPr="009002F0">
        <w:rPr>
          <w:rFonts w:ascii="Calibri" w:eastAsia="Malgun Gothic" w:hAnsi="Calibri" w:cs="Times New Roman"/>
          <w:b/>
          <w:color w:val="auto"/>
          <w:szCs w:val="22"/>
          <w:lang w:eastAsia="ko-KR"/>
        </w:rPr>
        <w:t>a+b+c+d</w:t>
      </w:r>
      <w:proofErr w:type="spellEnd"/>
      <w:r w:rsidRPr="009002F0">
        <w:rPr>
          <w:rFonts w:ascii="Calibri" w:eastAsia="Malgun Gothic" w:hAnsi="Calibri" w:cs="Times New Roman"/>
          <w:b/>
          <w:color w:val="auto"/>
          <w:szCs w:val="22"/>
          <w:lang w:eastAsia="ko-KR"/>
        </w:rPr>
        <w:t xml:space="preserve">). </w:t>
      </w:r>
    </w:p>
    <w:p w14:paraId="313A97AB"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Non-citizen population in the census data.</w:t>
      </w:r>
      <w:r w:rsidRPr="009002F0">
        <w:rPr>
          <w:rFonts w:ascii="Calibri" w:eastAsia="Malgun Gothic" w:hAnsi="Calibri" w:cs="Times New Roman"/>
          <w:color w:val="auto"/>
          <w:szCs w:val="22"/>
          <w:lang w:eastAsia="ko-KR"/>
        </w:rPr>
        <w:t xml:space="preserve"> The initial estimate of the total foreign-born population as of 2017 was obtained from the population census provided by DOSM’s Population and Demography division. The Population and Demography division projected the population data based on the 2010 Population and Housing Census. This dataset we have is time series. Information on the age, nationality, and gender distributions of the foreign-born population rests on the United Nation’s migration data, which relies on the 2010 census. </w:t>
      </w:r>
    </w:p>
    <w:p w14:paraId="2FD9509E"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Undercount of foreign workers in the census.</w:t>
      </w:r>
      <w:r w:rsidRPr="009002F0">
        <w:rPr>
          <w:rFonts w:ascii="Calibri" w:eastAsia="Malgun Gothic" w:hAnsi="Calibri" w:cs="Times New Roman"/>
          <w:color w:val="auto"/>
          <w:szCs w:val="22"/>
          <w:lang w:eastAsia="ko-KR"/>
        </w:rPr>
        <w:t xml:space="preserve"> </w:t>
      </w:r>
      <w:proofErr w:type="spellStart"/>
      <w:r w:rsidRPr="009002F0">
        <w:rPr>
          <w:rFonts w:ascii="Calibri" w:eastAsia="Malgun Gothic" w:hAnsi="Calibri" w:cs="Times New Roman"/>
          <w:color w:val="auto"/>
          <w:szCs w:val="22"/>
          <w:lang w:eastAsia="ko-KR"/>
        </w:rPr>
        <w:t>Kanapathy</w:t>
      </w:r>
      <w:proofErr w:type="spellEnd"/>
      <w:r w:rsidRPr="009002F0">
        <w:rPr>
          <w:rFonts w:ascii="Calibri" w:eastAsia="Malgun Gothic" w:hAnsi="Calibri" w:cs="Times New Roman"/>
          <w:color w:val="auto"/>
          <w:szCs w:val="22"/>
          <w:lang w:eastAsia="ko-KR"/>
        </w:rPr>
        <w:t xml:space="preserve"> (2008b) reports that the 2010 census undercounts the foreign-born by 197,348, or by 25.82 percent. This is consistent with Woodrow (1991) who suggested that plausible levels of undercount in the census were between 20 and 30 percent. Therefore, our preferred scenario is 25 percent, which is in line with the finding of </w:t>
      </w:r>
      <w:proofErr w:type="spellStart"/>
      <w:r w:rsidRPr="009002F0">
        <w:rPr>
          <w:rFonts w:ascii="Calibri" w:eastAsia="Malgun Gothic" w:hAnsi="Calibri" w:cs="Times New Roman"/>
          <w:color w:val="auto"/>
          <w:szCs w:val="22"/>
          <w:lang w:eastAsia="ko-KR"/>
        </w:rPr>
        <w:t>Kanapathy</w:t>
      </w:r>
      <w:proofErr w:type="spellEnd"/>
      <w:r w:rsidRPr="009002F0">
        <w:rPr>
          <w:rFonts w:ascii="Calibri" w:eastAsia="Malgun Gothic" w:hAnsi="Calibri" w:cs="Times New Roman"/>
          <w:color w:val="auto"/>
          <w:szCs w:val="22"/>
          <w:lang w:eastAsia="ko-KR"/>
        </w:rPr>
        <w:t xml:space="preserve"> (2008b) and the midpoint of Woodrow (1991).</w:t>
      </w:r>
    </w:p>
    <w:p w14:paraId="3EF67A8A"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Undercount of refugees and asylees in the census.</w:t>
      </w:r>
      <w:r w:rsidRPr="009002F0">
        <w:rPr>
          <w:rFonts w:ascii="Calibri" w:eastAsia="Malgun Gothic" w:hAnsi="Calibri" w:cs="Times New Roman"/>
          <w:color w:val="auto"/>
          <w:szCs w:val="22"/>
          <w:lang w:eastAsia="ko-KR"/>
        </w:rPr>
        <w:t xml:space="preserve"> Following the US DHS (2018), we assume that the undercount rate of permanent residents, refugees and asylees in the population census was 2.5 percent. The method employs UNHCR’s data on refugees and asylees and excludes pending asylum cases to derive the estimates.   </w:t>
      </w:r>
    </w:p>
    <w:p w14:paraId="10C7E25E"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Undercount of irregular immigrants in the census.</w:t>
      </w:r>
      <w:r w:rsidRPr="009002F0">
        <w:rPr>
          <w:rFonts w:ascii="Calibri" w:eastAsia="Malgun Gothic" w:hAnsi="Calibri" w:cs="Times New Roman"/>
          <w:color w:val="auto"/>
          <w:szCs w:val="22"/>
          <w:lang w:eastAsia="ko-KR"/>
        </w:rPr>
        <w:t xml:space="preserve"> The census covers non-citizen who had stayed or intended to stay in Malaysia for more than six months in 2010 and therefore excludes tourists who were in Malaysia for less than six months. Tourists may in fact overstay and engage in employment. Furthermore, the census asks a question on citizenship as well as the year of first arrival in Malaysia. This </w:t>
      </w:r>
      <w:r w:rsidRPr="009002F0">
        <w:rPr>
          <w:rFonts w:ascii="Calibri" w:eastAsia="Malgun Gothic" w:hAnsi="Calibri" w:cs="Times New Roman"/>
          <w:color w:val="auto"/>
          <w:szCs w:val="22"/>
          <w:lang w:eastAsia="ko-KR"/>
        </w:rPr>
        <w:lastRenderedPageBreak/>
        <w:t>raises concerns of decreasing irregular immigrants’ response rates in fear of being caught. Therefore, we assume the undercount rate of irregular immigrants in the 2010 census was 10 percent, which is consistent with the approach used by the US DHS (2018).</w:t>
      </w:r>
    </w:p>
    <w:p w14:paraId="5F43E8A5" w14:textId="77777777" w:rsidR="009002F0" w:rsidRPr="009002F0" w:rsidRDefault="009002F0" w:rsidP="009002F0">
      <w:pPr>
        <w:widowControl/>
        <w:autoSpaceDE/>
        <w:autoSpaceDN/>
        <w:adjustRightInd/>
        <w:spacing w:after="120" w:line="264" w:lineRule="auto"/>
        <w:ind w:left="1080"/>
        <w:contextualSpacing/>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      </w:t>
      </w:r>
    </w:p>
    <w:p w14:paraId="4B40DA22" w14:textId="77777777" w:rsidR="009002F0" w:rsidRPr="009002F0" w:rsidRDefault="009002F0" w:rsidP="009002F0">
      <w:pPr>
        <w:widowControl/>
        <w:numPr>
          <w:ilvl w:val="0"/>
          <w:numId w:val="21"/>
        </w:numPr>
        <w:autoSpaceDE/>
        <w:autoSpaceDN/>
        <w:adjustRightInd/>
        <w:spacing w:after="120" w:line="264" w:lineRule="auto"/>
        <w:contextualSpacing/>
        <w:jc w:val="both"/>
        <w:rPr>
          <w:rFonts w:ascii="Calibri" w:eastAsia="Malgun Gothic" w:hAnsi="Calibri" w:cs="Times New Roman"/>
          <w:b/>
          <w:color w:val="auto"/>
          <w:szCs w:val="22"/>
          <w:lang w:eastAsia="ko-KR"/>
        </w:rPr>
      </w:pPr>
      <w:r w:rsidRPr="009002F0">
        <w:rPr>
          <w:rFonts w:ascii="Calibri" w:eastAsia="Malgun Gothic" w:hAnsi="Calibri" w:cs="Times New Roman"/>
          <w:b/>
          <w:color w:val="auto"/>
          <w:szCs w:val="22"/>
          <w:lang w:eastAsia="ko-KR"/>
        </w:rPr>
        <w:t>Lawfully resident population, using the MOHA’s data on pass issuance, unless otherwise specified. (</w:t>
      </w:r>
      <w:proofErr w:type="spellStart"/>
      <w:r w:rsidRPr="009002F0">
        <w:rPr>
          <w:rFonts w:ascii="Calibri" w:eastAsia="Malgun Gothic" w:hAnsi="Calibri" w:cs="Times New Roman"/>
          <w:b/>
          <w:color w:val="auto"/>
          <w:szCs w:val="22"/>
          <w:lang w:eastAsia="ko-KR"/>
        </w:rPr>
        <w:t>a+b+c+d-e</w:t>
      </w:r>
      <w:proofErr w:type="spellEnd"/>
      <w:r w:rsidRPr="009002F0">
        <w:rPr>
          <w:rFonts w:ascii="Calibri" w:eastAsia="Malgun Gothic" w:hAnsi="Calibri" w:cs="Times New Roman"/>
          <w:b/>
          <w:color w:val="auto"/>
          <w:szCs w:val="22"/>
          <w:lang w:eastAsia="ko-KR"/>
        </w:rPr>
        <w:t>)</w:t>
      </w:r>
    </w:p>
    <w:p w14:paraId="11FD1C2D"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Foreign worker population.</w:t>
      </w:r>
      <w:r w:rsidRPr="009002F0">
        <w:rPr>
          <w:rFonts w:ascii="Calibri" w:eastAsia="Malgun Gothic" w:hAnsi="Calibri" w:cs="Times New Roman"/>
          <w:color w:val="auto"/>
          <w:szCs w:val="22"/>
          <w:lang w:eastAsia="ko-KR"/>
        </w:rPr>
        <w:t xml:space="preserve"> This refers to the number of VP(TE) issued in the given calendar year. This offers sectoral and gender distribution. It includes domestic helpers </w:t>
      </w:r>
    </w:p>
    <w:p w14:paraId="362EAB50"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Expatriate population.</w:t>
      </w:r>
      <w:r w:rsidRPr="009002F0">
        <w:rPr>
          <w:rFonts w:ascii="Calibri" w:eastAsia="Malgun Gothic" w:hAnsi="Calibri" w:cs="Times New Roman"/>
          <w:color w:val="auto"/>
          <w:szCs w:val="22"/>
          <w:lang w:eastAsia="ko-KR"/>
        </w:rPr>
        <w:t xml:space="preserve"> This includes EP issuance, plus dependent pass and long-term social visit pass issuance. In line with the policies, we assume that these passes are valid for five years.   </w:t>
      </w:r>
    </w:p>
    <w:p w14:paraId="376EE20C"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Students and professional visit pass holders are considered lawful residents.</w:t>
      </w:r>
      <w:r w:rsidRPr="009002F0">
        <w:rPr>
          <w:rFonts w:ascii="Calibri" w:eastAsia="Malgun Gothic" w:hAnsi="Calibri" w:cs="Times New Roman"/>
          <w:color w:val="auto"/>
          <w:szCs w:val="22"/>
          <w:lang w:eastAsia="ko-KR"/>
        </w:rPr>
        <w:t xml:space="preserve"> This category does not include those admitted with a Cross-border Malaysia-Indonesia pass, Border Pass (Malaysia-Thailand), or Asia-Pacific Economic Cooperation (APEC) Business Travel Cards. </w:t>
      </w:r>
    </w:p>
    <w:p w14:paraId="33E2B2DD"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Filipino refugees with IMM13 holders in Sabah</w:t>
      </w:r>
      <w:r w:rsidRPr="009002F0">
        <w:rPr>
          <w:rFonts w:ascii="Calibri" w:eastAsia="Malgun Gothic" w:hAnsi="Calibri" w:cs="Times New Roman"/>
          <w:color w:val="auto"/>
          <w:szCs w:val="22"/>
          <w:lang w:eastAsia="ko-KR"/>
        </w:rPr>
        <w:t xml:space="preserve">, as being authorized to reside and work in Malaysia. The data source is MOHA’s IMM13 issuance data.  </w:t>
      </w:r>
    </w:p>
    <w:p w14:paraId="1AF48D39" w14:textId="77777777" w:rsidR="009002F0" w:rsidRPr="009002F0" w:rsidRDefault="009002F0" w:rsidP="009002F0">
      <w:pPr>
        <w:widowControl/>
        <w:numPr>
          <w:ilvl w:val="1"/>
          <w:numId w:val="21"/>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Social visit pass issuance</w:t>
      </w:r>
      <w:r w:rsidRPr="009002F0">
        <w:rPr>
          <w:rFonts w:ascii="Calibri" w:eastAsia="Malgun Gothic" w:hAnsi="Calibri" w:cs="Times New Roman"/>
          <w:color w:val="auto"/>
          <w:szCs w:val="22"/>
          <w:lang w:eastAsia="ko-KR"/>
        </w:rPr>
        <w:t xml:space="preserve"> is tied to the employment pass, which allows expatriates to hire foreign domestic helpers.</w:t>
      </w:r>
    </w:p>
    <w:p w14:paraId="32DA7B61" w14:textId="77777777" w:rsidR="009002F0" w:rsidRPr="009002F0" w:rsidRDefault="009002F0" w:rsidP="009002F0">
      <w:pPr>
        <w:widowControl/>
        <w:autoSpaceDE/>
        <w:autoSpaceDN/>
        <w:adjustRightInd/>
        <w:spacing w:after="120" w:line="264" w:lineRule="auto"/>
        <w:ind w:firstLine="720"/>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By design of the immigration system, </w:t>
      </w:r>
      <w:proofErr w:type="gramStart"/>
      <w:r w:rsidRPr="009002F0">
        <w:rPr>
          <w:rFonts w:ascii="Calibri" w:eastAsia="Malgun Gothic" w:hAnsi="Calibri" w:cs="Times New Roman"/>
          <w:color w:val="auto"/>
          <w:szCs w:val="22"/>
          <w:lang w:eastAsia="ko-KR"/>
        </w:rPr>
        <w:t>all of</w:t>
      </w:r>
      <w:proofErr w:type="gramEnd"/>
      <w:r w:rsidRPr="009002F0">
        <w:rPr>
          <w:rFonts w:ascii="Calibri" w:eastAsia="Malgun Gothic" w:hAnsi="Calibri" w:cs="Times New Roman"/>
          <w:color w:val="auto"/>
          <w:szCs w:val="22"/>
          <w:lang w:eastAsia="ko-KR"/>
        </w:rPr>
        <w:t xml:space="preserve"> the lawfully-residing foreign population in Malaysia should fall in one of these categories and foreign labor migrants are supposed to remain employed. For instance, children of Filipino refugees in Sabah have </w:t>
      </w:r>
      <w:proofErr w:type="gramStart"/>
      <w:r w:rsidRPr="009002F0">
        <w:rPr>
          <w:rFonts w:ascii="Calibri" w:eastAsia="Malgun Gothic" w:hAnsi="Calibri" w:cs="Times New Roman"/>
          <w:color w:val="auto"/>
          <w:szCs w:val="22"/>
          <w:lang w:eastAsia="ko-KR"/>
        </w:rPr>
        <w:t>a</w:t>
      </w:r>
      <w:proofErr w:type="gramEnd"/>
      <w:r w:rsidRPr="009002F0">
        <w:rPr>
          <w:rFonts w:ascii="Calibri" w:eastAsia="Malgun Gothic" w:hAnsi="Calibri" w:cs="Times New Roman"/>
          <w:color w:val="auto"/>
          <w:szCs w:val="22"/>
          <w:lang w:eastAsia="ko-KR"/>
        </w:rPr>
        <w:t xml:space="preserve"> IMM13 unless they obtain citizenship. Children and spouses of skilled foreign workers (expatriates) are counted under the dependent pass category. Foreign spouses of Malaysians fall under the social visit pass, as mentioned earlier. </w:t>
      </w:r>
    </w:p>
    <w:p w14:paraId="02BC1082" w14:textId="77777777" w:rsidR="009002F0" w:rsidRPr="009002F0" w:rsidRDefault="009002F0" w:rsidP="009002F0">
      <w:pPr>
        <w:widowControl/>
        <w:numPr>
          <w:ilvl w:val="0"/>
          <w:numId w:val="21"/>
        </w:numPr>
        <w:autoSpaceDE/>
        <w:autoSpaceDN/>
        <w:adjustRightInd/>
        <w:spacing w:after="120" w:line="264" w:lineRule="auto"/>
        <w:contextualSpacing/>
        <w:jc w:val="both"/>
        <w:rPr>
          <w:rFonts w:ascii="Calibri" w:eastAsia="Malgun Gothic" w:hAnsi="Calibri" w:cs="Times New Roman"/>
          <w:b/>
          <w:color w:val="auto"/>
          <w:szCs w:val="22"/>
          <w:lang w:eastAsia="ko-KR"/>
        </w:rPr>
      </w:pPr>
      <w:r w:rsidRPr="009002F0">
        <w:rPr>
          <w:rFonts w:ascii="Calibri" w:eastAsia="Malgun Gothic" w:hAnsi="Calibri" w:cs="Times New Roman"/>
          <w:b/>
          <w:color w:val="auto"/>
          <w:szCs w:val="22"/>
          <w:lang w:eastAsia="ko-KR"/>
        </w:rPr>
        <w:t>Irregular foreign workers, subtracting the lawfully resident foreign population from the foreign population plus reflecting an undercount of irregular immigrants in the census (1-2).</w:t>
      </w:r>
    </w:p>
    <w:p w14:paraId="03D1FDA8"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00ADE4"/>
          <w:lang w:eastAsia="ko-KR"/>
        </w:rPr>
      </w:pPr>
    </w:p>
    <w:p w14:paraId="29FCD2E1"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98" w:name="_Toc536052733"/>
      <w:bookmarkStart w:id="99" w:name="_Toc4581531"/>
      <w:r w:rsidRPr="009002F0">
        <w:rPr>
          <w:rFonts w:ascii="Calibri" w:eastAsia="Malgun Gothic" w:hAnsi="Calibri" w:cs="Times New Roman"/>
          <w:i/>
          <w:color w:val="00ADE4"/>
          <w:lang w:eastAsia="ko-KR"/>
        </w:rPr>
        <w:t>5.1.2 Results</w:t>
      </w:r>
      <w:bookmarkEnd w:id="98"/>
      <w:bookmarkEnd w:id="99"/>
      <w:r w:rsidRPr="009002F0">
        <w:rPr>
          <w:rFonts w:ascii="Calibri" w:eastAsia="Malgun Gothic" w:hAnsi="Calibri" w:cs="Times New Roman"/>
          <w:i/>
          <w:color w:val="00ADE4"/>
          <w:lang w:eastAsia="ko-KR"/>
        </w:rPr>
        <w:t xml:space="preserve"> </w:t>
      </w:r>
    </w:p>
    <w:p w14:paraId="6332B8B9"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method suggests that the irregular foreign population stood at 1.459 million in 2017, which is broadly in line with MOHA’s estimates based on enforcement </w:t>
      </w:r>
      <w:r w:rsidRPr="009002F0">
        <w:rPr>
          <w:rFonts w:ascii="Calibri" w:eastAsia="Malgun Gothic" w:hAnsi="Calibri" w:cs="Times New Roman"/>
          <w:color w:val="auto"/>
          <w:lang w:eastAsia="ko-KR"/>
        </w:rPr>
        <w:t>activities (</w:t>
      </w:r>
      <w:r w:rsidRPr="009002F0">
        <w:rPr>
          <w:rFonts w:ascii="Calibri" w:eastAsia="Malgun Gothic" w:hAnsi="Calibri" w:cs="Times New Roman"/>
          <w:lang w:eastAsia="ko-KR"/>
        </w:rPr>
        <w:fldChar w:fldCharType="begin" w:fldLock="1"/>
      </w:r>
      <w:r w:rsidRPr="009002F0">
        <w:rPr>
          <w:rFonts w:ascii="Calibri" w:eastAsia="Malgun Gothic" w:hAnsi="Calibri" w:cs="Times New Roman"/>
          <w:lang w:eastAsia="ko-KR"/>
        </w:rPr>
        <w:instrText xml:space="preserve"> REF _Ref536570201 \h  \* MERGEFORMAT </w:instrText>
      </w:r>
      <w:r w:rsidRPr="009002F0">
        <w:rPr>
          <w:rFonts w:ascii="Calibri" w:eastAsia="Malgun Gothic" w:hAnsi="Calibri" w:cs="Times New Roman"/>
          <w:lang w:eastAsia="ko-KR"/>
        </w:rPr>
      </w:r>
      <w:r w:rsidRPr="009002F0">
        <w:rPr>
          <w:rFonts w:ascii="Calibri" w:eastAsia="Malgun Gothic" w:hAnsi="Calibri" w:cs="Times New Roman"/>
          <w:lang w:eastAsia="ko-KR"/>
        </w:rPr>
        <w:fldChar w:fldCharType="separate"/>
      </w:r>
      <w:r w:rsidRPr="009002F0">
        <w:rPr>
          <w:rFonts w:ascii="Calibri" w:eastAsia="Malgun Gothic" w:hAnsi="Calibri" w:cs="Times New Roman"/>
          <w:lang w:eastAsia="ko-KR"/>
        </w:rPr>
        <w:t xml:space="preserve">Table </w:t>
      </w:r>
      <w:r w:rsidRPr="009002F0">
        <w:rPr>
          <w:rFonts w:ascii="Calibri" w:eastAsia="Malgun Gothic" w:hAnsi="Calibri" w:cs="Times New Roman"/>
          <w:noProof/>
          <w:lang w:eastAsia="ko-KR"/>
        </w:rPr>
        <w:t>8</w:t>
      </w:r>
      <w:r w:rsidRPr="009002F0">
        <w:rPr>
          <w:rFonts w:ascii="Calibri" w:eastAsia="Malgun Gothic" w:hAnsi="Calibri" w:cs="Times New Roman"/>
          <w:lang w:eastAsia="ko-KR"/>
        </w:rPr>
        <w:fldChar w:fldCharType="end"/>
      </w:r>
      <w:r w:rsidRPr="009002F0">
        <w:rPr>
          <w:rFonts w:ascii="Calibri" w:eastAsia="Malgun Gothic" w:hAnsi="Calibri" w:cs="Times New Roman"/>
          <w:color w:val="auto"/>
          <w:lang w:eastAsia="ko-KR"/>
        </w:rPr>
        <w:t>).  This</w:t>
      </w:r>
      <w:r w:rsidRPr="009002F0">
        <w:rPr>
          <w:rFonts w:ascii="Calibri" w:eastAsia="Malgun Gothic" w:hAnsi="Calibri" w:cs="Times New Roman"/>
          <w:color w:val="auto"/>
          <w:szCs w:val="22"/>
          <w:lang w:eastAsia="ko-KR"/>
        </w:rPr>
        <w:t xml:space="preserve"> method in principle allows us to estimate irregular foreign population by age-gender group. This report does not attempt to do this, as data available from MOHR offers only the total number of pass issuances by type and does not disaggregate by age or by gender (except the foreign worker, VP(TE) category). </w:t>
      </w:r>
    </w:p>
    <w:p w14:paraId="2BE58E9A" w14:textId="7F4A6535" w:rsid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p>
    <w:p w14:paraId="6419975E" w14:textId="77777777" w:rsidR="00960052" w:rsidRPr="009002F0" w:rsidRDefault="00960052" w:rsidP="009002F0">
      <w:pPr>
        <w:widowControl/>
        <w:autoSpaceDE/>
        <w:autoSpaceDN/>
        <w:adjustRightInd/>
        <w:spacing w:after="120" w:line="264" w:lineRule="auto"/>
        <w:jc w:val="both"/>
        <w:rPr>
          <w:rFonts w:ascii="Calibri" w:eastAsia="Malgun Gothic" w:hAnsi="Calibri" w:cs="Times New Roman"/>
          <w:color w:val="auto"/>
          <w:szCs w:val="22"/>
          <w:lang w:eastAsia="ko-KR"/>
        </w:rPr>
      </w:pPr>
    </w:p>
    <w:p w14:paraId="209C6FA2" w14:textId="77777777" w:rsidR="009002F0" w:rsidRPr="009002F0" w:rsidRDefault="009002F0" w:rsidP="009002F0">
      <w:pPr>
        <w:keepNext/>
        <w:widowControl/>
        <w:autoSpaceDE/>
        <w:autoSpaceDN/>
        <w:adjustRightInd/>
        <w:spacing w:after="120"/>
        <w:rPr>
          <w:rFonts w:ascii="Calibri" w:eastAsia="Malgun Gothic" w:hAnsi="Calibri" w:cs="Times New Roman"/>
          <w:bCs/>
          <w:spacing w:val="4"/>
          <w:szCs w:val="22"/>
          <w:lang w:eastAsia="ko-KR"/>
        </w:rPr>
      </w:pPr>
      <w:bookmarkStart w:id="100" w:name="_Ref536570201"/>
      <w:bookmarkStart w:id="101" w:name="_Toc4581551"/>
      <w:r w:rsidRPr="009002F0">
        <w:rPr>
          <w:rFonts w:ascii="Calibri" w:eastAsia="Malgun Gothic" w:hAnsi="Calibri" w:cs="Times New Roman"/>
          <w:bCs/>
          <w:spacing w:val="4"/>
          <w:szCs w:val="20"/>
          <w:lang w:eastAsia="ko-KR"/>
        </w:rPr>
        <w:lastRenderedPageBreak/>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8</w:t>
      </w:r>
      <w:r w:rsidRPr="009002F0">
        <w:rPr>
          <w:rFonts w:ascii="Calibri" w:eastAsia="Malgun Gothic" w:hAnsi="Calibri" w:cs="Times New Roman"/>
          <w:bCs/>
          <w:spacing w:val="4"/>
          <w:szCs w:val="20"/>
          <w:lang w:eastAsia="ko-KR"/>
        </w:rPr>
        <w:fldChar w:fldCharType="end"/>
      </w:r>
      <w:bookmarkEnd w:id="100"/>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bCs/>
          <w:spacing w:val="4"/>
          <w:szCs w:val="22"/>
          <w:lang w:eastAsia="ko-KR"/>
        </w:rPr>
        <w:t>An estimate of the irregular foreign population – 1.459 million (2017)</w:t>
      </w:r>
      <w:bookmarkEnd w:id="101"/>
      <w:r w:rsidRPr="009002F0">
        <w:rPr>
          <w:rFonts w:ascii="Calibri" w:eastAsia="Malgun Gothic" w:hAnsi="Calibri" w:cs="Times New Roman"/>
          <w:bCs/>
          <w:spacing w:val="4"/>
          <w:szCs w:val="22"/>
          <w:lang w:eastAsia="ko-KR"/>
        </w:rPr>
        <w:t xml:space="preserve"> </w:t>
      </w:r>
    </w:p>
    <w:tbl>
      <w:tblPr>
        <w:tblW w:w="8340" w:type="dxa"/>
        <w:tblLook w:val="04A0" w:firstRow="1" w:lastRow="0" w:firstColumn="1" w:lastColumn="0" w:noHBand="0" w:noVBand="1"/>
      </w:tblPr>
      <w:tblGrid>
        <w:gridCol w:w="520"/>
        <w:gridCol w:w="680"/>
        <w:gridCol w:w="580"/>
        <w:gridCol w:w="4860"/>
        <w:gridCol w:w="1740"/>
      </w:tblGrid>
      <w:tr w:rsidR="009002F0" w:rsidRPr="009002F0" w14:paraId="54CE4D66" w14:textId="77777777" w:rsidTr="009002F0">
        <w:trPr>
          <w:trHeight w:val="393"/>
        </w:trPr>
        <w:tc>
          <w:tcPr>
            <w:tcW w:w="520" w:type="dxa"/>
            <w:tcBorders>
              <w:top w:val="single" w:sz="4" w:space="0" w:color="auto"/>
              <w:left w:val="single" w:sz="4" w:space="0" w:color="auto"/>
              <w:bottom w:val="double" w:sz="6" w:space="0" w:color="auto"/>
              <w:right w:val="nil"/>
            </w:tcBorders>
            <w:shd w:val="clear" w:color="auto" w:fill="006068"/>
            <w:noWrap/>
            <w:vAlign w:val="center"/>
            <w:hideMark/>
          </w:tcPr>
          <w:p w14:paraId="2C734A7B"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 </w:t>
            </w:r>
          </w:p>
        </w:tc>
        <w:tc>
          <w:tcPr>
            <w:tcW w:w="640" w:type="dxa"/>
            <w:tcBorders>
              <w:top w:val="single" w:sz="4" w:space="0" w:color="auto"/>
              <w:left w:val="nil"/>
              <w:bottom w:val="double" w:sz="6" w:space="0" w:color="auto"/>
              <w:right w:val="nil"/>
            </w:tcBorders>
            <w:shd w:val="clear" w:color="auto" w:fill="006068"/>
            <w:noWrap/>
            <w:vAlign w:val="center"/>
            <w:hideMark/>
          </w:tcPr>
          <w:p w14:paraId="5DFD261A" w14:textId="77777777" w:rsidR="009002F0" w:rsidRPr="009002F0" w:rsidRDefault="009002F0" w:rsidP="009002F0">
            <w:pPr>
              <w:widowControl/>
              <w:autoSpaceDE/>
              <w:autoSpaceDN/>
              <w:adjustRightInd/>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 xml:space="preserve">Item </w:t>
            </w:r>
          </w:p>
        </w:tc>
        <w:tc>
          <w:tcPr>
            <w:tcW w:w="580" w:type="dxa"/>
            <w:tcBorders>
              <w:top w:val="single" w:sz="4" w:space="0" w:color="auto"/>
              <w:left w:val="nil"/>
              <w:bottom w:val="double" w:sz="6" w:space="0" w:color="auto"/>
              <w:right w:val="nil"/>
            </w:tcBorders>
            <w:shd w:val="clear" w:color="auto" w:fill="006068"/>
            <w:noWrap/>
            <w:vAlign w:val="center"/>
            <w:hideMark/>
          </w:tcPr>
          <w:p w14:paraId="53AB8FFB" w14:textId="77777777" w:rsidR="009002F0" w:rsidRPr="009002F0" w:rsidRDefault="009002F0" w:rsidP="009002F0">
            <w:pPr>
              <w:widowControl/>
              <w:autoSpaceDE/>
              <w:autoSpaceDN/>
              <w:adjustRightInd/>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 </w:t>
            </w:r>
          </w:p>
        </w:tc>
        <w:tc>
          <w:tcPr>
            <w:tcW w:w="4860" w:type="dxa"/>
            <w:tcBorders>
              <w:top w:val="single" w:sz="4" w:space="0" w:color="auto"/>
              <w:left w:val="nil"/>
              <w:bottom w:val="double" w:sz="6" w:space="0" w:color="auto"/>
              <w:right w:val="single" w:sz="4" w:space="0" w:color="auto"/>
            </w:tcBorders>
            <w:shd w:val="clear" w:color="auto" w:fill="006068"/>
            <w:noWrap/>
            <w:vAlign w:val="center"/>
            <w:hideMark/>
          </w:tcPr>
          <w:p w14:paraId="77BF7688" w14:textId="77777777" w:rsidR="009002F0" w:rsidRPr="009002F0" w:rsidRDefault="009002F0" w:rsidP="009002F0">
            <w:pPr>
              <w:widowControl/>
              <w:autoSpaceDE/>
              <w:autoSpaceDN/>
              <w:adjustRightInd/>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 </w:t>
            </w:r>
          </w:p>
        </w:tc>
        <w:tc>
          <w:tcPr>
            <w:tcW w:w="1740" w:type="dxa"/>
            <w:tcBorders>
              <w:top w:val="single" w:sz="4" w:space="0" w:color="auto"/>
              <w:left w:val="single" w:sz="4" w:space="0" w:color="auto"/>
              <w:bottom w:val="double" w:sz="6" w:space="0" w:color="auto"/>
              <w:right w:val="single" w:sz="4" w:space="0" w:color="auto"/>
            </w:tcBorders>
            <w:shd w:val="clear" w:color="auto" w:fill="006068"/>
            <w:noWrap/>
            <w:vAlign w:val="center"/>
            <w:hideMark/>
          </w:tcPr>
          <w:p w14:paraId="07334442" w14:textId="77777777" w:rsidR="009002F0" w:rsidRPr="009002F0" w:rsidRDefault="009002F0" w:rsidP="009002F0">
            <w:pPr>
              <w:widowControl/>
              <w:autoSpaceDE/>
              <w:autoSpaceDN/>
              <w:adjustRightInd/>
              <w:jc w:val="right"/>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2017</w:t>
            </w:r>
          </w:p>
        </w:tc>
      </w:tr>
      <w:tr w:rsidR="009002F0" w:rsidRPr="009002F0" w14:paraId="11F17426" w14:textId="77777777" w:rsidTr="009002F0">
        <w:trPr>
          <w:trHeight w:val="330"/>
        </w:trPr>
        <w:tc>
          <w:tcPr>
            <w:tcW w:w="520" w:type="dxa"/>
            <w:tcBorders>
              <w:top w:val="nil"/>
              <w:left w:val="single" w:sz="4" w:space="0" w:color="auto"/>
              <w:bottom w:val="nil"/>
              <w:right w:val="nil"/>
            </w:tcBorders>
            <w:shd w:val="clear" w:color="auto" w:fill="auto"/>
            <w:noWrap/>
            <w:vAlign w:val="bottom"/>
            <w:hideMark/>
          </w:tcPr>
          <w:p w14:paraId="097C2F74"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1</w:t>
            </w:r>
          </w:p>
        </w:tc>
        <w:tc>
          <w:tcPr>
            <w:tcW w:w="6080" w:type="dxa"/>
            <w:gridSpan w:val="3"/>
            <w:tcBorders>
              <w:top w:val="nil"/>
              <w:left w:val="nil"/>
              <w:bottom w:val="nil"/>
              <w:right w:val="single" w:sz="4" w:space="0" w:color="auto"/>
            </w:tcBorders>
            <w:shd w:val="clear" w:color="auto" w:fill="auto"/>
            <w:noWrap/>
            <w:vAlign w:val="bottom"/>
            <w:hideMark/>
          </w:tcPr>
          <w:p w14:paraId="7C35301B"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Foreign -born population (</w:t>
            </w:r>
            <w:proofErr w:type="spellStart"/>
            <w:r w:rsidRPr="009002F0">
              <w:rPr>
                <w:rFonts w:ascii="Calibri" w:eastAsia="Times New Roman" w:hAnsi="Calibri" w:cs="Calibri"/>
                <w:b/>
                <w:sz w:val="22"/>
                <w:szCs w:val="22"/>
                <w:lang w:eastAsia="ko-KR"/>
              </w:rPr>
              <w:t>a+b+c</w:t>
            </w:r>
            <w:proofErr w:type="spellEnd"/>
            <w:r w:rsidRPr="009002F0">
              <w:rPr>
                <w:rFonts w:ascii="Calibri" w:eastAsia="Times New Roman" w:hAnsi="Calibri" w:cs="Calibri"/>
                <w:b/>
                <w:sz w:val="22"/>
                <w:szCs w:val="22"/>
                <w:lang w:eastAsia="ko-KR"/>
              </w:rPr>
              <w:t xml:space="preserve">) </w:t>
            </w:r>
          </w:p>
        </w:tc>
        <w:tc>
          <w:tcPr>
            <w:tcW w:w="1740" w:type="dxa"/>
            <w:tcBorders>
              <w:top w:val="nil"/>
              <w:left w:val="single" w:sz="4" w:space="0" w:color="auto"/>
              <w:bottom w:val="nil"/>
              <w:right w:val="single" w:sz="4" w:space="0" w:color="auto"/>
            </w:tcBorders>
            <w:shd w:val="clear" w:color="auto" w:fill="auto"/>
            <w:noWrap/>
            <w:vAlign w:val="bottom"/>
            <w:hideMark/>
          </w:tcPr>
          <w:p w14:paraId="1F837A24"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3,942,530</w:t>
            </w:r>
          </w:p>
        </w:tc>
      </w:tr>
      <w:tr w:rsidR="009002F0" w:rsidRPr="009002F0" w14:paraId="6007C061"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77018AB3"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1132FE60"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a</w:t>
            </w:r>
          </w:p>
        </w:tc>
        <w:tc>
          <w:tcPr>
            <w:tcW w:w="5440" w:type="dxa"/>
            <w:gridSpan w:val="2"/>
            <w:tcBorders>
              <w:top w:val="nil"/>
              <w:left w:val="nil"/>
              <w:bottom w:val="nil"/>
              <w:right w:val="single" w:sz="4" w:space="0" w:color="auto"/>
            </w:tcBorders>
            <w:shd w:val="clear" w:color="auto" w:fill="auto"/>
            <w:noWrap/>
            <w:vAlign w:val="bottom"/>
            <w:hideMark/>
          </w:tcPr>
          <w:p w14:paraId="6C555A66"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Non-citizen population </w:t>
            </w:r>
          </w:p>
        </w:tc>
        <w:tc>
          <w:tcPr>
            <w:tcW w:w="1740" w:type="dxa"/>
            <w:tcBorders>
              <w:top w:val="nil"/>
              <w:left w:val="single" w:sz="4" w:space="0" w:color="auto"/>
              <w:bottom w:val="nil"/>
              <w:right w:val="single" w:sz="4" w:space="0" w:color="auto"/>
            </w:tcBorders>
            <w:shd w:val="clear" w:color="auto" w:fill="auto"/>
            <w:noWrap/>
            <w:vAlign w:val="bottom"/>
            <w:hideMark/>
          </w:tcPr>
          <w:p w14:paraId="2179FDBB"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3,287,500</w:t>
            </w:r>
          </w:p>
        </w:tc>
      </w:tr>
      <w:tr w:rsidR="009002F0" w:rsidRPr="009002F0" w14:paraId="0BD8F6CB"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246C3417"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66170A94"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b</w:t>
            </w:r>
          </w:p>
        </w:tc>
        <w:tc>
          <w:tcPr>
            <w:tcW w:w="5440" w:type="dxa"/>
            <w:gridSpan w:val="2"/>
            <w:tcBorders>
              <w:top w:val="nil"/>
              <w:left w:val="nil"/>
              <w:bottom w:val="nil"/>
              <w:right w:val="single" w:sz="4" w:space="0" w:color="auto"/>
            </w:tcBorders>
            <w:shd w:val="clear" w:color="auto" w:fill="auto"/>
            <w:noWrap/>
            <w:vAlign w:val="bottom"/>
            <w:hideMark/>
          </w:tcPr>
          <w:p w14:paraId="1CFDC0C3"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Undercount of foreign workers </w:t>
            </w:r>
          </w:p>
        </w:tc>
        <w:tc>
          <w:tcPr>
            <w:tcW w:w="1740" w:type="dxa"/>
            <w:tcBorders>
              <w:top w:val="nil"/>
              <w:left w:val="single" w:sz="4" w:space="0" w:color="auto"/>
              <w:bottom w:val="nil"/>
              <w:right w:val="single" w:sz="4" w:space="0" w:color="auto"/>
            </w:tcBorders>
            <w:shd w:val="clear" w:color="auto" w:fill="auto"/>
            <w:noWrap/>
            <w:vAlign w:val="bottom"/>
            <w:hideMark/>
          </w:tcPr>
          <w:p w14:paraId="4DD8A905"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449,344</w:t>
            </w:r>
          </w:p>
        </w:tc>
      </w:tr>
      <w:tr w:rsidR="009002F0" w:rsidRPr="009002F0" w14:paraId="3C81A55D"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1D807249"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63AD1842"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c</w:t>
            </w:r>
          </w:p>
        </w:tc>
        <w:tc>
          <w:tcPr>
            <w:tcW w:w="5440" w:type="dxa"/>
            <w:gridSpan w:val="2"/>
            <w:tcBorders>
              <w:top w:val="nil"/>
              <w:left w:val="nil"/>
              <w:bottom w:val="nil"/>
              <w:right w:val="single" w:sz="4" w:space="0" w:color="auto"/>
            </w:tcBorders>
            <w:shd w:val="clear" w:color="auto" w:fill="auto"/>
            <w:noWrap/>
            <w:vAlign w:val="bottom"/>
            <w:hideMark/>
          </w:tcPr>
          <w:p w14:paraId="02888F98"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Undercount of refugees and asylees</w:t>
            </w:r>
          </w:p>
        </w:tc>
        <w:tc>
          <w:tcPr>
            <w:tcW w:w="1740" w:type="dxa"/>
            <w:tcBorders>
              <w:top w:val="nil"/>
              <w:left w:val="single" w:sz="4" w:space="0" w:color="auto"/>
              <w:bottom w:val="nil"/>
              <w:right w:val="single" w:sz="4" w:space="0" w:color="auto"/>
            </w:tcBorders>
            <w:shd w:val="clear" w:color="auto" w:fill="auto"/>
            <w:noWrap/>
            <w:vAlign w:val="bottom"/>
            <w:hideMark/>
          </w:tcPr>
          <w:p w14:paraId="4BF9781C"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25,948</w:t>
            </w:r>
          </w:p>
        </w:tc>
      </w:tr>
      <w:tr w:rsidR="009002F0" w:rsidRPr="009002F0" w14:paraId="5CEFFA61" w14:textId="77777777" w:rsidTr="009002F0">
        <w:trPr>
          <w:trHeight w:val="300"/>
        </w:trPr>
        <w:tc>
          <w:tcPr>
            <w:tcW w:w="520" w:type="dxa"/>
            <w:tcBorders>
              <w:top w:val="nil"/>
              <w:left w:val="single" w:sz="4" w:space="0" w:color="auto"/>
              <w:bottom w:val="nil"/>
              <w:right w:val="nil"/>
            </w:tcBorders>
            <w:shd w:val="clear" w:color="auto" w:fill="auto"/>
            <w:noWrap/>
            <w:vAlign w:val="bottom"/>
          </w:tcPr>
          <w:p w14:paraId="54B1AD70"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tcPr>
          <w:p w14:paraId="3F57748F"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d</w:t>
            </w:r>
          </w:p>
        </w:tc>
        <w:tc>
          <w:tcPr>
            <w:tcW w:w="5440" w:type="dxa"/>
            <w:gridSpan w:val="2"/>
            <w:tcBorders>
              <w:top w:val="nil"/>
              <w:left w:val="nil"/>
              <w:bottom w:val="nil"/>
              <w:right w:val="single" w:sz="4" w:space="0" w:color="auto"/>
            </w:tcBorders>
            <w:shd w:val="clear" w:color="auto" w:fill="auto"/>
            <w:noWrap/>
            <w:vAlign w:val="bottom"/>
          </w:tcPr>
          <w:p w14:paraId="191F67BF"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Undercount of irregular immigrants</w:t>
            </w:r>
          </w:p>
        </w:tc>
        <w:tc>
          <w:tcPr>
            <w:tcW w:w="1740" w:type="dxa"/>
            <w:tcBorders>
              <w:top w:val="nil"/>
              <w:left w:val="single" w:sz="4" w:space="0" w:color="auto"/>
              <w:bottom w:val="nil"/>
              <w:right w:val="single" w:sz="4" w:space="0" w:color="auto"/>
            </w:tcBorders>
            <w:shd w:val="clear" w:color="auto" w:fill="auto"/>
            <w:noWrap/>
            <w:vAlign w:val="bottom"/>
          </w:tcPr>
          <w:p w14:paraId="64DBBD09"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179,737.7</w:t>
            </w:r>
          </w:p>
        </w:tc>
      </w:tr>
      <w:tr w:rsidR="009002F0" w:rsidRPr="009002F0" w14:paraId="290D0681"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7D653B98"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2</w:t>
            </w:r>
          </w:p>
        </w:tc>
        <w:tc>
          <w:tcPr>
            <w:tcW w:w="6080" w:type="dxa"/>
            <w:gridSpan w:val="3"/>
            <w:tcBorders>
              <w:top w:val="nil"/>
              <w:left w:val="nil"/>
              <w:bottom w:val="nil"/>
              <w:right w:val="single" w:sz="4" w:space="0" w:color="auto"/>
            </w:tcBorders>
            <w:shd w:val="clear" w:color="auto" w:fill="auto"/>
            <w:noWrap/>
            <w:vAlign w:val="bottom"/>
            <w:hideMark/>
          </w:tcPr>
          <w:p w14:paraId="2FAC26B0"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Lawfully resident foreign population (sum of a-e)</w:t>
            </w:r>
          </w:p>
        </w:tc>
        <w:tc>
          <w:tcPr>
            <w:tcW w:w="1740" w:type="dxa"/>
            <w:tcBorders>
              <w:top w:val="nil"/>
              <w:left w:val="single" w:sz="4" w:space="0" w:color="auto"/>
              <w:bottom w:val="nil"/>
              <w:right w:val="single" w:sz="4" w:space="0" w:color="auto"/>
            </w:tcBorders>
            <w:shd w:val="clear" w:color="auto" w:fill="auto"/>
            <w:noWrap/>
            <w:vAlign w:val="bottom"/>
            <w:hideMark/>
          </w:tcPr>
          <w:p w14:paraId="7A54FA23"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2,483,475</w:t>
            </w:r>
          </w:p>
        </w:tc>
      </w:tr>
      <w:tr w:rsidR="009002F0" w:rsidRPr="009002F0" w14:paraId="2EA1B25A"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73BF4B04"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0CADD596"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a. </w:t>
            </w:r>
          </w:p>
        </w:tc>
        <w:tc>
          <w:tcPr>
            <w:tcW w:w="5440" w:type="dxa"/>
            <w:gridSpan w:val="2"/>
            <w:tcBorders>
              <w:top w:val="nil"/>
              <w:left w:val="nil"/>
              <w:bottom w:val="nil"/>
              <w:right w:val="single" w:sz="4" w:space="0" w:color="auto"/>
            </w:tcBorders>
            <w:shd w:val="clear" w:color="auto" w:fill="auto"/>
            <w:noWrap/>
            <w:vAlign w:val="bottom"/>
            <w:hideMark/>
          </w:tcPr>
          <w:p w14:paraId="03E79C2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Foreign workers (VP(TE))</w:t>
            </w:r>
          </w:p>
        </w:tc>
        <w:tc>
          <w:tcPr>
            <w:tcW w:w="1740" w:type="dxa"/>
            <w:tcBorders>
              <w:top w:val="nil"/>
              <w:left w:val="single" w:sz="4" w:space="0" w:color="auto"/>
              <w:bottom w:val="nil"/>
              <w:right w:val="single" w:sz="4" w:space="0" w:color="auto"/>
            </w:tcBorders>
            <w:shd w:val="clear" w:color="auto" w:fill="auto"/>
            <w:noWrap/>
            <w:vAlign w:val="bottom"/>
            <w:hideMark/>
          </w:tcPr>
          <w:p w14:paraId="675E7B01"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1,797,377</w:t>
            </w:r>
          </w:p>
        </w:tc>
      </w:tr>
      <w:tr w:rsidR="009002F0" w:rsidRPr="009002F0" w14:paraId="3F65CAAF"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0C43EA22"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2479E01D"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72977021"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w:t>
            </w:r>
          </w:p>
        </w:tc>
        <w:tc>
          <w:tcPr>
            <w:tcW w:w="4860" w:type="dxa"/>
            <w:tcBorders>
              <w:top w:val="nil"/>
              <w:left w:val="nil"/>
              <w:bottom w:val="nil"/>
              <w:right w:val="single" w:sz="4" w:space="0" w:color="auto"/>
            </w:tcBorders>
            <w:shd w:val="clear" w:color="auto" w:fill="auto"/>
            <w:noWrap/>
            <w:vAlign w:val="bottom"/>
            <w:hideMark/>
          </w:tcPr>
          <w:p w14:paraId="36B599A6"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Construction</w:t>
            </w:r>
          </w:p>
        </w:tc>
        <w:tc>
          <w:tcPr>
            <w:tcW w:w="1740" w:type="dxa"/>
            <w:tcBorders>
              <w:top w:val="nil"/>
              <w:left w:val="single" w:sz="4" w:space="0" w:color="auto"/>
              <w:bottom w:val="nil"/>
              <w:right w:val="single" w:sz="4" w:space="0" w:color="auto"/>
            </w:tcBorders>
            <w:shd w:val="clear" w:color="auto" w:fill="auto"/>
            <w:noWrap/>
            <w:vAlign w:val="bottom"/>
            <w:hideMark/>
          </w:tcPr>
          <w:p w14:paraId="6FD4524A"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355,968</w:t>
            </w:r>
          </w:p>
        </w:tc>
      </w:tr>
      <w:tr w:rsidR="009002F0" w:rsidRPr="009002F0" w14:paraId="5AD97536"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3F1D6155"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652BD7D6"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5E042467"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ii.</w:t>
            </w:r>
          </w:p>
        </w:tc>
        <w:tc>
          <w:tcPr>
            <w:tcW w:w="4860" w:type="dxa"/>
            <w:tcBorders>
              <w:top w:val="nil"/>
              <w:left w:val="nil"/>
              <w:bottom w:val="nil"/>
              <w:right w:val="single" w:sz="4" w:space="0" w:color="auto"/>
            </w:tcBorders>
            <w:shd w:val="clear" w:color="auto" w:fill="auto"/>
            <w:noWrap/>
            <w:vAlign w:val="bottom"/>
            <w:hideMark/>
          </w:tcPr>
          <w:p w14:paraId="5FF56054"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Manufacturing</w:t>
            </w:r>
          </w:p>
        </w:tc>
        <w:tc>
          <w:tcPr>
            <w:tcW w:w="1740" w:type="dxa"/>
            <w:tcBorders>
              <w:top w:val="nil"/>
              <w:left w:val="single" w:sz="4" w:space="0" w:color="auto"/>
              <w:bottom w:val="nil"/>
              <w:right w:val="single" w:sz="4" w:space="0" w:color="auto"/>
            </w:tcBorders>
            <w:shd w:val="clear" w:color="auto" w:fill="auto"/>
            <w:noWrap/>
            <w:vAlign w:val="bottom"/>
            <w:hideMark/>
          </w:tcPr>
          <w:p w14:paraId="637D5958"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645,388</w:t>
            </w:r>
          </w:p>
        </w:tc>
      </w:tr>
      <w:tr w:rsidR="009002F0" w:rsidRPr="009002F0" w14:paraId="1EDCE8A5"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63727633"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392D7DB6"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213C7A46"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iii.</w:t>
            </w:r>
          </w:p>
        </w:tc>
        <w:tc>
          <w:tcPr>
            <w:tcW w:w="4860" w:type="dxa"/>
            <w:tcBorders>
              <w:top w:val="nil"/>
              <w:left w:val="nil"/>
              <w:bottom w:val="nil"/>
              <w:right w:val="single" w:sz="4" w:space="0" w:color="auto"/>
            </w:tcBorders>
            <w:shd w:val="clear" w:color="auto" w:fill="auto"/>
            <w:noWrap/>
            <w:vAlign w:val="bottom"/>
            <w:hideMark/>
          </w:tcPr>
          <w:p w14:paraId="282B8A07"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Services</w:t>
            </w:r>
          </w:p>
        </w:tc>
        <w:tc>
          <w:tcPr>
            <w:tcW w:w="1740" w:type="dxa"/>
            <w:tcBorders>
              <w:top w:val="nil"/>
              <w:left w:val="single" w:sz="4" w:space="0" w:color="auto"/>
              <w:bottom w:val="nil"/>
              <w:right w:val="single" w:sz="4" w:space="0" w:color="auto"/>
            </w:tcBorders>
            <w:shd w:val="clear" w:color="auto" w:fill="auto"/>
            <w:noWrap/>
            <w:vAlign w:val="bottom"/>
            <w:hideMark/>
          </w:tcPr>
          <w:p w14:paraId="295AE3AB"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247,008</w:t>
            </w:r>
          </w:p>
        </w:tc>
      </w:tr>
      <w:tr w:rsidR="009002F0" w:rsidRPr="009002F0" w14:paraId="7B438904"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1BD5CD66"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74357228"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416959E6"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iv.</w:t>
            </w:r>
          </w:p>
        </w:tc>
        <w:tc>
          <w:tcPr>
            <w:tcW w:w="4860" w:type="dxa"/>
            <w:tcBorders>
              <w:top w:val="nil"/>
              <w:left w:val="nil"/>
              <w:bottom w:val="nil"/>
              <w:right w:val="single" w:sz="4" w:space="0" w:color="auto"/>
            </w:tcBorders>
            <w:shd w:val="clear" w:color="auto" w:fill="auto"/>
            <w:noWrap/>
            <w:vAlign w:val="bottom"/>
            <w:hideMark/>
          </w:tcPr>
          <w:p w14:paraId="01AA9FA7"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Plantation</w:t>
            </w:r>
          </w:p>
        </w:tc>
        <w:tc>
          <w:tcPr>
            <w:tcW w:w="1740" w:type="dxa"/>
            <w:tcBorders>
              <w:top w:val="nil"/>
              <w:left w:val="single" w:sz="4" w:space="0" w:color="auto"/>
              <w:bottom w:val="nil"/>
              <w:right w:val="single" w:sz="4" w:space="0" w:color="auto"/>
            </w:tcBorders>
            <w:shd w:val="clear" w:color="auto" w:fill="auto"/>
            <w:noWrap/>
            <w:vAlign w:val="bottom"/>
            <w:hideMark/>
          </w:tcPr>
          <w:p w14:paraId="09BB8E02"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260,429</w:t>
            </w:r>
          </w:p>
        </w:tc>
      </w:tr>
      <w:tr w:rsidR="009002F0" w:rsidRPr="009002F0" w14:paraId="07F0D2AA"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68EC4851"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4B9F2F4E"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34E6A20C"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v.</w:t>
            </w:r>
          </w:p>
        </w:tc>
        <w:tc>
          <w:tcPr>
            <w:tcW w:w="4860" w:type="dxa"/>
            <w:tcBorders>
              <w:top w:val="nil"/>
              <w:left w:val="nil"/>
              <w:bottom w:val="nil"/>
              <w:right w:val="single" w:sz="4" w:space="0" w:color="auto"/>
            </w:tcBorders>
            <w:shd w:val="clear" w:color="auto" w:fill="auto"/>
            <w:noWrap/>
            <w:vAlign w:val="bottom"/>
            <w:hideMark/>
          </w:tcPr>
          <w:p w14:paraId="0EE3709E"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Agriculture</w:t>
            </w:r>
          </w:p>
        </w:tc>
        <w:tc>
          <w:tcPr>
            <w:tcW w:w="1740" w:type="dxa"/>
            <w:tcBorders>
              <w:top w:val="nil"/>
              <w:left w:val="single" w:sz="4" w:space="0" w:color="auto"/>
              <w:bottom w:val="nil"/>
              <w:right w:val="single" w:sz="4" w:space="0" w:color="auto"/>
            </w:tcBorders>
            <w:shd w:val="clear" w:color="auto" w:fill="auto"/>
            <w:noWrap/>
            <w:vAlign w:val="bottom"/>
            <w:hideMark/>
          </w:tcPr>
          <w:p w14:paraId="46641119"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160,276</w:t>
            </w:r>
          </w:p>
        </w:tc>
      </w:tr>
      <w:tr w:rsidR="009002F0" w:rsidRPr="009002F0" w14:paraId="328C966C"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3CCE6A6C"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55D58095"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7AB2BBAD"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vi. </w:t>
            </w:r>
          </w:p>
        </w:tc>
        <w:tc>
          <w:tcPr>
            <w:tcW w:w="4860" w:type="dxa"/>
            <w:tcBorders>
              <w:top w:val="nil"/>
              <w:left w:val="nil"/>
              <w:bottom w:val="nil"/>
              <w:right w:val="single" w:sz="4" w:space="0" w:color="auto"/>
            </w:tcBorders>
            <w:shd w:val="clear" w:color="auto" w:fill="auto"/>
            <w:noWrap/>
            <w:vAlign w:val="bottom"/>
            <w:hideMark/>
          </w:tcPr>
          <w:p w14:paraId="35D6DD1A"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 xml:space="preserve">Domestic helper </w:t>
            </w:r>
          </w:p>
        </w:tc>
        <w:tc>
          <w:tcPr>
            <w:tcW w:w="1740" w:type="dxa"/>
            <w:tcBorders>
              <w:top w:val="nil"/>
              <w:left w:val="single" w:sz="4" w:space="0" w:color="auto"/>
              <w:bottom w:val="nil"/>
              <w:right w:val="single" w:sz="4" w:space="0" w:color="auto"/>
            </w:tcBorders>
            <w:shd w:val="clear" w:color="auto" w:fill="auto"/>
            <w:noWrap/>
            <w:vAlign w:val="bottom"/>
            <w:hideMark/>
          </w:tcPr>
          <w:p w14:paraId="0EECEEAA"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128,308</w:t>
            </w:r>
          </w:p>
        </w:tc>
      </w:tr>
      <w:tr w:rsidR="009002F0" w:rsidRPr="009002F0" w14:paraId="43E8728D"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56737C95"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277F47AE"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b. </w:t>
            </w:r>
          </w:p>
        </w:tc>
        <w:tc>
          <w:tcPr>
            <w:tcW w:w="5440" w:type="dxa"/>
            <w:gridSpan w:val="2"/>
            <w:tcBorders>
              <w:top w:val="nil"/>
              <w:left w:val="nil"/>
              <w:bottom w:val="nil"/>
              <w:right w:val="single" w:sz="4" w:space="0" w:color="auto"/>
            </w:tcBorders>
            <w:shd w:val="clear" w:color="auto" w:fill="auto"/>
            <w:noWrap/>
            <w:vAlign w:val="bottom"/>
            <w:hideMark/>
          </w:tcPr>
          <w:p w14:paraId="58EDB91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Expatriates</w:t>
            </w:r>
          </w:p>
        </w:tc>
        <w:tc>
          <w:tcPr>
            <w:tcW w:w="1740" w:type="dxa"/>
            <w:tcBorders>
              <w:top w:val="nil"/>
              <w:left w:val="single" w:sz="4" w:space="0" w:color="auto"/>
              <w:bottom w:val="nil"/>
              <w:right w:val="single" w:sz="4" w:space="0" w:color="auto"/>
            </w:tcBorders>
            <w:shd w:val="clear" w:color="auto" w:fill="auto"/>
            <w:noWrap/>
            <w:vAlign w:val="bottom"/>
            <w:hideMark/>
          </w:tcPr>
          <w:p w14:paraId="32E2DA96"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183,274</w:t>
            </w:r>
          </w:p>
        </w:tc>
      </w:tr>
      <w:tr w:rsidR="009002F0" w:rsidRPr="009002F0" w14:paraId="53700DC5"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477F5EB1"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7C609379"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20068DBB"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w:t>
            </w:r>
          </w:p>
        </w:tc>
        <w:tc>
          <w:tcPr>
            <w:tcW w:w="4860" w:type="dxa"/>
            <w:tcBorders>
              <w:top w:val="nil"/>
              <w:left w:val="nil"/>
              <w:bottom w:val="nil"/>
              <w:right w:val="single" w:sz="4" w:space="0" w:color="auto"/>
            </w:tcBorders>
            <w:shd w:val="clear" w:color="auto" w:fill="auto"/>
            <w:noWrap/>
            <w:vAlign w:val="bottom"/>
            <w:hideMark/>
          </w:tcPr>
          <w:p w14:paraId="367813AE"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Category 1</w:t>
            </w:r>
          </w:p>
        </w:tc>
        <w:tc>
          <w:tcPr>
            <w:tcW w:w="1740" w:type="dxa"/>
            <w:tcBorders>
              <w:top w:val="nil"/>
              <w:left w:val="single" w:sz="4" w:space="0" w:color="auto"/>
              <w:bottom w:val="nil"/>
              <w:right w:val="single" w:sz="4" w:space="0" w:color="auto"/>
            </w:tcBorders>
            <w:shd w:val="clear" w:color="auto" w:fill="auto"/>
            <w:noWrap/>
            <w:vAlign w:val="bottom"/>
            <w:hideMark/>
          </w:tcPr>
          <w:p w14:paraId="3797BE66" w14:textId="77777777" w:rsidR="009002F0" w:rsidRPr="009002F0" w:rsidRDefault="009002F0" w:rsidP="009002F0">
            <w:pPr>
              <w:widowControl/>
              <w:autoSpaceDE/>
              <w:autoSpaceDN/>
              <w:adjustRightInd/>
              <w:jc w:val="right"/>
              <w:rPr>
                <w:rFonts w:ascii="Calibri" w:eastAsia="Times New Roman" w:hAnsi="Calibri" w:cs="Calibri"/>
                <w:i/>
                <w:iCs/>
                <w:sz w:val="22"/>
                <w:szCs w:val="22"/>
                <w:lang w:eastAsia="ko-KR"/>
              </w:rPr>
            </w:pPr>
            <w:r w:rsidRPr="009002F0">
              <w:rPr>
                <w:rFonts w:ascii="Calibri" w:eastAsia="Times New Roman" w:hAnsi="Calibri" w:cs="Calibri"/>
                <w:i/>
                <w:iCs/>
                <w:sz w:val="22"/>
                <w:szCs w:val="22"/>
                <w:lang w:eastAsia="ko-KR"/>
              </w:rPr>
              <w:t>65,957</w:t>
            </w:r>
          </w:p>
        </w:tc>
      </w:tr>
      <w:tr w:rsidR="009002F0" w:rsidRPr="009002F0" w14:paraId="22A25EB3"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0CCD19AF" w14:textId="77777777" w:rsidR="009002F0" w:rsidRPr="009002F0" w:rsidRDefault="009002F0" w:rsidP="009002F0">
            <w:pPr>
              <w:widowControl/>
              <w:autoSpaceDE/>
              <w:autoSpaceDN/>
              <w:adjustRightInd/>
              <w:jc w:val="right"/>
              <w:rPr>
                <w:rFonts w:ascii="Calibri" w:eastAsia="Times New Roman" w:hAnsi="Calibri" w:cs="Calibri"/>
                <w:i/>
                <w:iCs/>
                <w:sz w:val="20"/>
                <w:szCs w:val="20"/>
                <w:lang w:eastAsia="ko-KR"/>
              </w:rPr>
            </w:pPr>
          </w:p>
        </w:tc>
        <w:tc>
          <w:tcPr>
            <w:tcW w:w="640" w:type="dxa"/>
            <w:tcBorders>
              <w:top w:val="nil"/>
              <w:left w:val="nil"/>
              <w:bottom w:val="nil"/>
              <w:right w:val="nil"/>
            </w:tcBorders>
            <w:shd w:val="clear" w:color="auto" w:fill="auto"/>
            <w:noWrap/>
            <w:vAlign w:val="bottom"/>
            <w:hideMark/>
          </w:tcPr>
          <w:p w14:paraId="335EFD41"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5E2686AB"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ii.</w:t>
            </w:r>
          </w:p>
        </w:tc>
        <w:tc>
          <w:tcPr>
            <w:tcW w:w="4860" w:type="dxa"/>
            <w:tcBorders>
              <w:top w:val="nil"/>
              <w:left w:val="nil"/>
              <w:bottom w:val="nil"/>
              <w:right w:val="single" w:sz="4" w:space="0" w:color="auto"/>
            </w:tcBorders>
            <w:shd w:val="clear" w:color="auto" w:fill="auto"/>
            <w:noWrap/>
            <w:vAlign w:val="bottom"/>
            <w:hideMark/>
          </w:tcPr>
          <w:p w14:paraId="07094915"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Category 2</w:t>
            </w:r>
          </w:p>
        </w:tc>
        <w:tc>
          <w:tcPr>
            <w:tcW w:w="1740" w:type="dxa"/>
            <w:tcBorders>
              <w:top w:val="nil"/>
              <w:left w:val="single" w:sz="4" w:space="0" w:color="auto"/>
              <w:bottom w:val="nil"/>
              <w:right w:val="single" w:sz="4" w:space="0" w:color="auto"/>
            </w:tcBorders>
            <w:shd w:val="clear" w:color="auto" w:fill="auto"/>
            <w:noWrap/>
            <w:vAlign w:val="bottom"/>
            <w:hideMark/>
          </w:tcPr>
          <w:p w14:paraId="0A4560E1" w14:textId="77777777" w:rsidR="009002F0" w:rsidRPr="009002F0" w:rsidRDefault="009002F0" w:rsidP="009002F0">
            <w:pPr>
              <w:widowControl/>
              <w:autoSpaceDE/>
              <w:autoSpaceDN/>
              <w:adjustRightInd/>
              <w:jc w:val="right"/>
              <w:rPr>
                <w:rFonts w:ascii="Calibri" w:eastAsia="Times New Roman" w:hAnsi="Calibri" w:cs="Calibri"/>
                <w:i/>
                <w:iCs/>
                <w:sz w:val="22"/>
                <w:szCs w:val="22"/>
                <w:lang w:eastAsia="ko-KR"/>
              </w:rPr>
            </w:pPr>
            <w:r w:rsidRPr="009002F0">
              <w:rPr>
                <w:rFonts w:ascii="Calibri" w:eastAsia="Times New Roman" w:hAnsi="Calibri" w:cs="Calibri"/>
                <w:i/>
                <w:iCs/>
                <w:sz w:val="22"/>
                <w:szCs w:val="22"/>
                <w:lang w:eastAsia="ko-KR"/>
              </w:rPr>
              <w:t>55,269</w:t>
            </w:r>
          </w:p>
        </w:tc>
      </w:tr>
      <w:tr w:rsidR="009002F0" w:rsidRPr="009002F0" w14:paraId="536F38C6"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4A17AD07" w14:textId="77777777" w:rsidR="009002F0" w:rsidRPr="009002F0" w:rsidRDefault="009002F0" w:rsidP="009002F0">
            <w:pPr>
              <w:widowControl/>
              <w:autoSpaceDE/>
              <w:autoSpaceDN/>
              <w:adjustRightInd/>
              <w:jc w:val="right"/>
              <w:rPr>
                <w:rFonts w:ascii="Calibri" w:eastAsia="Times New Roman" w:hAnsi="Calibri" w:cs="Calibri"/>
                <w:i/>
                <w:iCs/>
                <w:sz w:val="20"/>
                <w:szCs w:val="20"/>
                <w:lang w:eastAsia="ko-KR"/>
              </w:rPr>
            </w:pPr>
          </w:p>
        </w:tc>
        <w:tc>
          <w:tcPr>
            <w:tcW w:w="640" w:type="dxa"/>
            <w:tcBorders>
              <w:top w:val="nil"/>
              <w:left w:val="nil"/>
              <w:bottom w:val="nil"/>
              <w:right w:val="nil"/>
            </w:tcBorders>
            <w:shd w:val="clear" w:color="auto" w:fill="auto"/>
            <w:noWrap/>
            <w:vAlign w:val="bottom"/>
            <w:hideMark/>
          </w:tcPr>
          <w:p w14:paraId="0955C1A2"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39F22065"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iii.</w:t>
            </w:r>
          </w:p>
        </w:tc>
        <w:tc>
          <w:tcPr>
            <w:tcW w:w="4860" w:type="dxa"/>
            <w:tcBorders>
              <w:top w:val="nil"/>
              <w:left w:val="nil"/>
              <w:bottom w:val="nil"/>
              <w:right w:val="single" w:sz="4" w:space="0" w:color="auto"/>
            </w:tcBorders>
            <w:shd w:val="clear" w:color="auto" w:fill="auto"/>
            <w:noWrap/>
            <w:vAlign w:val="bottom"/>
            <w:hideMark/>
          </w:tcPr>
          <w:p w14:paraId="18D1938B"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Category 3</w:t>
            </w:r>
          </w:p>
        </w:tc>
        <w:tc>
          <w:tcPr>
            <w:tcW w:w="1740" w:type="dxa"/>
            <w:tcBorders>
              <w:top w:val="nil"/>
              <w:left w:val="single" w:sz="4" w:space="0" w:color="auto"/>
              <w:bottom w:val="nil"/>
              <w:right w:val="single" w:sz="4" w:space="0" w:color="auto"/>
            </w:tcBorders>
            <w:shd w:val="clear" w:color="auto" w:fill="auto"/>
            <w:noWrap/>
            <w:vAlign w:val="bottom"/>
            <w:hideMark/>
          </w:tcPr>
          <w:p w14:paraId="3B15EE99" w14:textId="77777777" w:rsidR="009002F0" w:rsidRPr="009002F0" w:rsidRDefault="009002F0" w:rsidP="009002F0">
            <w:pPr>
              <w:widowControl/>
              <w:autoSpaceDE/>
              <w:autoSpaceDN/>
              <w:adjustRightInd/>
              <w:jc w:val="right"/>
              <w:rPr>
                <w:rFonts w:ascii="Calibri" w:eastAsia="Times New Roman" w:hAnsi="Calibri" w:cs="Calibri"/>
                <w:i/>
                <w:iCs/>
                <w:sz w:val="22"/>
                <w:szCs w:val="22"/>
                <w:lang w:eastAsia="ko-KR"/>
              </w:rPr>
            </w:pPr>
            <w:r w:rsidRPr="009002F0">
              <w:rPr>
                <w:rFonts w:ascii="Calibri" w:eastAsia="Times New Roman" w:hAnsi="Calibri" w:cs="Calibri"/>
                <w:i/>
                <w:iCs/>
                <w:sz w:val="22"/>
                <w:szCs w:val="22"/>
                <w:lang w:eastAsia="ko-KR"/>
              </w:rPr>
              <w:t>11,544</w:t>
            </w:r>
          </w:p>
        </w:tc>
      </w:tr>
      <w:tr w:rsidR="009002F0" w:rsidRPr="009002F0" w14:paraId="60F98E6B"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6CE1F1EC" w14:textId="77777777" w:rsidR="009002F0" w:rsidRPr="009002F0" w:rsidRDefault="009002F0" w:rsidP="009002F0">
            <w:pPr>
              <w:widowControl/>
              <w:autoSpaceDE/>
              <w:autoSpaceDN/>
              <w:adjustRightInd/>
              <w:jc w:val="right"/>
              <w:rPr>
                <w:rFonts w:ascii="Calibri" w:eastAsia="Times New Roman" w:hAnsi="Calibri" w:cs="Calibri"/>
                <w:i/>
                <w:iCs/>
                <w:sz w:val="20"/>
                <w:szCs w:val="20"/>
                <w:lang w:eastAsia="ko-KR"/>
              </w:rPr>
            </w:pPr>
          </w:p>
        </w:tc>
        <w:tc>
          <w:tcPr>
            <w:tcW w:w="640" w:type="dxa"/>
            <w:tcBorders>
              <w:top w:val="nil"/>
              <w:left w:val="nil"/>
              <w:bottom w:val="nil"/>
              <w:right w:val="nil"/>
            </w:tcBorders>
            <w:shd w:val="clear" w:color="auto" w:fill="auto"/>
            <w:noWrap/>
            <w:vAlign w:val="bottom"/>
            <w:hideMark/>
          </w:tcPr>
          <w:p w14:paraId="330ADD73" w14:textId="77777777" w:rsidR="009002F0" w:rsidRPr="009002F0" w:rsidRDefault="009002F0" w:rsidP="009002F0">
            <w:pPr>
              <w:widowControl/>
              <w:autoSpaceDE/>
              <w:autoSpaceDN/>
              <w:adjustRightInd/>
              <w:rPr>
                <w:rFonts w:ascii="Calibri" w:eastAsia="Times New Roman" w:hAnsi="Calibri" w:cs="Calibri"/>
                <w:color w:val="auto"/>
                <w:sz w:val="22"/>
                <w:szCs w:val="22"/>
                <w:lang w:eastAsia="ko-KR"/>
              </w:rPr>
            </w:pPr>
          </w:p>
        </w:tc>
        <w:tc>
          <w:tcPr>
            <w:tcW w:w="580" w:type="dxa"/>
            <w:tcBorders>
              <w:top w:val="nil"/>
              <w:left w:val="nil"/>
              <w:bottom w:val="nil"/>
              <w:right w:val="nil"/>
            </w:tcBorders>
            <w:shd w:val="clear" w:color="auto" w:fill="auto"/>
            <w:noWrap/>
            <w:vAlign w:val="bottom"/>
            <w:hideMark/>
          </w:tcPr>
          <w:p w14:paraId="42DE6237"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iv.</w:t>
            </w:r>
          </w:p>
        </w:tc>
        <w:tc>
          <w:tcPr>
            <w:tcW w:w="4860" w:type="dxa"/>
            <w:tcBorders>
              <w:top w:val="nil"/>
              <w:left w:val="nil"/>
              <w:bottom w:val="nil"/>
              <w:right w:val="single" w:sz="4" w:space="0" w:color="auto"/>
            </w:tcBorders>
            <w:shd w:val="clear" w:color="auto" w:fill="auto"/>
            <w:noWrap/>
            <w:vAlign w:val="bottom"/>
            <w:hideMark/>
          </w:tcPr>
          <w:p w14:paraId="686A9EDC" w14:textId="77777777" w:rsidR="009002F0" w:rsidRPr="009002F0" w:rsidRDefault="009002F0" w:rsidP="009002F0">
            <w:pPr>
              <w:widowControl/>
              <w:autoSpaceDE/>
              <w:autoSpaceDN/>
              <w:adjustRightInd/>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 xml:space="preserve">Dependents </w:t>
            </w:r>
          </w:p>
        </w:tc>
        <w:tc>
          <w:tcPr>
            <w:tcW w:w="1740" w:type="dxa"/>
            <w:tcBorders>
              <w:top w:val="nil"/>
              <w:left w:val="single" w:sz="4" w:space="0" w:color="auto"/>
              <w:bottom w:val="nil"/>
              <w:right w:val="single" w:sz="4" w:space="0" w:color="auto"/>
            </w:tcBorders>
            <w:shd w:val="clear" w:color="auto" w:fill="auto"/>
            <w:noWrap/>
            <w:vAlign w:val="bottom"/>
            <w:hideMark/>
          </w:tcPr>
          <w:p w14:paraId="5D5D57AE" w14:textId="77777777" w:rsidR="009002F0" w:rsidRPr="009002F0" w:rsidRDefault="009002F0" w:rsidP="009002F0">
            <w:pPr>
              <w:widowControl/>
              <w:autoSpaceDE/>
              <w:autoSpaceDN/>
              <w:adjustRightInd/>
              <w:jc w:val="right"/>
              <w:rPr>
                <w:rFonts w:ascii="Calibri" w:eastAsia="Times New Roman" w:hAnsi="Calibri" w:cs="Calibri"/>
                <w:i/>
                <w:sz w:val="22"/>
                <w:szCs w:val="22"/>
                <w:lang w:eastAsia="ko-KR"/>
              </w:rPr>
            </w:pPr>
            <w:r w:rsidRPr="009002F0">
              <w:rPr>
                <w:rFonts w:ascii="Calibri" w:eastAsia="Times New Roman" w:hAnsi="Calibri" w:cs="Calibri"/>
                <w:i/>
                <w:sz w:val="22"/>
                <w:szCs w:val="22"/>
                <w:lang w:eastAsia="ko-KR"/>
              </w:rPr>
              <w:t>50,504</w:t>
            </w:r>
          </w:p>
        </w:tc>
      </w:tr>
      <w:tr w:rsidR="009002F0" w:rsidRPr="009002F0" w14:paraId="3412AC17"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60D98166"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40" w:type="dxa"/>
            <w:tcBorders>
              <w:top w:val="nil"/>
              <w:left w:val="nil"/>
              <w:bottom w:val="nil"/>
              <w:right w:val="nil"/>
            </w:tcBorders>
            <w:shd w:val="clear" w:color="auto" w:fill="auto"/>
            <w:noWrap/>
            <w:vAlign w:val="bottom"/>
            <w:hideMark/>
          </w:tcPr>
          <w:p w14:paraId="134620CA"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c</w:t>
            </w:r>
          </w:p>
        </w:tc>
        <w:tc>
          <w:tcPr>
            <w:tcW w:w="5440" w:type="dxa"/>
            <w:gridSpan w:val="2"/>
            <w:tcBorders>
              <w:top w:val="nil"/>
              <w:left w:val="nil"/>
              <w:bottom w:val="nil"/>
              <w:right w:val="single" w:sz="4" w:space="0" w:color="auto"/>
            </w:tcBorders>
            <w:shd w:val="clear" w:color="auto" w:fill="auto"/>
            <w:noWrap/>
            <w:vAlign w:val="bottom"/>
            <w:hideMark/>
          </w:tcPr>
          <w:p w14:paraId="0464AD18"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Student pass + temporary work visit </w:t>
            </w:r>
          </w:p>
        </w:tc>
        <w:tc>
          <w:tcPr>
            <w:tcW w:w="1740" w:type="dxa"/>
            <w:tcBorders>
              <w:top w:val="nil"/>
              <w:left w:val="single" w:sz="4" w:space="0" w:color="auto"/>
              <w:bottom w:val="nil"/>
              <w:right w:val="single" w:sz="4" w:space="0" w:color="auto"/>
            </w:tcBorders>
            <w:shd w:val="clear" w:color="auto" w:fill="auto"/>
            <w:noWrap/>
            <w:vAlign w:val="bottom"/>
            <w:hideMark/>
          </w:tcPr>
          <w:p w14:paraId="25511EAD" w14:textId="77777777" w:rsidR="009002F0" w:rsidRPr="009002F0" w:rsidRDefault="009002F0" w:rsidP="009002F0">
            <w:pPr>
              <w:widowControl/>
              <w:autoSpaceDE/>
              <w:autoSpaceDN/>
              <w:adjustRightInd/>
              <w:jc w:val="right"/>
              <w:rPr>
                <w:rFonts w:ascii="Calibri" w:eastAsia="Times New Roman" w:hAnsi="Calibri" w:cs="Calibri"/>
                <w:iCs/>
                <w:sz w:val="22"/>
                <w:szCs w:val="22"/>
                <w:lang w:eastAsia="ko-KR"/>
              </w:rPr>
            </w:pPr>
            <w:r w:rsidRPr="009002F0">
              <w:rPr>
                <w:rFonts w:ascii="Calibri" w:eastAsia="Times New Roman" w:hAnsi="Calibri" w:cs="Calibri"/>
                <w:iCs/>
                <w:sz w:val="22"/>
                <w:szCs w:val="22"/>
                <w:lang w:eastAsia="ko-KR"/>
              </w:rPr>
              <w:t>101,220</w:t>
            </w:r>
          </w:p>
        </w:tc>
      </w:tr>
      <w:tr w:rsidR="009002F0" w:rsidRPr="009002F0" w14:paraId="15E4FCC5"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4B60AEA5" w14:textId="77777777" w:rsidR="009002F0" w:rsidRPr="009002F0" w:rsidRDefault="009002F0" w:rsidP="009002F0">
            <w:pPr>
              <w:widowControl/>
              <w:autoSpaceDE/>
              <w:autoSpaceDN/>
              <w:adjustRightInd/>
              <w:jc w:val="right"/>
              <w:rPr>
                <w:rFonts w:ascii="Calibri" w:eastAsia="Times New Roman" w:hAnsi="Calibri" w:cs="Calibri"/>
                <w:i/>
                <w:iCs/>
                <w:sz w:val="20"/>
                <w:szCs w:val="20"/>
                <w:lang w:eastAsia="ko-KR"/>
              </w:rPr>
            </w:pPr>
          </w:p>
        </w:tc>
        <w:tc>
          <w:tcPr>
            <w:tcW w:w="640" w:type="dxa"/>
            <w:tcBorders>
              <w:top w:val="nil"/>
              <w:left w:val="nil"/>
              <w:bottom w:val="nil"/>
              <w:right w:val="nil"/>
            </w:tcBorders>
            <w:shd w:val="clear" w:color="auto" w:fill="auto"/>
            <w:noWrap/>
            <w:vAlign w:val="bottom"/>
            <w:hideMark/>
          </w:tcPr>
          <w:p w14:paraId="5718C3EF"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d</w:t>
            </w:r>
          </w:p>
        </w:tc>
        <w:tc>
          <w:tcPr>
            <w:tcW w:w="5440" w:type="dxa"/>
            <w:gridSpan w:val="2"/>
            <w:tcBorders>
              <w:top w:val="nil"/>
              <w:left w:val="nil"/>
              <w:bottom w:val="nil"/>
              <w:right w:val="single" w:sz="4" w:space="0" w:color="auto"/>
            </w:tcBorders>
            <w:shd w:val="clear" w:color="auto" w:fill="auto"/>
            <w:noWrap/>
            <w:vAlign w:val="bottom"/>
            <w:hideMark/>
          </w:tcPr>
          <w:p w14:paraId="6C21996A"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Social pass </w:t>
            </w:r>
          </w:p>
        </w:tc>
        <w:tc>
          <w:tcPr>
            <w:tcW w:w="1740" w:type="dxa"/>
            <w:tcBorders>
              <w:top w:val="nil"/>
              <w:left w:val="single" w:sz="4" w:space="0" w:color="auto"/>
              <w:bottom w:val="nil"/>
              <w:right w:val="single" w:sz="4" w:space="0" w:color="auto"/>
            </w:tcBorders>
            <w:shd w:val="clear" w:color="auto" w:fill="auto"/>
            <w:noWrap/>
            <w:vAlign w:val="center"/>
            <w:hideMark/>
          </w:tcPr>
          <w:p w14:paraId="60075F6F" w14:textId="77777777" w:rsidR="009002F0" w:rsidRPr="009002F0" w:rsidRDefault="009002F0" w:rsidP="009002F0">
            <w:pPr>
              <w:widowControl/>
              <w:autoSpaceDE/>
              <w:autoSpaceDN/>
              <w:adjustRightInd/>
              <w:jc w:val="right"/>
              <w:rPr>
                <w:rFonts w:ascii="Calibri" w:eastAsia="Times New Roman" w:hAnsi="Calibri" w:cs="Calibri"/>
                <w:color w:val="auto"/>
                <w:sz w:val="22"/>
                <w:szCs w:val="22"/>
                <w:lang w:eastAsia="ko-KR"/>
              </w:rPr>
            </w:pPr>
            <w:r w:rsidRPr="009002F0">
              <w:rPr>
                <w:rFonts w:ascii="Calibri" w:eastAsia="Times New Roman" w:hAnsi="Calibri" w:cs="Calibri"/>
                <w:color w:val="auto"/>
                <w:sz w:val="22"/>
                <w:szCs w:val="22"/>
                <w:lang w:eastAsia="ko-KR"/>
              </w:rPr>
              <w:t>302,604</w:t>
            </w:r>
          </w:p>
        </w:tc>
      </w:tr>
      <w:tr w:rsidR="009002F0" w:rsidRPr="009002F0" w14:paraId="5982B562" w14:textId="77777777" w:rsidTr="009002F0">
        <w:trPr>
          <w:trHeight w:val="300"/>
        </w:trPr>
        <w:tc>
          <w:tcPr>
            <w:tcW w:w="520" w:type="dxa"/>
            <w:tcBorders>
              <w:top w:val="nil"/>
              <w:left w:val="single" w:sz="4" w:space="0" w:color="auto"/>
              <w:right w:val="nil"/>
            </w:tcBorders>
            <w:shd w:val="clear" w:color="auto" w:fill="auto"/>
            <w:noWrap/>
            <w:vAlign w:val="bottom"/>
            <w:hideMark/>
          </w:tcPr>
          <w:p w14:paraId="0CC1C412" w14:textId="77777777" w:rsidR="009002F0" w:rsidRPr="009002F0" w:rsidRDefault="009002F0" w:rsidP="009002F0">
            <w:pPr>
              <w:widowControl/>
              <w:autoSpaceDE/>
              <w:autoSpaceDN/>
              <w:adjustRightInd/>
              <w:jc w:val="center"/>
              <w:rPr>
                <w:rFonts w:ascii="Calibri" w:eastAsia="Times New Roman" w:hAnsi="Calibri" w:cs="Calibri"/>
                <w:color w:val="auto"/>
                <w:sz w:val="22"/>
                <w:szCs w:val="22"/>
                <w:lang w:eastAsia="ko-KR"/>
              </w:rPr>
            </w:pPr>
          </w:p>
        </w:tc>
        <w:tc>
          <w:tcPr>
            <w:tcW w:w="640" w:type="dxa"/>
            <w:tcBorders>
              <w:top w:val="nil"/>
              <w:left w:val="nil"/>
              <w:right w:val="nil"/>
            </w:tcBorders>
            <w:shd w:val="clear" w:color="auto" w:fill="auto"/>
            <w:noWrap/>
            <w:vAlign w:val="bottom"/>
            <w:hideMark/>
          </w:tcPr>
          <w:p w14:paraId="008BAA5A"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e</w:t>
            </w:r>
          </w:p>
        </w:tc>
        <w:tc>
          <w:tcPr>
            <w:tcW w:w="5440" w:type="dxa"/>
            <w:gridSpan w:val="2"/>
            <w:tcBorders>
              <w:top w:val="nil"/>
              <w:left w:val="nil"/>
              <w:right w:val="single" w:sz="4" w:space="0" w:color="auto"/>
            </w:tcBorders>
            <w:shd w:val="clear" w:color="auto" w:fill="auto"/>
            <w:noWrap/>
            <w:vAlign w:val="bottom"/>
            <w:hideMark/>
          </w:tcPr>
          <w:p w14:paraId="091300F0"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Filipino refugees in Sabah (IMM13)</w:t>
            </w:r>
          </w:p>
        </w:tc>
        <w:tc>
          <w:tcPr>
            <w:tcW w:w="1740" w:type="dxa"/>
            <w:tcBorders>
              <w:top w:val="nil"/>
              <w:left w:val="single" w:sz="4" w:space="0" w:color="auto"/>
              <w:right w:val="single" w:sz="4" w:space="0" w:color="auto"/>
            </w:tcBorders>
            <w:shd w:val="clear" w:color="auto" w:fill="auto"/>
            <w:noWrap/>
            <w:vAlign w:val="bottom"/>
            <w:hideMark/>
          </w:tcPr>
          <w:p w14:paraId="39179A2E" w14:textId="77777777" w:rsidR="009002F0" w:rsidRPr="009002F0" w:rsidRDefault="009002F0" w:rsidP="009002F0">
            <w:pPr>
              <w:widowControl/>
              <w:autoSpaceDE/>
              <w:autoSpaceDN/>
              <w:adjustRightInd/>
              <w:jc w:val="right"/>
              <w:rPr>
                <w:rFonts w:ascii="Calibri" w:eastAsia="Times New Roman" w:hAnsi="Calibri" w:cs="Calibri"/>
                <w:iCs/>
                <w:sz w:val="22"/>
                <w:szCs w:val="22"/>
                <w:lang w:eastAsia="ko-KR"/>
              </w:rPr>
            </w:pPr>
            <w:r w:rsidRPr="009002F0">
              <w:rPr>
                <w:rFonts w:ascii="Calibri" w:eastAsia="Times New Roman" w:hAnsi="Calibri" w:cs="Calibri"/>
                <w:iCs/>
                <w:sz w:val="22"/>
                <w:szCs w:val="22"/>
                <w:lang w:eastAsia="ko-KR"/>
              </w:rPr>
              <w:t>99,000</w:t>
            </w:r>
          </w:p>
        </w:tc>
      </w:tr>
      <w:tr w:rsidR="009002F0" w:rsidRPr="009002F0" w14:paraId="430F4803" w14:textId="77777777" w:rsidTr="009002F0">
        <w:trPr>
          <w:trHeight w:val="300"/>
        </w:trPr>
        <w:tc>
          <w:tcPr>
            <w:tcW w:w="520" w:type="dxa"/>
            <w:tcBorders>
              <w:top w:val="nil"/>
              <w:left w:val="single" w:sz="4" w:space="0" w:color="auto"/>
              <w:bottom w:val="single" w:sz="4" w:space="0" w:color="auto"/>
              <w:right w:val="nil"/>
            </w:tcBorders>
            <w:shd w:val="clear" w:color="auto" w:fill="FFF2CC"/>
            <w:noWrap/>
            <w:vAlign w:val="bottom"/>
            <w:hideMark/>
          </w:tcPr>
          <w:p w14:paraId="06754A85"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3</w:t>
            </w:r>
          </w:p>
        </w:tc>
        <w:tc>
          <w:tcPr>
            <w:tcW w:w="6080" w:type="dxa"/>
            <w:gridSpan w:val="3"/>
            <w:tcBorders>
              <w:top w:val="nil"/>
              <w:left w:val="nil"/>
              <w:bottom w:val="single" w:sz="4" w:space="0" w:color="auto"/>
              <w:right w:val="single" w:sz="4" w:space="0" w:color="auto"/>
            </w:tcBorders>
            <w:shd w:val="clear" w:color="auto" w:fill="FFF2CC"/>
            <w:noWrap/>
            <w:vAlign w:val="bottom"/>
            <w:hideMark/>
          </w:tcPr>
          <w:p w14:paraId="5CB88298"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Irregular foreign workers (1-2)</w:t>
            </w:r>
          </w:p>
        </w:tc>
        <w:tc>
          <w:tcPr>
            <w:tcW w:w="1740" w:type="dxa"/>
            <w:tcBorders>
              <w:top w:val="nil"/>
              <w:left w:val="single" w:sz="4" w:space="0" w:color="auto"/>
              <w:bottom w:val="single" w:sz="4" w:space="0" w:color="auto"/>
              <w:right w:val="single" w:sz="4" w:space="0" w:color="auto"/>
            </w:tcBorders>
            <w:shd w:val="clear" w:color="auto" w:fill="FFF2CC"/>
            <w:noWrap/>
            <w:vAlign w:val="bottom"/>
            <w:hideMark/>
          </w:tcPr>
          <w:p w14:paraId="2D76D67D" w14:textId="77777777" w:rsidR="009002F0" w:rsidRPr="009002F0" w:rsidRDefault="009002F0" w:rsidP="009002F0">
            <w:pPr>
              <w:widowControl/>
              <w:autoSpaceDE/>
              <w:autoSpaceDN/>
              <w:adjustRightInd/>
              <w:jc w:val="right"/>
              <w:rPr>
                <w:rFonts w:ascii="Calibri" w:eastAsia="Times New Roman" w:hAnsi="Calibri" w:cs="Calibri"/>
                <w:b/>
                <w:iCs/>
                <w:sz w:val="22"/>
                <w:szCs w:val="22"/>
                <w:lang w:eastAsia="ko-KR"/>
              </w:rPr>
            </w:pPr>
            <w:r w:rsidRPr="009002F0">
              <w:rPr>
                <w:rFonts w:ascii="Calibri" w:eastAsia="Times New Roman" w:hAnsi="Calibri" w:cs="Calibri"/>
                <w:b/>
                <w:iCs/>
                <w:sz w:val="22"/>
                <w:szCs w:val="22"/>
                <w:lang w:eastAsia="ko-KR"/>
              </w:rPr>
              <w:t>1,459,055</w:t>
            </w:r>
          </w:p>
        </w:tc>
      </w:tr>
    </w:tbl>
    <w:p w14:paraId="3C4A6352"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Source: Authors’ computations based on DOSM and MOHA. </w:t>
      </w:r>
    </w:p>
    <w:p w14:paraId="0CD11E87"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 w:val="22"/>
          <w:szCs w:val="22"/>
          <w:lang w:eastAsia="ko-KR"/>
        </w:rPr>
      </w:pPr>
    </w:p>
    <w:p w14:paraId="4D8CDD6F"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Despite the care taken in the estimation process, the estimate should be treated cautiously. First, the population census tends to undercount the foreign-born population especially the irregular population (Passel and Cohen, 2018). Undocumented foreign workers may avoid census interviews for fear of apprehension or data sharing with public authorities. We tried to address these by adjusting the number of foreign workers, refugees and irregular immigrants to the total foreign-born population. Second, given that the estimates of the lawfully residing foreign population is based on pass/permit issuance data, it may underestimate the irregular foreign population by failing to identify the foreign worker population whose actual employment is different from the permit or a foreign national on a student permit employed more than the maximum number of hours permitted. Furthermore, underestimation is likely to occur because of limited data sources: firstly, the population census that was the basis for estimating the </w:t>
      </w:r>
      <w:proofErr w:type="gramStart"/>
      <w:r w:rsidRPr="009002F0">
        <w:rPr>
          <w:rFonts w:ascii="Calibri" w:eastAsia="Malgun Gothic" w:hAnsi="Calibri" w:cs="Times New Roman"/>
          <w:color w:val="auto"/>
          <w:lang w:eastAsia="ko-KR"/>
        </w:rPr>
        <w:t>foreign born</w:t>
      </w:r>
      <w:proofErr w:type="gramEnd"/>
      <w:r w:rsidRPr="009002F0">
        <w:rPr>
          <w:rFonts w:ascii="Calibri" w:eastAsia="Malgun Gothic" w:hAnsi="Calibri" w:cs="Times New Roman"/>
          <w:color w:val="auto"/>
          <w:lang w:eastAsia="ko-KR"/>
        </w:rPr>
        <w:t xml:space="preserve"> population was conducted nearly ten years ago and therefore the number of non-citizen population could be underestimated, and secondly the estimation of the lawfully resident foreign population is mainly based on the MOHA data and thus may not adequately capture lawfully residing foreign-born children and dependents. </w:t>
      </w:r>
    </w:p>
    <w:p w14:paraId="3017D49A"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lang w:eastAsia="ko-KR"/>
        </w:rPr>
      </w:pPr>
      <w:bookmarkStart w:id="102" w:name="_Toc536052734"/>
      <w:bookmarkStart w:id="103" w:name="_Toc4581532"/>
      <w:r w:rsidRPr="009002F0">
        <w:rPr>
          <w:rFonts w:ascii="Calibri" w:eastAsia="Malgun Gothic" w:hAnsi="Calibri" w:cs="Times New Roman"/>
          <w:color w:val="006068"/>
          <w:sz w:val="26"/>
          <w:szCs w:val="28"/>
          <w:u w:val="single"/>
          <w:lang w:eastAsia="ko-KR"/>
        </w:rPr>
        <w:lastRenderedPageBreak/>
        <w:t xml:space="preserve">5.2 A </w:t>
      </w:r>
      <w:r w:rsidRPr="009002F0">
        <w:rPr>
          <w:rFonts w:ascii="Calibri" w:eastAsia="MS Gothic" w:hAnsi="Calibri" w:cs="Times New Roman"/>
          <w:color w:val="006068"/>
          <w:sz w:val="26"/>
          <w:szCs w:val="28"/>
          <w:u w:val="single"/>
        </w:rPr>
        <w:t>build</w:t>
      </w:r>
      <w:r w:rsidRPr="009002F0">
        <w:rPr>
          <w:rFonts w:ascii="Calibri" w:eastAsia="Malgun Gothic" w:hAnsi="Calibri" w:cs="Times New Roman"/>
          <w:color w:val="006068"/>
          <w:sz w:val="26"/>
          <w:szCs w:val="28"/>
          <w:u w:val="single"/>
          <w:lang w:eastAsia="ko-KR"/>
        </w:rPr>
        <w:t>-up approach</w:t>
      </w:r>
      <w:bookmarkEnd w:id="102"/>
      <w:bookmarkEnd w:id="103"/>
      <w:r w:rsidRPr="009002F0">
        <w:rPr>
          <w:rFonts w:ascii="Calibri" w:eastAsia="Malgun Gothic" w:hAnsi="Calibri" w:cs="Times New Roman"/>
          <w:color w:val="006068"/>
          <w:sz w:val="26"/>
          <w:szCs w:val="28"/>
          <w:u w:val="single"/>
          <w:lang w:eastAsia="ko-KR"/>
        </w:rPr>
        <w:t xml:space="preserve"> </w:t>
      </w:r>
    </w:p>
    <w:p w14:paraId="1D43D34A"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104" w:name="_Toc536052735"/>
      <w:bookmarkStart w:id="105" w:name="_Toc4581533"/>
      <w:r w:rsidRPr="009002F0">
        <w:rPr>
          <w:rFonts w:ascii="Calibri" w:eastAsia="Malgun Gothic" w:hAnsi="Calibri" w:cs="Times New Roman"/>
          <w:i/>
          <w:color w:val="00ADE4"/>
          <w:lang w:eastAsia="ko-KR"/>
        </w:rPr>
        <w:t>5.2.1 Methodology and data</w:t>
      </w:r>
      <w:bookmarkEnd w:id="104"/>
      <w:bookmarkEnd w:id="105"/>
    </w:p>
    <w:p w14:paraId="4E0D9254"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The irregular foreign population is built up from year to year by adding and subtracting entries and exits from the irregular population. This build-up method is employed to address the key shortcoming in the residual approach, namely, to adjust the potential underestimation of the irregular population from the residual method. We employ the following steps to estimate the number of irregular foreign workers in 2017. </w:t>
      </w:r>
    </w:p>
    <w:p w14:paraId="79B36F30" w14:textId="77777777" w:rsidR="009002F0" w:rsidRPr="009002F0" w:rsidRDefault="009002F0" w:rsidP="009002F0">
      <w:pPr>
        <w:widowControl/>
        <w:numPr>
          <w:ilvl w:val="0"/>
          <w:numId w:val="23"/>
        </w:numPr>
        <w:autoSpaceDE/>
        <w:autoSpaceDN/>
        <w:adjustRightInd/>
        <w:spacing w:after="120" w:line="264" w:lineRule="auto"/>
        <w:contextualSpacing/>
        <w:jc w:val="both"/>
        <w:rPr>
          <w:rFonts w:ascii="Calibri" w:eastAsia="Malgun Gothic" w:hAnsi="Calibri" w:cs="Times New Roman"/>
          <w:b/>
          <w:color w:val="auto"/>
          <w:lang w:eastAsia="ko-KR"/>
        </w:rPr>
      </w:pPr>
      <w:r w:rsidRPr="009002F0">
        <w:rPr>
          <w:rFonts w:ascii="Calibri" w:eastAsia="Malgun Gothic" w:hAnsi="Calibri" w:cs="Times New Roman"/>
          <w:b/>
          <w:color w:val="auto"/>
          <w:lang w:eastAsia="ko-KR"/>
        </w:rPr>
        <w:t xml:space="preserve">Stock of foreign labor in 2016. </w:t>
      </w:r>
    </w:p>
    <w:p w14:paraId="73BD79FF"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We compare the non-citizen population in the LFS with the lawfully employed foreign population (MOHA), including those who became regularized through rehiring programs and deportees. </w:t>
      </w:r>
    </w:p>
    <w:p w14:paraId="46FE2BB0"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We assume that 40 percent of those registered under regularization become regulars, based on the practice under 6P and the 2014</w:t>
      </w:r>
      <w:r w:rsidRPr="009002F0">
        <w:rPr>
          <w:rFonts w:ascii="Calibri" w:eastAsia="Malgun Gothic" w:hAnsi="Calibri" w:cs="Calibri"/>
          <w:color w:val="auto"/>
          <w:lang w:eastAsia="ko-KR"/>
        </w:rPr>
        <w:t>–</w:t>
      </w:r>
      <w:r w:rsidRPr="009002F0">
        <w:rPr>
          <w:rFonts w:ascii="Calibri" w:eastAsia="Malgun Gothic" w:hAnsi="Calibri" w:cs="Times New Roman"/>
          <w:color w:val="auto"/>
          <w:lang w:eastAsia="ko-KR"/>
        </w:rPr>
        <w:t xml:space="preserve">2018 rehiring programs. </w:t>
      </w:r>
    </w:p>
    <w:p w14:paraId="1FDEE91D"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The number of deportees apprehended through voluntary repatriation programs or enforcement operations by the Immigration Department is incorporated in the estimates. </w:t>
      </w:r>
    </w:p>
    <w:p w14:paraId="45A1BFC6"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color w:val="auto"/>
          <w:lang w:eastAsia="ko-KR"/>
        </w:rPr>
        <w:t xml:space="preserve">As in the population census under the residual approach, we adjust regular and irregular foreign workers as the LFS does not capture workers in hotels, hostels, dormitories, plantation estates, or other communal housing. </w:t>
      </w:r>
    </w:p>
    <w:p w14:paraId="6946D848" w14:textId="77777777" w:rsidR="009002F0" w:rsidRPr="009002F0" w:rsidRDefault="009002F0" w:rsidP="009002F0">
      <w:pPr>
        <w:widowControl/>
        <w:autoSpaceDE/>
        <w:autoSpaceDN/>
        <w:adjustRightInd/>
        <w:spacing w:after="120" w:line="264" w:lineRule="auto"/>
        <w:ind w:left="1080"/>
        <w:contextualSpacing/>
        <w:jc w:val="both"/>
        <w:rPr>
          <w:rFonts w:ascii="Calibri" w:eastAsia="Malgun Gothic" w:hAnsi="Calibri" w:cs="Times New Roman"/>
          <w:color w:val="auto"/>
          <w:lang w:eastAsia="ko-KR"/>
        </w:rPr>
      </w:pPr>
    </w:p>
    <w:p w14:paraId="5DE43BB0" w14:textId="77777777" w:rsidR="009002F0" w:rsidRPr="009002F0" w:rsidRDefault="009002F0" w:rsidP="009002F0">
      <w:pPr>
        <w:widowControl/>
        <w:numPr>
          <w:ilvl w:val="0"/>
          <w:numId w:val="23"/>
        </w:numPr>
        <w:autoSpaceDE/>
        <w:autoSpaceDN/>
        <w:adjustRightInd/>
        <w:spacing w:after="120" w:line="264" w:lineRule="auto"/>
        <w:contextualSpacing/>
        <w:jc w:val="both"/>
        <w:rPr>
          <w:rFonts w:ascii="Calibri" w:eastAsia="Malgun Gothic" w:hAnsi="Calibri" w:cs="Times New Roman"/>
          <w:b/>
          <w:color w:val="auto"/>
          <w:lang w:eastAsia="ko-KR"/>
        </w:rPr>
      </w:pPr>
      <w:r w:rsidRPr="009002F0">
        <w:rPr>
          <w:rFonts w:ascii="Calibri" w:eastAsia="Malgun Gothic" w:hAnsi="Calibri" w:cs="Times New Roman"/>
          <w:b/>
          <w:color w:val="auto"/>
          <w:lang w:eastAsia="ko-KR"/>
        </w:rPr>
        <w:t xml:space="preserve">Then we add annual flow estimates of irregulars to the stock estimate in the following manner: </w:t>
      </w:r>
    </w:p>
    <w:p w14:paraId="17D2C09B"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lang w:eastAsia="ko-KR"/>
        </w:rPr>
      </w:pPr>
      <w:r w:rsidRPr="009002F0">
        <w:rPr>
          <w:rFonts w:ascii="Calibri" w:eastAsia="Malgun Gothic" w:hAnsi="Calibri" w:cs="Times New Roman"/>
          <w:b/>
          <w:color w:val="auto"/>
          <w:lang w:eastAsia="ko-KR"/>
        </w:rPr>
        <w:t>Refugees and asylum seekers.</w:t>
      </w:r>
      <w:r w:rsidRPr="009002F0">
        <w:rPr>
          <w:rFonts w:ascii="Calibri" w:eastAsia="Malgun Gothic" w:hAnsi="Calibri" w:cs="Times New Roman"/>
          <w:color w:val="auto"/>
          <w:lang w:eastAsia="ko-KR"/>
        </w:rPr>
        <w:t xml:space="preserve"> Malaysia does not grant the right to work to them and therefore we assume that all refugees and asylum seekers (pending) join the labor market through irregular channels. The figures are based on the UNHCR 2017, referring to refugees in all similar situations and pending asylum seekers. </w:t>
      </w:r>
    </w:p>
    <w:p w14:paraId="0B33C2D8"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Tourists.</w:t>
      </w:r>
      <w:r w:rsidRPr="009002F0">
        <w:rPr>
          <w:rFonts w:ascii="Calibri" w:eastAsia="Malgun Gothic" w:hAnsi="Calibri" w:cs="Times New Roman"/>
          <w:color w:val="auto"/>
          <w:szCs w:val="22"/>
          <w:lang w:eastAsia="ko-KR"/>
        </w:rPr>
        <w:t xml:space="preserve"> We use the e-visa issuance data as a proxy and assume that 36 percent of these become irregular foreign workers (based on earlier findings on the VOA abuse). </w:t>
      </w:r>
    </w:p>
    <w:p w14:paraId="5BC68559"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Filipino refugees in Sabah.</w:t>
      </w:r>
      <w:r w:rsidRPr="009002F0">
        <w:rPr>
          <w:rFonts w:ascii="Calibri" w:eastAsia="Malgun Gothic" w:hAnsi="Calibri" w:cs="Times New Roman"/>
          <w:color w:val="auto"/>
          <w:szCs w:val="22"/>
          <w:lang w:eastAsia="ko-KR"/>
        </w:rPr>
        <w:t xml:space="preserve"> We assume that the 44,000 IMM13 holders failed to renew their IMM13 and thus have become irregulars. </w:t>
      </w:r>
    </w:p>
    <w:p w14:paraId="69F69FF7"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Foreign workers who failed FOMEMA medical screening</w:t>
      </w:r>
      <w:r w:rsidRPr="009002F0">
        <w:rPr>
          <w:rFonts w:ascii="Calibri" w:eastAsia="Malgun Gothic" w:hAnsi="Calibri" w:cs="Times New Roman"/>
          <w:color w:val="auto"/>
          <w:szCs w:val="22"/>
          <w:lang w:eastAsia="ko-KR"/>
        </w:rPr>
        <w:t xml:space="preserve"> are assumed to become </w:t>
      </w:r>
      <w:proofErr w:type="gramStart"/>
      <w:r w:rsidRPr="009002F0">
        <w:rPr>
          <w:rFonts w:ascii="Calibri" w:eastAsia="Malgun Gothic" w:hAnsi="Calibri" w:cs="Times New Roman"/>
          <w:color w:val="auto"/>
          <w:szCs w:val="22"/>
          <w:lang w:eastAsia="ko-KR"/>
        </w:rPr>
        <w:t>irregulars, and</w:t>
      </w:r>
      <w:proofErr w:type="gramEnd"/>
      <w:r w:rsidRPr="009002F0">
        <w:rPr>
          <w:rFonts w:ascii="Calibri" w:eastAsia="Malgun Gothic" w:hAnsi="Calibri" w:cs="Times New Roman"/>
          <w:color w:val="auto"/>
          <w:szCs w:val="22"/>
          <w:lang w:eastAsia="ko-KR"/>
        </w:rPr>
        <w:t xml:space="preserve"> stay for ten years. </w:t>
      </w:r>
    </w:p>
    <w:p w14:paraId="3563B181" w14:textId="77777777" w:rsidR="009002F0" w:rsidRPr="009002F0" w:rsidRDefault="009002F0" w:rsidP="009002F0">
      <w:pPr>
        <w:widowControl/>
        <w:numPr>
          <w:ilvl w:val="1"/>
          <w:numId w:val="23"/>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b/>
          <w:color w:val="auto"/>
          <w:szCs w:val="22"/>
          <w:lang w:eastAsia="ko-KR"/>
        </w:rPr>
        <w:t>Unmet demand.</w:t>
      </w:r>
      <w:r w:rsidRPr="009002F0">
        <w:rPr>
          <w:rFonts w:ascii="Calibri" w:eastAsia="Malgun Gothic" w:hAnsi="Calibri" w:cs="Times New Roman"/>
          <w:color w:val="auto"/>
          <w:szCs w:val="22"/>
          <w:lang w:eastAsia="ko-KR"/>
        </w:rPr>
        <w:t xml:space="preserve"> Companies fill the rejected foreign worker quota with irregular foreign workers and we use the unmet quota of 268,164 during January – </w:t>
      </w:r>
      <w:proofErr w:type="gramStart"/>
      <w:r w:rsidRPr="009002F0">
        <w:rPr>
          <w:rFonts w:ascii="Calibri" w:eastAsia="Malgun Gothic" w:hAnsi="Calibri" w:cs="Times New Roman"/>
          <w:color w:val="auto"/>
          <w:szCs w:val="22"/>
          <w:lang w:eastAsia="ko-KR"/>
        </w:rPr>
        <w:t>September,</w:t>
      </w:r>
      <w:proofErr w:type="gramEnd"/>
      <w:r w:rsidRPr="009002F0">
        <w:rPr>
          <w:rFonts w:ascii="Calibri" w:eastAsia="Malgun Gothic" w:hAnsi="Calibri" w:cs="Times New Roman"/>
          <w:color w:val="auto"/>
          <w:szCs w:val="22"/>
          <w:lang w:eastAsia="ko-KR"/>
        </w:rPr>
        <w:t xml:space="preserve"> 2018 as a proxy. We do not use the rejection rates to approximate the unmet demand because the annual quota for foreign workers is often guided by a targeted number of foreign workers (see World bank 2016 for further discussions on the weakness in the quota system).  </w:t>
      </w:r>
    </w:p>
    <w:p w14:paraId="4C9D757C"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106" w:name="_Toc536052736"/>
      <w:bookmarkStart w:id="107" w:name="_Toc4581534"/>
      <w:r w:rsidRPr="009002F0">
        <w:rPr>
          <w:rFonts w:ascii="Calibri" w:eastAsia="Malgun Gothic" w:hAnsi="Calibri" w:cs="Times New Roman"/>
          <w:i/>
          <w:color w:val="00ADE4"/>
          <w:lang w:eastAsia="ko-KR"/>
        </w:rPr>
        <w:t>5.2.2 Results</w:t>
      </w:r>
      <w:bookmarkEnd w:id="106"/>
      <w:bookmarkEnd w:id="107"/>
      <w:r w:rsidRPr="009002F0">
        <w:rPr>
          <w:rFonts w:ascii="Calibri" w:eastAsia="Malgun Gothic" w:hAnsi="Calibri" w:cs="Times New Roman"/>
          <w:i/>
          <w:color w:val="00ADE4"/>
          <w:lang w:eastAsia="ko-KR"/>
        </w:rPr>
        <w:t xml:space="preserve"> </w:t>
      </w:r>
    </w:p>
    <w:p w14:paraId="4FB0E4CC"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method would yield 1.228 million irregulars, as presented in Table 9. This is an extremely rough estimation as we do not take into account (i) how many </w:t>
      </w:r>
      <w:proofErr w:type="gramStart"/>
      <w:r w:rsidRPr="009002F0">
        <w:rPr>
          <w:rFonts w:ascii="Calibri" w:eastAsia="Malgun Gothic" w:hAnsi="Calibri" w:cs="Times New Roman"/>
          <w:color w:val="auto"/>
          <w:szCs w:val="22"/>
          <w:lang w:eastAsia="ko-KR"/>
        </w:rPr>
        <w:t>number</w:t>
      </w:r>
      <w:proofErr w:type="gramEnd"/>
      <w:r w:rsidRPr="009002F0">
        <w:rPr>
          <w:rFonts w:ascii="Calibri" w:eastAsia="Malgun Gothic" w:hAnsi="Calibri" w:cs="Times New Roman"/>
          <w:color w:val="auto"/>
          <w:szCs w:val="22"/>
          <w:lang w:eastAsia="ko-KR"/>
        </w:rPr>
        <w:t xml:space="preserve"> of foreign workers left </w:t>
      </w:r>
      <w:r w:rsidRPr="009002F0">
        <w:rPr>
          <w:rFonts w:ascii="Calibri" w:eastAsia="Malgun Gothic" w:hAnsi="Calibri" w:cs="Times New Roman"/>
          <w:color w:val="auto"/>
          <w:szCs w:val="22"/>
          <w:lang w:eastAsia="ko-KR"/>
        </w:rPr>
        <w:lastRenderedPageBreak/>
        <w:t xml:space="preserve">Malaysia in a given year, (ii) how many foreign workers died, as foreign worker death data is only available for Sarawak (34 in 2017), and (iii) how many foreigners entered Malaysia without documentation in line with the Immigration authorities’ regulations. </w:t>
      </w:r>
    </w:p>
    <w:p w14:paraId="50463C47"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Cautions in understanding these results are warranted. First, the LFS has its own limitations in sampling the foreign worker population. As shown in 1.a-b in Table 9, the number of non-citizen labor captured by the LFS is smaller than lawfully employed foreign population. While such shortcomings are adjusted as in 1.e-f in Table 9, underestimation might occur. Second, the UNHCR’s data on refugees and asylum seekers do not capture stateless persons and do not inform the how many asylum seekers have become asylees. Third, E-visa issuance data may not necessarily match with the number of tourist arrivals. Fourth, assuming all unmet demand by firms is filled by new inflows of irregular foreign workers might lead to overestimation.      </w:t>
      </w:r>
    </w:p>
    <w:p w14:paraId="3183454A"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p>
    <w:p w14:paraId="1405E507" w14:textId="77777777" w:rsidR="009002F0" w:rsidRPr="009002F0" w:rsidRDefault="009002F0" w:rsidP="009002F0">
      <w:pPr>
        <w:keepNext/>
        <w:widowControl/>
        <w:autoSpaceDE/>
        <w:autoSpaceDN/>
        <w:adjustRightInd/>
        <w:spacing w:after="120"/>
        <w:rPr>
          <w:rFonts w:ascii="Calibri" w:eastAsia="Malgun Gothic" w:hAnsi="Calibri" w:cs="Times New Roman"/>
          <w:bCs/>
          <w:spacing w:val="4"/>
          <w:szCs w:val="22"/>
          <w:lang w:eastAsia="ko-KR"/>
        </w:rPr>
      </w:pPr>
      <w:bookmarkStart w:id="108" w:name="_Toc4581552"/>
      <w:r w:rsidRPr="009002F0">
        <w:rPr>
          <w:rFonts w:ascii="Calibri" w:eastAsia="Malgun Gothic" w:hAnsi="Calibri" w:cs="Times New Roman"/>
          <w:bCs/>
          <w:spacing w:val="4"/>
          <w:szCs w:val="20"/>
          <w:lang w:eastAsia="ko-KR"/>
        </w:rPr>
        <w:t xml:space="preserve">Table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Table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9</w:t>
      </w:r>
      <w:r w:rsidRPr="009002F0">
        <w:rPr>
          <w:rFonts w:ascii="Calibri" w:eastAsia="Malgun Gothic" w:hAnsi="Calibri" w:cs="Times New Roman"/>
          <w:bCs/>
          <w:spacing w:val="4"/>
          <w:szCs w:val="20"/>
          <w:lang w:eastAsia="ko-KR"/>
        </w:rPr>
        <w:fldChar w:fldCharType="end"/>
      </w:r>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bCs/>
          <w:spacing w:val="4"/>
          <w:szCs w:val="22"/>
          <w:lang w:eastAsia="ko-KR"/>
        </w:rPr>
        <w:t>An estimate of the irregular foreign worker population – 1.228 million (2017)</w:t>
      </w:r>
      <w:bookmarkEnd w:id="108"/>
      <w:r w:rsidRPr="009002F0">
        <w:rPr>
          <w:rFonts w:ascii="Calibri" w:eastAsia="Malgun Gothic" w:hAnsi="Calibri" w:cs="Times New Roman"/>
          <w:bCs/>
          <w:spacing w:val="4"/>
          <w:szCs w:val="22"/>
          <w:lang w:eastAsia="ko-KR"/>
        </w:rPr>
        <w:t xml:space="preserve"> </w:t>
      </w:r>
    </w:p>
    <w:tbl>
      <w:tblPr>
        <w:tblW w:w="8380" w:type="dxa"/>
        <w:tblLook w:val="04A0" w:firstRow="1" w:lastRow="0" w:firstColumn="1" w:lastColumn="0" w:noHBand="0" w:noVBand="1"/>
      </w:tblPr>
      <w:tblGrid>
        <w:gridCol w:w="520"/>
        <w:gridCol w:w="680"/>
        <w:gridCol w:w="5440"/>
        <w:gridCol w:w="1740"/>
      </w:tblGrid>
      <w:tr w:rsidR="009002F0" w:rsidRPr="009002F0" w14:paraId="64EAEF68" w14:textId="77777777" w:rsidTr="009002F0">
        <w:trPr>
          <w:trHeight w:val="393"/>
        </w:trPr>
        <w:tc>
          <w:tcPr>
            <w:tcW w:w="520" w:type="dxa"/>
            <w:tcBorders>
              <w:top w:val="single" w:sz="4" w:space="0" w:color="auto"/>
              <w:left w:val="single" w:sz="4" w:space="0" w:color="auto"/>
              <w:bottom w:val="double" w:sz="6" w:space="0" w:color="auto"/>
              <w:right w:val="nil"/>
            </w:tcBorders>
            <w:shd w:val="clear" w:color="auto" w:fill="006068"/>
            <w:noWrap/>
            <w:vAlign w:val="center"/>
            <w:hideMark/>
          </w:tcPr>
          <w:p w14:paraId="412FF969" w14:textId="77777777" w:rsidR="009002F0" w:rsidRPr="009002F0" w:rsidRDefault="009002F0" w:rsidP="009002F0">
            <w:pPr>
              <w:widowControl/>
              <w:autoSpaceDE/>
              <w:autoSpaceDN/>
              <w:adjustRightInd/>
              <w:jc w:val="center"/>
              <w:rPr>
                <w:rFonts w:ascii="Calibri" w:eastAsia="Times New Roman" w:hAnsi="Calibri" w:cs="Calibri"/>
                <w:b/>
                <w:color w:val="FFFFFF"/>
                <w:sz w:val="22"/>
                <w:szCs w:val="22"/>
                <w:lang w:eastAsia="ko-KR"/>
              </w:rPr>
            </w:pPr>
          </w:p>
        </w:tc>
        <w:tc>
          <w:tcPr>
            <w:tcW w:w="6120" w:type="dxa"/>
            <w:gridSpan w:val="2"/>
            <w:tcBorders>
              <w:top w:val="single" w:sz="4" w:space="0" w:color="auto"/>
              <w:left w:val="nil"/>
              <w:bottom w:val="double" w:sz="6" w:space="0" w:color="auto"/>
              <w:right w:val="single" w:sz="4" w:space="0" w:color="auto"/>
            </w:tcBorders>
            <w:shd w:val="clear" w:color="auto" w:fill="006068"/>
            <w:noWrap/>
            <w:vAlign w:val="center"/>
            <w:hideMark/>
          </w:tcPr>
          <w:p w14:paraId="68801000" w14:textId="77777777" w:rsidR="009002F0" w:rsidRPr="009002F0" w:rsidRDefault="009002F0" w:rsidP="009002F0">
            <w:pPr>
              <w:widowControl/>
              <w:autoSpaceDE/>
              <w:autoSpaceDN/>
              <w:adjustRightInd/>
              <w:jc w:val="center"/>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Item</w:t>
            </w:r>
          </w:p>
        </w:tc>
        <w:tc>
          <w:tcPr>
            <w:tcW w:w="1740" w:type="dxa"/>
            <w:tcBorders>
              <w:top w:val="single" w:sz="4" w:space="0" w:color="auto"/>
              <w:left w:val="single" w:sz="4" w:space="0" w:color="auto"/>
              <w:bottom w:val="double" w:sz="6" w:space="0" w:color="auto"/>
              <w:right w:val="single" w:sz="4" w:space="0" w:color="auto"/>
            </w:tcBorders>
            <w:shd w:val="clear" w:color="auto" w:fill="006068"/>
            <w:noWrap/>
            <w:vAlign w:val="center"/>
            <w:hideMark/>
          </w:tcPr>
          <w:p w14:paraId="13F2CE8F" w14:textId="77777777" w:rsidR="009002F0" w:rsidRPr="009002F0" w:rsidRDefault="009002F0" w:rsidP="009002F0">
            <w:pPr>
              <w:widowControl/>
              <w:autoSpaceDE/>
              <w:autoSpaceDN/>
              <w:adjustRightInd/>
              <w:jc w:val="center"/>
              <w:rPr>
                <w:rFonts w:ascii="Calibri" w:eastAsia="Times New Roman" w:hAnsi="Calibri" w:cs="Calibri"/>
                <w:b/>
                <w:color w:val="FFFFFF"/>
                <w:szCs w:val="22"/>
                <w:lang w:eastAsia="ko-KR"/>
              </w:rPr>
            </w:pPr>
            <w:r w:rsidRPr="009002F0">
              <w:rPr>
                <w:rFonts w:ascii="Calibri" w:eastAsia="Times New Roman" w:hAnsi="Calibri" w:cs="Calibri"/>
                <w:b/>
                <w:color w:val="FFFFFF"/>
                <w:szCs w:val="22"/>
                <w:lang w:eastAsia="ko-KR"/>
              </w:rPr>
              <w:t>Estimates</w:t>
            </w:r>
          </w:p>
        </w:tc>
      </w:tr>
      <w:tr w:rsidR="009002F0" w:rsidRPr="009002F0" w14:paraId="249B2535" w14:textId="77777777" w:rsidTr="009002F0">
        <w:trPr>
          <w:trHeight w:val="330"/>
        </w:trPr>
        <w:tc>
          <w:tcPr>
            <w:tcW w:w="520" w:type="dxa"/>
            <w:tcBorders>
              <w:top w:val="nil"/>
              <w:left w:val="single" w:sz="4" w:space="0" w:color="auto"/>
              <w:bottom w:val="nil"/>
              <w:right w:val="nil"/>
            </w:tcBorders>
            <w:shd w:val="clear" w:color="auto" w:fill="auto"/>
            <w:noWrap/>
            <w:vAlign w:val="bottom"/>
            <w:hideMark/>
          </w:tcPr>
          <w:p w14:paraId="23EF501C"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1</w:t>
            </w:r>
          </w:p>
        </w:tc>
        <w:tc>
          <w:tcPr>
            <w:tcW w:w="6120" w:type="dxa"/>
            <w:gridSpan w:val="2"/>
            <w:tcBorders>
              <w:top w:val="nil"/>
              <w:left w:val="nil"/>
              <w:bottom w:val="nil"/>
              <w:right w:val="single" w:sz="4" w:space="0" w:color="auto"/>
            </w:tcBorders>
            <w:shd w:val="clear" w:color="auto" w:fill="auto"/>
            <w:noWrap/>
            <w:vAlign w:val="bottom"/>
            <w:hideMark/>
          </w:tcPr>
          <w:p w14:paraId="2EE10828"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Irregular foreign workers – stock in 2016 (</w:t>
            </w:r>
            <w:proofErr w:type="spellStart"/>
            <w:r w:rsidRPr="009002F0">
              <w:rPr>
                <w:rFonts w:ascii="Calibri" w:eastAsia="Times New Roman" w:hAnsi="Calibri" w:cs="Calibri"/>
                <w:b/>
                <w:sz w:val="22"/>
                <w:szCs w:val="22"/>
                <w:lang w:eastAsia="ko-KR"/>
              </w:rPr>
              <w:t>a-b-c-d+e+f</w:t>
            </w:r>
            <w:proofErr w:type="spellEnd"/>
            <w:r w:rsidRPr="009002F0">
              <w:rPr>
                <w:rFonts w:ascii="Calibri" w:eastAsia="Times New Roman" w:hAnsi="Calibri" w:cs="Calibri"/>
                <w:b/>
                <w:sz w:val="22"/>
                <w:szCs w:val="22"/>
                <w:lang w:eastAsia="ko-KR"/>
              </w:rPr>
              <w:t xml:space="preserve">) </w:t>
            </w:r>
          </w:p>
        </w:tc>
        <w:tc>
          <w:tcPr>
            <w:tcW w:w="1740" w:type="dxa"/>
            <w:tcBorders>
              <w:top w:val="nil"/>
              <w:left w:val="single" w:sz="4" w:space="0" w:color="auto"/>
              <w:bottom w:val="nil"/>
              <w:right w:val="single" w:sz="4" w:space="0" w:color="auto"/>
            </w:tcBorders>
            <w:shd w:val="clear" w:color="auto" w:fill="auto"/>
            <w:noWrap/>
            <w:vAlign w:val="bottom"/>
            <w:hideMark/>
          </w:tcPr>
          <w:p w14:paraId="0A02B309"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375,582</w:t>
            </w:r>
          </w:p>
        </w:tc>
      </w:tr>
      <w:tr w:rsidR="009002F0" w:rsidRPr="009002F0" w14:paraId="4FDF39F6"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6EEF19EC"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65C2715C"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a</w:t>
            </w:r>
          </w:p>
        </w:tc>
        <w:tc>
          <w:tcPr>
            <w:tcW w:w="5440" w:type="dxa"/>
            <w:tcBorders>
              <w:top w:val="nil"/>
              <w:left w:val="nil"/>
              <w:bottom w:val="nil"/>
              <w:right w:val="single" w:sz="4" w:space="0" w:color="auto"/>
            </w:tcBorders>
            <w:shd w:val="clear" w:color="auto" w:fill="auto"/>
            <w:noWrap/>
            <w:vAlign w:val="bottom"/>
            <w:hideMark/>
          </w:tcPr>
          <w:p w14:paraId="6F83D5B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Non-citizen labor force in 2016 (LFS) </w:t>
            </w:r>
          </w:p>
        </w:tc>
        <w:tc>
          <w:tcPr>
            <w:tcW w:w="1740" w:type="dxa"/>
            <w:tcBorders>
              <w:top w:val="nil"/>
              <w:left w:val="single" w:sz="4" w:space="0" w:color="auto"/>
              <w:bottom w:val="nil"/>
              <w:right w:val="single" w:sz="4" w:space="0" w:color="auto"/>
            </w:tcBorders>
            <w:shd w:val="clear" w:color="auto" w:fill="auto"/>
            <w:noWrap/>
            <w:vAlign w:val="bottom"/>
            <w:hideMark/>
          </w:tcPr>
          <w:p w14:paraId="2FAB0B5A"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2,274,300</w:t>
            </w:r>
          </w:p>
        </w:tc>
      </w:tr>
      <w:tr w:rsidR="009002F0" w:rsidRPr="009002F0" w14:paraId="2B0C9345"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41BF6A09"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6753A2AD"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b</w:t>
            </w:r>
          </w:p>
        </w:tc>
        <w:tc>
          <w:tcPr>
            <w:tcW w:w="5440" w:type="dxa"/>
            <w:tcBorders>
              <w:top w:val="nil"/>
              <w:left w:val="nil"/>
              <w:bottom w:val="nil"/>
              <w:right w:val="single" w:sz="4" w:space="0" w:color="auto"/>
            </w:tcBorders>
            <w:shd w:val="clear" w:color="auto" w:fill="auto"/>
            <w:noWrap/>
            <w:vAlign w:val="bottom"/>
            <w:hideMark/>
          </w:tcPr>
          <w:p w14:paraId="0E94A4A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Lawfully employed foreign population (estimated from the residual approach in 2016)</w:t>
            </w:r>
          </w:p>
        </w:tc>
        <w:tc>
          <w:tcPr>
            <w:tcW w:w="1740" w:type="dxa"/>
            <w:tcBorders>
              <w:top w:val="nil"/>
              <w:left w:val="single" w:sz="4" w:space="0" w:color="auto"/>
              <w:bottom w:val="nil"/>
              <w:right w:val="single" w:sz="4" w:space="0" w:color="auto"/>
            </w:tcBorders>
            <w:shd w:val="clear" w:color="auto" w:fill="auto"/>
            <w:noWrap/>
            <w:vAlign w:val="bottom"/>
            <w:hideMark/>
          </w:tcPr>
          <w:p w14:paraId="777DAAC1"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2,331,751</w:t>
            </w:r>
          </w:p>
        </w:tc>
      </w:tr>
      <w:tr w:rsidR="009002F0" w:rsidRPr="009002F0" w14:paraId="09382782"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1C7A79F0"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21A4A4B0"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c</w:t>
            </w:r>
          </w:p>
        </w:tc>
        <w:tc>
          <w:tcPr>
            <w:tcW w:w="5440" w:type="dxa"/>
            <w:tcBorders>
              <w:top w:val="nil"/>
              <w:left w:val="nil"/>
              <w:bottom w:val="nil"/>
              <w:right w:val="single" w:sz="4" w:space="0" w:color="auto"/>
            </w:tcBorders>
            <w:shd w:val="clear" w:color="auto" w:fill="auto"/>
            <w:noWrap/>
            <w:vAlign w:val="bottom"/>
            <w:hideMark/>
          </w:tcPr>
          <w:p w14:paraId="444EA5C4"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Regularized foreign worker population in 2016</w:t>
            </w:r>
          </w:p>
        </w:tc>
        <w:tc>
          <w:tcPr>
            <w:tcW w:w="1740" w:type="dxa"/>
            <w:tcBorders>
              <w:top w:val="nil"/>
              <w:left w:val="single" w:sz="4" w:space="0" w:color="auto"/>
              <w:bottom w:val="nil"/>
              <w:right w:val="single" w:sz="4" w:space="0" w:color="auto"/>
            </w:tcBorders>
            <w:shd w:val="clear" w:color="auto" w:fill="auto"/>
            <w:noWrap/>
            <w:vAlign w:val="bottom"/>
            <w:hideMark/>
          </w:tcPr>
          <w:p w14:paraId="183A2207"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65,923</w:t>
            </w:r>
          </w:p>
        </w:tc>
      </w:tr>
      <w:tr w:rsidR="009002F0" w:rsidRPr="009002F0" w14:paraId="75B4C2CA" w14:textId="77777777" w:rsidTr="009002F0">
        <w:trPr>
          <w:trHeight w:val="300"/>
        </w:trPr>
        <w:tc>
          <w:tcPr>
            <w:tcW w:w="520" w:type="dxa"/>
            <w:tcBorders>
              <w:top w:val="nil"/>
              <w:left w:val="single" w:sz="4" w:space="0" w:color="auto"/>
              <w:bottom w:val="nil"/>
              <w:right w:val="nil"/>
            </w:tcBorders>
            <w:shd w:val="clear" w:color="auto" w:fill="auto"/>
            <w:noWrap/>
            <w:vAlign w:val="bottom"/>
          </w:tcPr>
          <w:p w14:paraId="4A506C36"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tcPr>
          <w:p w14:paraId="0A54201F"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d</w:t>
            </w:r>
          </w:p>
        </w:tc>
        <w:tc>
          <w:tcPr>
            <w:tcW w:w="5440" w:type="dxa"/>
            <w:tcBorders>
              <w:top w:val="nil"/>
              <w:left w:val="nil"/>
              <w:bottom w:val="nil"/>
              <w:right w:val="single" w:sz="4" w:space="0" w:color="auto"/>
            </w:tcBorders>
            <w:shd w:val="clear" w:color="auto" w:fill="auto"/>
            <w:noWrap/>
            <w:vAlign w:val="bottom"/>
          </w:tcPr>
          <w:p w14:paraId="58610A32"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Deportees</w:t>
            </w:r>
          </w:p>
        </w:tc>
        <w:tc>
          <w:tcPr>
            <w:tcW w:w="1740" w:type="dxa"/>
            <w:tcBorders>
              <w:top w:val="nil"/>
              <w:left w:val="single" w:sz="4" w:space="0" w:color="auto"/>
              <w:bottom w:val="nil"/>
              <w:right w:val="single" w:sz="4" w:space="0" w:color="auto"/>
            </w:tcBorders>
            <w:shd w:val="clear" w:color="auto" w:fill="auto"/>
            <w:noWrap/>
            <w:vAlign w:val="bottom"/>
          </w:tcPr>
          <w:p w14:paraId="1DD0FE34"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130,126</w:t>
            </w:r>
          </w:p>
        </w:tc>
      </w:tr>
      <w:tr w:rsidR="009002F0" w:rsidRPr="009002F0" w14:paraId="7EB7B232" w14:textId="77777777" w:rsidTr="009002F0">
        <w:trPr>
          <w:trHeight w:val="300"/>
        </w:trPr>
        <w:tc>
          <w:tcPr>
            <w:tcW w:w="520" w:type="dxa"/>
            <w:tcBorders>
              <w:top w:val="nil"/>
              <w:left w:val="single" w:sz="4" w:space="0" w:color="auto"/>
              <w:bottom w:val="nil"/>
              <w:right w:val="nil"/>
            </w:tcBorders>
            <w:shd w:val="clear" w:color="auto" w:fill="auto"/>
            <w:noWrap/>
            <w:vAlign w:val="bottom"/>
          </w:tcPr>
          <w:p w14:paraId="32A1BE8A"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tcPr>
          <w:p w14:paraId="0217710E"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e</w:t>
            </w:r>
          </w:p>
        </w:tc>
        <w:tc>
          <w:tcPr>
            <w:tcW w:w="5440" w:type="dxa"/>
            <w:tcBorders>
              <w:top w:val="nil"/>
              <w:left w:val="nil"/>
              <w:bottom w:val="nil"/>
              <w:right w:val="single" w:sz="4" w:space="0" w:color="auto"/>
            </w:tcBorders>
            <w:shd w:val="clear" w:color="auto" w:fill="auto"/>
            <w:noWrap/>
            <w:vAlign w:val="bottom"/>
          </w:tcPr>
          <w:p w14:paraId="5858CD0C"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Undercount of foreign workers</w:t>
            </w:r>
          </w:p>
        </w:tc>
        <w:tc>
          <w:tcPr>
            <w:tcW w:w="1740" w:type="dxa"/>
            <w:tcBorders>
              <w:top w:val="nil"/>
              <w:left w:val="single" w:sz="4" w:space="0" w:color="auto"/>
              <w:bottom w:val="nil"/>
              <w:right w:val="single" w:sz="4" w:space="0" w:color="auto"/>
            </w:tcBorders>
            <w:shd w:val="clear" w:color="auto" w:fill="auto"/>
            <w:noWrap/>
            <w:vAlign w:val="bottom"/>
          </w:tcPr>
          <w:p w14:paraId="61BF3095"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449,344</w:t>
            </w:r>
          </w:p>
        </w:tc>
      </w:tr>
      <w:tr w:rsidR="009002F0" w:rsidRPr="009002F0" w14:paraId="37C5E457" w14:textId="77777777" w:rsidTr="009002F0">
        <w:trPr>
          <w:trHeight w:val="300"/>
        </w:trPr>
        <w:tc>
          <w:tcPr>
            <w:tcW w:w="520" w:type="dxa"/>
            <w:tcBorders>
              <w:top w:val="nil"/>
              <w:left w:val="single" w:sz="4" w:space="0" w:color="auto"/>
              <w:bottom w:val="nil"/>
              <w:right w:val="nil"/>
            </w:tcBorders>
            <w:shd w:val="clear" w:color="auto" w:fill="auto"/>
            <w:noWrap/>
            <w:vAlign w:val="bottom"/>
          </w:tcPr>
          <w:p w14:paraId="683C21D8"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tcPr>
          <w:p w14:paraId="65EB5B12"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f</w:t>
            </w:r>
          </w:p>
        </w:tc>
        <w:tc>
          <w:tcPr>
            <w:tcW w:w="5440" w:type="dxa"/>
            <w:tcBorders>
              <w:top w:val="nil"/>
              <w:left w:val="nil"/>
              <w:bottom w:val="nil"/>
              <w:right w:val="single" w:sz="4" w:space="0" w:color="auto"/>
            </w:tcBorders>
            <w:shd w:val="clear" w:color="auto" w:fill="auto"/>
            <w:noWrap/>
            <w:vAlign w:val="bottom"/>
          </w:tcPr>
          <w:p w14:paraId="1111A832"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Undercount of irregular immigrants</w:t>
            </w:r>
          </w:p>
        </w:tc>
        <w:tc>
          <w:tcPr>
            <w:tcW w:w="1740" w:type="dxa"/>
            <w:tcBorders>
              <w:top w:val="nil"/>
              <w:left w:val="single" w:sz="4" w:space="0" w:color="auto"/>
              <w:bottom w:val="nil"/>
              <w:right w:val="single" w:sz="4" w:space="0" w:color="auto"/>
            </w:tcBorders>
            <w:shd w:val="clear" w:color="auto" w:fill="auto"/>
            <w:noWrap/>
            <w:vAlign w:val="bottom"/>
          </w:tcPr>
          <w:p w14:paraId="6D6E33CB"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179,738</w:t>
            </w:r>
          </w:p>
        </w:tc>
      </w:tr>
      <w:tr w:rsidR="009002F0" w:rsidRPr="009002F0" w14:paraId="0C4D5D38" w14:textId="77777777" w:rsidTr="009002F0">
        <w:trPr>
          <w:trHeight w:val="300"/>
        </w:trPr>
        <w:tc>
          <w:tcPr>
            <w:tcW w:w="520" w:type="dxa"/>
            <w:tcBorders>
              <w:top w:val="nil"/>
              <w:left w:val="single" w:sz="4" w:space="0" w:color="auto"/>
              <w:bottom w:val="nil"/>
              <w:right w:val="nil"/>
            </w:tcBorders>
            <w:shd w:val="clear" w:color="auto" w:fill="auto"/>
            <w:noWrap/>
            <w:vAlign w:val="bottom"/>
          </w:tcPr>
          <w:p w14:paraId="3DD59F2B"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tcPr>
          <w:p w14:paraId="47480BFD"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p>
        </w:tc>
        <w:tc>
          <w:tcPr>
            <w:tcW w:w="5440" w:type="dxa"/>
            <w:tcBorders>
              <w:top w:val="nil"/>
              <w:left w:val="nil"/>
              <w:bottom w:val="nil"/>
              <w:right w:val="single" w:sz="4" w:space="0" w:color="auto"/>
            </w:tcBorders>
            <w:shd w:val="clear" w:color="auto" w:fill="auto"/>
            <w:noWrap/>
            <w:vAlign w:val="bottom"/>
          </w:tcPr>
          <w:p w14:paraId="3200BACF"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p>
        </w:tc>
        <w:tc>
          <w:tcPr>
            <w:tcW w:w="1740" w:type="dxa"/>
            <w:tcBorders>
              <w:top w:val="nil"/>
              <w:left w:val="single" w:sz="4" w:space="0" w:color="auto"/>
              <w:bottom w:val="nil"/>
              <w:right w:val="single" w:sz="4" w:space="0" w:color="auto"/>
            </w:tcBorders>
            <w:shd w:val="clear" w:color="auto" w:fill="auto"/>
            <w:noWrap/>
            <w:vAlign w:val="bottom"/>
          </w:tcPr>
          <w:p w14:paraId="610B5F21"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r>
      <w:tr w:rsidR="009002F0" w:rsidRPr="009002F0" w14:paraId="634A7C9F"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0EFDD3DC"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2</w:t>
            </w:r>
          </w:p>
        </w:tc>
        <w:tc>
          <w:tcPr>
            <w:tcW w:w="6120" w:type="dxa"/>
            <w:gridSpan w:val="2"/>
            <w:tcBorders>
              <w:top w:val="nil"/>
              <w:left w:val="nil"/>
              <w:bottom w:val="nil"/>
              <w:right w:val="single" w:sz="4" w:space="0" w:color="auto"/>
            </w:tcBorders>
            <w:shd w:val="clear" w:color="auto" w:fill="auto"/>
            <w:noWrap/>
            <w:vAlign w:val="bottom"/>
            <w:hideMark/>
          </w:tcPr>
          <w:p w14:paraId="3AB56056"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Irregular foreign workers – flows in 2017 (</w:t>
            </w:r>
            <w:proofErr w:type="spellStart"/>
            <w:r w:rsidRPr="009002F0">
              <w:rPr>
                <w:rFonts w:ascii="Calibri" w:eastAsia="Times New Roman" w:hAnsi="Calibri" w:cs="Calibri"/>
                <w:b/>
                <w:sz w:val="22"/>
                <w:szCs w:val="22"/>
                <w:lang w:eastAsia="ko-KR"/>
              </w:rPr>
              <w:t>a+b+c+d+e</w:t>
            </w:r>
            <w:proofErr w:type="spellEnd"/>
            <w:r w:rsidRPr="009002F0">
              <w:rPr>
                <w:rFonts w:ascii="Calibri" w:eastAsia="Times New Roman" w:hAnsi="Calibri" w:cs="Calibri"/>
                <w:b/>
                <w:sz w:val="22"/>
                <w:szCs w:val="22"/>
                <w:lang w:eastAsia="ko-KR"/>
              </w:rPr>
              <w:t>)</w:t>
            </w:r>
          </w:p>
        </w:tc>
        <w:tc>
          <w:tcPr>
            <w:tcW w:w="1740" w:type="dxa"/>
            <w:tcBorders>
              <w:top w:val="nil"/>
              <w:left w:val="single" w:sz="4" w:space="0" w:color="auto"/>
              <w:bottom w:val="nil"/>
              <w:right w:val="single" w:sz="4" w:space="0" w:color="auto"/>
            </w:tcBorders>
            <w:shd w:val="clear" w:color="auto" w:fill="auto"/>
            <w:noWrap/>
            <w:vAlign w:val="bottom"/>
            <w:hideMark/>
          </w:tcPr>
          <w:p w14:paraId="5B3D8CAC"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852,839</w:t>
            </w:r>
          </w:p>
        </w:tc>
      </w:tr>
      <w:tr w:rsidR="009002F0" w:rsidRPr="009002F0" w14:paraId="31A10D79"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3B9BCD4F"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6320189A"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a. </w:t>
            </w:r>
          </w:p>
        </w:tc>
        <w:tc>
          <w:tcPr>
            <w:tcW w:w="5440" w:type="dxa"/>
            <w:tcBorders>
              <w:top w:val="nil"/>
              <w:left w:val="nil"/>
              <w:bottom w:val="nil"/>
              <w:right w:val="single" w:sz="4" w:space="0" w:color="auto"/>
            </w:tcBorders>
            <w:shd w:val="clear" w:color="auto" w:fill="auto"/>
            <w:noWrap/>
            <w:vAlign w:val="bottom"/>
            <w:hideMark/>
          </w:tcPr>
          <w:p w14:paraId="615CC208"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Refugees and asylum seekers </w:t>
            </w:r>
          </w:p>
        </w:tc>
        <w:tc>
          <w:tcPr>
            <w:tcW w:w="1740" w:type="dxa"/>
            <w:tcBorders>
              <w:top w:val="nil"/>
              <w:left w:val="single" w:sz="4" w:space="0" w:color="auto"/>
              <w:bottom w:val="nil"/>
              <w:right w:val="single" w:sz="4" w:space="0" w:color="auto"/>
            </w:tcBorders>
            <w:shd w:val="clear" w:color="auto" w:fill="auto"/>
            <w:noWrap/>
            <w:vAlign w:val="bottom"/>
            <w:hideMark/>
          </w:tcPr>
          <w:p w14:paraId="3E8C90F0"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151,291</w:t>
            </w:r>
          </w:p>
        </w:tc>
      </w:tr>
      <w:tr w:rsidR="009002F0" w:rsidRPr="009002F0" w14:paraId="0D4875E8"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0A8E9CF9"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1C28B0E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b. </w:t>
            </w:r>
          </w:p>
        </w:tc>
        <w:tc>
          <w:tcPr>
            <w:tcW w:w="5440" w:type="dxa"/>
            <w:tcBorders>
              <w:top w:val="nil"/>
              <w:left w:val="nil"/>
              <w:bottom w:val="nil"/>
              <w:right w:val="single" w:sz="4" w:space="0" w:color="auto"/>
            </w:tcBorders>
            <w:shd w:val="clear" w:color="auto" w:fill="auto"/>
            <w:noWrap/>
            <w:vAlign w:val="bottom"/>
            <w:hideMark/>
          </w:tcPr>
          <w:p w14:paraId="601793D0"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E-visa issuance</w:t>
            </w:r>
          </w:p>
        </w:tc>
        <w:tc>
          <w:tcPr>
            <w:tcW w:w="1740" w:type="dxa"/>
            <w:tcBorders>
              <w:top w:val="nil"/>
              <w:left w:val="single" w:sz="4" w:space="0" w:color="auto"/>
              <w:bottom w:val="nil"/>
              <w:right w:val="single" w:sz="4" w:space="0" w:color="auto"/>
            </w:tcBorders>
            <w:shd w:val="clear" w:color="auto" w:fill="auto"/>
            <w:noWrap/>
            <w:vAlign w:val="bottom"/>
            <w:hideMark/>
          </w:tcPr>
          <w:p w14:paraId="038E831C"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146,408</w:t>
            </w:r>
          </w:p>
        </w:tc>
      </w:tr>
      <w:tr w:rsidR="009002F0" w:rsidRPr="009002F0" w14:paraId="4FE1BD1B"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2FE0099E" w14:textId="77777777" w:rsidR="009002F0" w:rsidRPr="009002F0" w:rsidRDefault="009002F0" w:rsidP="009002F0">
            <w:pPr>
              <w:widowControl/>
              <w:autoSpaceDE/>
              <w:autoSpaceDN/>
              <w:adjustRightInd/>
              <w:jc w:val="right"/>
              <w:rPr>
                <w:rFonts w:ascii="Calibri" w:eastAsia="Times New Roman" w:hAnsi="Calibri" w:cs="Calibri"/>
                <w:sz w:val="22"/>
                <w:szCs w:val="22"/>
                <w:lang w:eastAsia="ko-KR"/>
              </w:rPr>
            </w:pPr>
          </w:p>
        </w:tc>
        <w:tc>
          <w:tcPr>
            <w:tcW w:w="680" w:type="dxa"/>
            <w:tcBorders>
              <w:top w:val="nil"/>
              <w:left w:val="nil"/>
              <w:bottom w:val="nil"/>
              <w:right w:val="nil"/>
            </w:tcBorders>
            <w:shd w:val="clear" w:color="auto" w:fill="auto"/>
            <w:noWrap/>
            <w:hideMark/>
          </w:tcPr>
          <w:p w14:paraId="40DDBF0D"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c</w:t>
            </w:r>
          </w:p>
        </w:tc>
        <w:tc>
          <w:tcPr>
            <w:tcW w:w="5440" w:type="dxa"/>
            <w:tcBorders>
              <w:top w:val="nil"/>
              <w:left w:val="nil"/>
              <w:bottom w:val="nil"/>
              <w:right w:val="single" w:sz="4" w:space="0" w:color="auto"/>
            </w:tcBorders>
            <w:shd w:val="clear" w:color="auto" w:fill="auto"/>
            <w:noWrap/>
            <w:vAlign w:val="bottom"/>
            <w:hideMark/>
          </w:tcPr>
          <w:p w14:paraId="15F72899"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Filipino refugees in Sabah without valid IMM13</w:t>
            </w:r>
          </w:p>
        </w:tc>
        <w:tc>
          <w:tcPr>
            <w:tcW w:w="1740" w:type="dxa"/>
            <w:tcBorders>
              <w:top w:val="nil"/>
              <w:left w:val="single" w:sz="4" w:space="0" w:color="auto"/>
              <w:bottom w:val="nil"/>
              <w:right w:val="single" w:sz="4" w:space="0" w:color="auto"/>
            </w:tcBorders>
            <w:shd w:val="clear" w:color="auto" w:fill="auto"/>
            <w:noWrap/>
            <w:vAlign w:val="bottom"/>
            <w:hideMark/>
          </w:tcPr>
          <w:p w14:paraId="45DD2503" w14:textId="77777777" w:rsidR="009002F0" w:rsidRPr="009002F0" w:rsidRDefault="009002F0" w:rsidP="009002F0">
            <w:pPr>
              <w:widowControl/>
              <w:autoSpaceDE/>
              <w:autoSpaceDN/>
              <w:adjustRightInd/>
              <w:jc w:val="right"/>
              <w:rPr>
                <w:rFonts w:ascii="Calibri" w:eastAsia="Times New Roman" w:hAnsi="Calibri" w:cs="Calibri"/>
                <w:iCs/>
                <w:sz w:val="22"/>
                <w:szCs w:val="22"/>
                <w:lang w:eastAsia="ko-KR"/>
              </w:rPr>
            </w:pPr>
            <w:r w:rsidRPr="009002F0">
              <w:rPr>
                <w:rFonts w:ascii="Calibri" w:eastAsia="Times New Roman" w:hAnsi="Calibri" w:cs="Calibri"/>
                <w:iCs/>
                <w:sz w:val="22"/>
                <w:szCs w:val="22"/>
                <w:lang w:eastAsia="ko-KR"/>
              </w:rPr>
              <w:t>44,000</w:t>
            </w:r>
          </w:p>
        </w:tc>
      </w:tr>
      <w:tr w:rsidR="009002F0" w:rsidRPr="009002F0" w14:paraId="0232B260" w14:textId="77777777" w:rsidTr="009002F0">
        <w:trPr>
          <w:trHeight w:val="300"/>
        </w:trPr>
        <w:tc>
          <w:tcPr>
            <w:tcW w:w="520" w:type="dxa"/>
            <w:tcBorders>
              <w:top w:val="nil"/>
              <w:left w:val="single" w:sz="4" w:space="0" w:color="auto"/>
              <w:bottom w:val="nil"/>
              <w:right w:val="nil"/>
            </w:tcBorders>
            <w:shd w:val="clear" w:color="auto" w:fill="auto"/>
            <w:noWrap/>
            <w:vAlign w:val="bottom"/>
            <w:hideMark/>
          </w:tcPr>
          <w:p w14:paraId="2220868F" w14:textId="77777777" w:rsidR="009002F0" w:rsidRPr="009002F0" w:rsidRDefault="009002F0" w:rsidP="009002F0">
            <w:pPr>
              <w:widowControl/>
              <w:autoSpaceDE/>
              <w:autoSpaceDN/>
              <w:adjustRightInd/>
              <w:jc w:val="right"/>
              <w:rPr>
                <w:rFonts w:ascii="Calibri" w:eastAsia="Times New Roman" w:hAnsi="Calibri" w:cs="Calibri"/>
                <w:i/>
                <w:iCs/>
                <w:sz w:val="20"/>
                <w:szCs w:val="20"/>
                <w:lang w:eastAsia="ko-KR"/>
              </w:rPr>
            </w:pPr>
          </w:p>
        </w:tc>
        <w:tc>
          <w:tcPr>
            <w:tcW w:w="680" w:type="dxa"/>
            <w:tcBorders>
              <w:top w:val="nil"/>
              <w:left w:val="nil"/>
              <w:bottom w:val="nil"/>
              <w:right w:val="nil"/>
            </w:tcBorders>
            <w:shd w:val="clear" w:color="auto" w:fill="auto"/>
            <w:noWrap/>
            <w:hideMark/>
          </w:tcPr>
          <w:p w14:paraId="54D6D5F1"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d</w:t>
            </w:r>
          </w:p>
        </w:tc>
        <w:tc>
          <w:tcPr>
            <w:tcW w:w="5440" w:type="dxa"/>
            <w:tcBorders>
              <w:top w:val="nil"/>
              <w:left w:val="nil"/>
              <w:bottom w:val="nil"/>
              <w:right w:val="single" w:sz="4" w:space="0" w:color="auto"/>
            </w:tcBorders>
            <w:shd w:val="clear" w:color="auto" w:fill="auto"/>
            <w:noWrap/>
            <w:vAlign w:val="bottom"/>
            <w:hideMark/>
          </w:tcPr>
          <w:p w14:paraId="50DA6F04"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Irregulars from failing annual medical exams (2010-17)</w:t>
            </w:r>
          </w:p>
        </w:tc>
        <w:tc>
          <w:tcPr>
            <w:tcW w:w="1740" w:type="dxa"/>
            <w:tcBorders>
              <w:top w:val="nil"/>
              <w:left w:val="single" w:sz="4" w:space="0" w:color="auto"/>
              <w:bottom w:val="nil"/>
              <w:right w:val="single" w:sz="4" w:space="0" w:color="auto"/>
            </w:tcBorders>
            <w:shd w:val="clear" w:color="auto" w:fill="auto"/>
            <w:noWrap/>
            <w:vAlign w:val="center"/>
            <w:hideMark/>
          </w:tcPr>
          <w:p w14:paraId="66E1DEF1" w14:textId="77777777" w:rsidR="009002F0" w:rsidRPr="009002F0" w:rsidRDefault="009002F0" w:rsidP="009002F0">
            <w:pPr>
              <w:widowControl/>
              <w:autoSpaceDE/>
              <w:autoSpaceDN/>
              <w:adjustRightInd/>
              <w:jc w:val="right"/>
              <w:rPr>
                <w:rFonts w:ascii="Calibri" w:eastAsia="Times New Roman" w:hAnsi="Calibri" w:cs="Calibri"/>
                <w:color w:val="auto"/>
                <w:sz w:val="22"/>
                <w:szCs w:val="22"/>
                <w:lang w:eastAsia="ko-KR"/>
              </w:rPr>
            </w:pPr>
            <w:r w:rsidRPr="009002F0">
              <w:rPr>
                <w:rFonts w:ascii="Calibri" w:eastAsia="Times New Roman" w:hAnsi="Calibri" w:cs="Calibri"/>
                <w:color w:val="auto"/>
                <w:sz w:val="22"/>
                <w:szCs w:val="22"/>
                <w:lang w:eastAsia="ko-KR"/>
              </w:rPr>
              <w:t>242,976</w:t>
            </w:r>
          </w:p>
        </w:tc>
      </w:tr>
      <w:tr w:rsidR="009002F0" w:rsidRPr="009002F0" w14:paraId="5E1224C4" w14:textId="77777777" w:rsidTr="009002F0">
        <w:trPr>
          <w:trHeight w:val="300"/>
        </w:trPr>
        <w:tc>
          <w:tcPr>
            <w:tcW w:w="520" w:type="dxa"/>
            <w:tcBorders>
              <w:top w:val="nil"/>
              <w:left w:val="single" w:sz="4" w:space="0" w:color="auto"/>
              <w:right w:val="nil"/>
            </w:tcBorders>
            <w:shd w:val="clear" w:color="auto" w:fill="auto"/>
            <w:noWrap/>
            <w:vAlign w:val="bottom"/>
            <w:hideMark/>
          </w:tcPr>
          <w:p w14:paraId="6DF1B2C9" w14:textId="77777777" w:rsidR="009002F0" w:rsidRPr="009002F0" w:rsidRDefault="009002F0" w:rsidP="009002F0">
            <w:pPr>
              <w:widowControl/>
              <w:autoSpaceDE/>
              <w:autoSpaceDN/>
              <w:adjustRightInd/>
              <w:jc w:val="center"/>
              <w:rPr>
                <w:rFonts w:ascii="Calibri" w:eastAsia="Times New Roman" w:hAnsi="Calibri" w:cs="Calibri"/>
                <w:color w:val="auto"/>
                <w:sz w:val="22"/>
                <w:szCs w:val="22"/>
                <w:lang w:eastAsia="ko-KR"/>
              </w:rPr>
            </w:pPr>
          </w:p>
        </w:tc>
        <w:tc>
          <w:tcPr>
            <w:tcW w:w="680" w:type="dxa"/>
            <w:tcBorders>
              <w:top w:val="nil"/>
              <w:left w:val="nil"/>
              <w:right w:val="nil"/>
            </w:tcBorders>
            <w:shd w:val="clear" w:color="auto" w:fill="auto"/>
            <w:noWrap/>
            <w:hideMark/>
          </w:tcPr>
          <w:p w14:paraId="6C64C5C6"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e</w:t>
            </w:r>
          </w:p>
        </w:tc>
        <w:tc>
          <w:tcPr>
            <w:tcW w:w="5440" w:type="dxa"/>
            <w:tcBorders>
              <w:top w:val="nil"/>
              <w:left w:val="nil"/>
              <w:right w:val="single" w:sz="4" w:space="0" w:color="auto"/>
            </w:tcBorders>
            <w:shd w:val="clear" w:color="auto" w:fill="auto"/>
            <w:noWrap/>
            <w:vAlign w:val="bottom"/>
            <w:hideMark/>
          </w:tcPr>
          <w:p w14:paraId="71043E54"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 xml:space="preserve">Irregulars responding to new unmet demand </w:t>
            </w:r>
          </w:p>
        </w:tc>
        <w:tc>
          <w:tcPr>
            <w:tcW w:w="1740" w:type="dxa"/>
            <w:tcBorders>
              <w:top w:val="nil"/>
              <w:left w:val="single" w:sz="4" w:space="0" w:color="auto"/>
              <w:right w:val="single" w:sz="4" w:space="0" w:color="auto"/>
            </w:tcBorders>
            <w:shd w:val="clear" w:color="auto" w:fill="auto"/>
            <w:noWrap/>
            <w:vAlign w:val="bottom"/>
            <w:hideMark/>
          </w:tcPr>
          <w:p w14:paraId="4AD81107" w14:textId="77777777" w:rsidR="009002F0" w:rsidRPr="009002F0" w:rsidRDefault="009002F0" w:rsidP="009002F0">
            <w:pPr>
              <w:widowControl/>
              <w:autoSpaceDE/>
              <w:autoSpaceDN/>
              <w:adjustRightInd/>
              <w:jc w:val="right"/>
              <w:rPr>
                <w:rFonts w:ascii="Calibri" w:eastAsia="Times New Roman" w:hAnsi="Calibri" w:cs="Calibri"/>
                <w:iCs/>
                <w:sz w:val="22"/>
                <w:szCs w:val="22"/>
                <w:lang w:eastAsia="ko-KR"/>
              </w:rPr>
            </w:pPr>
            <w:r w:rsidRPr="009002F0">
              <w:rPr>
                <w:rFonts w:ascii="Calibri" w:eastAsia="Times New Roman" w:hAnsi="Calibri" w:cs="Calibri"/>
                <w:iCs/>
                <w:sz w:val="22"/>
                <w:szCs w:val="22"/>
                <w:lang w:eastAsia="ko-KR"/>
              </w:rPr>
              <w:t>268,164</w:t>
            </w:r>
          </w:p>
        </w:tc>
      </w:tr>
      <w:tr w:rsidR="009002F0" w:rsidRPr="009002F0" w14:paraId="53E2EAEA" w14:textId="77777777" w:rsidTr="009002F0">
        <w:trPr>
          <w:trHeight w:val="300"/>
        </w:trPr>
        <w:tc>
          <w:tcPr>
            <w:tcW w:w="520" w:type="dxa"/>
            <w:tcBorders>
              <w:top w:val="nil"/>
              <w:left w:val="single" w:sz="4" w:space="0" w:color="auto"/>
              <w:right w:val="nil"/>
            </w:tcBorders>
            <w:shd w:val="clear" w:color="auto" w:fill="auto"/>
            <w:noWrap/>
            <w:vAlign w:val="bottom"/>
          </w:tcPr>
          <w:p w14:paraId="79194A44" w14:textId="77777777" w:rsidR="009002F0" w:rsidRPr="009002F0" w:rsidRDefault="009002F0" w:rsidP="009002F0">
            <w:pPr>
              <w:widowControl/>
              <w:autoSpaceDE/>
              <w:autoSpaceDN/>
              <w:adjustRightInd/>
              <w:jc w:val="center"/>
              <w:rPr>
                <w:rFonts w:ascii="Calibri" w:eastAsia="Times New Roman" w:hAnsi="Calibri" w:cs="Calibri"/>
                <w:color w:val="auto"/>
                <w:sz w:val="22"/>
                <w:szCs w:val="22"/>
                <w:lang w:eastAsia="ko-KR"/>
              </w:rPr>
            </w:pPr>
          </w:p>
        </w:tc>
        <w:tc>
          <w:tcPr>
            <w:tcW w:w="680" w:type="dxa"/>
            <w:tcBorders>
              <w:top w:val="nil"/>
              <w:left w:val="nil"/>
              <w:right w:val="nil"/>
            </w:tcBorders>
            <w:shd w:val="clear" w:color="auto" w:fill="auto"/>
            <w:noWrap/>
          </w:tcPr>
          <w:p w14:paraId="5A431574"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p>
        </w:tc>
        <w:tc>
          <w:tcPr>
            <w:tcW w:w="5440" w:type="dxa"/>
            <w:tcBorders>
              <w:top w:val="nil"/>
              <w:left w:val="nil"/>
              <w:right w:val="single" w:sz="4" w:space="0" w:color="auto"/>
            </w:tcBorders>
            <w:shd w:val="clear" w:color="auto" w:fill="auto"/>
            <w:noWrap/>
            <w:vAlign w:val="bottom"/>
          </w:tcPr>
          <w:p w14:paraId="5A9ADBA1" w14:textId="77777777" w:rsidR="009002F0" w:rsidRPr="009002F0" w:rsidRDefault="009002F0" w:rsidP="009002F0">
            <w:pPr>
              <w:widowControl/>
              <w:autoSpaceDE/>
              <w:autoSpaceDN/>
              <w:adjustRightInd/>
              <w:rPr>
                <w:rFonts w:ascii="Calibri" w:eastAsia="Times New Roman" w:hAnsi="Calibri" w:cs="Calibri"/>
                <w:sz w:val="22"/>
                <w:szCs w:val="22"/>
                <w:lang w:eastAsia="ko-KR"/>
              </w:rPr>
            </w:pPr>
          </w:p>
        </w:tc>
        <w:tc>
          <w:tcPr>
            <w:tcW w:w="1740" w:type="dxa"/>
            <w:tcBorders>
              <w:top w:val="nil"/>
              <w:left w:val="single" w:sz="4" w:space="0" w:color="auto"/>
              <w:right w:val="single" w:sz="4" w:space="0" w:color="auto"/>
            </w:tcBorders>
            <w:shd w:val="clear" w:color="auto" w:fill="auto"/>
            <w:noWrap/>
            <w:vAlign w:val="bottom"/>
          </w:tcPr>
          <w:p w14:paraId="01E89D30" w14:textId="77777777" w:rsidR="009002F0" w:rsidRPr="009002F0" w:rsidRDefault="009002F0" w:rsidP="009002F0">
            <w:pPr>
              <w:widowControl/>
              <w:autoSpaceDE/>
              <w:autoSpaceDN/>
              <w:adjustRightInd/>
              <w:jc w:val="right"/>
              <w:rPr>
                <w:rFonts w:ascii="Calibri" w:eastAsia="Times New Roman" w:hAnsi="Calibri" w:cs="Calibri"/>
                <w:iCs/>
                <w:sz w:val="22"/>
                <w:szCs w:val="22"/>
                <w:lang w:eastAsia="ko-KR"/>
              </w:rPr>
            </w:pPr>
          </w:p>
        </w:tc>
      </w:tr>
      <w:tr w:rsidR="009002F0" w:rsidRPr="009002F0" w14:paraId="41E10669" w14:textId="77777777" w:rsidTr="009002F0">
        <w:trPr>
          <w:trHeight w:val="300"/>
        </w:trPr>
        <w:tc>
          <w:tcPr>
            <w:tcW w:w="520" w:type="dxa"/>
            <w:tcBorders>
              <w:top w:val="nil"/>
              <w:left w:val="single" w:sz="4" w:space="0" w:color="auto"/>
              <w:bottom w:val="single" w:sz="4" w:space="0" w:color="auto"/>
              <w:right w:val="nil"/>
            </w:tcBorders>
            <w:shd w:val="clear" w:color="auto" w:fill="FFF2CC"/>
            <w:noWrap/>
            <w:vAlign w:val="bottom"/>
            <w:hideMark/>
          </w:tcPr>
          <w:p w14:paraId="435B00DB" w14:textId="77777777" w:rsidR="009002F0" w:rsidRPr="009002F0" w:rsidRDefault="009002F0" w:rsidP="009002F0">
            <w:pPr>
              <w:widowControl/>
              <w:autoSpaceDE/>
              <w:autoSpaceDN/>
              <w:adjustRightInd/>
              <w:jc w:val="right"/>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3</w:t>
            </w:r>
          </w:p>
        </w:tc>
        <w:tc>
          <w:tcPr>
            <w:tcW w:w="6120" w:type="dxa"/>
            <w:gridSpan w:val="2"/>
            <w:tcBorders>
              <w:top w:val="nil"/>
              <w:left w:val="nil"/>
              <w:bottom w:val="single" w:sz="4" w:space="0" w:color="auto"/>
              <w:right w:val="single" w:sz="4" w:space="0" w:color="auto"/>
            </w:tcBorders>
            <w:shd w:val="clear" w:color="auto" w:fill="FFF2CC"/>
            <w:noWrap/>
            <w:vAlign w:val="bottom"/>
            <w:hideMark/>
          </w:tcPr>
          <w:p w14:paraId="153CA6FB" w14:textId="77777777" w:rsidR="009002F0" w:rsidRPr="009002F0" w:rsidRDefault="009002F0" w:rsidP="009002F0">
            <w:pPr>
              <w:widowControl/>
              <w:autoSpaceDE/>
              <w:autoSpaceDN/>
              <w:adjustRightInd/>
              <w:rPr>
                <w:rFonts w:ascii="Calibri" w:eastAsia="Times New Roman" w:hAnsi="Calibri" w:cs="Calibri"/>
                <w:b/>
                <w:sz w:val="22"/>
                <w:szCs w:val="22"/>
                <w:lang w:eastAsia="ko-KR"/>
              </w:rPr>
            </w:pPr>
            <w:r w:rsidRPr="009002F0">
              <w:rPr>
                <w:rFonts w:ascii="Calibri" w:eastAsia="Times New Roman" w:hAnsi="Calibri" w:cs="Calibri"/>
                <w:b/>
                <w:sz w:val="22"/>
                <w:szCs w:val="22"/>
                <w:lang w:eastAsia="ko-KR"/>
              </w:rPr>
              <w:t>Irregular foreign workers (1+2)</w:t>
            </w:r>
          </w:p>
        </w:tc>
        <w:tc>
          <w:tcPr>
            <w:tcW w:w="1740" w:type="dxa"/>
            <w:tcBorders>
              <w:top w:val="nil"/>
              <w:left w:val="single" w:sz="4" w:space="0" w:color="auto"/>
              <w:bottom w:val="single" w:sz="4" w:space="0" w:color="auto"/>
              <w:right w:val="single" w:sz="4" w:space="0" w:color="auto"/>
            </w:tcBorders>
            <w:shd w:val="clear" w:color="auto" w:fill="FFF2CC"/>
            <w:noWrap/>
            <w:vAlign w:val="bottom"/>
            <w:hideMark/>
          </w:tcPr>
          <w:p w14:paraId="52DEA15B" w14:textId="77777777" w:rsidR="009002F0" w:rsidRPr="009002F0" w:rsidRDefault="009002F0" w:rsidP="009002F0">
            <w:pPr>
              <w:widowControl/>
              <w:autoSpaceDE/>
              <w:autoSpaceDN/>
              <w:adjustRightInd/>
              <w:jc w:val="right"/>
              <w:rPr>
                <w:rFonts w:ascii="Calibri" w:eastAsia="Times New Roman" w:hAnsi="Calibri" w:cs="Calibri"/>
                <w:b/>
                <w:iCs/>
                <w:sz w:val="22"/>
                <w:szCs w:val="22"/>
                <w:lang w:eastAsia="ko-KR"/>
              </w:rPr>
            </w:pPr>
            <w:r w:rsidRPr="009002F0">
              <w:rPr>
                <w:rFonts w:ascii="Calibri" w:eastAsia="Times New Roman" w:hAnsi="Calibri" w:cs="Calibri"/>
                <w:b/>
                <w:iCs/>
                <w:sz w:val="22"/>
                <w:szCs w:val="22"/>
                <w:lang w:eastAsia="ko-KR"/>
              </w:rPr>
              <w:t>1,228,421</w:t>
            </w:r>
          </w:p>
        </w:tc>
      </w:tr>
    </w:tbl>
    <w:p w14:paraId="70BFC8A0"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Source: Authors’ computations based on DOSM, MOHA and other data sources mentioned in Section 4. </w:t>
      </w:r>
    </w:p>
    <w:p w14:paraId="0880A434"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Note: As mentioned earlier, calculations assume the irregulars stay for at least ten years in Malaysia, based on focus group discussions in Indonesia and on the maximum duration permitted for regular foreign workers.  </w:t>
      </w:r>
    </w:p>
    <w:p w14:paraId="4A281EF4" w14:textId="77777777" w:rsidR="009002F0" w:rsidRPr="009002F0" w:rsidRDefault="009002F0" w:rsidP="009002F0">
      <w:pPr>
        <w:keepNext/>
        <w:keepLines/>
        <w:widowControl/>
        <w:autoSpaceDE/>
        <w:autoSpaceDN/>
        <w:adjustRightInd/>
        <w:spacing w:before="360" w:after="240"/>
        <w:jc w:val="center"/>
        <w:outlineLvl w:val="1"/>
        <w:rPr>
          <w:rFonts w:ascii="Calibri" w:eastAsia="Malgun Gothic" w:hAnsi="Calibri" w:cs="Times New Roman"/>
          <w:color w:val="006068"/>
          <w:sz w:val="26"/>
          <w:szCs w:val="28"/>
          <w:u w:val="single"/>
          <w:lang w:eastAsia="ko-KR"/>
        </w:rPr>
      </w:pPr>
      <w:bookmarkStart w:id="109" w:name="_Toc536052737"/>
      <w:bookmarkStart w:id="110" w:name="_Toc4581535"/>
      <w:r w:rsidRPr="009002F0">
        <w:rPr>
          <w:rFonts w:ascii="Calibri" w:eastAsia="Malgun Gothic" w:hAnsi="Calibri" w:cs="Times New Roman"/>
          <w:color w:val="006068"/>
          <w:sz w:val="26"/>
          <w:szCs w:val="28"/>
          <w:u w:val="single"/>
          <w:lang w:eastAsia="ko-KR"/>
        </w:rPr>
        <w:t>5.3 A remittance-data driven approach</w:t>
      </w:r>
      <w:bookmarkEnd w:id="109"/>
      <w:bookmarkEnd w:id="110"/>
      <w:r w:rsidRPr="009002F0">
        <w:rPr>
          <w:rFonts w:ascii="Calibri" w:eastAsia="Malgun Gothic" w:hAnsi="Calibri" w:cs="Times New Roman"/>
          <w:color w:val="006068"/>
          <w:sz w:val="26"/>
          <w:szCs w:val="28"/>
          <w:u w:val="single"/>
          <w:lang w:eastAsia="ko-KR"/>
        </w:rPr>
        <w:t xml:space="preserve"> </w:t>
      </w:r>
    </w:p>
    <w:p w14:paraId="00385C19"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111" w:name="_Toc536052738"/>
      <w:bookmarkStart w:id="112" w:name="_Toc4581536"/>
      <w:r w:rsidRPr="009002F0">
        <w:rPr>
          <w:rFonts w:ascii="Calibri" w:eastAsia="Malgun Gothic" w:hAnsi="Calibri" w:cs="Times New Roman"/>
          <w:i/>
          <w:color w:val="00ADE4"/>
          <w:lang w:eastAsia="ko-KR"/>
        </w:rPr>
        <w:t>5.3.1 Data</w:t>
      </w:r>
      <w:bookmarkEnd w:id="111"/>
      <w:bookmarkEnd w:id="112"/>
      <w:r w:rsidRPr="009002F0">
        <w:rPr>
          <w:rFonts w:ascii="Calibri" w:eastAsia="Malgun Gothic" w:hAnsi="Calibri" w:cs="Times New Roman"/>
          <w:i/>
          <w:color w:val="00ADE4"/>
          <w:lang w:eastAsia="ko-KR"/>
        </w:rPr>
        <w:t xml:space="preserve"> </w:t>
      </w:r>
    </w:p>
    <w:p w14:paraId="0D31DC50"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Since 2016, </w:t>
      </w:r>
      <w:r w:rsidRPr="009002F0">
        <w:rPr>
          <w:rFonts w:ascii="Calibri" w:eastAsia="Calibri" w:hAnsi="Calibri" w:cs="Times New Roman"/>
          <w:color w:val="auto"/>
          <w:szCs w:val="22"/>
        </w:rPr>
        <w:t xml:space="preserve">Bank Negara Malaysia (BNM) </w:t>
      </w:r>
      <w:r w:rsidRPr="009002F0">
        <w:rPr>
          <w:rFonts w:ascii="Calibri" w:eastAsia="Malgun Gothic" w:hAnsi="Calibri" w:cs="Times New Roman"/>
          <w:color w:val="auto"/>
          <w:szCs w:val="22"/>
          <w:lang w:eastAsia="ko-KR"/>
        </w:rPr>
        <w:t xml:space="preserve">has been building a database on outbound remittance transactions reported by remittance service providers (RSPs), part of its monitoring of money-transfer activities and of implementing statistical obligations. These </w:t>
      </w:r>
      <w:r w:rsidRPr="009002F0">
        <w:rPr>
          <w:rFonts w:ascii="Calibri" w:eastAsia="Malgun Gothic" w:hAnsi="Calibri" w:cs="Times New Roman"/>
          <w:color w:val="auto"/>
          <w:szCs w:val="22"/>
          <w:lang w:eastAsia="ko-KR"/>
        </w:rPr>
        <w:lastRenderedPageBreak/>
        <w:t xml:space="preserve">include transactions undertaken by post offices, money changers, and money wholesalers who are subject to BNM’s supervision. </w:t>
      </w:r>
    </w:p>
    <w:p w14:paraId="4CDDA980"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Transaction reporting by banks is not detailed transaction-level data, but rather monthly aggregate sums, and therefore this dataset excludes money-transfer transactions undertaken by regular banks or by informal channels such as individuals travelling to a destination country, or informal transfer systems (chit, </w:t>
      </w:r>
      <w:proofErr w:type="spellStart"/>
      <w:r w:rsidRPr="009002F0">
        <w:rPr>
          <w:rFonts w:ascii="Calibri" w:eastAsia="Malgun Gothic" w:hAnsi="Calibri" w:cs="Times New Roman"/>
          <w:color w:val="auto"/>
          <w:szCs w:val="22"/>
          <w:lang w:eastAsia="ko-KR"/>
        </w:rPr>
        <w:t>fei</w:t>
      </w:r>
      <w:proofErr w:type="spellEnd"/>
      <w:r w:rsidRPr="009002F0">
        <w:rPr>
          <w:rFonts w:ascii="Calibri" w:eastAsia="Malgun Gothic" w:hAnsi="Calibri" w:cs="Times New Roman"/>
          <w:color w:val="auto"/>
          <w:szCs w:val="22"/>
          <w:lang w:eastAsia="ko-KR"/>
        </w:rPr>
        <w:t xml:space="preserve"> </w:t>
      </w:r>
      <w:proofErr w:type="spellStart"/>
      <w:r w:rsidRPr="009002F0">
        <w:rPr>
          <w:rFonts w:ascii="Calibri" w:eastAsia="Malgun Gothic" w:hAnsi="Calibri" w:cs="Times New Roman"/>
          <w:color w:val="auto"/>
          <w:szCs w:val="22"/>
          <w:lang w:eastAsia="ko-KR"/>
        </w:rPr>
        <w:t>ch’en</w:t>
      </w:r>
      <w:proofErr w:type="spellEnd"/>
      <w:r w:rsidRPr="009002F0">
        <w:rPr>
          <w:rFonts w:ascii="Calibri" w:eastAsia="Malgun Gothic" w:hAnsi="Calibri" w:cs="Times New Roman"/>
          <w:color w:val="auto"/>
          <w:szCs w:val="22"/>
          <w:lang w:eastAsia="ko-KR"/>
        </w:rPr>
        <w:t>, hundi or hwala</w:t>
      </w:r>
      <w:r w:rsidRPr="009002F0">
        <w:rPr>
          <w:rFonts w:ascii="ZWAdobeF" w:eastAsia="Malgun Gothic" w:hAnsi="ZWAdobeF" w:cs="ZWAdobeF"/>
          <w:color w:val="auto"/>
          <w:sz w:val="2"/>
          <w:szCs w:val="2"/>
          <w:lang w:eastAsia="ko-KR"/>
        </w:rPr>
        <w:t>30F</w:t>
      </w:r>
      <w:r w:rsidRPr="009002F0">
        <w:rPr>
          <w:rFonts w:ascii="Calibri" w:eastAsia="Malgun Gothic" w:hAnsi="Calibri" w:cs="Times New Roman"/>
          <w:color w:val="auto"/>
          <w:szCs w:val="22"/>
          <w:vertAlign w:val="superscript"/>
          <w:lang w:eastAsia="ko-KR"/>
        </w:rPr>
        <w:footnoteReference w:id="31"/>
      </w:r>
      <w:r w:rsidRPr="009002F0">
        <w:rPr>
          <w:rFonts w:ascii="Calibri" w:eastAsia="Malgun Gothic" w:hAnsi="Calibri" w:cs="Times New Roman"/>
          <w:color w:val="auto"/>
          <w:szCs w:val="22"/>
          <w:lang w:eastAsia="ko-KR"/>
        </w:rPr>
        <w:t>).</w:t>
      </w:r>
    </w:p>
    <w:p w14:paraId="6EBC83CE"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RSP transaction data are daily and contain the full details of individual transactions, such as information on money senders and beneficiaries collected by RSPs at the transaction point in compliance with the BNM’s Know Your Customer (KYC) policy, as well as information on transaction amounts and the location of the RSPs at the state level.  </w:t>
      </w:r>
    </w:p>
    <w:p w14:paraId="51197178"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Full details for a remitter include the remitter’s name, passport or other identification number, date of birth, nationality, occupation, purpose of transfer, transfer-destination country, currency of transfer, source of finance, and the type of remitter (individual or company).  On the beneficiary side, the information includes the beneficiary’s name, account number (while not always completed), family relationship with the remitter, and the ultimate beneficiary’s name and identification number.   </w:t>
      </w:r>
    </w:p>
    <w:p w14:paraId="5822D758"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The data can be used to estimate the stock of irregulars, using those transactions with foreign government IDs and transactions by one foreigner to multiple beneficiaries (seemingly unrelated) as proxies to identify irregular foreign workers. Furthermore, it allows us to estimate the distribution of foreign workers by state, using the geographical codes for Money Services Provider (MSP) premises. This transaction dataset is massive and in this exercise we </w:t>
      </w:r>
      <w:proofErr w:type="gramStart"/>
      <w:r w:rsidRPr="009002F0">
        <w:rPr>
          <w:rFonts w:ascii="Calibri" w:eastAsia="Malgun Gothic" w:hAnsi="Calibri" w:cs="Times New Roman"/>
          <w:color w:val="auto"/>
          <w:szCs w:val="22"/>
          <w:lang w:eastAsia="ko-KR"/>
        </w:rPr>
        <w:t>look into</w:t>
      </w:r>
      <w:proofErr w:type="gramEnd"/>
      <w:r w:rsidRPr="009002F0">
        <w:rPr>
          <w:rFonts w:ascii="Calibri" w:eastAsia="Malgun Gothic" w:hAnsi="Calibri" w:cs="Times New Roman"/>
          <w:color w:val="auto"/>
          <w:szCs w:val="22"/>
          <w:lang w:eastAsia="ko-KR"/>
        </w:rPr>
        <w:t xml:space="preserve"> a one-year period</w:t>
      </w:r>
      <w:r w:rsidRPr="009002F0">
        <w:rPr>
          <w:rFonts w:ascii="Calibri" w:eastAsia="Malgun Gothic" w:hAnsi="Calibri" w:cs="Calibri"/>
          <w:color w:val="auto"/>
          <w:szCs w:val="22"/>
          <w:lang w:eastAsia="ko-KR"/>
        </w:rPr>
        <w:t>—</w:t>
      </w:r>
      <w:r w:rsidRPr="009002F0">
        <w:rPr>
          <w:rFonts w:ascii="Calibri" w:eastAsia="Malgun Gothic" w:hAnsi="Calibri" w:cs="Times New Roman"/>
          <w:color w:val="auto"/>
          <w:szCs w:val="22"/>
          <w:lang w:eastAsia="ko-KR"/>
        </w:rPr>
        <w:t>March 2017 through February 2018</w:t>
      </w:r>
      <w:r w:rsidRPr="009002F0">
        <w:rPr>
          <w:rFonts w:ascii="Calibri" w:eastAsia="Malgun Gothic" w:hAnsi="Calibri" w:cs="Calibri"/>
          <w:color w:val="auto"/>
          <w:szCs w:val="22"/>
          <w:lang w:eastAsia="ko-KR"/>
        </w:rPr>
        <w:t>—</w:t>
      </w:r>
      <w:r w:rsidRPr="009002F0">
        <w:rPr>
          <w:rFonts w:ascii="Calibri" w:eastAsia="Malgun Gothic" w:hAnsi="Calibri" w:cs="Calibri"/>
          <w:szCs w:val="22"/>
          <w:lang w:eastAsia="ko-KR"/>
        </w:rPr>
        <w:t>as the work permit issuance and renewals in March tend to be higher than in other months.</w:t>
      </w:r>
    </w:p>
    <w:p w14:paraId="4BAC2123" w14:textId="77777777" w:rsidR="009002F0" w:rsidRPr="009002F0" w:rsidRDefault="009002F0" w:rsidP="009002F0">
      <w:pPr>
        <w:keepNext/>
        <w:keepLines/>
        <w:widowControl/>
        <w:autoSpaceDE/>
        <w:autoSpaceDN/>
        <w:adjustRightInd/>
        <w:spacing w:before="40"/>
        <w:outlineLvl w:val="2"/>
        <w:rPr>
          <w:rFonts w:ascii="Calibri" w:eastAsia="Malgun Gothic" w:hAnsi="Calibri" w:cs="Times New Roman"/>
          <w:i/>
          <w:color w:val="00ADE4"/>
          <w:lang w:eastAsia="ko-KR"/>
        </w:rPr>
      </w:pPr>
      <w:bookmarkStart w:id="113" w:name="_Toc536052739"/>
      <w:bookmarkStart w:id="114" w:name="_Toc4581537"/>
      <w:r w:rsidRPr="009002F0">
        <w:rPr>
          <w:rFonts w:ascii="Calibri" w:eastAsia="Malgun Gothic" w:hAnsi="Calibri" w:cs="Times New Roman"/>
          <w:i/>
          <w:color w:val="00ADE4"/>
          <w:lang w:eastAsia="ko-KR"/>
        </w:rPr>
        <w:t>5.3.2 Methodology to identify potential irregular foreign workers</w:t>
      </w:r>
      <w:bookmarkEnd w:id="113"/>
      <w:bookmarkEnd w:id="114"/>
      <w:r w:rsidRPr="009002F0">
        <w:rPr>
          <w:rFonts w:ascii="Calibri" w:eastAsia="Malgun Gothic" w:hAnsi="Calibri" w:cs="Times New Roman"/>
          <w:i/>
          <w:color w:val="00ADE4"/>
          <w:lang w:eastAsia="ko-KR"/>
        </w:rPr>
        <w:t xml:space="preserve"> </w:t>
      </w:r>
    </w:p>
    <w:p w14:paraId="25801136"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The objective was to create a dataset with a unique identification code for each individual remitter, a considerable undertaking considering the millions of transaction records. In doing this, the approach references findings from the World Bank Greenback2.0 surveys in Johor Bahru and the foreign worker regime implemented by the Ministry of Home Affairs to identify foreign workers. Cautions are called for in using findings from the Greenback2.0 surveys as the surveys may not represent the entire foreign worker population in Malaysia. Specific steps to prepare a sample are as follows (see Annex 2 for further discussion on each relevant variable and associated risks). </w:t>
      </w:r>
    </w:p>
    <w:p w14:paraId="3D2101C2"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b/>
          <w:szCs w:val="22"/>
          <w:lang w:eastAsia="ko-KR"/>
        </w:rPr>
      </w:pPr>
      <w:r w:rsidRPr="009002F0">
        <w:rPr>
          <w:rFonts w:ascii="Calibri" w:eastAsia="Malgun Gothic" w:hAnsi="Calibri" w:cs="Calibri"/>
          <w:b/>
          <w:szCs w:val="22"/>
          <w:lang w:eastAsia="ko-KR"/>
        </w:rPr>
        <w:t xml:space="preserve">Step 1. Create a potential foreign worker sample, using information on senders’ characteristics. </w:t>
      </w:r>
    </w:p>
    <w:p w14:paraId="364D51B5" w14:textId="77777777" w:rsidR="009002F0" w:rsidRPr="009002F0" w:rsidRDefault="009002F0" w:rsidP="009002F0">
      <w:pPr>
        <w:widowControl/>
        <w:numPr>
          <w:ilvl w:val="0"/>
          <w:numId w:val="2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It excludes Malaysian remitters except the cases in which the remitter sends money to multiple recipients in different countries. This can be an indication that the person is sending money on behalf of several foreign workers. </w:t>
      </w:r>
    </w:p>
    <w:p w14:paraId="4F446B9D" w14:textId="77777777" w:rsidR="009002F0" w:rsidRPr="009002F0" w:rsidRDefault="009002F0" w:rsidP="009002F0">
      <w:pPr>
        <w:widowControl/>
        <w:numPr>
          <w:ilvl w:val="0"/>
          <w:numId w:val="2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lastRenderedPageBreak/>
        <w:t xml:space="preserve">As discussed earlier, an average monthly wage of foreign workers is not more than $650 and therefore we exclude those individuals whose monthly remittance is more than $650. As a point of reference, the KNOMAD surveys show that Vietnamese workers in the manufacturing sector send, on average, US$200/month to their family members back home.  </w:t>
      </w:r>
    </w:p>
    <w:p w14:paraId="0EE13E3B" w14:textId="77777777" w:rsidR="009002F0" w:rsidRPr="009002F0" w:rsidRDefault="009002F0" w:rsidP="009002F0">
      <w:pPr>
        <w:widowControl/>
        <w:numPr>
          <w:ilvl w:val="0"/>
          <w:numId w:val="2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Using variables of a unique id code, passport number, date of birth, and nationality, we identify a unique individual identifier. If a person sends money to multiple beneficiaries, it is very likely that the person is doing so on behalf of others and therefore we assign the individual IDs to recipients, rather than to the sender. </w:t>
      </w:r>
    </w:p>
    <w:p w14:paraId="721D08E4"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b/>
          <w:szCs w:val="22"/>
          <w:lang w:eastAsia="ko-KR"/>
        </w:rPr>
      </w:pPr>
      <w:r w:rsidRPr="009002F0">
        <w:rPr>
          <w:rFonts w:ascii="Calibri" w:eastAsia="Malgun Gothic" w:hAnsi="Calibri" w:cs="Calibri"/>
          <w:b/>
          <w:szCs w:val="22"/>
          <w:lang w:eastAsia="ko-KR"/>
        </w:rPr>
        <w:t xml:space="preserve">Step 2. </w:t>
      </w:r>
      <w:r w:rsidRPr="009002F0">
        <w:rPr>
          <w:rFonts w:ascii="Calibri" w:eastAsia="Malgun Gothic" w:hAnsi="Calibri" w:cs="Calibri"/>
          <w:b/>
          <w:i/>
          <w:szCs w:val="22"/>
          <w:lang w:eastAsia="ko-KR"/>
        </w:rPr>
        <w:t>Drop observations</w:t>
      </w:r>
      <w:r w:rsidRPr="009002F0">
        <w:rPr>
          <w:rFonts w:ascii="Calibri" w:eastAsia="Malgun Gothic" w:hAnsi="Calibri" w:cs="Calibri"/>
          <w:b/>
          <w:szCs w:val="22"/>
          <w:lang w:eastAsia="ko-KR"/>
        </w:rPr>
        <w:t xml:space="preserve"> with the following characteristics: if </w:t>
      </w:r>
    </w:p>
    <w:p w14:paraId="5EEAFA27"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w:t>
      </w:r>
      <w:proofErr w:type="spellStart"/>
      <w:r w:rsidRPr="009002F0">
        <w:rPr>
          <w:rFonts w:ascii="Calibri" w:eastAsia="Malgun Gothic" w:hAnsi="Calibri" w:cs="Calibri"/>
          <w:szCs w:val="22"/>
          <w:lang w:eastAsia="ko-KR"/>
        </w:rPr>
        <w:t>cus_type</w:t>
      </w:r>
      <w:proofErr w:type="spellEnd"/>
      <w:r w:rsidRPr="009002F0">
        <w:rPr>
          <w:rFonts w:ascii="Calibri" w:eastAsia="Malgun Gothic" w:hAnsi="Calibri" w:cs="Calibri"/>
          <w:szCs w:val="22"/>
          <w:lang w:eastAsia="ko-KR"/>
        </w:rPr>
        <w:t xml:space="preserve">” (customer type) is a company.  </w:t>
      </w:r>
    </w:p>
    <w:p w14:paraId="778B9696"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If the remitter’s age is under 18 years or more than 50 </w:t>
      </w:r>
      <w:proofErr w:type="gramStart"/>
      <w:r w:rsidRPr="009002F0">
        <w:rPr>
          <w:rFonts w:ascii="Calibri" w:eastAsia="Malgun Gothic" w:hAnsi="Calibri" w:cs="Calibri"/>
          <w:szCs w:val="22"/>
          <w:lang w:eastAsia="ko-KR"/>
        </w:rPr>
        <w:t>years, but</w:t>
      </w:r>
      <w:proofErr w:type="gramEnd"/>
      <w:r w:rsidRPr="009002F0">
        <w:rPr>
          <w:rFonts w:ascii="Calibri" w:eastAsia="Malgun Gothic" w:hAnsi="Calibri" w:cs="Calibri"/>
          <w:szCs w:val="22"/>
          <w:lang w:eastAsia="ko-KR"/>
        </w:rPr>
        <w:t xml:space="preserve"> keeping observations with age greater than 50 years if there are indications that individuals are in fact employers who remit on behalf of their foreign workers.  </w:t>
      </w:r>
    </w:p>
    <w:p w14:paraId="411CF253"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If the transaction amount is more than RM5,000 (equivalent to about three months’ salary of an ordinary foreign worker) </w:t>
      </w:r>
    </w:p>
    <w:p w14:paraId="0E89417B"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If “SOF” (Source of Fund) is business income.</w:t>
      </w:r>
    </w:p>
    <w:p w14:paraId="42A1D1AB"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If “Purpose” is payment of goods and services as they are likely to be traders. </w:t>
      </w:r>
    </w:p>
    <w:p w14:paraId="54F5599F"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szCs w:val="22"/>
          <w:lang w:eastAsia="ko-KR"/>
        </w:rPr>
      </w:pPr>
    </w:p>
    <w:p w14:paraId="637C140F"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b/>
          <w:szCs w:val="22"/>
          <w:lang w:eastAsia="ko-KR"/>
        </w:rPr>
      </w:pPr>
      <w:r w:rsidRPr="009002F0">
        <w:rPr>
          <w:rFonts w:ascii="Calibri" w:eastAsia="Malgun Gothic" w:hAnsi="Calibri" w:cs="Calibri"/>
          <w:b/>
          <w:szCs w:val="22"/>
          <w:lang w:eastAsia="ko-KR"/>
        </w:rPr>
        <w:t xml:space="preserve">Step 3. Identify individual ID </w:t>
      </w:r>
    </w:p>
    <w:p w14:paraId="2A1A617C"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Code individuals identified by the combination of date of birth, nationality and “</w:t>
      </w:r>
      <w:proofErr w:type="spellStart"/>
      <w:r w:rsidRPr="009002F0">
        <w:rPr>
          <w:rFonts w:ascii="Calibri" w:eastAsia="Malgun Gothic" w:hAnsi="Calibri" w:cs="Calibri"/>
          <w:szCs w:val="22"/>
          <w:lang w:eastAsia="ko-KR"/>
        </w:rPr>
        <w:t>Cus</w:t>
      </w:r>
      <w:proofErr w:type="spellEnd"/>
      <w:r w:rsidRPr="009002F0">
        <w:rPr>
          <w:rFonts w:ascii="Calibri" w:eastAsia="Malgun Gothic" w:hAnsi="Calibri" w:cs="Calibri"/>
          <w:szCs w:val="22"/>
          <w:lang w:eastAsia="ko-KR"/>
        </w:rPr>
        <w:t>-ID” (customer ID).</w:t>
      </w:r>
    </w:p>
    <w:p w14:paraId="511AAA50"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Create “state” variable using the “outlet code” (RSB location code). </w:t>
      </w:r>
    </w:p>
    <w:p w14:paraId="070497DB"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Create “sector” variable using “</w:t>
      </w:r>
      <w:proofErr w:type="spellStart"/>
      <w:r w:rsidRPr="009002F0">
        <w:rPr>
          <w:rFonts w:ascii="Calibri" w:eastAsia="Malgun Gothic" w:hAnsi="Calibri" w:cs="Calibri"/>
          <w:szCs w:val="22"/>
          <w:lang w:eastAsia="ko-KR"/>
        </w:rPr>
        <w:t>Occ_NoB</w:t>
      </w:r>
      <w:proofErr w:type="spellEnd"/>
      <w:r w:rsidRPr="009002F0">
        <w:rPr>
          <w:rFonts w:ascii="Calibri" w:eastAsia="Malgun Gothic" w:hAnsi="Calibri" w:cs="Calibri"/>
          <w:szCs w:val="22"/>
          <w:lang w:eastAsia="ko-KR"/>
        </w:rPr>
        <w:t xml:space="preserve">” (occupation) into five broad sectors – Manufacturing, Services, Mining (including oil/gas), Agriculture and Plantation. </w:t>
      </w:r>
    </w:p>
    <w:p w14:paraId="56426966"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szCs w:val="22"/>
          <w:lang w:eastAsia="ko-KR"/>
        </w:rPr>
      </w:pPr>
    </w:p>
    <w:p w14:paraId="4CD25AC6" w14:textId="77777777" w:rsidR="009002F0" w:rsidRPr="009002F0" w:rsidRDefault="009002F0" w:rsidP="009002F0">
      <w:pPr>
        <w:widowControl/>
        <w:autoSpaceDE/>
        <w:autoSpaceDN/>
        <w:adjustRightInd/>
        <w:spacing w:after="160" w:line="259" w:lineRule="auto"/>
        <w:jc w:val="both"/>
        <w:rPr>
          <w:rFonts w:ascii="Calibri" w:eastAsia="Malgun Gothic" w:hAnsi="Calibri" w:cs="Calibri"/>
          <w:b/>
          <w:szCs w:val="22"/>
          <w:lang w:eastAsia="ko-KR"/>
        </w:rPr>
      </w:pPr>
      <w:r w:rsidRPr="009002F0">
        <w:rPr>
          <w:rFonts w:ascii="Calibri" w:eastAsia="Malgun Gothic" w:hAnsi="Calibri" w:cs="Calibri"/>
          <w:b/>
          <w:szCs w:val="22"/>
          <w:lang w:eastAsia="ko-KR"/>
        </w:rPr>
        <w:t xml:space="preserve">Step 4. Identify potential irregular foreign workers. Create dummy variables for the following:  </w:t>
      </w:r>
    </w:p>
    <w:p w14:paraId="3CF14D46"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Beneficiaries who are seemingly not related to the sender and who are not regular beneficiaries of the given sender, using variables “</w:t>
      </w:r>
      <w:proofErr w:type="spellStart"/>
      <w:r w:rsidRPr="009002F0">
        <w:rPr>
          <w:rFonts w:ascii="Calibri" w:eastAsia="Malgun Gothic" w:hAnsi="Calibri" w:cs="Calibri"/>
          <w:szCs w:val="22"/>
          <w:lang w:eastAsia="ko-KR"/>
        </w:rPr>
        <w:t>RS_Type</w:t>
      </w:r>
      <w:proofErr w:type="spellEnd"/>
      <w:r w:rsidRPr="009002F0">
        <w:rPr>
          <w:rFonts w:ascii="Calibri" w:eastAsia="Malgun Gothic" w:hAnsi="Calibri" w:cs="Calibri"/>
          <w:szCs w:val="22"/>
          <w:lang w:eastAsia="ko-KR"/>
        </w:rPr>
        <w:t>” (recipient type), “</w:t>
      </w:r>
      <w:proofErr w:type="spellStart"/>
      <w:r w:rsidRPr="009002F0">
        <w:rPr>
          <w:rFonts w:ascii="Calibri" w:eastAsia="Malgun Gothic" w:hAnsi="Calibri" w:cs="Calibri"/>
          <w:szCs w:val="22"/>
          <w:lang w:eastAsia="ko-KR"/>
        </w:rPr>
        <w:t>BO_name</w:t>
      </w:r>
      <w:proofErr w:type="spellEnd"/>
      <w:r w:rsidRPr="009002F0">
        <w:rPr>
          <w:rFonts w:ascii="Calibri" w:eastAsia="Malgun Gothic" w:hAnsi="Calibri" w:cs="Calibri"/>
          <w:szCs w:val="22"/>
          <w:lang w:eastAsia="ko-KR"/>
        </w:rPr>
        <w:t>” (Bank account name) and “</w:t>
      </w:r>
      <w:proofErr w:type="spellStart"/>
      <w:r w:rsidRPr="009002F0">
        <w:rPr>
          <w:rFonts w:ascii="Calibri" w:eastAsia="Malgun Gothic" w:hAnsi="Calibri" w:cs="Calibri"/>
          <w:szCs w:val="22"/>
          <w:lang w:eastAsia="ko-KR"/>
        </w:rPr>
        <w:t>Bene_Name</w:t>
      </w:r>
      <w:proofErr w:type="spellEnd"/>
      <w:r w:rsidRPr="009002F0">
        <w:rPr>
          <w:rFonts w:ascii="Calibri" w:eastAsia="Malgun Gothic" w:hAnsi="Calibri" w:cs="Calibri"/>
          <w:szCs w:val="22"/>
          <w:lang w:eastAsia="ko-KR"/>
        </w:rPr>
        <w:t xml:space="preserve">” (Beneficiary name) for a given individual. This might be particularly apparent during Ramadan months for Islamic destination countries, December (Christmas) in the Philippines, and the beginning month of a school year (for example, June in the Philippines).  </w:t>
      </w:r>
    </w:p>
    <w:p w14:paraId="102E4D20"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The individuals whose “</w:t>
      </w:r>
      <w:proofErr w:type="spellStart"/>
      <w:r w:rsidRPr="009002F0">
        <w:rPr>
          <w:rFonts w:ascii="Calibri" w:eastAsia="Malgun Gothic" w:hAnsi="Calibri" w:cs="Calibri"/>
          <w:szCs w:val="22"/>
          <w:lang w:eastAsia="ko-KR"/>
        </w:rPr>
        <w:t>Occ_NoB</w:t>
      </w:r>
      <w:proofErr w:type="spellEnd"/>
      <w:r w:rsidRPr="009002F0">
        <w:rPr>
          <w:rFonts w:ascii="Calibri" w:eastAsia="Malgun Gothic" w:hAnsi="Calibri" w:cs="Calibri"/>
          <w:szCs w:val="22"/>
          <w:lang w:eastAsia="ko-KR"/>
        </w:rPr>
        <w:t xml:space="preserve">” is not consistent across transactions during the year. </w:t>
      </w:r>
    </w:p>
    <w:p w14:paraId="5B517E2B"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Transactions in which the nationality code differs from the destination country for a given individual.  </w:t>
      </w:r>
    </w:p>
    <w:p w14:paraId="606224A4"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Whether the individuals conducted transactions in different states during the year, identified by “outlet code”. </w:t>
      </w:r>
    </w:p>
    <w:p w14:paraId="30248C6F"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lastRenderedPageBreak/>
        <w:t xml:space="preserve">Individuals whose nationality is not one of the following: Thailand, Cambodia, Nepal, Myanmar, Laos, Vietnam, Philippines, Pakistan, Sri Lanka, Turkmenistan, Uzbekistan, Kazakhstan, India, Indonesia, and Bangladesh </w:t>
      </w:r>
    </w:p>
    <w:p w14:paraId="052C4489"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Indians who work in an occupation that is outside the permitted sectors: Construction (no laborers, high tension cable only), Agriculture, Plantation, Services (</w:t>
      </w:r>
      <w:r w:rsidRPr="009002F0">
        <w:rPr>
          <w:rFonts w:ascii="Calibri" w:eastAsia="Malgun Gothic" w:hAnsi="Calibri" w:cs="Calibri"/>
          <w:szCs w:val="22"/>
          <w:shd w:val="clear" w:color="auto" w:fill="FFFFFF"/>
          <w:lang w:eastAsia="ko-KR"/>
        </w:rPr>
        <w:t>goldsmith, wholesale/retail, restaurant-cooks only, metal/scrap materials and recycling, textiles and barbers)</w:t>
      </w:r>
    </w:p>
    <w:p w14:paraId="0E4DF6D1"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Indonesians who work in the manufacturing sector only if the data allow determination of whether the given individual is male (female Indonesians </w:t>
      </w:r>
      <w:proofErr w:type="gramStart"/>
      <w:r w:rsidRPr="009002F0">
        <w:rPr>
          <w:rFonts w:ascii="Calibri" w:eastAsia="Malgun Gothic" w:hAnsi="Calibri" w:cs="Calibri"/>
          <w:szCs w:val="22"/>
          <w:lang w:eastAsia="ko-KR"/>
        </w:rPr>
        <w:t>are allowed to</w:t>
      </w:r>
      <w:proofErr w:type="gramEnd"/>
      <w:r w:rsidRPr="009002F0">
        <w:rPr>
          <w:rFonts w:ascii="Calibri" w:eastAsia="Malgun Gothic" w:hAnsi="Calibri" w:cs="Calibri"/>
          <w:szCs w:val="22"/>
          <w:lang w:eastAsia="ko-KR"/>
        </w:rPr>
        <w:t xml:space="preserve"> work in all sectors). </w:t>
      </w:r>
    </w:p>
    <w:p w14:paraId="6002687F" w14:textId="77777777" w:rsidR="009002F0" w:rsidRPr="009002F0" w:rsidRDefault="009002F0" w:rsidP="009002F0">
      <w:pPr>
        <w:widowControl/>
        <w:numPr>
          <w:ilvl w:val="0"/>
          <w:numId w:val="8"/>
        </w:numPr>
        <w:autoSpaceDE/>
        <w:autoSpaceDN/>
        <w:adjustRightInd/>
        <w:spacing w:after="160" w:line="259" w:lineRule="auto"/>
        <w:contextualSpacing/>
        <w:jc w:val="both"/>
        <w:rPr>
          <w:rFonts w:ascii="Calibri" w:eastAsia="Malgun Gothic" w:hAnsi="Calibri" w:cs="Calibri"/>
          <w:szCs w:val="22"/>
          <w:lang w:eastAsia="ko-KR"/>
        </w:rPr>
      </w:pPr>
      <w:r w:rsidRPr="009002F0">
        <w:rPr>
          <w:rFonts w:ascii="Calibri" w:eastAsia="Malgun Gothic" w:hAnsi="Calibri" w:cs="Calibri"/>
          <w:szCs w:val="22"/>
          <w:lang w:eastAsia="ko-KR"/>
        </w:rPr>
        <w:t xml:space="preserve">Bangladesh who work outside the plantation sub-sector. </w:t>
      </w:r>
    </w:p>
    <w:p w14:paraId="576FAF4B" w14:textId="77777777" w:rsidR="009002F0" w:rsidRPr="009002F0" w:rsidRDefault="009002F0" w:rsidP="009002F0">
      <w:pPr>
        <w:widowControl/>
        <w:autoSpaceDE/>
        <w:autoSpaceDN/>
        <w:adjustRightInd/>
        <w:spacing w:after="120" w:line="264" w:lineRule="auto"/>
        <w:jc w:val="both"/>
        <w:rPr>
          <w:rFonts w:ascii="Calibri" w:eastAsia="Malgun Gothic" w:hAnsi="Calibri" w:cs="Calibri"/>
          <w:szCs w:val="22"/>
          <w:lang w:eastAsia="ko-KR"/>
        </w:rPr>
      </w:pPr>
    </w:p>
    <w:p w14:paraId="72A4C44F"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b/>
          <w:color w:val="auto"/>
          <w:szCs w:val="22"/>
          <w:lang w:eastAsia="ko-KR"/>
        </w:rPr>
      </w:pPr>
      <w:r w:rsidRPr="009002F0">
        <w:rPr>
          <w:rFonts w:ascii="Calibri" w:eastAsia="Malgun Gothic" w:hAnsi="Calibri" w:cs="Calibri"/>
          <w:b/>
          <w:szCs w:val="22"/>
          <w:lang w:eastAsia="ko-KR"/>
        </w:rPr>
        <w:t xml:space="preserve">Step 5. Tabulate summary statistics of individuals and dummy variables by sector, state and nationality.   </w:t>
      </w:r>
    </w:p>
    <w:p w14:paraId="360BF267"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Malgun Gothic" w:hAnsi="Calibri" w:cs="Times New Roman"/>
          <w:color w:val="auto"/>
          <w:szCs w:val="22"/>
          <w:lang w:eastAsia="ko-KR"/>
        </w:rPr>
        <w:t>Before proceeding to a discussion of the results some of the drawbacks of this approach (all related to data limitations) should be noted. First, it does not capture those foreign workers who use bank accounts or informal remittance channels to send money to their home countries. Second, it could underestimate the number of irregular foreign workers because not all irregular use RSBs. Some irregulars might be afraid of getting caught while using foreign (home country) identification documents.</w:t>
      </w:r>
      <w:r w:rsidRPr="009002F0">
        <w:rPr>
          <w:rFonts w:ascii="Calibri" w:eastAsia="Calibri" w:hAnsi="Calibri" w:cs="Times New Roman"/>
          <w:color w:val="auto"/>
          <w:szCs w:val="22"/>
        </w:rPr>
        <w:t xml:space="preserve"> </w:t>
      </w:r>
    </w:p>
    <w:p w14:paraId="035F1BE2" w14:textId="77777777" w:rsidR="009002F0" w:rsidRPr="009002F0" w:rsidRDefault="009002F0" w:rsidP="009002F0">
      <w:pPr>
        <w:widowControl/>
        <w:autoSpaceDE/>
        <w:autoSpaceDN/>
        <w:adjustRightInd/>
        <w:jc w:val="both"/>
        <w:rPr>
          <w:rFonts w:ascii="Calibri" w:eastAsia="Calibri" w:hAnsi="Calibri" w:cs="Times New Roman"/>
          <w:color w:val="auto"/>
          <w:szCs w:val="22"/>
        </w:rPr>
      </w:pPr>
    </w:p>
    <w:p w14:paraId="72BD64FF" w14:textId="77777777" w:rsidR="009002F0" w:rsidRPr="009002F0" w:rsidRDefault="009002F0" w:rsidP="009002F0">
      <w:pPr>
        <w:keepNext/>
        <w:keepLines/>
        <w:widowControl/>
        <w:autoSpaceDE/>
        <w:autoSpaceDN/>
        <w:adjustRightInd/>
        <w:spacing w:before="40"/>
        <w:outlineLvl w:val="2"/>
        <w:rPr>
          <w:rFonts w:ascii="Calibri" w:eastAsia="Calibri" w:hAnsi="Calibri" w:cs="Times New Roman"/>
          <w:i/>
          <w:color w:val="00ADE4"/>
          <w:szCs w:val="22"/>
        </w:rPr>
      </w:pPr>
      <w:bookmarkStart w:id="115" w:name="_Toc536052740"/>
      <w:bookmarkStart w:id="116" w:name="_Toc4581538"/>
      <w:r w:rsidRPr="009002F0">
        <w:rPr>
          <w:rFonts w:ascii="Calibri" w:eastAsia="Malgun Gothic" w:hAnsi="Calibri" w:cs="Times New Roman"/>
          <w:i/>
          <w:color w:val="00B0F0"/>
        </w:rPr>
        <w:t>5.3.3 Results</w:t>
      </w:r>
      <w:bookmarkEnd w:id="115"/>
      <w:bookmarkEnd w:id="116"/>
    </w:p>
    <w:p w14:paraId="66D877CE" w14:textId="77777777" w:rsidR="009002F0" w:rsidRPr="009002F0" w:rsidRDefault="009002F0" w:rsidP="009002F0">
      <w:pPr>
        <w:widowControl/>
        <w:autoSpaceDE/>
        <w:autoSpaceDN/>
        <w:adjustRightInd/>
        <w:jc w:val="both"/>
        <w:rPr>
          <w:rFonts w:ascii="Calibri" w:eastAsia="Malgun Gothic" w:hAnsi="Calibri" w:cs="Times New Roman"/>
          <w:color w:val="auto"/>
          <w:szCs w:val="22"/>
          <w:lang w:eastAsia="ko-KR"/>
        </w:rPr>
      </w:pPr>
      <w:r w:rsidRPr="009002F0">
        <w:rPr>
          <w:rFonts w:ascii="Calibri" w:eastAsia="Calibri" w:hAnsi="Calibri" w:cs="Times New Roman"/>
          <w:color w:val="auto"/>
          <w:szCs w:val="22"/>
        </w:rPr>
        <w:t xml:space="preserve">Estimates using transaction data during Mar 2017 - February 2018 suggest that the total number of foreign workers is about 2.279 million, of which approximately 1.184 million are irregulars. </w:t>
      </w:r>
      <w:r w:rsidRPr="009002F0">
        <w:rPr>
          <w:rFonts w:ascii="Calibri" w:eastAsia="Malgun Gothic" w:hAnsi="Calibri" w:cs="Times New Roman"/>
          <w:color w:val="auto"/>
          <w:szCs w:val="22"/>
          <w:lang w:eastAsia="ko-KR"/>
        </w:rPr>
        <w:t>Making a general assumption that 77 percent of foreign workers use the RSP channel to transfer money (World Bank 2017), the estimates would rise to 2.956 million total foreign workers and 1.419 million irregular foreign workers. This is a safe assumption given that most foreign workers use RSPs or irregular channels to remit money home, because they have limited access to the formal banking sector.</w:t>
      </w:r>
    </w:p>
    <w:p w14:paraId="19790CB4" w14:textId="77777777" w:rsidR="009002F0" w:rsidRPr="009002F0" w:rsidRDefault="009002F0" w:rsidP="009002F0">
      <w:pPr>
        <w:widowControl/>
        <w:autoSpaceDE/>
        <w:autoSpaceDN/>
        <w:adjustRightInd/>
        <w:jc w:val="both"/>
        <w:rPr>
          <w:rFonts w:ascii="Calibri" w:eastAsia="Malgun Gothic" w:hAnsi="Calibri" w:cs="Times New Roman"/>
          <w:color w:val="auto"/>
          <w:szCs w:val="22"/>
          <w:lang w:eastAsia="ko-KR"/>
        </w:rPr>
      </w:pPr>
    </w:p>
    <w:p w14:paraId="53E91A53" w14:textId="77777777" w:rsidR="009002F0" w:rsidRPr="009002F0" w:rsidRDefault="009002F0" w:rsidP="009002F0">
      <w:pPr>
        <w:widowControl/>
        <w:autoSpaceDE/>
        <w:autoSpaceDN/>
        <w:adjustRightInd/>
        <w:jc w:val="both"/>
        <w:rPr>
          <w:rFonts w:ascii="Calibri" w:eastAsia="Calibri" w:hAnsi="Calibri" w:cs="Times New Roman"/>
          <w:color w:val="auto"/>
          <w:szCs w:val="22"/>
        </w:rPr>
      </w:pPr>
      <w:r w:rsidRPr="009002F0">
        <w:rPr>
          <w:rFonts w:ascii="Calibri" w:eastAsia="Calibri" w:hAnsi="Calibri" w:cs="Times New Roman"/>
          <w:color w:val="auto"/>
          <w:szCs w:val="22"/>
        </w:rPr>
        <w:t>As a robustness check, we compared the sectoral and state distribution of foreign workers identified in the remittance data set and found that the distributions are broadly in line with the LFS. In other words, the remittance data suggest that foreign workers are highly concentrated in Selangor followed by Johor and W.P. Kuala Lumpur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_Ref536570678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17</w:t>
      </w:r>
      <w:r w:rsidRPr="009002F0">
        <w:rPr>
          <w:rFonts w:ascii="Calibri" w:eastAsia="Calibri" w:hAnsi="Calibri" w:cs="Times New Roman"/>
        </w:rPr>
        <w:fldChar w:fldCharType="end"/>
      </w:r>
      <w:r w:rsidRPr="009002F0">
        <w:rPr>
          <w:rFonts w:ascii="Calibri" w:eastAsia="Calibri" w:hAnsi="Calibri" w:cs="Times New Roman"/>
          <w:color w:val="auto"/>
          <w:szCs w:val="22"/>
        </w:rPr>
        <w:t>a). In terms of the nationality of foreign workers, the BNM remittance data also indicates that Indonesians account for a plurality of foreign workers. However, the BNM remittance data indicate that there are more Bangladeshi foreign workers than Nepalese, which is the opposite of the results shown by the MOHA data (</w:t>
      </w:r>
      <w:r w:rsidRPr="009002F0">
        <w:rPr>
          <w:rFonts w:ascii="Calibri" w:eastAsia="Calibri" w:hAnsi="Calibri" w:cs="Times New Roman"/>
        </w:rPr>
        <w:fldChar w:fldCharType="begin" w:fldLock="1"/>
      </w:r>
      <w:r w:rsidRPr="009002F0">
        <w:rPr>
          <w:rFonts w:ascii="Calibri" w:eastAsia="Calibri" w:hAnsi="Calibri" w:cs="Times New Roman"/>
        </w:rPr>
        <w:instrText xml:space="preserve"> REF _Ref536570678 \h  \* MERGEFORMAT </w:instrText>
      </w:r>
      <w:r w:rsidRPr="009002F0">
        <w:rPr>
          <w:rFonts w:ascii="Calibri" w:eastAsia="Calibri" w:hAnsi="Calibri" w:cs="Times New Roman"/>
        </w:rPr>
      </w:r>
      <w:r w:rsidRPr="009002F0">
        <w:rPr>
          <w:rFonts w:ascii="Calibri" w:eastAsia="Calibri" w:hAnsi="Calibri" w:cs="Times New Roman"/>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17</w:t>
      </w:r>
      <w:r w:rsidRPr="009002F0">
        <w:rPr>
          <w:rFonts w:ascii="Calibri" w:eastAsia="Calibri" w:hAnsi="Calibri" w:cs="Times New Roman"/>
        </w:rPr>
        <w:fldChar w:fldCharType="end"/>
      </w:r>
      <w:r w:rsidRPr="009002F0">
        <w:rPr>
          <w:rFonts w:ascii="Calibri" w:eastAsia="Calibri" w:hAnsi="Calibri" w:cs="Times New Roman"/>
          <w:color w:val="auto"/>
          <w:szCs w:val="22"/>
        </w:rPr>
        <w:t xml:space="preserve">b). This could be an indication that when </w:t>
      </w:r>
      <w:proofErr w:type="gramStart"/>
      <w:r w:rsidRPr="009002F0">
        <w:rPr>
          <w:rFonts w:ascii="Calibri" w:eastAsia="Calibri" w:hAnsi="Calibri" w:cs="Times New Roman"/>
          <w:color w:val="auto"/>
          <w:szCs w:val="22"/>
        </w:rPr>
        <w:t>taking into account</w:t>
      </w:r>
      <w:proofErr w:type="gramEnd"/>
      <w:r w:rsidRPr="009002F0">
        <w:rPr>
          <w:rFonts w:ascii="Calibri" w:eastAsia="Calibri" w:hAnsi="Calibri" w:cs="Times New Roman"/>
          <w:color w:val="auto"/>
          <w:szCs w:val="22"/>
        </w:rPr>
        <w:t xml:space="preserve"> irregular foreign workers, there are more Bangladeshis than Nepalese working in Malaysia. </w:t>
      </w:r>
    </w:p>
    <w:p w14:paraId="30A3C030" w14:textId="77777777" w:rsidR="009002F0" w:rsidRPr="009002F0" w:rsidRDefault="009002F0" w:rsidP="009002F0">
      <w:pPr>
        <w:widowControl/>
        <w:autoSpaceDE/>
        <w:autoSpaceDN/>
        <w:adjustRightInd/>
        <w:spacing w:after="120" w:line="264" w:lineRule="auto"/>
        <w:rPr>
          <w:rFonts w:ascii="Calibri" w:eastAsia="Malgun Gothic" w:hAnsi="Calibri" w:cs="Times New Roman"/>
          <w:bCs/>
          <w:spacing w:val="4"/>
          <w:szCs w:val="20"/>
          <w:lang w:eastAsia="ko-KR"/>
        </w:rPr>
      </w:pPr>
    </w:p>
    <w:p w14:paraId="1510C9B5" w14:textId="77777777" w:rsidR="009002F0" w:rsidRPr="009002F0" w:rsidRDefault="009002F0" w:rsidP="009002F0">
      <w:pPr>
        <w:widowControl/>
        <w:autoSpaceDE/>
        <w:autoSpaceDN/>
        <w:adjustRightInd/>
        <w:spacing w:after="120" w:line="264" w:lineRule="auto"/>
        <w:rPr>
          <w:rFonts w:ascii="Calibri" w:eastAsia="Malgun Gothic" w:hAnsi="Calibri" w:cs="Times New Roman"/>
          <w:bCs/>
          <w:spacing w:val="4"/>
          <w:szCs w:val="20"/>
          <w:lang w:eastAsia="ko-KR"/>
        </w:rPr>
      </w:pPr>
    </w:p>
    <w:p w14:paraId="4016D72E" w14:textId="77777777" w:rsidR="009002F0" w:rsidRPr="009002F0" w:rsidRDefault="009002F0" w:rsidP="009002F0">
      <w:pPr>
        <w:keepNext/>
        <w:widowControl/>
        <w:autoSpaceDE/>
        <w:autoSpaceDN/>
        <w:adjustRightInd/>
        <w:spacing w:after="120"/>
        <w:rPr>
          <w:rFonts w:ascii="Calibri" w:eastAsia="Malgun Gothic" w:hAnsi="Calibri" w:cs="Times New Roman"/>
          <w:bCs/>
          <w:color w:val="595959"/>
          <w:spacing w:val="4"/>
          <w:sz w:val="22"/>
          <w:szCs w:val="22"/>
          <w:lang w:eastAsia="ko-KR"/>
        </w:rPr>
      </w:pPr>
      <w:bookmarkStart w:id="117" w:name="_Ref536570678"/>
      <w:bookmarkStart w:id="118" w:name="_Toc4581569"/>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17</w:t>
      </w:r>
      <w:r w:rsidRPr="009002F0">
        <w:rPr>
          <w:rFonts w:ascii="Calibri" w:eastAsia="Malgun Gothic" w:hAnsi="Calibri" w:cs="Times New Roman"/>
          <w:bCs/>
          <w:spacing w:val="4"/>
          <w:szCs w:val="20"/>
          <w:lang w:eastAsia="ko-KR"/>
        </w:rPr>
        <w:fldChar w:fldCharType="end"/>
      </w:r>
      <w:bookmarkEnd w:id="117"/>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bCs/>
          <w:spacing w:val="4"/>
          <w:szCs w:val="22"/>
          <w:lang w:eastAsia="ko-KR"/>
        </w:rPr>
        <w:t>The BNM remittance data shows consistency with the MOHA and LFS data respectively in terms of the state and nationality distributions of foreign workers</w:t>
      </w:r>
      <w:bookmarkEnd w:id="118"/>
      <w:r w:rsidRPr="009002F0">
        <w:rPr>
          <w:rFonts w:ascii="Calibri" w:eastAsia="Malgun Gothic" w:hAnsi="Calibri" w:cs="Times New Roman"/>
          <w:bCs/>
          <w:spacing w:val="4"/>
          <w:szCs w:val="22"/>
          <w:lang w:eastAsia="ko-KR"/>
        </w:rPr>
        <w:t xml:space="preserve"> </w:t>
      </w:r>
    </w:p>
    <w:p w14:paraId="4749E2EA" w14:textId="77777777" w:rsidR="009002F0" w:rsidRPr="009002F0" w:rsidRDefault="009002F0" w:rsidP="009002F0">
      <w:pPr>
        <w:widowControl/>
        <w:numPr>
          <w:ilvl w:val="0"/>
          <w:numId w:val="29"/>
        </w:numPr>
        <w:autoSpaceDE/>
        <w:autoSpaceDN/>
        <w:adjustRightInd/>
        <w:spacing w:after="120" w:line="264" w:lineRule="auto"/>
        <w:contextualSpacing/>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State distribution    </w:t>
      </w:r>
      <w:r w:rsidRPr="009002F0">
        <w:rPr>
          <w:rFonts w:ascii="Calibri" w:eastAsia="Malgun Gothic" w:hAnsi="Calibri" w:cs="Times New Roman"/>
          <w:color w:val="auto"/>
          <w:szCs w:val="22"/>
          <w:lang w:eastAsia="ko-KR"/>
        </w:rPr>
        <w:tab/>
      </w:r>
      <w:r w:rsidRPr="009002F0">
        <w:rPr>
          <w:rFonts w:ascii="Calibri" w:eastAsia="Malgun Gothic" w:hAnsi="Calibri" w:cs="Times New Roman"/>
          <w:color w:val="auto"/>
          <w:szCs w:val="22"/>
          <w:lang w:eastAsia="ko-KR"/>
        </w:rPr>
        <w:tab/>
      </w:r>
      <w:r w:rsidRPr="009002F0">
        <w:rPr>
          <w:rFonts w:ascii="Calibri" w:eastAsia="Malgun Gothic" w:hAnsi="Calibri" w:cs="Times New Roman"/>
          <w:color w:val="auto"/>
          <w:szCs w:val="22"/>
          <w:lang w:eastAsia="ko-KR"/>
        </w:rPr>
        <w:tab/>
      </w:r>
      <w:r w:rsidRPr="009002F0">
        <w:rPr>
          <w:rFonts w:ascii="Calibri" w:eastAsia="Malgun Gothic" w:hAnsi="Calibri" w:cs="Times New Roman"/>
          <w:color w:val="auto"/>
          <w:szCs w:val="22"/>
          <w:lang w:eastAsia="ko-KR"/>
        </w:rPr>
        <w:tab/>
        <w:t xml:space="preserve">(b) Nationality distribution </w:t>
      </w:r>
    </w:p>
    <w:p w14:paraId="789317BA"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noProof/>
          <w:color w:val="auto"/>
          <w:sz w:val="20"/>
          <w:szCs w:val="20"/>
          <w:lang w:eastAsia="ko-KR"/>
        </w:rPr>
        <mc:AlternateContent>
          <mc:Choice Requires="cx1">
            <w:drawing>
              <wp:inline distT="0" distB="0" distL="0" distR="0" wp14:anchorId="2B39C7EB" wp14:editId="62B75E3B">
                <wp:extent cx="3095625" cy="2472055"/>
                <wp:effectExtent l="0" t="0" r="9525" b="4445"/>
                <wp:docPr id="181" name="Chart 181">
                  <a:extLst xmlns:a="http://schemas.openxmlformats.org/drawingml/2006/main">
                    <a:ext uri="{FF2B5EF4-FFF2-40B4-BE49-F238E27FC236}">
                      <a16:creationId xmlns:a16="http://schemas.microsoft.com/office/drawing/2014/main" id="{7A22F9CC-AD32-4506-998D-0BFE96377CB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6"/>
                  </a:graphicData>
                </a:graphic>
              </wp:inline>
            </w:drawing>
          </mc:Choice>
          <mc:Fallback>
            <w:drawing>
              <wp:inline distT="0" distB="0" distL="0" distR="0" wp14:anchorId="2B39C7EB" wp14:editId="62B75E3B">
                <wp:extent cx="3095625" cy="2472055"/>
                <wp:effectExtent l="0" t="0" r="9525" b="4445"/>
                <wp:docPr id="181" name="Chart 181">
                  <a:extLst xmlns:a="http://schemas.openxmlformats.org/drawingml/2006/main">
                    <a:ext uri="{FF2B5EF4-FFF2-40B4-BE49-F238E27FC236}">
                      <a16:creationId xmlns:a16="http://schemas.microsoft.com/office/drawing/2014/main" id="{7A22F9CC-AD32-4506-998D-0BFE96377CB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1" name="Chart 181">
                          <a:extLst>
                            <a:ext uri="{FF2B5EF4-FFF2-40B4-BE49-F238E27FC236}">
                              <a16:creationId xmlns:a16="http://schemas.microsoft.com/office/drawing/2014/main" id="{7A22F9CC-AD32-4506-998D-0BFE96377CB8}"/>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3095625" cy="2472055"/>
                        </a:xfrm>
                        <a:prstGeom prst="rect">
                          <a:avLst/>
                        </a:prstGeom>
                      </pic:spPr>
                    </pic:pic>
                  </a:graphicData>
                </a:graphic>
              </wp:inline>
            </w:drawing>
          </mc:Fallback>
        </mc:AlternateContent>
      </w:r>
      <w:r w:rsidRPr="009002F0">
        <w:rPr>
          <w:rFonts w:ascii="Calibri" w:eastAsia="Malgun Gothic" w:hAnsi="Calibri" w:cs="Times New Roman"/>
          <w:noProof/>
          <w:color w:val="auto"/>
          <w:sz w:val="22"/>
          <w:szCs w:val="22"/>
          <w:lang w:eastAsia="ko-KR"/>
        </w:rPr>
        <w:drawing>
          <wp:inline distT="0" distB="0" distL="0" distR="0" wp14:anchorId="2FA6F1CC" wp14:editId="3296FC52">
            <wp:extent cx="2686050" cy="2457450"/>
            <wp:effectExtent l="0" t="0" r="0" b="0"/>
            <wp:docPr id="182" name="Chart 182">
              <a:extLst xmlns:a="http://schemas.openxmlformats.org/drawingml/2006/main">
                <a:ext uri="{FF2B5EF4-FFF2-40B4-BE49-F238E27FC236}">
                  <a16:creationId xmlns:a16="http://schemas.microsoft.com/office/drawing/2014/main" id="{4A5EA1F2-421D-4176-A383-1F6FCC292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0229EA"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Source: Staff estimates, based on BNM remittance transaction data. </w:t>
      </w:r>
    </w:p>
    <w:p w14:paraId="740ECCD9"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Does the BNM remittance transaction data really shed light on the nationality distribution of irregular foreign workers? As </w:t>
      </w:r>
      <w:r w:rsidRPr="009002F0">
        <w:rPr>
          <w:rFonts w:ascii="Calibri" w:eastAsia="Malgun Gothic" w:hAnsi="Calibri" w:cs="Times New Roman"/>
          <w:lang w:eastAsia="ko-KR"/>
        </w:rPr>
        <w:fldChar w:fldCharType="begin" w:fldLock="1"/>
      </w:r>
      <w:r w:rsidRPr="009002F0">
        <w:rPr>
          <w:rFonts w:ascii="Calibri" w:eastAsia="Malgun Gothic" w:hAnsi="Calibri" w:cs="Times New Roman"/>
          <w:lang w:eastAsia="ko-KR"/>
        </w:rPr>
        <w:instrText xml:space="preserve"> REF _Ref536570811 \h  \* MERGEFORMAT </w:instrText>
      </w:r>
      <w:r w:rsidRPr="009002F0">
        <w:rPr>
          <w:rFonts w:ascii="Calibri" w:eastAsia="Malgun Gothic" w:hAnsi="Calibri" w:cs="Times New Roman"/>
          <w:lang w:eastAsia="ko-KR"/>
        </w:rPr>
      </w:r>
      <w:r w:rsidRPr="009002F0">
        <w:rPr>
          <w:rFonts w:ascii="Calibri" w:eastAsia="Malgun Gothic" w:hAnsi="Calibri" w:cs="Times New Roman"/>
          <w:lang w:eastAsia="ko-KR"/>
        </w:rPr>
        <w:fldChar w:fldCharType="separate"/>
      </w:r>
      <w:r w:rsidRPr="009002F0">
        <w:rPr>
          <w:rFonts w:ascii="Calibri" w:eastAsia="Malgun Gothic" w:hAnsi="Calibri" w:cs="Times New Roman"/>
          <w:lang w:eastAsia="ko-KR"/>
        </w:rPr>
        <w:t xml:space="preserve">Figure </w:t>
      </w:r>
      <w:r w:rsidRPr="009002F0">
        <w:rPr>
          <w:rFonts w:ascii="Calibri" w:eastAsia="Malgun Gothic" w:hAnsi="Calibri" w:cs="Times New Roman"/>
          <w:noProof/>
          <w:lang w:eastAsia="ko-KR"/>
        </w:rPr>
        <w:t>18</w:t>
      </w:r>
      <w:r w:rsidRPr="009002F0">
        <w:rPr>
          <w:rFonts w:ascii="Calibri" w:eastAsia="Malgun Gothic" w:hAnsi="Calibri" w:cs="Times New Roman"/>
          <w:lang w:eastAsia="ko-KR"/>
        </w:rPr>
        <w:fldChar w:fldCharType="end"/>
      </w:r>
      <w:r w:rsidRPr="009002F0">
        <w:rPr>
          <w:rFonts w:ascii="Calibri" w:eastAsia="Malgun Gothic" w:hAnsi="Calibri" w:cs="Times New Roman"/>
          <w:lang w:eastAsia="ko-KR"/>
        </w:rPr>
        <w:t xml:space="preserve"> </w:t>
      </w:r>
      <w:r w:rsidRPr="009002F0">
        <w:rPr>
          <w:rFonts w:ascii="Calibri" w:eastAsia="Malgun Gothic" w:hAnsi="Calibri" w:cs="Times New Roman"/>
          <w:color w:val="auto"/>
          <w:szCs w:val="22"/>
          <w:lang w:eastAsia="ko-KR"/>
        </w:rPr>
        <w:t xml:space="preserve">shows, indeed, it does present a different picture from MOHA’s figures. It shows that 41 percent of irregular foreign workers are Bangladeshis and Indonesians are less numerous, representing 30 percent of total. This is followed by Indians and Filipinos. At least two different explanations are possible: first, recent years might have seen a rise in irregular workers from Bangladesh as the </w:t>
      </w:r>
      <w:proofErr w:type="gramStart"/>
      <w:r w:rsidRPr="009002F0">
        <w:rPr>
          <w:rFonts w:ascii="Calibri" w:eastAsia="Malgun Gothic" w:hAnsi="Calibri" w:cs="Times New Roman"/>
          <w:color w:val="auto"/>
          <w:szCs w:val="22"/>
          <w:lang w:eastAsia="ko-KR"/>
        </w:rPr>
        <w:t>aforementioned G2G</w:t>
      </w:r>
      <w:proofErr w:type="gramEnd"/>
      <w:r w:rsidRPr="009002F0">
        <w:rPr>
          <w:rFonts w:ascii="Calibri" w:eastAsia="Malgun Gothic" w:hAnsi="Calibri" w:cs="Times New Roman"/>
          <w:color w:val="auto"/>
          <w:szCs w:val="22"/>
          <w:lang w:eastAsia="ko-KR"/>
        </w:rPr>
        <w:t xml:space="preserve"> agreement was unable to deliver the employment of an agreed number of Bangladesh workers. Media in Bangladesh has heavily criticized that this pushes workers to be on a perilous journey to Malaysia perhaps to become an irregular foreign worker. Another explanation is that the BNM remittance data might not fully capture Indonesian workers, especially in the plantation sector, where access to MSPs might be rather limited. This may explain also why Selangor has the highest concentration of foreign workers, while the LFS indicates that Sabah has the highest concentration of foreign-workers.   </w:t>
      </w:r>
    </w:p>
    <w:p w14:paraId="76D58EAD" w14:textId="77777777" w:rsidR="009002F0" w:rsidRPr="009002F0" w:rsidRDefault="009002F0" w:rsidP="009002F0">
      <w:pPr>
        <w:keepNext/>
        <w:widowControl/>
        <w:autoSpaceDE/>
        <w:autoSpaceDN/>
        <w:adjustRightInd/>
        <w:spacing w:after="120"/>
        <w:rPr>
          <w:rFonts w:ascii="Calibri" w:eastAsia="Malgun Gothic" w:hAnsi="Calibri" w:cs="Times New Roman"/>
          <w:bCs/>
          <w:spacing w:val="4"/>
          <w:szCs w:val="22"/>
          <w:lang w:eastAsia="ko-KR"/>
        </w:rPr>
      </w:pPr>
      <w:bookmarkStart w:id="119" w:name="_Ref536570811"/>
      <w:bookmarkStart w:id="120" w:name="_Toc4581570"/>
      <w:r w:rsidRPr="009002F0">
        <w:rPr>
          <w:rFonts w:ascii="Calibri" w:eastAsia="Malgun Gothic" w:hAnsi="Calibri" w:cs="Times New Roman"/>
          <w:bCs/>
          <w:spacing w:val="4"/>
          <w:szCs w:val="20"/>
          <w:lang w:eastAsia="ko-KR"/>
        </w:rPr>
        <w:lastRenderedPageBreak/>
        <w:t xml:space="preserve">Figure </w:t>
      </w:r>
      <w:r w:rsidRPr="009002F0">
        <w:rPr>
          <w:rFonts w:ascii="Calibri" w:eastAsia="Malgun Gothic" w:hAnsi="Calibri" w:cs="Times New Roman"/>
          <w:bCs/>
          <w:spacing w:val="4"/>
          <w:szCs w:val="20"/>
          <w:lang w:eastAsia="ko-KR"/>
        </w:rPr>
        <w:fldChar w:fldCharType="begin"/>
      </w:r>
      <w:r w:rsidRPr="009002F0">
        <w:rPr>
          <w:rFonts w:ascii="Calibri" w:eastAsia="Malgun Gothic" w:hAnsi="Calibri" w:cs="Times New Roman"/>
          <w:bCs/>
          <w:spacing w:val="4"/>
          <w:szCs w:val="20"/>
          <w:lang w:eastAsia="ko-KR"/>
        </w:rPr>
        <w:instrText xml:space="preserve"> SEQ Figure \* ARABIC </w:instrText>
      </w:r>
      <w:r w:rsidRPr="009002F0">
        <w:rPr>
          <w:rFonts w:ascii="Calibri" w:eastAsia="Malgun Gothic" w:hAnsi="Calibri" w:cs="Times New Roman"/>
          <w:bCs/>
          <w:spacing w:val="4"/>
          <w:szCs w:val="20"/>
          <w:lang w:eastAsia="ko-KR"/>
        </w:rPr>
        <w:fldChar w:fldCharType="separate"/>
      </w:r>
      <w:r w:rsidRPr="009002F0">
        <w:rPr>
          <w:rFonts w:ascii="Calibri" w:eastAsia="Malgun Gothic" w:hAnsi="Calibri" w:cs="Times New Roman"/>
          <w:bCs/>
          <w:noProof/>
          <w:spacing w:val="4"/>
          <w:szCs w:val="20"/>
          <w:lang w:eastAsia="ko-KR"/>
        </w:rPr>
        <w:t>18</w:t>
      </w:r>
      <w:r w:rsidRPr="009002F0">
        <w:rPr>
          <w:rFonts w:ascii="Calibri" w:eastAsia="Malgun Gothic" w:hAnsi="Calibri" w:cs="Times New Roman"/>
          <w:bCs/>
          <w:spacing w:val="4"/>
          <w:szCs w:val="20"/>
          <w:lang w:eastAsia="ko-KR"/>
        </w:rPr>
        <w:fldChar w:fldCharType="end"/>
      </w:r>
      <w:bookmarkEnd w:id="119"/>
      <w:r w:rsidRPr="009002F0">
        <w:rPr>
          <w:rFonts w:ascii="Calibri" w:eastAsia="Malgun Gothic" w:hAnsi="Calibri" w:cs="Times New Roman"/>
          <w:bCs/>
          <w:spacing w:val="4"/>
          <w:szCs w:val="20"/>
          <w:lang w:eastAsia="ko-KR"/>
        </w:rPr>
        <w:t xml:space="preserve">: </w:t>
      </w:r>
      <w:r w:rsidRPr="009002F0">
        <w:rPr>
          <w:rFonts w:ascii="Calibri" w:eastAsia="Malgun Gothic" w:hAnsi="Calibri" w:cs="Times New Roman"/>
          <w:bCs/>
          <w:spacing w:val="4"/>
          <w:szCs w:val="22"/>
          <w:lang w:eastAsia="ko-KR"/>
        </w:rPr>
        <w:t>Distribution of irregular foreign workers by nationality</w:t>
      </w:r>
      <w:bookmarkEnd w:id="120"/>
      <w:r w:rsidRPr="009002F0">
        <w:rPr>
          <w:rFonts w:ascii="Calibri" w:eastAsia="Malgun Gothic" w:hAnsi="Calibri" w:cs="Times New Roman"/>
          <w:bCs/>
          <w:spacing w:val="4"/>
          <w:szCs w:val="22"/>
          <w:lang w:eastAsia="ko-KR"/>
        </w:rPr>
        <w:t xml:space="preserve">  </w:t>
      </w:r>
    </w:p>
    <w:p w14:paraId="79CF67C6"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r w:rsidRPr="009002F0">
        <w:rPr>
          <w:rFonts w:ascii="Calibri" w:eastAsia="Malgun Gothic" w:hAnsi="Calibri" w:cs="Times New Roman"/>
          <w:color w:val="auto"/>
          <w:sz w:val="22"/>
          <w:szCs w:val="22"/>
          <w:lang w:eastAsia="ko-KR"/>
        </w:rPr>
        <w:t xml:space="preserve">                                          </w:t>
      </w:r>
      <w:r w:rsidRPr="009002F0">
        <w:rPr>
          <w:rFonts w:ascii="Calibri" w:eastAsia="Malgun Gothic" w:hAnsi="Calibri" w:cs="Times New Roman"/>
          <w:noProof/>
          <w:color w:val="auto"/>
          <w:sz w:val="22"/>
          <w:szCs w:val="22"/>
          <w:lang w:eastAsia="ko-KR"/>
        </w:rPr>
        <w:drawing>
          <wp:inline distT="0" distB="0" distL="0" distR="0" wp14:anchorId="655AAE21" wp14:editId="62D707BF">
            <wp:extent cx="3374020" cy="3183866"/>
            <wp:effectExtent l="0" t="0" r="17145" b="17145"/>
            <wp:docPr id="183" name="Chart 183">
              <a:extLst xmlns:a="http://schemas.openxmlformats.org/drawingml/2006/main">
                <a:ext uri="{FF2B5EF4-FFF2-40B4-BE49-F238E27FC236}">
                  <a16:creationId xmlns:a16="http://schemas.microsoft.com/office/drawing/2014/main" id="{419DFA59-5F66-4F82-8E3B-28C7608DA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CD0A8C"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2"/>
          <w:lang w:eastAsia="ko-KR"/>
        </w:rPr>
      </w:pPr>
      <w:r w:rsidRPr="009002F0">
        <w:rPr>
          <w:rFonts w:ascii="Calibri" w:eastAsia="Malgun Gothic" w:hAnsi="Calibri" w:cs="Times New Roman"/>
          <w:color w:val="auto"/>
          <w:sz w:val="20"/>
          <w:szCs w:val="22"/>
          <w:lang w:eastAsia="ko-KR"/>
        </w:rPr>
        <w:t xml:space="preserve">Source: Staff estimation, using the BNM remittance data. </w:t>
      </w:r>
    </w:p>
    <w:p w14:paraId="691A5AD3"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2"/>
          <w:szCs w:val="22"/>
          <w:lang w:eastAsia="ko-KR"/>
        </w:rPr>
      </w:pPr>
    </w:p>
    <w:p w14:paraId="331B32CF"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This exercise indicates that the BNM remittance transaction data is a potentially valuable standalone data source to estimate irregular foreign workers. To improve the quality of the remittance data, some further refinement in data collection is warranted, as follows: </w:t>
      </w:r>
    </w:p>
    <w:p w14:paraId="35790717" w14:textId="77777777" w:rsidR="009002F0" w:rsidRPr="009002F0" w:rsidRDefault="009002F0" w:rsidP="009002F0">
      <w:pPr>
        <w:widowControl/>
        <w:numPr>
          <w:ilvl w:val="0"/>
          <w:numId w:val="30"/>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Minimize free-text inputs (such as occupations) and use a drop-down list to the extent possible. Free-text inputs are prone to generate unwarranted errors.</w:t>
      </w:r>
    </w:p>
    <w:p w14:paraId="7F11D9AA" w14:textId="77777777" w:rsidR="009002F0" w:rsidRPr="009002F0" w:rsidRDefault="009002F0" w:rsidP="009002F0">
      <w:pPr>
        <w:widowControl/>
        <w:numPr>
          <w:ilvl w:val="0"/>
          <w:numId w:val="30"/>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Simplify the list of occupations to better identify foreign workers and those who send money on behalf of foreign workers. </w:t>
      </w:r>
    </w:p>
    <w:p w14:paraId="6AD84691" w14:textId="77777777" w:rsidR="009002F0" w:rsidRPr="009002F0" w:rsidRDefault="009002F0" w:rsidP="009002F0">
      <w:pPr>
        <w:widowControl/>
        <w:numPr>
          <w:ilvl w:val="0"/>
          <w:numId w:val="30"/>
        </w:numPr>
        <w:autoSpaceDE/>
        <w:autoSpaceDN/>
        <w:adjustRightInd/>
        <w:spacing w:after="120" w:line="264" w:lineRule="auto"/>
        <w:contextualSpacing/>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Add additional variables to identify (i) type of ID to minimize errors of double counting, </w:t>
      </w:r>
      <w:bookmarkStart w:id="121" w:name="_GoBack"/>
      <w:bookmarkEnd w:id="121"/>
      <w:r w:rsidRPr="009002F0">
        <w:rPr>
          <w:rFonts w:ascii="Calibri" w:eastAsia="Malgun Gothic" w:hAnsi="Calibri" w:cs="Times New Roman"/>
          <w:color w:val="auto"/>
          <w:szCs w:val="22"/>
          <w:lang w:eastAsia="ko-KR"/>
        </w:rPr>
        <w:t xml:space="preserve">(ii) gender to help identify female domestic helpers, (iii) duration in Malaysia to link it with the remitter’s foreign worker status, (iv) distance from MSP outlets from the remitter’s residence to map the location of foreign worker over time, (v) employment status to understand changes in the employment status over time, and (vi) sector of employment to identify potential irregular foreign workers per the MOHA’s foreign worker regime. </w:t>
      </w:r>
    </w:p>
    <w:p w14:paraId="0618139A"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t xml:space="preserve">The design to improve the quality of data collection </w:t>
      </w:r>
      <w:proofErr w:type="gramStart"/>
      <w:r w:rsidRPr="009002F0">
        <w:rPr>
          <w:rFonts w:ascii="Calibri" w:eastAsia="Malgun Gothic" w:hAnsi="Calibri" w:cs="Times New Roman"/>
          <w:color w:val="auto"/>
          <w:szCs w:val="22"/>
          <w:lang w:eastAsia="ko-KR"/>
        </w:rPr>
        <w:t>has to</w:t>
      </w:r>
      <w:proofErr w:type="gramEnd"/>
      <w:r w:rsidRPr="009002F0">
        <w:rPr>
          <w:rFonts w:ascii="Calibri" w:eastAsia="Malgun Gothic" w:hAnsi="Calibri" w:cs="Times New Roman"/>
          <w:color w:val="auto"/>
          <w:szCs w:val="22"/>
          <w:lang w:eastAsia="ko-KR"/>
        </w:rPr>
        <w:t xml:space="preserve"> be approached cautiously and balance the desire for more complete information with irregular foreign workers’ concerns about being caught. Additional work to better understand informal or alternative channels to send money would complement the use of remittance data to estimate the number of irregular foreign workers. Another potential source from BNM, going forward, could be the number of foreign worker’s salaries paid through bank accounts. A new law mandates that all foreign workers be paid through their respective bank accounts, but it is yet to be implemented.</w:t>
      </w:r>
    </w:p>
    <w:p w14:paraId="64B4B636" w14:textId="77777777" w:rsidR="009002F0" w:rsidRPr="009002F0" w:rsidRDefault="009002F0" w:rsidP="009002F0">
      <w:pPr>
        <w:widowControl/>
        <w:autoSpaceDE/>
        <w:autoSpaceDN/>
        <w:adjustRightInd/>
        <w:spacing w:after="120" w:line="264" w:lineRule="auto"/>
        <w:jc w:val="both"/>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lastRenderedPageBreak/>
        <w:t xml:space="preserve">Building up on this estimation exercise, furthermore, a systematic estimation model can be developed. An example is a discrete choice model which predicts the likelihood of each remittance sender being an irregular foreign worker based on the characteristics variables in the remittance database. </w:t>
      </w:r>
    </w:p>
    <w:p w14:paraId="03BF2976"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Cs w:val="22"/>
          <w:lang w:eastAsia="ko-KR"/>
        </w:rPr>
      </w:pPr>
      <w:r w:rsidRPr="009002F0">
        <w:rPr>
          <w:rFonts w:ascii="Calibri" w:eastAsia="Malgun Gothic" w:hAnsi="Calibri" w:cs="Times New Roman"/>
          <w:color w:val="auto"/>
          <w:szCs w:val="22"/>
          <w:lang w:eastAsia="ko-KR"/>
        </w:rPr>
        <w:br w:type="page"/>
      </w:r>
    </w:p>
    <w:p w14:paraId="57A6404C" w14:textId="77777777" w:rsidR="009002F0" w:rsidRPr="009002F0" w:rsidRDefault="009002F0" w:rsidP="009002F0">
      <w:pPr>
        <w:keepNext/>
        <w:keepLines/>
        <w:widowControl/>
        <w:numPr>
          <w:ilvl w:val="0"/>
          <w:numId w:val="31"/>
        </w:numPr>
        <w:autoSpaceDE/>
        <w:autoSpaceDN/>
        <w:adjustRightInd/>
        <w:spacing w:before="320" w:after="360" w:line="264" w:lineRule="auto"/>
        <w:jc w:val="center"/>
        <w:outlineLvl w:val="0"/>
        <w:rPr>
          <w:rFonts w:ascii="Andes" w:eastAsia="Malgun Gothic" w:hAnsi="Andes" w:cs="Times New Roman"/>
          <w:b/>
          <w:color w:val="2F5496"/>
          <w:sz w:val="32"/>
          <w:szCs w:val="32"/>
          <w:lang w:eastAsia="ko-KR"/>
        </w:rPr>
      </w:pPr>
      <w:bookmarkStart w:id="122" w:name="_Toc536052741"/>
      <w:bookmarkStart w:id="123" w:name="_Toc4581539"/>
      <w:r w:rsidRPr="009002F0">
        <w:rPr>
          <w:rFonts w:ascii="Andes" w:eastAsia="Malgun Gothic" w:hAnsi="Andes" w:cs="Times New Roman"/>
          <w:b/>
          <w:color w:val="002345"/>
          <w:sz w:val="32"/>
          <w:szCs w:val="32"/>
          <w:lang w:eastAsia="ko-KR"/>
        </w:rPr>
        <w:lastRenderedPageBreak/>
        <w:t>Conclusions</w:t>
      </w:r>
      <w:bookmarkEnd w:id="122"/>
      <w:bookmarkEnd w:id="123"/>
      <w:r w:rsidRPr="009002F0">
        <w:rPr>
          <w:rFonts w:ascii="Andes" w:eastAsia="Malgun Gothic" w:hAnsi="Andes" w:cs="Times New Roman"/>
          <w:b/>
          <w:color w:val="2F5496"/>
          <w:sz w:val="32"/>
          <w:szCs w:val="32"/>
          <w:lang w:eastAsia="ko-KR"/>
        </w:rPr>
        <w:t xml:space="preserve">  </w:t>
      </w:r>
    </w:p>
    <w:p w14:paraId="1FFD98CD"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Estimates of the possible size of the foreign worker population are essential to quantify the effects of foreign workers and to develop evidence-based immigration policies in Malaysia. The analysis is complex and subject to large margins of error because data on irregular foreign workers are relatively scarce, and much of the data that are collected are not shared among key stakeholders. </w:t>
      </w:r>
    </w:p>
    <w:p w14:paraId="5EDBA73E"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This report explores three ways of estimating the number of regular and irregular foreign workers:  the residual approach, the build-up approach, and a remittance transaction data approach. The former two approaches bear significant challenges as the data available are at high levels of aggregation, and some of the potentially informative administrative data managed by the Immigration Department are not shared. A well-coordinated data-sharing approach could lead to better data triangulation methods for estimation and as a result improve the quality of the estimates. Nevertheless, the BNM’s remittance data offers the possibility of improving the quality of foreign worker estimates by adding additional variables in the data collection process to better identify irregulars (see a separate note on how to utilize the BNM remittance data to estimate the foreign worker population).</w:t>
      </w:r>
    </w:p>
    <w:p w14:paraId="2BABED43"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The resulting overall estimates are lower than the other estimates that are currently available. Our estimates suggest a total population of 2.96</w:t>
      </w:r>
      <w:r w:rsidRPr="009002F0">
        <w:rPr>
          <w:rFonts w:ascii="Calibri" w:eastAsia="Calibri" w:hAnsi="Calibri" w:cs="Calibri"/>
          <w:bCs/>
          <w:color w:val="auto"/>
          <w:szCs w:val="22"/>
        </w:rPr>
        <w:t>–</w:t>
      </w:r>
      <w:r w:rsidRPr="009002F0">
        <w:rPr>
          <w:rFonts w:ascii="Calibri" w:eastAsia="Calibri" w:hAnsi="Calibri" w:cs="Times New Roman"/>
          <w:bCs/>
          <w:color w:val="auto"/>
          <w:szCs w:val="22"/>
        </w:rPr>
        <w:t>3.26 million foreign workers at the end of 2017. Of these, an estimated 1.23</w:t>
      </w:r>
      <w:r w:rsidRPr="009002F0">
        <w:rPr>
          <w:rFonts w:ascii="Calibri" w:eastAsia="Calibri" w:hAnsi="Calibri" w:cs="Calibri"/>
          <w:bCs/>
          <w:color w:val="auto"/>
          <w:szCs w:val="22"/>
        </w:rPr>
        <w:t>–</w:t>
      </w:r>
      <w:r w:rsidRPr="009002F0">
        <w:rPr>
          <w:rFonts w:ascii="Calibri" w:eastAsia="Calibri" w:hAnsi="Calibri" w:cs="Times New Roman"/>
          <w:bCs/>
          <w:color w:val="auto"/>
          <w:szCs w:val="22"/>
        </w:rPr>
        <w:t>1.46 million are irregular foreign workers, a much lower and narrower range than the estimated 1.9</w:t>
      </w:r>
      <w:r w:rsidRPr="009002F0">
        <w:rPr>
          <w:rFonts w:ascii="Calibri" w:eastAsia="Calibri" w:hAnsi="Calibri" w:cs="Calibri"/>
          <w:bCs/>
          <w:color w:val="auto"/>
          <w:szCs w:val="22"/>
        </w:rPr>
        <w:t>–4.6</w:t>
      </w:r>
      <w:r w:rsidRPr="009002F0">
        <w:rPr>
          <w:rFonts w:ascii="Calibri" w:eastAsia="Calibri" w:hAnsi="Calibri" w:cs="Times New Roman"/>
          <w:bCs/>
          <w:color w:val="auto"/>
          <w:szCs w:val="22"/>
        </w:rPr>
        <w:t xml:space="preserve"> million reported by other sources. </w:t>
      </w:r>
    </w:p>
    <w:p w14:paraId="7DB9E0DA"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Cs/>
          <w:color w:val="auto"/>
          <w:szCs w:val="22"/>
        </w:rPr>
        <w:t xml:space="preserve">Given the importance of foreign workers, Malaysia would be wise to make fuller and better use of existing administrative data and to improve its collection and cross-agency analysis of both statistical and administrative foreign worker data. Some recommendations to consider are the following: </w:t>
      </w:r>
    </w:p>
    <w:p w14:paraId="5EF41044"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Recommendation 1.</w:t>
      </w:r>
      <w:r w:rsidRPr="009002F0">
        <w:rPr>
          <w:rFonts w:ascii="Calibri" w:eastAsia="Calibri" w:hAnsi="Calibri" w:cs="Times New Roman"/>
          <w:bCs/>
          <w:color w:val="auto"/>
          <w:szCs w:val="22"/>
        </w:rPr>
        <w:t xml:space="preserve"> Through better inter-agency coordination and collaboration, collect data on the resident population regardless of citizen/non-citizen status. Therefore, undocumented foreign workers can be registered with national demographic statistics, as done in the municipality </w:t>
      </w:r>
      <w:proofErr w:type="spellStart"/>
      <w:r w:rsidRPr="009002F0">
        <w:rPr>
          <w:rFonts w:ascii="Calibri" w:eastAsia="Calibri" w:hAnsi="Calibri" w:cs="Calibri"/>
          <w:bCs/>
          <w:color w:val="auto"/>
          <w:szCs w:val="22"/>
        </w:rPr>
        <w:t>Padrón</w:t>
      </w:r>
      <w:proofErr w:type="spellEnd"/>
      <w:r w:rsidRPr="009002F0">
        <w:rPr>
          <w:rFonts w:ascii="Calibri" w:eastAsia="Calibri" w:hAnsi="Calibri" w:cs="Calibri"/>
          <w:bCs/>
          <w:color w:val="auto"/>
          <w:szCs w:val="22"/>
        </w:rPr>
        <w:t xml:space="preserve"> in Spain </w:t>
      </w:r>
      <w:sdt>
        <w:sdtPr>
          <w:rPr>
            <w:rFonts w:ascii="Calibri" w:eastAsia="Calibri" w:hAnsi="Calibri" w:cs="Calibri"/>
            <w:bCs/>
            <w:color w:val="auto"/>
            <w:szCs w:val="22"/>
          </w:rPr>
          <w:id w:val="79653193"/>
          <w:citation/>
        </w:sdtPr>
        <w:sdtContent>
          <w:r w:rsidRPr="009002F0">
            <w:rPr>
              <w:rFonts w:ascii="Calibri" w:eastAsia="Calibri" w:hAnsi="Calibri" w:cs="Calibri"/>
              <w:bCs/>
              <w:color w:val="auto"/>
              <w:szCs w:val="22"/>
            </w:rPr>
            <w:fldChar w:fldCharType="begin"/>
          </w:r>
          <w:r w:rsidRPr="009002F0">
            <w:rPr>
              <w:rFonts w:ascii="Calibri" w:eastAsia="Calibri" w:hAnsi="Calibri" w:cs="Calibri"/>
              <w:bCs/>
              <w:color w:val="auto"/>
              <w:szCs w:val="22"/>
            </w:rPr>
            <w:instrText xml:space="preserve"> CITATION UNH13 \l 1033 </w:instrText>
          </w:r>
          <w:r w:rsidRPr="009002F0">
            <w:rPr>
              <w:rFonts w:ascii="Calibri" w:eastAsia="Calibri" w:hAnsi="Calibri" w:cs="Calibri"/>
              <w:bCs/>
              <w:color w:val="auto"/>
              <w:szCs w:val="22"/>
            </w:rPr>
            <w:fldChar w:fldCharType="separate"/>
          </w:r>
          <w:r w:rsidRPr="009002F0">
            <w:rPr>
              <w:rFonts w:ascii="Calibri" w:eastAsia="Calibri" w:hAnsi="Calibri" w:cs="Calibri"/>
              <w:noProof/>
              <w:color w:val="auto"/>
              <w:szCs w:val="22"/>
            </w:rPr>
            <w:t>(UNHCR, 2013)</w:t>
          </w:r>
          <w:r w:rsidRPr="009002F0">
            <w:rPr>
              <w:rFonts w:ascii="Calibri" w:eastAsia="Calibri" w:hAnsi="Calibri" w:cs="Calibri"/>
              <w:bCs/>
              <w:color w:val="auto"/>
              <w:szCs w:val="22"/>
            </w:rPr>
            <w:fldChar w:fldCharType="end"/>
          </w:r>
        </w:sdtContent>
      </w:sdt>
      <w:r w:rsidRPr="009002F0">
        <w:rPr>
          <w:rFonts w:ascii="Calibri" w:eastAsia="Calibri" w:hAnsi="Calibri" w:cs="Times New Roman"/>
          <w:bCs/>
          <w:color w:val="auto"/>
          <w:szCs w:val="22"/>
        </w:rPr>
        <w:t>. The number of irregular foreign workers can then be inferred by taking the residual of residence/foreign worker permits issued to non-citizens.</w:t>
      </w:r>
    </w:p>
    <w:p w14:paraId="5420F152"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Recommendation 2.</w:t>
      </w:r>
      <w:r w:rsidRPr="009002F0">
        <w:rPr>
          <w:rFonts w:ascii="Calibri" w:eastAsia="Calibri" w:hAnsi="Calibri" w:cs="Times New Roman"/>
          <w:bCs/>
          <w:color w:val="auto"/>
          <w:szCs w:val="22"/>
        </w:rPr>
        <w:t xml:space="preserve"> Identify ways to create an integrated management information system to make better use of existing administrative data. This would allow mapping of various administrative data using a personal identifier. A big data platform could be used, such as mobile phone records, Facebook and other social media data. Other countries such as Georgia have seen positive results in estimating the migrant population (covering both regular and irregular) in recent years. </w:t>
      </w:r>
    </w:p>
    <w:p w14:paraId="0ED6B0DB" w14:textId="77777777" w:rsidR="009002F0" w:rsidRPr="009002F0" w:rsidRDefault="009002F0" w:rsidP="009002F0">
      <w:pPr>
        <w:widowControl/>
        <w:autoSpaceDE/>
        <w:autoSpaceDN/>
        <w:adjustRightInd/>
        <w:spacing w:after="120" w:line="256" w:lineRule="auto"/>
        <w:jc w:val="both"/>
        <w:rPr>
          <w:rFonts w:ascii="Calibri" w:eastAsia="Calibri" w:hAnsi="Calibri" w:cs="Times New Roman"/>
          <w:bCs/>
          <w:color w:val="auto"/>
          <w:szCs w:val="22"/>
        </w:rPr>
      </w:pPr>
      <w:r w:rsidRPr="009002F0">
        <w:rPr>
          <w:rFonts w:ascii="Calibri" w:eastAsia="Calibri" w:hAnsi="Calibri" w:cs="Times New Roman"/>
          <w:b/>
          <w:bCs/>
          <w:color w:val="auto"/>
          <w:szCs w:val="22"/>
        </w:rPr>
        <w:t>Recommendation 3.</w:t>
      </w:r>
      <w:r w:rsidRPr="009002F0">
        <w:rPr>
          <w:rFonts w:ascii="Calibri" w:eastAsia="Calibri" w:hAnsi="Calibri" w:cs="Times New Roman"/>
          <w:bCs/>
          <w:color w:val="auto"/>
          <w:szCs w:val="22"/>
        </w:rPr>
        <w:t xml:space="preserve"> Conduct a regular comprehensive migrant survey to better understand how foreign workers shift from regular to irregular and the motivations for overstaying visas. The existing network of money transfer businesses can be leveraged in conducting such migration surveys.  </w:t>
      </w:r>
      <w:r w:rsidRPr="009002F0">
        <w:rPr>
          <w:rFonts w:ascii="Calibri" w:eastAsia="Calibri" w:hAnsi="Calibri" w:cs="Times New Roman"/>
          <w:bCs/>
          <w:color w:val="auto"/>
          <w:szCs w:val="22"/>
        </w:rPr>
        <w:br w:type="page"/>
      </w:r>
    </w:p>
    <w:bookmarkStart w:id="124" w:name="_Toc536052742" w:displacedByCustomXml="next"/>
    <w:bookmarkStart w:id="125" w:name="_Toc4581540" w:displacedByCustomXml="next"/>
    <w:sdt>
      <w:sdtPr>
        <w:rPr>
          <w:rFonts w:ascii="Calibri" w:eastAsia="Calibri" w:hAnsi="Calibri" w:cs="Times New Roman"/>
          <w:color w:val="auto"/>
          <w:sz w:val="20"/>
          <w:szCs w:val="20"/>
        </w:rPr>
        <w:id w:val="1895314531"/>
        <w:docPartObj>
          <w:docPartGallery w:val="Bibliographies"/>
          <w:docPartUnique/>
        </w:docPartObj>
      </w:sdtPr>
      <w:sdtEndPr>
        <w:rPr>
          <w:rFonts w:eastAsia="Malgun Gothic"/>
          <w:lang w:eastAsia="ko-KR"/>
        </w:rPr>
      </w:sdtEndPr>
      <w:sdtContent>
        <w:sdt>
          <w:sdtPr>
            <w:rPr>
              <w:rFonts w:ascii="Calibri" w:eastAsia="Malgun Gothic" w:hAnsi="Calibri" w:cs="Times New Roman"/>
              <w:color w:val="auto"/>
              <w:lang w:eastAsia="ko-KR"/>
            </w:rPr>
            <w:id w:val="238523530"/>
            <w:docPartObj>
              <w:docPartGallery w:val="Bibliographies"/>
              <w:docPartUnique/>
            </w:docPartObj>
          </w:sdtPr>
          <w:sdtEndPr>
            <w:rPr>
              <w:sz w:val="20"/>
              <w:szCs w:val="20"/>
            </w:rPr>
          </w:sdtEndPr>
          <w:sdtContent>
            <w:p w14:paraId="5D4B81C5" w14:textId="77777777" w:rsidR="009002F0" w:rsidRPr="009002F0" w:rsidRDefault="009002F0" w:rsidP="009002F0">
              <w:pPr>
                <w:keepNext/>
                <w:keepLines/>
                <w:widowControl/>
                <w:autoSpaceDE/>
                <w:autoSpaceDN/>
                <w:adjustRightInd/>
                <w:spacing w:before="320" w:after="360"/>
                <w:jc w:val="center"/>
                <w:outlineLvl w:val="0"/>
                <w:rPr>
                  <w:rFonts w:ascii="Andes" w:eastAsia="Malgun Gothic" w:hAnsi="Andes" w:cs="Times New Roman"/>
                  <w:b/>
                  <w:color w:val="002345"/>
                  <w:sz w:val="32"/>
                  <w:szCs w:val="32"/>
                  <w:lang w:eastAsia="ko-KR"/>
                </w:rPr>
              </w:pPr>
              <w:r w:rsidRPr="009002F0">
                <w:rPr>
                  <w:rFonts w:ascii="Andes" w:eastAsia="Malgun Gothic" w:hAnsi="Andes" w:cs="Times New Roman"/>
                  <w:b/>
                  <w:color w:val="002345"/>
                  <w:sz w:val="32"/>
                  <w:szCs w:val="32"/>
                  <w:lang w:eastAsia="ko-KR"/>
                </w:rPr>
                <w:t>References</w:t>
              </w:r>
              <w:bookmarkEnd w:id="125"/>
              <w:bookmarkEnd w:id="124"/>
            </w:p>
            <w:p w14:paraId="34BE55F5"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lang w:eastAsia="ko-KR"/>
                </w:rPr>
              </w:pPr>
            </w:p>
            <w:p w14:paraId="04F4675B"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Ahsan, A, M. Abella, A. Beath, Y. Huang, M. Luthria, and T.V. Nguyen (2014). International Migration and Development in East Asia and the Pacific. </w:t>
              </w:r>
              <w:r w:rsidRPr="009002F0">
                <w:rPr>
                  <w:rFonts w:ascii="Calibri" w:eastAsia="Malgun Gothic" w:hAnsi="Calibri" w:cs="Calibri"/>
                  <w:i/>
                  <w:iCs/>
                  <w:noProof/>
                  <w:color w:val="auto"/>
                  <w:lang w:eastAsia="ko-KR"/>
                </w:rPr>
                <w:t>World Bank</w:t>
              </w:r>
              <w:r w:rsidRPr="009002F0">
                <w:rPr>
                  <w:rFonts w:ascii="Calibri" w:eastAsia="Malgun Gothic" w:hAnsi="Calibri" w:cs="Calibri"/>
                  <w:noProof/>
                  <w:color w:val="auto"/>
                  <w:lang w:eastAsia="ko-KR"/>
                </w:rPr>
                <w:t>.</w:t>
              </w:r>
            </w:p>
            <w:p w14:paraId="2F2DCF3F"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proofErr w:type="spellStart"/>
              <w:r w:rsidRPr="009002F0">
                <w:rPr>
                  <w:rFonts w:ascii="Calibri" w:eastAsia="Malgun Gothic" w:hAnsi="Calibri" w:cs="Calibri"/>
                  <w:color w:val="auto"/>
                  <w:lang w:eastAsia="ko-KR"/>
                </w:rPr>
                <w:t>Ajis</w:t>
              </w:r>
              <w:proofErr w:type="spellEnd"/>
              <w:r w:rsidRPr="009002F0">
                <w:rPr>
                  <w:rFonts w:ascii="Calibri" w:eastAsia="Malgun Gothic" w:hAnsi="Calibri" w:cs="Calibri"/>
                  <w:color w:val="auto"/>
                  <w:lang w:eastAsia="ko-KR"/>
                </w:rPr>
                <w:t xml:space="preserve">, Mohd </w:t>
              </w:r>
              <w:proofErr w:type="spellStart"/>
              <w:r w:rsidRPr="009002F0">
                <w:rPr>
                  <w:rFonts w:ascii="Calibri" w:eastAsia="Malgun Gothic" w:hAnsi="Calibri" w:cs="Calibri"/>
                  <w:color w:val="auto"/>
                  <w:lang w:eastAsia="ko-KR"/>
                </w:rPr>
                <w:t>Na’eim</w:t>
              </w:r>
              <w:proofErr w:type="spellEnd"/>
              <w:r w:rsidRPr="009002F0">
                <w:rPr>
                  <w:rFonts w:ascii="Calibri" w:eastAsia="Malgun Gothic" w:hAnsi="Calibri" w:cs="Calibri"/>
                  <w:color w:val="auto"/>
                  <w:lang w:eastAsia="ko-KR"/>
                </w:rPr>
                <w:t xml:space="preserve">, </w:t>
              </w:r>
              <w:proofErr w:type="spellStart"/>
              <w:r w:rsidRPr="009002F0">
                <w:rPr>
                  <w:rFonts w:ascii="Calibri" w:eastAsia="Malgun Gothic" w:hAnsi="Calibri" w:cs="Calibri"/>
                  <w:color w:val="auto"/>
                  <w:lang w:eastAsia="ko-KR"/>
                </w:rPr>
                <w:t>Kamarulzaman</w:t>
              </w:r>
              <w:proofErr w:type="spellEnd"/>
              <w:r w:rsidRPr="009002F0">
                <w:rPr>
                  <w:rFonts w:ascii="Calibri" w:eastAsia="Malgun Gothic" w:hAnsi="Calibri" w:cs="Calibri"/>
                  <w:color w:val="auto"/>
                  <w:lang w:eastAsia="ko-KR"/>
                </w:rPr>
                <w:t xml:space="preserve"> </w:t>
              </w:r>
              <w:proofErr w:type="spellStart"/>
              <w:r w:rsidRPr="009002F0">
                <w:rPr>
                  <w:rFonts w:ascii="Calibri" w:eastAsia="Malgun Gothic" w:hAnsi="Calibri" w:cs="Calibri"/>
                  <w:color w:val="auto"/>
                  <w:lang w:eastAsia="ko-KR"/>
                </w:rPr>
                <w:t>Askandar</w:t>
              </w:r>
              <w:proofErr w:type="spellEnd"/>
              <w:r w:rsidRPr="009002F0">
                <w:rPr>
                  <w:rFonts w:ascii="Calibri" w:eastAsia="Malgun Gothic" w:hAnsi="Calibri" w:cs="Calibri"/>
                  <w:color w:val="auto"/>
                  <w:lang w:eastAsia="ko-KR"/>
                </w:rPr>
                <w:t xml:space="preserve">, and </w:t>
              </w:r>
              <w:proofErr w:type="spellStart"/>
              <w:r w:rsidRPr="009002F0">
                <w:rPr>
                  <w:rFonts w:ascii="Calibri" w:eastAsia="Malgun Gothic" w:hAnsi="Calibri" w:cs="Calibri"/>
                  <w:color w:val="auto"/>
                  <w:lang w:eastAsia="ko-KR"/>
                </w:rPr>
                <w:t>Saadon</w:t>
              </w:r>
              <w:proofErr w:type="spellEnd"/>
              <w:r w:rsidRPr="009002F0">
                <w:rPr>
                  <w:rFonts w:ascii="Calibri" w:eastAsia="Malgun Gothic" w:hAnsi="Calibri" w:cs="Calibri"/>
                  <w:color w:val="auto"/>
                  <w:lang w:eastAsia="ko-KR"/>
                </w:rPr>
                <w:t xml:space="preserve"> Awang (2015). “International Migration and Human Trafficking in Malaysia: A Study on Illegal Immigrants,” </w:t>
              </w:r>
              <w:r w:rsidRPr="009002F0">
                <w:rPr>
                  <w:rFonts w:ascii="Calibri" w:eastAsia="Malgun Gothic" w:hAnsi="Calibri" w:cs="Calibri"/>
                  <w:i/>
                  <w:color w:val="auto"/>
                  <w:lang w:eastAsia="ko-KR"/>
                </w:rPr>
                <w:t>Asian Social Science</w:t>
              </w:r>
              <w:r w:rsidRPr="009002F0">
                <w:rPr>
                  <w:rFonts w:ascii="Calibri" w:eastAsia="Malgun Gothic" w:hAnsi="Calibri" w:cs="Calibri"/>
                  <w:color w:val="auto"/>
                  <w:lang w:eastAsia="ko-KR"/>
                </w:rPr>
                <w:t xml:space="preserve"> 11(25):124-134.</w:t>
              </w:r>
            </w:p>
            <w:p w14:paraId="0B747EC7"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Amnesty International. 2010. </w:t>
              </w:r>
              <w:r w:rsidRPr="009002F0">
                <w:rPr>
                  <w:rFonts w:ascii="Calibri" w:eastAsia="Malgun Gothic" w:hAnsi="Calibri" w:cs="Calibri"/>
                  <w:i/>
                  <w:color w:val="auto"/>
                  <w:lang w:eastAsia="ko-KR"/>
                </w:rPr>
                <w:t>Trapped: The Exploitation of Migrant Workers in Malaysia</w:t>
              </w:r>
              <w:r w:rsidRPr="009002F0">
                <w:rPr>
                  <w:rFonts w:ascii="Calibri" w:eastAsia="Malgun Gothic" w:hAnsi="Calibri" w:cs="Calibri"/>
                  <w:color w:val="auto"/>
                  <w:lang w:eastAsia="ko-KR"/>
                </w:rPr>
                <w:t xml:space="preserve">. London: Amnesty International </w:t>
              </w:r>
              <w:r w:rsidRPr="009002F0">
                <w:rPr>
                  <w:rFonts w:ascii="Calibri" w:eastAsia="Malgun Gothic" w:hAnsi="Calibri" w:cs="Calibri"/>
                  <w:noProof/>
                  <w:color w:val="auto"/>
                  <w:lang w:eastAsia="ko-KR"/>
                </w:rPr>
                <w:t>Publications</w:t>
              </w:r>
              <w:r w:rsidRPr="009002F0">
                <w:rPr>
                  <w:rFonts w:ascii="Calibri" w:eastAsia="Malgun Gothic" w:hAnsi="Calibri" w:cs="Calibri"/>
                  <w:color w:val="auto"/>
                  <w:lang w:eastAsia="ko-KR"/>
                </w:rPr>
                <w:t>.</w:t>
              </w:r>
            </w:p>
            <w:p w14:paraId="0F30586F"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proofErr w:type="spellStart"/>
              <w:r w:rsidRPr="009002F0">
                <w:rPr>
                  <w:rFonts w:ascii="Calibri" w:eastAsia="Malgun Gothic" w:hAnsi="Calibri" w:cs="Calibri"/>
                  <w:color w:val="auto"/>
                  <w:lang w:eastAsia="ko-KR"/>
                </w:rPr>
                <w:t>Athukorala</w:t>
              </w:r>
              <w:proofErr w:type="spellEnd"/>
              <w:r w:rsidRPr="009002F0">
                <w:rPr>
                  <w:rFonts w:ascii="Calibri" w:eastAsia="Malgun Gothic" w:hAnsi="Calibri" w:cs="Calibri"/>
                  <w:color w:val="auto"/>
                  <w:lang w:eastAsia="ko-KR"/>
                </w:rPr>
                <w:t xml:space="preserve">, P. and E. </w:t>
              </w:r>
              <w:proofErr w:type="spellStart"/>
              <w:r w:rsidRPr="009002F0">
                <w:rPr>
                  <w:rFonts w:ascii="Calibri" w:eastAsia="Malgun Gothic" w:hAnsi="Calibri" w:cs="Calibri"/>
                  <w:color w:val="auto"/>
                  <w:lang w:eastAsia="ko-KR"/>
                </w:rPr>
                <w:t>Devadson</w:t>
              </w:r>
              <w:proofErr w:type="spellEnd"/>
              <w:r w:rsidRPr="009002F0">
                <w:rPr>
                  <w:rFonts w:ascii="Calibri" w:eastAsia="Malgun Gothic" w:hAnsi="Calibri" w:cs="Calibri"/>
                  <w:color w:val="auto"/>
                  <w:lang w:eastAsia="ko-KR"/>
                </w:rPr>
                <w:t xml:space="preserve"> (2012). “The Impact of Foreign labor on Host Country Wages: The Experience of a Southern Host, Malaysia. World Development, Elsevier, Vol 40(8), pp. 1497-1510.  </w:t>
              </w:r>
            </w:p>
            <w:p w14:paraId="4CBD6062"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Asylum Access Malaysia (2018). INDEPENDENT SHADOW REPORT TO THE COMMITTEE ON THE CONVENTION ON THE ELIMINATION OF DISCRIMINATION AGAINST ALL WOMEN (CEDAW). </w:t>
              </w:r>
              <w:r w:rsidRPr="009002F0">
                <w:rPr>
                  <w:rFonts w:ascii="Calibri" w:eastAsia="Malgun Gothic" w:hAnsi="Calibri" w:cs="Calibri"/>
                  <w:i/>
                  <w:iCs/>
                  <w:noProof/>
                  <w:color w:val="auto"/>
                  <w:lang w:eastAsia="ko-KR"/>
                </w:rPr>
                <w:t>Asylum Access Malaysia</w:t>
              </w:r>
              <w:r w:rsidRPr="009002F0">
                <w:rPr>
                  <w:rFonts w:ascii="Calibri" w:eastAsia="Malgun Gothic" w:hAnsi="Calibri" w:cs="Calibri"/>
                  <w:noProof/>
                  <w:color w:val="auto"/>
                  <w:lang w:eastAsia="ko-KR"/>
                </w:rPr>
                <w:t>.</w:t>
              </w:r>
            </w:p>
            <w:p w14:paraId="18276313"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Costanzo, J. M., C. Davis, C. Irazi, D. Goodkind, and R. Ramirez (2002). Evaluating Componentsof International Migration: The Residual Foreign Born. </w:t>
              </w:r>
              <w:r w:rsidRPr="009002F0">
                <w:rPr>
                  <w:rFonts w:ascii="Calibri" w:eastAsia="Malgun Gothic" w:hAnsi="Calibri" w:cs="Calibri"/>
                  <w:i/>
                  <w:noProof/>
                  <w:color w:val="auto"/>
                  <w:lang w:eastAsia="ko-KR"/>
                </w:rPr>
                <w:t>Population Division Working paper #61, U.S. Census Bureau.</w:t>
              </w:r>
              <w:r w:rsidRPr="009002F0">
                <w:rPr>
                  <w:rFonts w:ascii="Calibri" w:eastAsia="Malgun Gothic" w:hAnsi="Calibri" w:cs="Calibri"/>
                  <w:noProof/>
                  <w:color w:val="auto"/>
                  <w:lang w:eastAsia="ko-KR"/>
                </w:rPr>
                <w:t xml:space="preserve"> </w:t>
              </w:r>
            </w:p>
            <w:p w14:paraId="3A1090B7"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Dadush, U. (2014). The Effect of Low-Skilled Labor Migration on the Host Economy. </w:t>
              </w:r>
              <w:r w:rsidRPr="009002F0">
                <w:rPr>
                  <w:rFonts w:ascii="Calibri" w:eastAsia="Malgun Gothic" w:hAnsi="Calibri" w:cs="Calibri"/>
                  <w:i/>
                  <w:noProof/>
                  <w:color w:val="auto"/>
                  <w:lang w:eastAsia="ko-KR"/>
                </w:rPr>
                <w:t>World Bank KNOMAD Working Paper 1.</w:t>
              </w:r>
            </w:p>
            <w:p w14:paraId="288C9AE4"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Djafar, F. and M. K. Hassan (2012). Dynamics of Push and Pull Factors of Migrant Workers in Developing Countries: The Case of Indonesian Workers in Malaysia. </w:t>
              </w:r>
              <w:r w:rsidRPr="009002F0">
                <w:rPr>
                  <w:rFonts w:ascii="Calibri" w:eastAsia="Malgun Gothic" w:hAnsi="Calibri" w:cs="Calibri"/>
                  <w:i/>
                  <w:iCs/>
                  <w:noProof/>
                  <w:color w:val="auto"/>
                  <w:lang w:eastAsia="ko-KR"/>
                </w:rPr>
                <w:t>Journal of Economics and Behavioral Studies, 4(12):703–711</w:t>
              </w:r>
              <w:r w:rsidRPr="009002F0">
                <w:rPr>
                  <w:rFonts w:ascii="Calibri" w:eastAsia="Malgun Gothic" w:hAnsi="Calibri" w:cs="Calibri"/>
                  <w:noProof/>
                  <w:color w:val="auto"/>
                  <w:lang w:eastAsia="ko-KR"/>
                </w:rPr>
                <w:t>.</w:t>
              </w:r>
            </w:p>
            <w:p w14:paraId="351EF193"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European Commission (2017). REPORT FROM THE COMMISSION TO THE EUROPEAN PARLIAMENT AND THE COUNCIL: First Report under the Visa Suspension Mechanism. </w:t>
              </w:r>
              <w:r w:rsidRPr="009002F0">
                <w:rPr>
                  <w:rFonts w:ascii="Calibri" w:eastAsia="Malgun Gothic" w:hAnsi="Calibri" w:cs="Calibri"/>
                  <w:i/>
                  <w:iCs/>
                  <w:noProof/>
                  <w:color w:val="auto"/>
                  <w:lang w:eastAsia="ko-KR"/>
                </w:rPr>
                <w:t>Brussels, 20.12.2017 COM(2017) 815 final</w:t>
              </w:r>
              <w:r w:rsidRPr="009002F0">
                <w:rPr>
                  <w:rFonts w:ascii="Calibri" w:eastAsia="Malgun Gothic" w:hAnsi="Calibri" w:cs="Calibri"/>
                  <w:noProof/>
                  <w:color w:val="auto"/>
                  <w:lang w:eastAsia="ko-KR"/>
                </w:rPr>
                <w:t>.</w:t>
              </w:r>
            </w:p>
            <w:p w14:paraId="7F265895"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Huling, A. (2012). Domestic workers in Malaysia: hidden victims of abuse and forced labor. </w:t>
              </w:r>
              <w:r w:rsidRPr="009002F0">
                <w:rPr>
                  <w:rFonts w:ascii="Calibri" w:eastAsia="Malgun Gothic" w:hAnsi="Calibri" w:cs="Calibri"/>
                  <w:i/>
                  <w:iCs/>
                  <w:noProof/>
                  <w:color w:val="auto"/>
                  <w:lang w:eastAsia="ko-KR"/>
                </w:rPr>
                <w:t>New York University Journal of International Law &amp; Politics, vol. 44, pp. 629-642</w:t>
              </w:r>
              <w:r w:rsidRPr="009002F0">
                <w:rPr>
                  <w:rFonts w:ascii="Calibri" w:eastAsia="Malgun Gothic" w:hAnsi="Calibri" w:cs="Calibri"/>
                  <w:noProof/>
                  <w:color w:val="auto"/>
                  <w:lang w:eastAsia="ko-KR"/>
                </w:rPr>
                <w:t>.</w:t>
              </w:r>
            </w:p>
            <w:p w14:paraId="7D215791" w14:textId="77777777" w:rsidR="009002F0" w:rsidRPr="009002F0" w:rsidRDefault="009002F0" w:rsidP="009002F0">
              <w:pPr>
                <w:widowControl/>
                <w:autoSpaceDE/>
                <w:autoSpaceDN/>
                <w:adjustRightInd/>
                <w:spacing w:after="120" w:line="264" w:lineRule="auto"/>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ILMIA (Institute of Labour Market Information and Analysis. (2016). National Employment Returns Report 2016. </w:t>
              </w:r>
            </w:p>
            <w:p w14:paraId="0329573B"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ILO. (2018). Equality fo Treatment (Accident Compensation) Convention, 1925 (No. 19) - Malaysia - Sarawak. </w:t>
              </w:r>
              <w:r w:rsidRPr="009002F0">
                <w:rPr>
                  <w:rFonts w:ascii="Calibri" w:eastAsia="Malgun Gothic" w:hAnsi="Calibri" w:cs="Calibri"/>
                  <w:i/>
                  <w:iCs/>
                  <w:noProof/>
                  <w:color w:val="auto"/>
                  <w:lang w:eastAsia="ko-KR"/>
                </w:rPr>
                <w:t>Individual Case (CAS) - Discussion: 2018, Publication: 107th ILC session</w:t>
              </w:r>
              <w:r w:rsidRPr="009002F0">
                <w:rPr>
                  <w:rFonts w:ascii="Calibri" w:eastAsia="Malgun Gothic" w:hAnsi="Calibri" w:cs="Calibri"/>
                  <w:noProof/>
                  <w:color w:val="auto"/>
                  <w:lang w:eastAsia="ko-KR"/>
                </w:rPr>
                <w:t>.</w:t>
              </w:r>
            </w:p>
            <w:p w14:paraId="64042828"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Jayakumar, G. (2006). Pre-Employment Medical Examination of Migrant Workers – The Ethical and Legal Issues. </w:t>
              </w:r>
              <w:r w:rsidRPr="009002F0">
                <w:rPr>
                  <w:rFonts w:ascii="Calibri" w:eastAsia="Malgun Gothic" w:hAnsi="Calibri" w:cs="Calibri"/>
                  <w:i/>
                  <w:noProof/>
                  <w:color w:val="auto"/>
                  <w:lang w:eastAsia="ko-KR"/>
                </w:rPr>
                <w:t>Med J. Malaysia Vol. 61 No. 5, December</w:t>
              </w:r>
              <w:r w:rsidRPr="009002F0">
                <w:rPr>
                  <w:rFonts w:ascii="Calibri" w:eastAsia="Malgun Gothic" w:hAnsi="Calibri" w:cs="Calibri"/>
                  <w:noProof/>
                  <w:color w:val="auto"/>
                  <w:lang w:eastAsia="ko-KR"/>
                </w:rPr>
                <w:t xml:space="preserve">. </w:t>
              </w:r>
            </w:p>
            <w:p w14:paraId="0E856971"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proofErr w:type="spellStart"/>
              <w:r w:rsidRPr="009002F0">
                <w:rPr>
                  <w:rFonts w:ascii="Calibri" w:eastAsia="Malgun Gothic" w:hAnsi="Calibri" w:cs="Calibri"/>
                  <w:color w:val="auto"/>
                  <w:lang w:eastAsia="ko-KR"/>
                </w:rPr>
                <w:t>Kanapathy</w:t>
              </w:r>
              <w:proofErr w:type="spellEnd"/>
              <w:r w:rsidRPr="009002F0">
                <w:rPr>
                  <w:rFonts w:ascii="Calibri" w:eastAsia="Malgun Gothic" w:hAnsi="Calibri" w:cs="Calibri"/>
                  <w:color w:val="auto"/>
                  <w:lang w:eastAsia="ko-KR"/>
                </w:rPr>
                <w:t>, V. 2004. International Migration and Labour Market Adjustments in Malaysia: Economic Recovery, The Labour Market, and Migrant Workers in Malaysia.</w:t>
              </w:r>
            </w:p>
            <w:p w14:paraId="2F2AD58A"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lastRenderedPageBreak/>
                <w:t xml:space="preserve">_______ (2008a). International Migration Statistics and Data Sources – Malaysia. Asian and Pacific migration jounal, Vol 7, No. 3-4, pp. 335-348. </w:t>
              </w:r>
            </w:p>
            <w:p w14:paraId="194EDF89" w14:textId="77777777" w:rsidR="009002F0" w:rsidRPr="009002F0" w:rsidRDefault="009002F0" w:rsidP="009002F0">
              <w:pPr>
                <w:widowControl/>
                <w:autoSpaceDE/>
                <w:autoSpaceDN/>
                <w:adjustRightInd/>
                <w:spacing w:after="120" w:line="264" w:lineRule="auto"/>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_______ (2008b). Malaysia. </w:t>
              </w:r>
              <w:r w:rsidRPr="009002F0">
                <w:rPr>
                  <w:rFonts w:ascii="Calibri" w:eastAsia="Malgun Gothic" w:hAnsi="Calibri" w:cs="Calibri"/>
                  <w:noProof/>
                  <w:color w:val="auto"/>
                  <w:lang w:eastAsia="ko-KR"/>
                </w:rPr>
                <w:t>Asian and Pacific migration jounal, Vol 17, No. 3-4, pp. 335-347.</w:t>
              </w:r>
            </w:p>
            <w:p w14:paraId="01E23A6E"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i/>
                  <w:noProof/>
                  <w:color w:val="auto"/>
                  <w:lang w:eastAsia="ko-KR"/>
                </w:rPr>
              </w:pPr>
              <w:r w:rsidRPr="009002F0">
                <w:rPr>
                  <w:rFonts w:ascii="Calibri" w:eastAsia="Malgun Gothic" w:hAnsi="Calibri" w:cs="Calibri"/>
                  <w:noProof/>
                  <w:color w:val="auto"/>
                  <w:lang w:eastAsia="ko-KR"/>
                </w:rPr>
                <w:t xml:space="preserve">Kassim, A. (2009). Filipino Refugees in Sabah: State Responses, Public Stereotypes and the Dilemma Over Their </w:t>
              </w:r>
              <w:r w:rsidRPr="009002F0">
                <w:rPr>
                  <w:rFonts w:ascii="Calibri" w:eastAsia="Malgun Gothic" w:hAnsi="Calibri" w:cs="Calibri"/>
                  <w:i/>
                  <w:noProof/>
                  <w:color w:val="auto"/>
                  <w:lang w:eastAsia="ko-KR"/>
                </w:rPr>
                <w:t xml:space="preserve">Future. Southeast Asian Studies, Vol. 47. No. 1. June. </w:t>
              </w:r>
            </w:p>
            <w:p w14:paraId="5EE82F27"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proofErr w:type="spellStart"/>
              <w:r w:rsidRPr="009002F0">
                <w:rPr>
                  <w:rFonts w:ascii="Calibri" w:eastAsia="Malgun Gothic" w:hAnsi="Calibri" w:cs="Calibri"/>
                  <w:color w:val="auto"/>
                  <w:lang w:eastAsia="ko-KR"/>
                </w:rPr>
                <w:t>Kassim</w:t>
              </w:r>
              <w:proofErr w:type="spellEnd"/>
              <w:r w:rsidRPr="009002F0">
                <w:rPr>
                  <w:rFonts w:ascii="Calibri" w:eastAsia="Malgun Gothic" w:hAnsi="Calibri" w:cs="Calibri"/>
                  <w:color w:val="auto"/>
                  <w:lang w:eastAsia="ko-KR"/>
                </w:rPr>
                <w:t xml:space="preserve">, A. (2014). Recent Trends in Transnational Population Inflows into Malaysia: Policy, Issues and Challenges. </w:t>
              </w:r>
              <w:r w:rsidRPr="009002F0">
                <w:rPr>
                  <w:rFonts w:ascii="Calibri" w:eastAsia="Malgun Gothic" w:hAnsi="Calibri" w:cs="Calibri"/>
                  <w:i/>
                  <w:color w:val="auto"/>
                  <w:lang w:eastAsia="ko-KR"/>
                </w:rPr>
                <w:t>Malaysian Journal of Economic Studies, Vol. 51, No. 1, pp 9-28</w:t>
              </w:r>
              <w:r w:rsidRPr="009002F0">
                <w:rPr>
                  <w:rFonts w:ascii="Calibri" w:eastAsia="Malgun Gothic" w:hAnsi="Calibri" w:cs="Calibri"/>
                  <w:color w:val="auto"/>
                  <w:lang w:eastAsia="ko-KR"/>
                </w:rPr>
                <w:t xml:space="preserve">. </w:t>
              </w:r>
            </w:p>
            <w:p w14:paraId="0C65D6EC"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Kudo, S. (2013). Securitization of undocumented migrants and the politics of insecurity in Malaysia. </w:t>
              </w:r>
              <w:r w:rsidRPr="009002F0">
                <w:rPr>
                  <w:rFonts w:ascii="Calibri" w:eastAsia="Malgun Gothic" w:hAnsi="Calibri" w:cs="Calibri"/>
                  <w:i/>
                  <w:iCs/>
                  <w:noProof/>
                  <w:color w:val="auto"/>
                  <w:lang w:eastAsia="ko-KR"/>
                </w:rPr>
                <w:t>Procedia Environmental Sciences 17 ( 2013 ) 947 – 956</w:t>
              </w:r>
              <w:r w:rsidRPr="009002F0">
                <w:rPr>
                  <w:rFonts w:ascii="Calibri" w:eastAsia="Malgun Gothic" w:hAnsi="Calibri" w:cs="Calibri"/>
                  <w:noProof/>
                  <w:color w:val="auto"/>
                  <w:lang w:eastAsia="ko-KR"/>
                </w:rPr>
                <w:t>.</w:t>
              </w:r>
            </w:p>
            <w:p w14:paraId="39F2C77E"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Leng, L. H.-A. (2018). Counting Migrant Workers in Malaysia: A Needlessly Persisting Conundrum. </w:t>
              </w:r>
              <w:r w:rsidRPr="009002F0">
                <w:rPr>
                  <w:rFonts w:ascii="Calibri" w:eastAsia="Malgun Gothic" w:hAnsi="Calibri" w:cs="Calibri"/>
                  <w:i/>
                  <w:iCs/>
                  <w:noProof/>
                  <w:color w:val="auto"/>
                  <w:lang w:eastAsia="ko-KR"/>
                </w:rPr>
                <w:t>Issue: 2018 No. 25, ISEAS Yusof Ishak Institute</w:t>
              </w:r>
              <w:r w:rsidRPr="009002F0">
                <w:rPr>
                  <w:rFonts w:ascii="Calibri" w:eastAsia="Malgun Gothic" w:hAnsi="Calibri" w:cs="Calibri"/>
                  <w:noProof/>
                  <w:color w:val="auto"/>
                  <w:lang w:eastAsia="ko-KR"/>
                </w:rPr>
                <w:t>.</w:t>
              </w:r>
            </w:p>
            <w:p w14:paraId="31DC099C"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Loayza, N. V. (2018). Informality : Why Is It So Widespread and How Can It Be Reduced? </w:t>
              </w:r>
              <w:r w:rsidRPr="009002F0">
                <w:rPr>
                  <w:rFonts w:ascii="Calibri" w:eastAsia="Malgun Gothic" w:hAnsi="Calibri" w:cs="Calibri"/>
                  <w:i/>
                  <w:iCs/>
                  <w:noProof/>
                  <w:color w:val="auto"/>
                  <w:lang w:eastAsia="ko-KR"/>
                </w:rPr>
                <w:t xml:space="preserve">Research &amp; Policy Brief </w:t>
              </w:r>
              <w:r w:rsidRPr="009002F0">
                <w:rPr>
                  <w:rFonts w:ascii="Calibri" w:eastAsia="Malgun Gothic" w:hAnsi="Calibri" w:cs="Calibri"/>
                  <w:noProof/>
                  <w:color w:val="auto"/>
                  <w:lang w:eastAsia="ko-KR"/>
                </w:rPr>
                <w:t>, World Bank .</w:t>
              </w:r>
            </w:p>
            <w:p w14:paraId="61698188"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Low, C. C. (2017). A Strategy of Attrition through Enforcement: The Unmaking of Irregular Migration in Malaysia. </w:t>
              </w:r>
              <w:r w:rsidRPr="009002F0">
                <w:rPr>
                  <w:rFonts w:ascii="Calibri" w:eastAsia="Malgun Gothic" w:hAnsi="Calibri" w:cs="Calibri"/>
                  <w:i/>
                  <w:iCs/>
                  <w:noProof/>
                  <w:color w:val="auto"/>
                  <w:lang w:eastAsia="ko-KR"/>
                </w:rPr>
                <w:t>Journal of Current Southeast Asian Affairs 2/2017: 101–136</w:t>
              </w:r>
              <w:r w:rsidRPr="009002F0">
                <w:rPr>
                  <w:rFonts w:ascii="Calibri" w:eastAsia="Malgun Gothic" w:hAnsi="Calibri" w:cs="Calibri"/>
                  <w:noProof/>
                  <w:color w:val="auto"/>
                  <w:lang w:eastAsia="ko-KR"/>
                </w:rPr>
                <w:t>.</w:t>
              </w:r>
            </w:p>
            <w:p w14:paraId="279B32C6"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Mau, S. G. (2015). The global mobility divide: How visa policies have evolved over time. </w:t>
              </w:r>
              <w:r w:rsidRPr="009002F0">
                <w:rPr>
                  <w:rFonts w:ascii="Calibri" w:eastAsia="Malgun Gothic" w:hAnsi="Calibri" w:cs="Calibri"/>
                  <w:i/>
                  <w:iCs/>
                  <w:noProof/>
                  <w:color w:val="auto"/>
                  <w:lang w:eastAsia="ko-KR"/>
                </w:rPr>
                <w:t>Journal of Ethnic and Migration Studies 41, (8) pp. 1192-1213.</w:t>
              </w:r>
              <w:r w:rsidRPr="009002F0">
                <w:rPr>
                  <w:rFonts w:ascii="Calibri" w:eastAsia="Malgun Gothic" w:hAnsi="Calibri" w:cs="Calibri"/>
                  <w:noProof/>
                  <w:color w:val="auto"/>
                  <w:lang w:eastAsia="ko-KR"/>
                </w:rPr>
                <w:t xml:space="preserve"> </w:t>
              </w:r>
            </w:p>
            <w:p w14:paraId="07F78CC8"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noProof/>
                  <w:color w:val="auto"/>
                  <w:lang w:eastAsia="ko-KR"/>
                </w:rPr>
                <w:t xml:space="preserve">Malaysia Employment Federation (MEF) (2014). </w:t>
              </w:r>
              <w:r w:rsidRPr="009002F0">
                <w:rPr>
                  <w:rFonts w:ascii="Calibri" w:eastAsia="Malgun Gothic" w:hAnsi="Calibri" w:cs="Calibri"/>
                  <w:i/>
                  <w:noProof/>
                  <w:color w:val="auto"/>
                  <w:lang w:eastAsia="ko-KR"/>
                </w:rPr>
                <w:t>Practical Guidelines for Employers on the Recruitment, Placement, Employment and Repatriation of Foreign Workers in Malaysia</w:t>
              </w:r>
              <w:r w:rsidRPr="009002F0">
                <w:rPr>
                  <w:rFonts w:ascii="Calibri" w:eastAsia="Malgun Gothic" w:hAnsi="Calibri" w:cs="Calibri"/>
                  <w:noProof/>
                  <w:color w:val="auto"/>
                  <w:lang w:eastAsia="ko-KR"/>
                </w:rPr>
                <w:t xml:space="preserve">. </w:t>
              </w:r>
            </w:p>
            <w:p w14:paraId="3EE086A2"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Malaysia Employment Federation (MEF) (2016). MEF Survey on Management of Foreign Workers. </w:t>
              </w:r>
            </w:p>
            <w:p w14:paraId="4699D49C"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OECD (2012). International Migration Outlook 2012. </w:t>
              </w:r>
            </w:p>
            <w:p w14:paraId="167E43C2"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OECD (2018). International Migration Outlook 2018</w:t>
              </w:r>
              <w:r w:rsidRPr="009002F0">
                <w:rPr>
                  <w:rFonts w:ascii="Calibri" w:eastAsia="Malgun Gothic" w:hAnsi="Calibri" w:cs="Calibri"/>
                  <w:i/>
                  <w:noProof/>
                  <w:color w:val="auto"/>
                  <w:lang w:eastAsia="ko-KR"/>
                </w:rPr>
                <w:t>. 42</w:t>
              </w:r>
              <w:r w:rsidRPr="009002F0">
                <w:rPr>
                  <w:rFonts w:ascii="Calibri" w:eastAsia="Malgun Gothic" w:hAnsi="Calibri" w:cs="Calibri"/>
                  <w:i/>
                  <w:noProof/>
                  <w:color w:val="auto"/>
                  <w:vertAlign w:val="superscript"/>
                  <w:lang w:eastAsia="ko-KR"/>
                </w:rPr>
                <w:t>nd</w:t>
              </w:r>
              <w:r w:rsidRPr="009002F0">
                <w:rPr>
                  <w:rFonts w:ascii="Calibri" w:eastAsia="Malgun Gothic" w:hAnsi="Calibri" w:cs="Calibri"/>
                  <w:i/>
                  <w:noProof/>
                  <w:color w:val="auto"/>
                  <w:lang w:eastAsia="ko-KR"/>
                </w:rPr>
                <w:t xml:space="preserve"> Edition</w:t>
              </w:r>
              <w:r w:rsidRPr="009002F0">
                <w:rPr>
                  <w:rFonts w:ascii="Calibri" w:eastAsia="Malgun Gothic" w:hAnsi="Calibri" w:cs="Calibri"/>
                  <w:noProof/>
                  <w:color w:val="auto"/>
                  <w:lang w:eastAsia="ko-KR"/>
                </w:rPr>
                <w:t xml:space="preserve">. </w:t>
              </w:r>
            </w:p>
            <w:p w14:paraId="04FA3036"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Özden, Ç. and M. Wagner. (2014). Immigrant versus Natives? Displacement and Job Creation. </w:t>
              </w:r>
              <w:r w:rsidRPr="009002F0">
                <w:rPr>
                  <w:rFonts w:ascii="Calibri" w:eastAsia="Malgun Gothic" w:hAnsi="Calibri" w:cs="Calibri"/>
                  <w:i/>
                  <w:iCs/>
                  <w:noProof/>
                  <w:color w:val="auto"/>
                  <w:lang w:eastAsia="ko-KR"/>
                </w:rPr>
                <w:t>Policy Research Working Paper 6900</w:t>
              </w:r>
              <w:r w:rsidRPr="009002F0">
                <w:rPr>
                  <w:rFonts w:ascii="Calibri" w:eastAsia="Malgun Gothic" w:hAnsi="Calibri" w:cs="Calibri"/>
                  <w:noProof/>
                  <w:color w:val="auto"/>
                  <w:lang w:eastAsia="ko-KR"/>
                </w:rPr>
                <w:t>.</w:t>
              </w:r>
            </w:p>
            <w:p w14:paraId="0D184D14"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Passel, J. S. and D. Cohen (2018). U.S. Unauthorized Immigrant Total Dips to Lowest Level in a Decade: Number from Mexico continues to decline, while Central America is the only growing region. </w:t>
              </w:r>
              <w:r w:rsidRPr="009002F0">
                <w:rPr>
                  <w:rFonts w:ascii="Calibri" w:eastAsia="Malgun Gothic" w:hAnsi="Calibri" w:cs="Calibri"/>
                  <w:i/>
                  <w:iCs/>
                  <w:noProof/>
                  <w:color w:val="auto"/>
                  <w:lang w:eastAsia="ko-KR"/>
                </w:rPr>
                <w:t>Pew Research Center</w:t>
              </w:r>
              <w:r w:rsidRPr="009002F0">
                <w:rPr>
                  <w:rFonts w:ascii="Calibri" w:eastAsia="Malgun Gothic" w:hAnsi="Calibri" w:cs="Calibri"/>
                  <w:noProof/>
                  <w:color w:val="auto"/>
                  <w:lang w:eastAsia="ko-KR"/>
                </w:rPr>
                <w:t>.</w:t>
              </w:r>
            </w:p>
            <w:p w14:paraId="7851BA59"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proofErr w:type="spellStart"/>
              <w:r w:rsidRPr="009002F0">
                <w:rPr>
                  <w:rFonts w:ascii="Calibri" w:eastAsia="Malgun Gothic" w:hAnsi="Calibri" w:cs="Calibri"/>
                  <w:color w:val="auto"/>
                  <w:lang w:eastAsia="ko-KR"/>
                </w:rPr>
                <w:t>Sibarani</w:t>
              </w:r>
              <w:proofErr w:type="spellEnd"/>
              <w:r w:rsidRPr="009002F0">
                <w:rPr>
                  <w:rFonts w:ascii="Calibri" w:eastAsia="Malgun Gothic" w:hAnsi="Calibri" w:cs="Calibri"/>
                  <w:color w:val="auto"/>
                  <w:lang w:eastAsia="ko-KR"/>
                </w:rPr>
                <w:t xml:space="preserve">, R. W. (2017). Determinants of Illegal Migration: The Case of Migrant Workers from East Java to Malaysia. </w:t>
              </w:r>
              <w:r w:rsidRPr="009002F0">
                <w:rPr>
                  <w:rFonts w:ascii="Calibri" w:eastAsia="Malgun Gothic" w:hAnsi="Calibri" w:cs="Calibri"/>
                  <w:i/>
                  <w:color w:val="auto"/>
                  <w:lang w:eastAsia="ko-KR"/>
                </w:rPr>
                <w:t>International Labor Migration 23</w:t>
              </w:r>
              <w:r w:rsidRPr="009002F0">
                <w:rPr>
                  <w:rFonts w:ascii="Calibri" w:eastAsia="Malgun Gothic" w:hAnsi="Calibri" w:cs="Calibri"/>
                  <w:color w:val="auto"/>
                  <w:lang w:eastAsia="ko-KR"/>
                </w:rPr>
                <w:t xml:space="preserve">. </w:t>
              </w:r>
            </w:p>
            <w:p w14:paraId="7266F079"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Testaverde, M., H Moroz, C. Hollweg, and A. Schmillen. (2017). Migration to Opportunity. </w:t>
              </w:r>
              <w:r w:rsidRPr="009002F0">
                <w:rPr>
                  <w:rFonts w:ascii="Calibri" w:eastAsia="Malgun Gothic" w:hAnsi="Calibri" w:cs="Calibri"/>
                  <w:i/>
                  <w:color w:val="auto"/>
                  <w:lang w:eastAsia="ko-KR"/>
                </w:rPr>
                <w:t>World Bank</w:t>
              </w:r>
              <w:r w:rsidRPr="009002F0">
                <w:rPr>
                  <w:rFonts w:ascii="Calibri" w:eastAsia="Malgun Gothic" w:hAnsi="Calibri" w:cs="Calibri"/>
                  <w:color w:val="auto"/>
                  <w:lang w:eastAsia="ko-KR"/>
                </w:rPr>
                <w:t xml:space="preserve">. </w:t>
              </w:r>
            </w:p>
            <w:p w14:paraId="722453CE"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US Department of Homeland Security (DHS) (2018). Population Estimates: Illegal Alien Population Residing in the United States: January 2015. </w:t>
              </w:r>
              <w:r w:rsidRPr="009002F0">
                <w:rPr>
                  <w:rFonts w:ascii="Calibri" w:eastAsia="Malgun Gothic" w:hAnsi="Calibri" w:cs="Calibri"/>
                  <w:i/>
                  <w:color w:val="auto"/>
                  <w:lang w:eastAsia="ko-KR"/>
                </w:rPr>
                <w:t>Office of Immigration Statistics</w:t>
              </w:r>
              <w:r w:rsidRPr="009002F0">
                <w:rPr>
                  <w:rFonts w:ascii="Calibri" w:eastAsia="Malgun Gothic" w:hAnsi="Calibri" w:cs="Calibri"/>
                  <w:color w:val="auto"/>
                  <w:lang w:eastAsia="ko-KR"/>
                </w:rPr>
                <w:t xml:space="preserve">. </w:t>
              </w:r>
            </w:p>
            <w:p w14:paraId="76AFFDCB"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color w:val="auto"/>
                  <w:lang w:eastAsia="ko-KR"/>
                </w:rPr>
                <w:lastRenderedPageBreak/>
                <w:t>Verité (2014). Forced Labor in the Production of Electronic Goods in Malaysia: A Comprehensive Study of Scope and Characteristics.</w:t>
              </w:r>
            </w:p>
            <w:p w14:paraId="58A84D9B"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Wei, A. J., A. Murugasu, and C. Y. Wei (2018). Low-Skilled Foreign Workers’ Distortions to the Economy. </w:t>
              </w:r>
              <w:r w:rsidRPr="009002F0">
                <w:rPr>
                  <w:rFonts w:ascii="Calibri" w:eastAsia="Malgun Gothic" w:hAnsi="Calibri" w:cs="Calibri"/>
                  <w:i/>
                  <w:noProof/>
                  <w:color w:val="auto"/>
                  <w:lang w:eastAsia="ko-KR"/>
                </w:rPr>
                <w:t>Bank Negara Malaysia</w:t>
              </w:r>
              <w:r w:rsidRPr="009002F0">
                <w:rPr>
                  <w:rFonts w:ascii="Calibri" w:eastAsia="Malgun Gothic" w:hAnsi="Calibri" w:cs="Calibri"/>
                  <w:noProof/>
                  <w:color w:val="auto"/>
                  <w:lang w:eastAsia="ko-KR"/>
                </w:rPr>
                <w:t xml:space="preserve">. </w:t>
              </w:r>
            </w:p>
            <w:p w14:paraId="4BB60CB3"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noProof/>
                  <w:color w:val="auto"/>
                  <w:lang w:eastAsia="ko-KR"/>
                </w:rPr>
                <w:t>Wiskramasekara</w:t>
              </w:r>
              <w:r w:rsidRPr="009002F0">
                <w:rPr>
                  <w:rFonts w:ascii="Calibri" w:eastAsia="Malgun Gothic" w:hAnsi="Calibri" w:cs="Calibri"/>
                  <w:color w:val="auto"/>
                  <w:lang w:eastAsia="ko-KR"/>
                </w:rPr>
                <w:t xml:space="preserve">, P. (2016). Review of the government-to-government mechanism for the employment of Bangladesh workers in the Malaysian plantation sector. </w:t>
              </w:r>
              <w:r w:rsidRPr="009002F0">
                <w:rPr>
                  <w:rFonts w:ascii="Calibri" w:eastAsia="Malgun Gothic" w:hAnsi="Calibri" w:cs="Calibri"/>
                  <w:i/>
                  <w:color w:val="auto"/>
                  <w:lang w:eastAsia="ko-KR"/>
                </w:rPr>
                <w:t>International Labour Organization</w:t>
              </w:r>
              <w:r w:rsidRPr="009002F0">
                <w:rPr>
                  <w:rFonts w:ascii="Calibri" w:eastAsia="Malgun Gothic" w:hAnsi="Calibri" w:cs="Calibri"/>
                  <w:color w:val="auto"/>
                  <w:lang w:eastAsia="ko-KR"/>
                </w:rPr>
                <w:t xml:space="preserve">.  </w:t>
              </w:r>
            </w:p>
            <w:p w14:paraId="2211FD41"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Woodbridge, J. (2005). Sizing the unauthorised (illegal) migrant population in the United Kingdom in 2001. </w:t>
              </w:r>
              <w:r w:rsidRPr="009002F0">
                <w:rPr>
                  <w:rFonts w:ascii="Calibri" w:eastAsia="Malgun Gothic" w:hAnsi="Calibri" w:cs="Calibri"/>
                  <w:i/>
                  <w:iCs/>
                  <w:noProof/>
                  <w:color w:val="auto"/>
                  <w:lang w:eastAsia="ko-KR"/>
                </w:rPr>
                <w:t>Home Office Online Report 29/05</w:t>
              </w:r>
              <w:r w:rsidRPr="009002F0">
                <w:rPr>
                  <w:rFonts w:ascii="Calibri" w:eastAsia="Malgun Gothic" w:hAnsi="Calibri" w:cs="Calibri"/>
                  <w:noProof/>
                  <w:color w:val="auto"/>
                  <w:lang w:eastAsia="ko-KR"/>
                </w:rPr>
                <w:t>.</w:t>
              </w:r>
            </w:p>
            <w:p w14:paraId="272D725E"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i/>
                  <w:noProof/>
                  <w:color w:val="auto"/>
                  <w:lang w:eastAsia="ko-KR"/>
                </w:rPr>
              </w:pPr>
              <w:r w:rsidRPr="009002F0">
                <w:rPr>
                  <w:rFonts w:ascii="Calibri" w:eastAsia="Malgun Gothic" w:hAnsi="Calibri" w:cs="Calibri"/>
                  <w:noProof/>
                  <w:color w:val="auto"/>
                  <w:lang w:eastAsia="ko-KR"/>
                </w:rPr>
                <w:t xml:space="preserve">Woodrow, K. A. (1991). Preliminary Estiamtes of Undocumented Residents in 1990: Demographic Analysis Evaluation project D2. </w:t>
              </w:r>
              <w:r w:rsidRPr="009002F0">
                <w:rPr>
                  <w:rFonts w:ascii="Calibri" w:eastAsia="Malgun Gothic" w:hAnsi="Calibri" w:cs="Times New Roman"/>
                  <w:i/>
                  <w:color w:val="auto"/>
                  <w:lang w:eastAsia="ko-KR"/>
                </w:rPr>
                <w:t>Draft, Preliminary Research and Evaluation Memorandum No. 75, May 22.</w:t>
              </w:r>
            </w:p>
            <w:p w14:paraId="15894C21"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World Bank (2013). Immigration in Malaysia: Assessment of its Economic Effects, and a Review of the Policy and System. </w:t>
              </w:r>
              <w:r w:rsidRPr="009002F0">
                <w:rPr>
                  <w:rFonts w:ascii="Calibri" w:eastAsia="Malgun Gothic" w:hAnsi="Calibri" w:cs="Calibri"/>
                  <w:i/>
                  <w:noProof/>
                  <w:color w:val="auto"/>
                  <w:lang w:eastAsia="ko-KR"/>
                </w:rPr>
                <w:t>Report completed in collaboration with ILMIA – Ministry of Human Resources of Malaysia.</w:t>
              </w:r>
              <w:r w:rsidRPr="009002F0">
                <w:rPr>
                  <w:rFonts w:ascii="Calibri" w:eastAsia="Malgun Gothic" w:hAnsi="Calibri" w:cs="Calibri"/>
                  <w:noProof/>
                  <w:color w:val="auto"/>
                  <w:lang w:eastAsia="ko-KR"/>
                </w:rPr>
                <w:t xml:space="preserve"> </w:t>
              </w:r>
            </w:p>
            <w:p w14:paraId="4F3A4882"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bookmarkStart w:id="126" w:name="_Hlk536081836"/>
              <w:r w:rsidRPr="009002F0">
                <w:rPr>
                  <w:rFonts w:ascii="Calibri" w:eastAsia="Malgun Gothic" w:hAnsi="Calibri" w:cs="Calibri"/>
                  <w:noProof/>
                  <w:color w:val="auto"/>
                  <w:lang w:eastAsia="ko-KR"/>
                </w:rPr>
                <w:t xml:space="preserve">_______ </w:t>
              </w:r>
              <w:bookmarkEnd w:id="126"/>
              <w:r w:rsidRPr="009002F0">
                <w:rPr>
                  <w:rFonts w:ascii="Calibri" w:eastAsia="Malgun Gothic" w:hAnsi="Calibri" w:cs="Calibri"/>
                  <w:noProof/>
                  <w:color w:val="auto"/>
                  <w:lang w:eastAsia="ko-KR"/>
                </w:rPr>
                <w:t>(2015). Malaysia Economic Monitor December 2015: Immigrant Labour.</w:t>
              </w:r>
            </w:p>
            <w:p w14:paraId="09FC77C0"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noProof/>
                  <w:color w:val="auto"/>
                  <w:lang w:eastAsia="ko-KR"/>
                </w:rPr>
                <w:t xml:space="preserve">_______ </w:t>
              </w:r>
              <w:r w:rsidRPr="009002F0">
                <w:rPr>
                  <w:rFonts w:ascii="Calibri" w:eastAsia="Malgun Gothic" w:hAnsi="Calibri" w:cs="Calibri"/>
                  <w:color w:val="auto"/>
                  <w:lang w:eastAsia="ko-KR"/>
                </w:rPr>
                <w:t xml:space="preserve">(2016). Understanding the Malaysian Labour Market and Foreign Labour: The Past, Present and Future Role of Foreign Workers in the Economic. </w:t>
              </w:r>
              <w:r w:rsidRPr="009002F0">
                <w:rPr>
                  <w:rFonts w:ascii="Calibri" w:eastAsia="Malgun Gothic" w:hAnsi="Calibri" w:cs="Calibri"/>
                  <w:i/>
                  <w:color w:val="auto"/>
                  <w:lang w:eastAsia="ko-KR"/>
                </w:rPr>
                <w:t>Report commissioned by the Economic Panning Unit of the Government of Malaysia.</w:t>
              </w:r>
              <w:r w:rsidRPr="009002F0">
                <w:rPr>
                  <w:rFonts w:ascii="Calibri" w:eastAsia="Malgun Gothic" w:hAnsi="Calibri" w:cs="Calibri"/>
                  <w:color w:val="auto"/>
                  <w:lang w:eastAsia="ko-KR"/>
                </w:rPr>
                <w:t xml:space="preserve"> </w:t>
              </w:r>
            </w:p>
            <w:p w14:paraId="358AB008" w14:textId="77777777" w:rsidR="009002F0" w:rsidRPr="009002F0" w:rsidRDefault="009002F0" w:rsidP="009002F0">
              <w:pPr>
                <w:widowControl/>
                <w:autoSpaceDE/>
                <w:autoSpaceDN/>
                <w:adjustRightInd/>
                <w:spacing w:after="120" w:line="264" w:lineRule="auto"/>
                <w:jc w:val="both"/>
                <w:rPr>
                  <w:rFonts w:ascii="Calibri" w:eastAsia="Malgun Gothic" w:hAnsi="Calibri" w:cs="Calibri"/>
                  <w:color w:val="auto"/>
                  <w:lang w:eastAsia="ko-KR"/>
                </w:rPr>
              </w:pPr>
              <w:r w:rsidRPr="009002F0">
                <w:rPr>
                  <w:rFonts w:ascii="Calibri" w:eastAsia="Malgun Gothic" w:hAnsi="Calibri" w:cs="Calibri"/>
                  <w:noProof/>
                  <w:color w:val="auto"/>
                  <w:lang w:eastAsia="ko-KR"/>
                </w:rPr>
                <w:t xml:space="preserve">_______ </w:t>
              </w:r>
              <w:r w:rsidRPr="009002F0">
                <w:rPr>
                  <w:rFonts w:ascii="Calibri" w:eastAsia="Malgun Gothic" w:hAnsi="Calibri" w:cs="Calibri"/>
                  <w:color w:val="auto"/>
                  <w:lang w:eastAsia="ko-KR"/>
                </w:rPr>
                <w:t xml:space="preserve">(2017). Indonesia’s Global Workers: Juggling Opportunities and Risks. </w:t>
              </w:r>
              <w:r w:rsidRPr="009002F0">
                <w:rPr>
                  <w:rFonts w:ascii="Calibri" w:eastAsia="Malgun Gothic" w:hAnsi="Calibri" w:cs="Calibri"/>
                  <w:i/>
                  <w:color w:val="auto"/>
                  <w:lang w:eastAsia="ko-KR"/>
                </w:rPr>
                <w:t>Report.</w:t>
              </w:r>
            </w:p>
            <w:p w14:paraId="248FEDFD"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_______ (2018). </w:t>
              </w:r>
              <w:r w:rsidRPr="009002F0">
                <w:rPr>
                  <w:rFonts w:ascii="Calibri" w:eastAsia="Malgun Gothic" w:hAnsi="Calibri" w:cs="Calibri"/>
                  <w:iCs/>
                  <w:noProof/>
                  <w:color w:val="auto"/>
                  <w:lang w:eastAsia="ko-KR"/>
                </w:rPr>
                <w:t>Building an Integrated Management Information System Platform for the Department of Labour: Current Technical Gaps and Recommendations.</w:t>
              </w:r>
              <w:r w:rsidRPr="009002F0">
                <w:rPr>
                  <w:rFonts w:ascii="Calibri" w:eastAsia="Malgun Gothic" w:hAnsi="Calibri" w:cs="Calibri"/>
                  <w:noProof/>
                  <w:color w:val="auto"/>
                  <w:lang w:eastAsia="ko-KR"/>
                </w:rPr>
                <w:t xml:space="preserve"> </w:t>
              </w:r>
            </w:p>
            <w:p w14:paraId="40A9B689"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color w:val="auto"/>
                  <w:lang w:eastAsia="ko-KR"/>
                </w:rPr>
              </w:pPr>
              <w:r w:rsidRPr="009002F0">
                <w:rPr>
                  <w:rFonts w:ascii="Calibri" w:eastAsia="Malgun Gothic" w:hAnsi="Calibri" w:cs="Calibri"/>
                  <w:color w:val="auto"/>
                  <w:lang w:eastAsia="ko-KR"/>
                </w:rPr>
                <w:t xml:space="preserve">World Bank KNOMAD and ILO. (2015). Migration Cost Survey: Vietnamese Workers in Malaysia. </w:t>
              </w:r>
              <w:r w:rsidRPr="009002F0">
                <w:rPr>
                  <w:rFonts w:ascii="Calibri" w:eastAsia="Malgun Gothic" w:hAnsi="Calibri" w:cs="Calibri"/>
                  <w:i/>
                  <w:color w:val="auto"/>
                  <w:lang w:eastAsia="ko-KR"/>
                </w:rPr>
                <w:t>Prepared part of the KNOMAD project to measure migration cost.</w:t>
              </w:r>
              <w:r w:rsidRPr="009002F0">
                <w:rPr>
                  <w:rFonts w:ascii="Calibri" w:eastAsia="Malgun Gothic" w:hAnsi="Calibri" w:cs="Calibri"/>
                  <w:color w:val="auto"/>
                  <w:lang w:eastAsia="ko-KR"/>
                </w:rPr>
                <w:t xml:space="preserve"> </w:t>
              </w:r>
            </w:p>
            <w:p w14:paraId="49CC8561" w14:textId="77777777" w:rsidR="009002F0" w:rsidRPr="009002F0" w:rsidRDefault="009002F0" w:rsidP="009002F0">
              <w:pPr>
                <w:widowControl/>
                <w:autoSpaceDE/>
                <w:autoSpaceDN/>
                <w:adjustRightInd/>
                <w:spacing w:after="120" w:line="264" w:lineRule="auto"/>
                <w:ind w:left="720" w:hanging="720"/>
                <w:jc w:val="both"/>
                <w:rPr>
                  <w:rFonts w:ascii="Calibri" w:eastAsia="Malgun Gothic" w:hAnsi="Calibri" w:cs="Calibri"/>
                  <w:noProof/>
                  <w:color w:val="auto"/>
                  <w:lang w:eastAsia="ko-KR"/>
                </w:rPr>
              </w:pPr>
              <w:r w:rsidRPr="009002F0">
                <w:rPr>
                  <w:rFonts w:ascii="Calibri" w:eastAsia="Malgun Gothic" w:hAnsi="Calibri" w:cs="Calibri"/>
                  <w:noProof/>
                  <w:color w:val="auto"/>
                  <w:lang w:eastAsia="ko-KR"/>
                </w:rPr>
                <w:t xml:space="preserve">Wurscher, I. (2018). Refugee and Asylum-Seekers in Malaysia: The Consequences of Invisibility . </w:t>
              </w:r>
              <w:r w:rsidRPr="009002F0">
                <w:rPr>
                  <w:rFonts w:ascii="Calibri" w:eastAsia="Malgun Gothic" w:hAnsi="Calibri" w:cs="Calibri"/>
                  <w:i/>
                  <w:iCs/>
                  <w:noProof/>
                  <w:color w:val="auto"/>
                  <w:lang w:eastAsia="ko-KR"/>
                </w:rPr>
                <w:t xml:space="preserve">International Law Review, College of Law, Michigan State University </w:t>
              </w:r>
              <w:r w:rsidRPr="009002F0">
                <w:rPr>
                  <w:rFonts w:ascii="Calibri" w:eastAsia="Malgun Gothic" w:hAnsi="Calibri" w:cs="Calibri"/>
                  <w:noProof/>
                  <w:color w:val="auto"/>
                  <w:lang w:eastAsia="ko-KR"/>
                </w:rPr>
                <w:t>.</w:t>
              </w:r>
            </w:p>
            <w:p w14:paraId="4625AB63"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lang w:eastAsia="ko-KR"/>
                </w:rPr>
              </w:pPr>
            </w:p>
          </w:sdtContent>
        </w:sdt>
      </w:sdtContent>
    </w:sdt>
    <w:p w14:paraId="2E2CC3F1" w14:textId="77777777" w:rsidR="009002F0" w:rsidRPr="009002F0" w:rsidRDefault="009002F0" w:rsidP="009002F0">
      <w:pPr>
        <w:widowControl/>
        <w:autoSpaceDE/>
        <w:autoSpaceDN/>
        <w:adjustRightInd/>
        <w:spacing w:after="120" w:line="264" w:lineRule="auto"/>
        <w:rPr>
          <w:rFonts w:ascii="Calibri Light" w:eastAsia="Malgun Gothic" w:hAnsi="Calibri Light" w:cs="Times New Roman"/>
          <w:color w:val="2F5496"/>
          <w:sz w:val="32"/>
          <w:szCs w:val="32"/>
          <w:lang w:eastAsia="ko-KR"/>
        </w:rPr>
      </w:pPr>
      <w:r w:rsidRPr="009002F0">
        <w:rPr>
          <w:rFonts w:ascii="Calibri Light" w:eastAsia="Malgun Gothic" w:hAnsi="Calibri Light" w:cs="Times New Roman"/>
          <w:color w:val="2F5496"/>
          <w:sz w:val="32"/>
          <w:szCs w:val="32"/>
          <w:lang w:eastAsia="ko-KR"/>
        </w:rPr>
        <w:br w:type="page"/>
      </w:r>
    </w:p>
    <w:p w14:paraId="0665B944" w14:textId="77777777" w:rsidR="009002F0" w:rsidRPr="009002F0" w:rsidRDefault="009002F0" w:rsidP="009002F0">
      <w:pPr>
        <w:keepNext/>
        <w:keepLines/>
        <w:widowControl/>
        <w:autoSpaceDE/>
        <w:autoSpaceDN/>
        <w:adjustRightInd/>
        <w:spacing w:after="360"/>
        <w:jc w:val="center"/>
        <w:outlineLvl w:val="0"/>
        <w:rPr>
          <w:rFonts w:ascii="Andes" w:eastAsia="Malgun Gothic" w:hAnsi="Andes" w:cs="Times New Roman"/>
          <w:b/>
          <w:color w:val="002345"/>
          <w:sz w:val="32"/>
          <w:szCs w:val="32"/>
          <w:lang w:eastAsia="ko-KR"/>
        </w:rPr>
      </w:pPr>
      <w:bookmarkStart w:id="127" w:name="_Toc536052743"/>
      <w:bookmarkStart w:id="128" w:name="_Toc4581541"/>
      <w:r w:rsidRPr="009002F0">
        <w:rPr>
          <w:rFonts w:ascii="Andes" w:eastAsia="Malgun Gothic" w:hAnsi="Andes" w:cs="Times New Roman"/>
          <w:b/>
          <w:color w:val="002345"/>
          <w:sz w:val="32"/>
          <w:szCs w:val="32"/>
          <w:lang w:eastAsia="ko-KR"/>
        </w:rPr>
        <w:lastRenderedPageBreak/>
        <w:t>Annex 1: Potential data source to measure irregular foreign workers</w:t>
      </w:r>
      <w:bookmarkEnd w:id="127"/>
      <w:bookmarkEnd w:id="128"/>
      <w:r w:rsidRPr="009002F0">
        <w:rPr>
          <w:rFonts w:ascii="Andes" w:eastAsia="Malgun Gothic" w:hAnsi="Andes" w:cs="Times New Roman"/>
          <w:b/>
          <w:color w:val="002345"/>
          <w:sz w:val="32"/>
          <w:szCs w:val="32"/>
          <w:lang w:eastAsia="ko-KR"/>
        </w:rPr>
        <w:t xml:space="preserve">  </w:t>
      </w:r>
    </w:p>
    <w:p w14:paraId="07810879" w14:textId="77777777" w:rsidR="009002F0" w:rsidRPr="009002F0" w:rsidRDefault="009002F0" w:rsidP="009002F0">
      <w:pPr>
        <w:widowControl/>
        <w:autoSpaceDE/>
        <w:autoSpaceDN/>
        <w:adjustRightInd/>
        <w:spacing w:after="120" w:line="264" w:lineRule="auto"/>
        <w:rPr>
          <w:rFonts w:ascii="Calibri" w:eastAsia="Malgun Gothic" w:hAnsi="Calibri" w:cs="Times New Roman"/>
          <w:color w:val="auto"/>
          <w:sz w:val="20"/>
          <w:szCs w:val="20"/>
          <w:lang w:eastAsia="ko-KR"/>
        </w:rPr>
      </w:pPr>
    </w:p>
    <w:tbl>
      <w:tblPr>
        <w:tblW w:w="5000" w:type="pct"/>
        <w:tblCellMar>
          <w:left w:w="115" w:type="dxa"/>
          <w:right w:w="115" w:type="dxa"/>
        </w:tblCellMar>
        <w:tblLook w:val="04A0" w:firstRow="1" w:lastRow="0" w:firstColumn="1" w:lastColumn="0" w:noHBand="0" w:noVBand="1"/>
      </w:tblPr>
      <w:tblGrid>
        <w:gridCol w:w="1569"/>
        <w:gridCol w:w="1419"/>
        <w:gridCol w:w="1410"/>
        <w:gridCol w:w="1477"/>
        <w:gridCol w:w="1464"/>
        <w:gridCol w:w="1677"/>
      </w:tblGrid>
      <w:tr w:rsidR="009002F0" w:rsidRPr="009002F0" w14:paraId="6DE95CEF" w14:textId="77777777" w:rsidTr="009002F0">
        <w:trPr>
          <w:trHeight w:val="570"/>
          <w:tblHeader/>
        </w:trPr>
        <w:tc>
          <w:tcPr>
            <w:tcW w:w="870" w:type="pct"/>
            <w:tcBorders>
              <w:top w:val="single" w:sz="4" w:space="0" w:color="auto"/>
              <w:left w:val="single" w:sz="4" w:space="0" w:color="auto"/>
              <w:bottom w:val="single" w:sz="4" w:space="0" w:color="auto"/>
              <w:right w:val="nil"/>
            </w:tcBorders>
            <w:shd w:val="clear" w:color="auto" w:fill="006068"/>
            <w:vAlign w:val="center"/>
            <w:hideMark/>
          </w:tcPr>
          <w:p w14:paraId="7C2EC838"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Type</w:t>
            </w:r>
          </w:p>
        </w:tc>
        <w:tc>
          <w:tcPr>
            <w:tcW w:w="787" w:type="pct"/>
            <w:tcBorders>
              <w:top w:val="single" w:sz="4" w:space="0" w:color="auto"/>
              <w:left w:val="nil"/>
              <w:bottom w:val="single" w:sz="4" w:space="0" w:color="auto"/>
              <w:right w:val="nil"/>
            </w:tcBorders>
            <w:shd w:val="clear" w:color="auto" w:fill="006068"/>
            <w:vAlign w:val="center"/>
            <w:hideMark/>
          </w:tcPr>
          <w:p w14:paraId="29C40A60"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Dataset</w:t>
            </w:r>
          </w:p>
        </w:tc>
        <w:tc>
          <w:tcPr>
            <w:tcW w:w="782" w:type="pct"/>
            <w:tcBorders>
              <w:top w:val="single" w:sz="4" w:space="0" w:color="auto"/>
              <w:left w:val="nil"/>
              <w:bottom w:val="single" w:sz="4" w:space="0" w:color="auto"/>
              <w:right w:val="nil"/>
            </w:tcBorders>
            <w:shd w:val="clear" w:color="auto" w:fill="006068"/>
            <w:vAlign w:val="center"/>
            <w:hideMark/>
          </w:tcPr>
          <w:p w14:paraId="60CECC6E"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Institutions responsible</w:t>
            </w:r>
          </w:p>
        </w:tc>
        <w:tc>
          <w:tcPr>
            <w:tcW w:w="819" w:type="pct"/>
            <w:tcBorders>
              <w:top w:val="single" w:sz="4" w:space="0" w:color="auto"/>
              <w:left w:val="nil"/>
              <w:bottom w:val="single" w:sz="4" w:space="0" w:color="auto"/>
              <w:right w:val="nil"/>
            </w:tcBorders>
            <w:shd w:val="clear" w:color="auto" w:fill="006068"/>
            <w:vAlign w:val="center"/>
            <w:hideMark/>
          </w:tcPr>
          <w:p w14:paraId="788583B4"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Description</w:t>
            </w:r>
          </w:p>
        </w:tc>
        <w:tc>
          <w:tcPr>
            <w:tcW w:w="812" w:type="pct"/>
            <w:tcBorders>
              <w:top w:val="single" w:sz="4" w:space="0" w:color="auto"/>
              <w:left w:val="nil"/>
              <w:bottom w:val="single" w:sz="4" w:space="0" w:color="auto"/>
              <w:right w:val="nil"/>
            </w:tcBorders>
            <w:shd w:val="clear" w:color="auto" w:fill="006068"/>
            <w:vAlign w:val="center"/>
            <w:hideMark/>
          </w:tcPr>
          <w:p w14:paraId="351A983D"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Foreign worker category</w:t>
            </w:r>
          </w:p>
        </w:tc>
        <w:tc>
          <w:tcPr>
            <w:tcW w:w="930" w:type="pct"/>
            <w:tcBorders>
              <w:top w:val="single" w:sz="4" w:space="0" w:color="auto"/>
              <w:left w:val="nil"/>
              <w:bottom w:val="single" w:sz="4" w:space="0" w:color="auto"/>
              <w:right w:val="single" w:sz="4" w:space="0" w:color="auto"/>
            </w:tcBorders>
            <w:shd w:val="clear" w:color="auto" w:fill="006068"/>
            <w:vAlign w:val="center"/>
            <w:hideMark/>
          </w:tcPr>
          <w:p w14:paraId="584F1BC6" w14:textId="77777777" w:rsidR="009002F0" w:rsidRPr="009002F0" w:rsidRDefault="009002F0" w:rsidP="009002F0">
            <w:pPr>
              <w:widowControl/>
              <w:autoSpaceDE/>
              <w:autoSpaceDN/>
              <w:adjustRightInd/>
              <w:jc w:val="center"/>
              <w:rPr>
                <w:rFonts w:ascii="Calibri" w:eastAsia="Times New Roman" w:hAnsi="Calibri" w:cs="Calibri"/>
                <w:b/>
                <w:color w:val="FFFFFF"/>
                <w:szCs w:val="20"/>
                <w:lang w:eastAsia="ko-KR"/>
              </w:rPr>
            </w:pPr>
            <w:r w:rsidRPr="009002F0">
              <w:rPr>
                <w:rFonts w:ascii="Calibri" w:eastAsia="Times New Roman" w:hAnsi="Calibri" w:cs="Calibri"/>
                <w:b/>
                <w:color w:val="FFFFFF"/>
                <w:szCs w:val="20"/>
                <w:lang w:eastAsia="ko-KR"/>
              </w:rPr>
              <w:t>Shortcomings</w:t>
            </w:r>
          </w:p>
        </w:tc>
      </w:tr>
      <w:tr w:rsidR="009002F0" w:rsidRPr="009002F0" w14:paraId="136E3051" w14:textId="77777777" w:rsidTr="009002F0">
        <w:trPr>
          <w:trHeight w:val="570"/>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9F2D25" w14:textId="77777777" w:rsidR="009002F0" w:rsidRPr="009002F0" w:rsidRDefault="009002F0" w:rsidP="009002F0">
            <w:pPr>
              <w:widowControl/>
              <w:autoSpaceDE/>
              <w:autoSpaceDN/>
              <w:adjustRightInd/>
              <w:jc w:val="center"/>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Population census</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7193A2B4"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UN Migration data 2017 </w:t>
            </w:r>
          </w:p>
        </w:tc>
        <w:tc>
          <w:tcPr>
            <w:tcW w:w="782" w:type="pct"/>
            <w:tcBorders>
              <w:top w:val="single" w:sz="4" w:space="0" w:color="auto"/>
              <w:left w:val="nil"/>
              <w:bottom w:val="single" w:sz="4" w:space="0" w:color="auto"/>
              <w:right w:val="nil"/>
            </w:tcBorders>
            <w:shd w:val="clear" w:color="auto" w:fill="auto"/>
            <w:vAlign w:val="bottom"/>
            <w:hideMark/>
          </w:tcPr>
          <w:p w14:paraId="47D5D16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UNDESA</w:t>
            </w:r>
          </w:p>
        </w:tc>
        <w:tc>
          <w:tcPr>
            <w:tcW w:w="819" w:type="pct"/>
            <w:tcBorders>
              <w:top w:val="single" w:sz="4" w:space="0" w:color="auto"/>
              <w:left w:val="nil"/>
              <w:bottom w:val="single" w:sz="4" w:space="0" w:color="auto"/>
              <w:right w:val="nil"/>
            </w:tcBorders>
            <w:shd w:val="clear" w:color="auto" w:fill="auto"/>
            <w:vAlign w:val="bottom"/>
            <w:hideMark/>
          </w:tcPr>
          <w:p w14:paraId="70CFE3C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of migrants by origin </w:t>
            </w:r>
          </w:p>
        </w:tc>
        <w:tc>
          <w:tcPr>
            <w:tcW w:w="812" w:type="pct"/>
            <w:tcBorders>
              <w:top w:val="single" w:sz="4" w:space="0" w:color="auto"/>
              <w:left w:val="nil"/>
              <w:bottom w:val="single" w:sz="4" w:space="0" w:color="auto"/>
              <w:right w:val="nil"/>
            </w:tcBorders>
            <w:shd w:val="clear" w:color="auto" w:fill="auto"/>
            <w:vAlign w:val="bottom"/>
            <w:hideMark/>
          </w:tcPr>
          <w:p w14:paraId="7262A82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Immigration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4DD8DB9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Projections based on past population census </w:t>
            </w:r>
          </w:p>
        </w:tc>
      </w:tr>
      <w:tr w:rsidR="009002F0" w:rsidRPr="009002F0" w14:paraId="57A3E4A6" w14:textId="77777777" w:rsidTr="009002F0">
        <w:trPr>
          <w:trHeight w:val="570"/>
        </w:trPr>
        <w:tc>
          <w:tcPr>
            <w:tcW w:w="870" w:type="pct"/>
            <w:tcBorders>
              <w:top w:val="single" w:sz="4" w:space="0" w:color="auto"/>
              <w:left w:val="single" w:sz="4" w:space="0" w:color="auto"/>
              <w:right w:val="single" w:sz="4" w:space="0" w:color="auto"/>
            </w:tcBorders>
            <w:shd w:val="clear" w:color="auto" w:fill="auto"/>
            <w:vAlign w:val="bottom"/>
            <w:hideMark/>
          </w:tcPr>
          <w:p w14:paraId="054046D5" w14:textId="77777777" w:rsidR="009002F0" w:rsidRPr="009002F0" w:rsidRDefault="009002F0" w:rsidP="009002F0">
            <w:pPr>
              <w:widowControl/>
              <w:autoSpaceDE/>
              <w:autoSpaceDN/>
              <w:adjustRightInd/>
              <w:jc w:val="center"/>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Surveys</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0DE9FDB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Labor force surveys (LFS) </w:t>
            </w:r>
          </w:p>
        </w:tc>
        <w:tc>
          <w:tcPr>
            <w:tcW w:w="782" w:type="pct"/>
            <w:tcBorders>
              <w:top w:val="single" w:sz="4" w:space="0" w:color="auto"/>
              <w:left w:val="nil"/>
              <w:bottom w:val="single" w:sz="4" w:space="0" w:color="auto"/>
              <w:right w:val="nil"/>
            </w:tcBorders>
            <w:shd w:val="clear" w:color="auto" w:fill="auto"/>
            <w:vAlign w:val="bottom"/>
            <w:hideMark/>
          </w:tcPr>
          <w:p w14:paraId="64B7595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Department of statistics</w:t>
            </w:r>
          </w:p>
        </w:tc>
        <w:tc>
          <w:tcPr>
            <w:tcW w:w="819" w:type="pct"/>
            <w:tcBorders>
              <w:top w:val="single" w:sz="4" w:space="0" w:color="auto"/>
              <w:left w:val="nil"/>
              <w:bottom w:val="single" w:sz="4" w:space="0" w:color="auto"/>
              <w:right w:val="nil"/>
            </w:tcBorders>
            <w:shd w:val="clear" w:color="auto" w:fill="auto"/>
            <w:vAlign w:val="bottom"/>
            <w:hideMark/>
          </w:tcPr>
          <w:p w14:paraId="68EBC5E8"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of non-citizen workers </w:t>
            </w:r>
          </w:p>
        </w:tc>
        <w:tc>
          <w:tcPr>
            <w:tcW w:w="812" w:type="pct"/>
            <w:tcBorders>
              <w:top w:val="single" w:sz="4" w:space="0" w:color="auto"/>
              <w:left w:val="nil"/>
              <w:bottom w:val="single" w:sz="4" w:space="0" w:color="auto"/>
              <w:right w:val="nil"/>
            </w:tcBorders>
            <w:shd w:val="clear" w:color="auto" w:fill="auto"/>
            <w:vAlign w:val="bottom"/>
            <w:hideMark/>
          </w:tcPr>
          <w:p w14:paraId="38144AE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and 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7D8AF9F3"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capturing those living in common dwellings (e.g., construction workers or plantation workers) </w:t>
            </w:r>
          </w:p>
        </w:tc>
      </w:tr>
      <w:tr w:rsidR="009002F0" w:rsidRPr="009002F0" w14:paraId="39A4CD49" w14:textId="77777777" w:rsidTr="009002F0">
        <w:trPr>
          <w:trHeight w:val="570"/>
        </w:trPr>
        <w:tc>
          <w:tcPr>
            <w:tcW w:w="870" w:type="pct"/>
            <w:tcBorders>
              <w:left w:val="single" w:sz="4" w:space="0" w:color="auto"/>
              <w:right w:val="single" w:sz="4" w:space="0" w:color="auto"/>
            </w:tcBorders>
            <w:shd w:val="clear" w:color="auto" w:fill="auto"/>
            <w:vAlign w:val="bottom"/>
            <w:hideMark/>
          </w:tcPr>
          <w:p w14:paraId="45879A6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7E3C5DE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Economic activity census </w:t>
            </w:r>
          </w:p>
        </w:tc>
        <w:tc>
          <w:tcPr>
            <w:tcW w:w="782" w:type="pct"/>
            <w:tcBorders>
              <w:top w:val="single" w:sz="4" w:space="0" w:color="auto"/>
              <w:left w:val="nil"/>
              <w:bottom w:val="single" w:sz="4" w:space="0" w:color="auto"/>
              <w:right w:val="nil"/>
            </w:tcBorders>
            <w:shd w:val="clear" w:color="auto" w:fill="auto"/>
            <w:vAlign w:val="bottom"/>
            <w:hideMark/>
          </w:tcPr>
          <w:p w14:paraId="6CEB4EF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Department of statistics</w:t>
            </w:r>
          </w:p>
        </w:tc>
        <w:tc>
          <w:tcPr>
            <w:tcW w:w="819" w:type="pct"/>
            <w:tcBorders>
              <w:top w:val="single" w:sz="4" w:space="0" w:color="auto"/>
              <w:left w:val="nil"/>
              <w:bottom w:val="single" w:sz="4" w:space="0" w:color="auto"/>
              <w:right w:val="nil"/>
            </w:tcBorders>
            <w:shd w:val="clear" w:color="auto" w:fill="auto"/>
            <w:vAlign w:val="bottom"/>
            <w:hideMark/>
          </w:tcPr>
          <w:p w14:paraId="1A424BA7"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of foreign employees </w:t>
            </w:r>
          </w:p>
        </w:tc>
        <w:tc>
          <w:tcPr>
            <w:tcW w:w="812" w:type="pct"/>
            <w:tcBorders>
              <w:top w:val="single" w:sz="4" w:space="0" w:color="auto"/>
              <w:left w:val="nil"/>
              <w:bottom w:val="single" w:sz="4" w:space="0" w:color="auto"/>
              <w:right w:val="nil"/>
            </w:tcBorders>
            <w:shd w:val="clear" w:color="auto" w:fill="auto"/>
            <w:vAlign w:val="bottom"/>
            <w:hideMark/>
          </w:tcPr>
          <w:p w14:paraId="7C5D165D"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1A2FDFA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Missing those employed in unregistered employers (e.g., manpower suppliers in the construction sector) </w:t>
            </w:r>
          </w:p>
        </w:tc>
      </w:tr>
      <w:tr w:rsidR="009002F0" w:rsidRPr="009002F0" w14:paraId="7E26A366" w14:textId="77777777" w:rsidTr="009002F0">
        <w:trPr>
          <w:trHeight w:val="570"/>
        </w:trPr>
        <w:tc>
          <w:tcPr>
            <w:tcW w:w="870" w:type="pct"/>
            <w:tcBorders>
              <w:left w:val="single" w:sz="4" w:space="0" w:color="auto"/>
              <w:right w:val="single" w:sz="4" w:space="0" w:color="auto"/>
            </w:tcBorders>
            <w:shd w:val="clear" w:color="auto" w:fill="auto"/>
            <w:vAlign w:val="bottom"/>
            <w:hideMark/>
          </w:tcPr>
          <w:p w14:paraId="02643068"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58A1B2D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Migration module of LFS</w:t>
            </w:r>
          </w:p>
        </w:tc>
        <w:tc>
          <w:tcPr>
            <w:tcW w:w="782" w:type="pct"/>
            <w:tcBorders>
              <w:top w:val="single" w:sz="4" w:space="0" w:color="auto"/>
              <w:left w:val="nil"/>
              <w:bottom w:val="single" w:sz="4" w:space="0" w:color="auto"/>
              <w:right w:val="nil"/>
            </w:tcBorders>
            <w:shd w:val="clear" w:color="auto" w:fill="auto"/>
            <w:vAlign w:val="bottom"/>
            <w:hideMark/>
          </w:tcPr>
          <w:p w14:paraId="4E55B5C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Department of statistics</w:t>
            </w:r>
          </w:p>
        </w:tc>
        <w:tc>
          <w:tcPr>
            <w:tcW w:w="819" w:type="pct"/>
            <w:tcBorders>
              <w:top w:val="single" w:sz="4" w:space="0" w:color="auto"/>
              <w:left w:val="nil"/>
              <w:bottom w:val="single" w:sz="4" w:space="0" w:color="auto"/>
              <w:right w:val="nil"/>
            </w:tcBorders>
            <w:shd w:val="clear" w:color="auto" w:fill="auto"/>
            <w:vAlign w:val="bottom"/>
            <w:hideMark/>
          </w:tcPr>
          <w:p w14:paraId="492B401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Movement of non-citizens within Malaysia </w:t>
            </w:r>
          </w:p>
        </w:tc>
        <w:tc>
          <w:tcPr>
            <w:tcW w:w="812" w:type="pct"/>
            <w:tcBorders>
              <w:top w:val="single" w:sz="4" w:space="0" w:color="auto"/>
              <w:left w:val="nil"/>
              <w:bottom w:val="single" w:sz="4" w:space="0" w:color="auto"/>
              <w:right w:val="nil"/>
            </w:tcBorders>
            <w:shd w:val="clear" w:color="auto" w:fill="auto"/>
            <w:vAlign w:val="bottom"/>
            <w:hideMark/>
          </w:tcPr>
          <w:p w14:paraId="1B46F0C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and 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0B8EBE4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Sampling represents total labor force. </w:t>
            </w:r>
          </w:p>
        </w:tc>
      </w:tr>
      <w:tr w:rsidR="009002F0" w:rsidRPr="009002F0" w14:paraId="29C14ECC" w14:textId="77777777" w:rsidTr="009002F0">
        <w:trPr>
          <w:trHeight w:val="1099"/>
        </w:trPr>
        <w:tc>
          <w:tcPr>
            <w:tcW w:w="870" w:type="pct"/>
            <w:tcBorders>
              <w:left w:val="single" w:sz="4" w:space="0" w:color="auto"/>
              <w:right w:val="single" w:sz="4" w:space="0" w:color="auto"/>
            </w:tcBorders>
            <w:shd w:val="clear" w:color="auto" w:fill="auto"/>
            <w:vAlign w:val="bottom"/>
            <w:hideMark/>
          </w:tcPr>
          <w:p w14:paraId="2B5778B1"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55BDE2DC"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Informal sector surveys </w:t>
            </w:r>
          </w:p>
        </w:tc>
        <w:tc>
          <w:tcPr>
            <w:tcW w:w="782" w:type="pct"/>
            <w:tcBorders>
              <w:top w:val="single" w:sz="4" w:space="0" w:color="auto"/>
              <w:left w:val="nil"/>
              <w:bottom w:val="single" w:sz="4" w:space="0" w:color="auto"/>
              <w:right w:val="nil"/>
            </w:tcBorders>
            <w:shd w:val="clear" w:color="auto" w:fill="auto"/>
            <w:vAlign w:val="bottom"/>
            <w:hideMark/>
          </w:tcPr>
          <w:p w14:paraId="70B4F37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Department of statistics</w:t>
            </w:r>
          </w:p>
        </w:tc>
        <w:tc>
          <w:tcPr>
            <w:tcW w:w="819" w:type="pct"/>
            <w:tcBorders>
              <w:top w:val="single" w:sz="4" w:space="0" w:color="auto"/>
              <w:left w:val="nil"/>
              <w:bottom w:val="single" w:sz="4" w:space="0" w:color="auto"/>
              <w:right w:val="nil"/>
            </w:tcBorders>
            <w:shd w:val="clear" w:color="auto" w:fill="auto"/>
            <w:vAlign w:val="bottom"/>
            <w:hideMark/>
          </w:tcPr>
          <w:p w14:paraId="68ED7C3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of non-citizen/foreign-born workers in the informal sector  </w:t>
            </w:r>
          </w:p>
        </w:tc>
        <w:tc>
          <w:tcPr>
            <w:tcW w:w="812" w:type="pct"/>
            <w:tcBorders>
              <w:top w:val="single" w:sz="4" w:space="0" w:color="auto"/>
              <w:left w:val="nil"/>
              <w:bottom w:val="single" w:sz="4" w:space="0" w:color="auto"/>
              <w:right w:val="nil"/>
            </w:tcBorders>
            <w:shd w:val="clear" w:color="auto" w:fill="auto"/>
            <w:vAlign w:val="bottom"/>
            <w:hideMark/>
          </w:tcPr>
          <w:p w14:paraId="79C23AC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Regular foreign domestic helpers and irregular foreign workers</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2B56532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capturing those living in common dwellings (e.g., construction workers or plantation workers) </w:t>
            </w:r>
          </w:p>
        </w:tc>
      </w:tr>
      <w:tr w:rsidR="009002F0" w:rsidRPr="009002F0" w14:paraId="0F9C4B10" w14:textId="77777777" w:rsidTr="009002F0">
        <w:trPr>
          <w:trHeight w:val="1459"/>
        </w:trPr>
        <w:tc>
          <w:tcPr>
            <w:tcW w:w="870" w:type="pct"/>
            <w:tcBorders>
              <w:left w:val="single" w:sz="4" w:space="0" w:color="auto"/>
              <w:bottom w:val="single" w:sz="4" w:space="0" w:color="auto"/>
              <w:right w:val="single" w:sz="4" w:space="0" w:color="auto"/>
            </w:tcBorders>
            <w:shd w:val="clear" w:color="auto" w:fill="auto"/>
            <w:vAlign w:val="bottom"/>
            <w:hideMark/>
          </w:tcPr>
          <w:p w14:paraId="77F8A818"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1955A59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Departing visitor surveys</w:t>
            </w:r>
          </w:p>
        </w:tc>
        <w:tc>
          <w:tcPr>
            <w:tcW w:w="782" w:type="pct"/>
            <w:tcBorders>
              <w:top w:val="single" w:sz="4" w:space="0" w:color="auto"/>
              <w:left w:val="nil"/>
              <w:bottom w:val="single" w:sz="4" w:space="0" w:color="auto"/>
              <w:right w:val="nil"/>
            </w:tcBorders>
            <w:shd w:val="clear" w:color="auto" w:fill="auto"/>
            <w:vAlign w:val="bottom"/>
            <w:hideMark/>
          </w:tcPr>
          <w:p w14:paraId="05BD8778"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Ministry of tourism </w:t>
            </w:r>
          </w:p>
        </w:tc>
        <w:tc>
          <w:tcPr>
            <w:tcW w:w="819" w:type="pct"/>
            <w:tcBorders>
              <w:top w:val="single" w:sz="4" w:space="0" w:color="auto"/>
              <w:left w:val="nil"/>
              <w:bottom w:val="single" w:sz="4" w:space="0" w:color="auto"/>
              <w:right w:val="nil"/>
            </w:tcBorders>
            <w:shd w:val="clear" w:color="auto" w:fill="auto"/>
            <w:vAlign w:val="bottom"/>
            <w:hideMark/>
          </w:tcPr>
          <w:p w14:paraId="5302A743"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Flow of irregular foreign workers</w:t>
            </w:r>
          </w:p>
        </w:tc>
        <w:tc>
          <w:tcPr>
            <w:tcW w:w="812" w:type="pct"/>
            <w:tcBorders>
              <w:top w:val="single" w:sz="4" w:space="0" w:color="auto"/>
              <w:left w:val="nil"/>
              <w:bottom w:val="single" w:sz="4" w:space="0" w:color="auto"/>
              <w:right w:val="nil"/>
            </w:tcBorders>
            <w:shd w:val="clear" w:color="auto" w:fill="auto"/>
            <w:vAlign w:val="bottom"/>
            <w:hideMark/>
          </w:tcPr>
          <w:p w14:paraId="27D796AC"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Irregular foreign workers from ASEAN member countries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14BC1C74"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Limited to understand the distribution of potentially irregular foreign workers by ASEAN origin </w:t>
            </w:r>
          </w:p>
        </w:tc>
      </w:tr>
      <w:tr w:rsidR="009002F0" w:rsidRPr="009002F0" w14:paraId="6F59450B" w14:textId="77777777" w:rsidTr="009002F0">
        <w:trPr>
          <w:trHeight w:val="1219"/>
        </w:trPr>
        <w:tc>
          <w:tcPr>
            <w:tcW w:w="8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F84BC6" w14:textId="77777777" w:rsidR="009002F0" w:rsidRPr="009002F0" w:rsidRDefault="009002F0" w:rsidP="009002F0">
            <w:pPr>
              <w:widowControl/>
              <w:autoSpaceDE/>
              <w:autoSpaceDN/>
              <w:adjustRightInd/>
              <w:jc w:val="center"/>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Financial/ banking data</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457FD627"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Remittance transaction dataset </w:t>
            </w:r>
          </w:p>
        </w:tc>
        <w:tc>
          <w:tcPr>
            <w:tcW w:w="782" w:type="pct"/>
            <w:tcBorders>
              <w:top w:val="single" w:sz="4" w:space="0" w:color="auto"/>
              <w:left w:val="nil"/>
              <w:bottom w:val="single" w:sz="4" w:space="0" w:color="auto"/>
              <w:right w:val="nil"/>
            </w:tcBorders>
            <w:shd w:val="clear" w:color="auto" w:fill="auto"/>
            <w:vAlign w:val="bottom"/>
            <w:hideMark/>
          </w:tcPr>
          <w:p w14:paraId="54476D4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Bank Negara Malaysia </w:t>
            </w:r>
          </w:p>
        </w:tc>
        <w:tc>
          <w:tcPr>
            <w:tcW w:w="819" w:type="pct"/>
            <w:tcBorders>
              <w:top w:val="single" w:sz="4" w:space="0" w:color="auto"/>
              <w:left w:val="nil"/>
              <w:bottom w:val="single" w:sz="4" w:space="0" w:color="auto"/>
              <w:right w:val="nil"/>
            </w:tcBorders>
            <w:shd w:val="clear" w:color="auto" w:fill="auto"/>
            <w:vAlign w:val="bottom"/>
            <w:hideMark/>
          </w:tcPr>
          <w:p w14:paraId="5339530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Stock of foreign workers</w:t>
            </w:r>
          </w:p>
        </w:tc>
        <w:tc>
          <w:tcPr>
            <w:tcW w:w="812" w:type="pct"/>
            <w:tcBorders>
              <w:top w:val="single" w:sz="4" w:space="0" w:color="auto"/>
              <w:left w:val="nil"/>
              <w:bottom w:val="single" w:sz="4" w:space="0" w:color="auto"/>
              <w:right w:val="nil"/>
            </w:tcBorders>
            <w:shd w:val="clear" w:color="auto" w:fill="auto"/>
            <w:vAlign w:val="bottom"/>
            <w:hideMark/>
          </w:tcPr>
          <w:p w14:paraId="5934146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Regular and irregular foreign workers, including domestic helpers</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3DFEB457"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Captures only those remitting money through formal remittance channels. </w:t>
            </w:r>
          </w:p>
        </w:tc>
      </w:tr>
      <w:tr w:rsidR="009002F0" w:rsidRPr="009002F0" w14:paraId="39BEC083" w14:textId="77777777" w:rsidTr="009002F0">
        <w:trPr>
          <w:trHeight w:val="1099"/>
        </w:trPr>
        <w:tc>
          <w:tcPr>
            <w:tcW w:w="870" w:type="pct"/>
            <w:vMerge w:val="restart"/>
            <w:tcBorders>
              <w:top w:val="single" w:sz="4" w:space="0" w:color="auto"/>
              <w:left w:val="single" w:sz="4" w:space="0" w:color="auto"/>
              <w:right w:val="single" w:sz="4" w:space="0" w:color="auto"/>
            </w:tcBorders>
            <w:shd w:val="clear" w:color="auto" w:fill="auto"/>
            <w:vAlign w:val="center"/>
            <w:hideMark/>
          </w:tcPr>
          <w:p w14:paraId="4EBAB639" w14:textId="77777777" w:rsidR="009002F0" w:rsidRPr="009002F0" w:rsidRDefault="009002F0" w:rsidP="009002F0">
            <w:pPr>
              <w:widowControl/>
              <w:autoSpaceDE/>
              <w:autoSpaceDN/>
              <w:adjustRightInd/>
              <w:jc w:val="center"/>
              <w:rPr>
                <w:rFonts w:ascii="Calibri" w:eastAsia="Times New Roman" w:hAnsi="Calibri" w:cs="Calibri"/>
                <w:sz w:val="20"/>
                <w:szCs w:val="20"/>
                <w:lang w:eastAsia="ko-KR"/>
              </w:rPr>
            </w:pPr>
            <w:r w:rsidRPr="009002F0">
              <w:rPr>
                <w:rFonts w:ascii="Calibri" w:eastAsia="Times New Roman" w:hAnsi="Calibri" w:cs="Calibri"/>
                <w:sz w:val="20"/>
                <w:szCs w:val="20"/>
                <w:lang w:eastAsia="ko-KR"/>
              </w:rPr>
              <w:lastRenderedPageBreak/>
              <w:t>Administrative data</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6BED9307"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Foreign worker quota </w:t>
            </w:r>
          </w:p>
        </w:tc>
        <w:tc>
          <w:tcPr>
            <w:tcW w:w="782" w:type="pct"/>
            <w:tcBorders>
              <w:top w:val="single" w:sz="4" w:space="0" w:color="auto"/>
              <w:left w:val="nil"/>
              <w:bottom w:val="single" w:sz="4" w:space="0" w:color="auto"/>
              <w:right w:val="nil"/>
            </w:tcBorders>
            <w:shd w:val="clear" w:color="auto" w:fill="auto"/>
            <w:vAlign w:val="bottom"/>
            <w:hideMark/>
          </w:tcPr>
          <w:p w14:paraId="142E6A1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Ministry of Home affairs </w:t>
            </w:r>
          </w:p>
        </w:tc>
        <w:tc>
          <w:tcPr>
            <w:tcW w:w="819" w:type="pct"/>
            <w:tcBorders>
              <w:top w:val="single" w:sz="4" w:space="0" w:color="auto"/>
              <w:left w:val="nil"/>
              <w:bottom w:val="single" w:sz="4" w:space="0" w:color="auto"/>
              <w:right w:val="nil"/>
            </w:tcBorders>
            <w:shd w:val="clear" w:color="auto" w:fill="auto"/>
            <w:vAlign w:val="bottom"/>
            <w:hideMark/>
          </w:tcPr>
          <w:p w14:paraId="53A868E4"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Flow of regular foreign workers </w:t>
            </w:r>
          </w:p>
        </w:tc>
        <w:tc>
          <w:tcPr>
            <w:tcW w:w="812" w:type="pct"/>
            <w:tcBorders>
              <w:top w:val="single" w:sz="4" w:space="0" w:color="auto"/>
              <w:left w:val="nil"/>
              <w:bottom w:val="single" w:sz="4" w:space="0" w:color="auto"/>
              <w:right w:val="nil"/>
            </w:tcBorders>
            <w:shd w:val="clear" w:color="auto" w:fill="auto"/>
            <w:vAlign w:val="bottom"/>
            <w:hideMark/>
          </w:tcPr>
          <w:p w14:paraId="7ECCD4A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13081FF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Quota does not always match with actual inflows</w:t>
            </w:r>
          </w:p>
        </w:tc>
      </w:tr>
      <w:tr w:rsidR="009002F0" w:rsidRPr="009002F0" w14:paraId="467159DB" w14:textId="77777777" w:rsidTr="009002F0">
        <w:trPr>
          <w:trHeight w:val="1482"/>
        </w:trPr>
        <w:tc>
          <w:tcPr>
            <w:tcW w:w="870" w:type="pct"/>
            <w:vMerge/>
            <w:tcBorders>
              <w:left w:val="single" w:sz="4" w:space="0" w:color="auto"/>
              <w:right w:val="single" w:sz="4" w:space="0" w:color="auto"/>
            </w:tcBorders>
            <w:shd w:val="clear" w:color="auto" w:fill="auto"/>
            <w:vAlign w:val="bottom"/>
            <w:hideMark/>
          </w:tcPr>
          <w:p w14:paraId="65EC388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3240A1AD"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Issuance of visa/work permits </w:t>
            </w:r>
          </w:p>
        </w:tc>
        <w:tc>
          <w:tcPr>
            <w:tcW w:w="782" w:type="pct"/>
            <w:tcBorders>
              <w:top w:val="single" w:sz="4" w:space="0" w:color="auto"/>
              <w:left w:val="nil"/>
              <w:bottom w:val="single" w:sz="4" w:space="0" w:color="auto"/>
              <w:right w:val="nil"/>
            </w:tcBorders>
            <w:shd w:val="clear" w:color="auto" w:fill="auto"/>
            <w:vAlign w:val="bottom"/>
            <w:hideMark/>
          </w:tcPr>
          <w:p w14:paraId="74874A8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Department of Immigration </w:t>
            </w:r>
          </w:p>
        </w:tc>
        <w:tc>
          <w:tcPr>
            <w:tcW w:w="819" w:type="pct"/>
            <w:tcBorders>
              <w:top w:val="single" w:sz="4" w:space="0" w:color="auto"/>
              <w:left w:val="nil"/>
              <w:bottom w:val="single" w:sz="4" w:space="0" w:color="auto"/>
              <w:right w:val="nil"/>
            </w:tcBorders>
            <w:shd w:val="clear" w:color="auto" w:fill="auto"/>
            <w:vAlign w:val="bottom"/>
            <w:hideMark/>
          </w:tcPr>
          <w:p w14:paraId="05421CD8"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Flow of regular foreign workers </w:t>
            </w:r>
          </w:p>
        </w:tc>
        <w:tc>
          <w:tcPr>
            <w:tcW w:w="812" w:type="pct"/>
            <w:tcBorders>
              <w:top w:val="single" w:sz="4" w:space="0" w:color="auto"/>
              <w:left w:val="nil"/>
              <w:bottom w:val="single" w:sz="4" w:space="0" w:color="auto"/>
              <w:right w:val="nil"/>
            </w:tcBorders>
            <w:shd w:val="clear" w:color="auto" w:fill="auto"/>
            <w:vAlign w:val="bottom"/>
            <w:hideMark/>
          </w:tcPr>
          <w:p w14:paraId="5459463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7FE6705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Possible to overestimate regular foreign workers if they work with employer/in </w:t>
            </w:r>
            <w:proofErr w:type="gramStart"/>
            <w:r w:rsidRPr="009002F0">
              <w:rPr>
                <w:rFonts w:ascii="Calibri" w:eastAsia="Times New Roman" w:hAnsi="Calibri" w:cs="Calibri"/>
                <w:sz w:val="20"/>
                <w:szCs w:val="20"/>
                <w:lang w:eastAsia="ko-KR"/>
              </w:rPr>
              <w:t>industry  different</w:t>
            </w:r>
            <w:proofErr w:type="gramEnd"/>
            <w:r w:rsidRPr="009002F0">
              <w:rPr>
                <w:rFonts w:ascii="Calibri" w:eastAsia="Times New Roman" w:hAnsi="Calibri" w:cs="Calibri"/>
                <w:sz w:val="20"/>
                <w:szCs w:val="20"/>
                <w:lang w:eastAsia="ko-KR"/>
              </w:rPr>
              <w:t xml:space="preserve"> from those specified in work permits</w:t>
            </w:r>
          </w:p>
        </w:tc>
      </w:tr>
      <w:tr w:rsidR="009002F0" w:rsidRPr="009002F0" w14:paraId="3EE5E04A" w14:textId="77777777" w:rsidTr="009002F0">
        <w:trPr>
          <w:trHeight w:val="1140"/>
        </w:trPr>
        <w:tc>
          <w:tcPr>
            <w:tcW w:w="870" w:type="pct"/>
            <w:vMerge/>
            <w:tcBorders>
              <w:left w:val="single" w:sz="4" w:space="0" w:color="auto"/>
              <w:right w:val="single" w:sz="4" w:space="0" w:color="auto"/>
            </w:tcBorders>
            <w:shd w:val="clear" w:color="auto" w:fill="auto"/>
            <w:vAlign w:val="bottom"/>
            <w:hideMark/>
          </w:tcPr>
          <w:p w14:paraId="0590F7B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257BA9B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International arrival and departure data </w:t>
            </w:r>
          </w:p>
        </w:tc>
        <w:tc>
          <w:tcPr>
            <w:tcW w:w="782" w:type="pct"/>
            <w:tcBorders>
              <w:top w:val="single" w:sz="4" w:space="0" w:color="auto"/>
              <w:left w:val="nil"/>
              <w:bottom w:val="single" w:sz="4" w:space="0" w:color="auto"/>
              <w:right w:val="nil"/>
            </w:tcBorders>
            <w:shd w:val="clear" w:color="auto" w:fill="auto"/>
            <w:vAlign w:val="bottom"/>
            <w:hideMark/>
          </w:tcPr>
          <w:p w14:paraId="142B2FA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Department of Immigration </w:t>
            </w:r>
          </w:p>
        </w:tc>
        <w:tc>
          <w:tcPr>
            <w:tcW w:w="819" w:type="pct"/>
            <w:tcBorders>
              <w:top w:val="single" w:sz="4" w:space="0" w:color="auto"/>
              <w:left w:val="nil"/>
              <w:bottom w:val="single" w:sz="4" w:space="0" w:color="auto"/>
              <w:right w:val="nil"/>
            </w:tcBorders>
            <w:shd w:val="clear" w:color="auto" w:fill="auto"/>
            <w:vAlign w:val="bottom"/>
            <w:hideMark/>
          </w:tcPr>
          <w:p w14:paraId="57CF961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Flow of foreigners who have not left within 12 months </w:t>
            </w:r>
          </w:p>
        </w:tc>
        <w:tc>
          <w:tcPr>
            <w:tcW w:w="812" w:type="pct"/>
            <w:tcBorders>
              <w:top w:val="single" w:sz="4" w:space="0" w:color="auto"/>
              <w:left w:val="nil"/>
              <w:bottom w:val="single" w:sz="4" w:space="0" w:color="auto"/>
              <w:right w:val="nil"/>
            </w:tcBorders>
            <w:shd w:val="clear" w:color="auto" w:fill="auto"/>
            <w:vAlign w:val="bottom"/>
            <w:hideMark/>
          </w:tcPr>
          <w:p w14:paraId="51BD152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5DE1EA4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r>
      <w:tr w:rsidR="009002F0" w:rsidRPr="009002F0" w14:paraId="5524027F" w14:textId="77777777" w:rsidTr="009002F0">
        <w:trPr>
          <w:trHeight w:val="1489"/>
        </w:trPr>
        <w:tc>
          <w:tcPr>
            <w:tcW w:w="870" w:type="pct"/>
            <w:vMerge/>
            <w:tcBorders>
              <w:left w:val="single" w:sz="4" w:space="0" w:color="auto"/>
              <w:right w:val="single" w:sz="4" w:space="0" w:color="auto"/>
            </w:tcBorders>
            <w:shd w:val="clear" w:color="auto" w:fill="auto"/>
            <w:vAlign w:val="bottom"/>
            <w:hideMark/>
          </w:tcPr>
          <w:p w14:paraId="13DA54B2"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39EFF40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Medical test exam data </w:t>
            </w:r>
          </w:p>
        </w:tc>
        <w:tc>
          <w:tcPr>
            <w:tcW w:w="782" w:type="pct"/>
            <w:tcBorders>
              <w:top w:val="single" w:sz="4" w:space="0" w:color="auto"/>
              <w:left w:val="nil"/>
              <w:bottom w:val="single" w:sz="4" w:space="0" w:color="auto"/>
              <w:right w:val="nil"/>
            </w:tcBorders>
            <w:shd w:val="clear" w:color="auto" w:fill="auto"/>
            <w:vAlign w:val="bottom"/>
            <w:hideMark/>
          </w:tcPr>
          <w:p w14:paraId="45716F5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Foreign Workers Medical Examination Monitoring Agency (FOMEMA) </w:t>
            </w:r>
          </w:p>
        </w:tc>
        <w:tc>
          <w:tcPr>
            <w:tcW w:w="819" w:type="pct"/>
            <w:tcBorders>
              <w:top w:val="single" w:sz="4" w:space="0" w:color="auto"/>
              <w:left w:val="nil"/>
              <w:bottom w:val="single" w:sz="4" w:space="0" w:color="auto"/>
              <w:right w:val="nil"/>
            </w:tcBorders>
            <w:shd w:val="clear" w:color="auto" w:fill="auto"/>
            <w:vAlign w:val="bottom"/>
            <w:hideMark/>
          </w:tcPr>
          <w:p w14:paraId="2BC8F1F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Flow of foreign workers (Visit Pass) </w:t>
            </w:r>
          </w:p>
        </w:tc>
        <w:tc>
          <w:tcPr>
            <w:tcW w:w="812" w:type="pct"/>
            <w:tcBorders>
              <w:top w:val="single" w:sz="4" w:space="0" w:color="auto"/>
              <w:left w:val="nil"/>
              <w:bottom w:val="single" w:sz="4" w:space="0" w:color="auto"/>
              <w:right w:val="nil"/>
            </w:tcBorders>
            <w:shd w:val="clear" w:color="auto" w:fill="auto"/>
            <w:vAlign w:val="bottom"/>
            <w:hideMark/>
          </w:tcPr>
          <w:p w14:paraId="56F73B4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and irregular foreign workers. The proxy for the irregular is those who failed to pass medical tests.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65AA665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capturing those irregular foreign workers who have remained with "irregular" status for a prolonged period. </w:t>
            </w:r>
          </w:p>
        </w:tc>
      </w:tr>
      <w:tr w:rsidR="009002F0" w:rsidRPr="009002F0" w14:paraId="2D350DFB" w14:textId="77777777" w:rsidTr="009002F0">
        <w:trPr>
          <w:trHeight w:val="2190"/>
        </w:trPr>
        <w:tc>
          <w:tcPr>
            <w:tcW w:w="870" w:type="pct"/>
            <w:vMerge/>
            <w:tcBorders>
              <w:left w:val="single" w:sz="4" w:space="0" w:color="auto"/>
              <w:right w:val="single" w:sz="4" w:space="0" w:color="auto"/>
            </w:tcBorders>
            <w:shd w:val="clear" w:color="auto" w:fill="auto"/>
            <w:vAlign w:val="bottom"/>
            <w:hideMark/>
          </w:tcPr>
          <w:p w14:paraId="6180B081"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2100340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Rehiring dataset </w:t>
            </w:r>
          </w:p>
        </w:tc>
        <w:tc>
          <w:tcPr>
            <w:tcW w:w="782" w:type="pct"/>
            <w:tcBorders>
              <w:top w:val="single" w:sz="4" w:space="0" w:color="auto"/>
              <w:left w:val="nil"/>
              <w:bottom w:val="single" w:sz="4" w:space="0" w:color="auto"/>
              <w:right w:val="nil"/>
            </w:tcBorders>
            <w:shd w:val="clear" w:color="auto" w:fill="auto"/>
            <w:vAlign w:val="bottom"/>
            <w:hideMark/>
          </w:tcPr>
          <w:p w14:paraId="1FD9EC3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Department of Immigration </w:t>
            </w:r>
          </w:p>
        </w:tc>
        <w:tc>
          <w:tcPr>
            <w:tcW w:w="819" w:type="pct"/>
            <w:tcBorders>
              <w:top w:val="single" w:sz="4" w:space="0" w:color="auto"/>
              <w:left w:val="nil"/>
              <w:bottom w:val="single" w:sz="4" w:space="0" w:color="auto"/>
              <w:right w:val="nil"/>
            </w:tcBorders>
            <w:shd w:val="clear" w:color="auto" w:fill="auto"/>
            <w:vAlign w:val="bottom"/>
            <w:hideMark/>
          </w:tcPr>
          <w:p w14:paraId="06476F0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of foreign workers who desires to get regularized </w:t>
            </w:r>
          </w:p>
        </w:tc>
        <w:tc>
          <w:tcPr>
            <w:tcW w:w="812" w:type="pct"/>
            <w:tcBorders>
              <w:top w:val="single" w:sz="4" w:space="0" w:color="auto"/>
              <w:left w:val="nil"/>
              <w:bottom w:val="single" w:sz="4" w:space="0" w:color="auto"/>
              <w:right w:val="nil"/>
            </w:tcBorders>
            <w:shd w:val="clear" w:color="auto" w:fill="auto"/>
            <w:vAlign w:val="bottom"/>
            <w:hideMark/>
          </w:tcPr>
          <w:p w14:paraId="7D7BBEE7"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0F578FD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all those in the re-hiring pool get employed. Knowing this, not all irregular foreign workers may come forward to this rehiring process, especially those failed medical tests in the past.  </w:t>
            </w:r>
          </w:p>
        </w:tc>
      </w:tr>
      <w:tr w:rsidR="009002F0" w:rsidRPr="009002F0" w14:paraId="0C12E0B6" w14:textId="77777777" w:rsidTr="009002F0">
        <w:trPr>
          <w:trHeight w:val="1309"/>
        </w:trPr>
        <w:tc>
          <w:tcPr>
            <w:tcW w:w="870" w:type="pct"/>
            <w:vMerge/>
            <w:tcBorders>
              <w:left w:val="single" w:sz="4" w:space="0" w:color="auto"/>
              <w:bottom w:val="single" w:sz="4" w:space="0" w:color="auto"/>
              <w:right w:val="single" w:sz="4" w:space="0" w:color="auto"/>
            </w:tcBorders>
            <w:shd w:val="clear" w:color="auto" w:fill="auto"/>
            <w:vAlign w:val="bottom"/>
            <w:hideMark/>
          </w:tcPr>
          <w:p w14:paraId="676633D8"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56DFC14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Construction personnel registration </w:t>
            </w:r>
          </w:p>
        </w:tc>
        <w:tc>
          <w:tcPr>
            <w:tcW w:w="782" w:type="pct"/>
            <w:tcBorders>
              <w:top w:val="single" w:sz="4" w:space="0" w:color="auto"/>
              <w:left w:val="nil"/>
              <w:bottom w:val="single" w:sz="4" w:space="0" w:color="auto"/>
              <w:right w:val="nil"/>
            </w:tcBorders>
            <w:shd w:val="clear" w:color="auto" w:fill="auto"/>
            <w:vAlign w:val="bottom"/>
            <w:hideMark/>
          </w:tcPr>
          <w:p w14:paraId="6105C80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CIDB</w:t>
            </w:r>
          </w:p>
        </w:tc>
        <w:tc>
          <w:tcPr>
            <w:tcW w:w="819" w:type="pct"/>
            <w:tcBorders>
              <w:top w:val="single" w:sz="4" w:space="0" w:color="auto"/>
              <w:left w:val="nil"/>
              <w:bottom w:val="single" w:sz="4" w:space="0" w:color="auto"/>
              <w:right w:val="nil"/>
            </w:tcBorders>
            <w:shd w:val="clear" w:color="auto" w:fill="auto"/>
            <w:vAlign w:val="bottom"/>
            <w:hideMark/>
          </w:tcPr>
          <w:p w14:paraId="35D6D60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Flow of regular foreign workers employed in the construction sector </w:t>
            </w:r>
          </w:p>
        </w:tc>
        <w:tc>
          <w:tcPr>
            <w:tcW w:w="812" w:type="pct"/>
            <w:tcBorders>
              <w:top w:val="single" w:sz="4" w:space="0" w:color="auto"/>
              <w:left w:val="nil"/>
              <w:bottom w:val="single" w:sz="4" w:space="0" w:color="auto"/>
              <w:right w:val="nil"/>
            </w:tcBorders>
            <w:shd w:val="clear" w:color="auto" w:fill="auto"/>
            <w:vAlign w:val="bottom"/>
            <w:hideMark/>
          </w:tcPr>
          <w:p w14:paraId="0DDED56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38AE26CA"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capturing those irregulars hired by unregistered manpower agencies in the sector. </w:t>
            </w:r>
          </w:p>
        </w:tc>
      </w:tr>
      <w:tr w:rsidR="009002F0" w:rsidRPr="009002F0" w14:paraId="7844BC33" w14:textId="77777777" w:rsidTr="009002F0">
        <w:trPr>
          <w:trHeight w:val="732"/>
        </w:trPr>
        <w:tc>
          <w:tcPr>
            <w:tcW w:w="870" w:type="pct"/>
            <w:vMerge w:val="restart"/>
            <w:tcBorders>
              <w:top w:val="single" w:sz="4" w:space="0" w:color="auto"/>
              <w:left w:val="single" w:sz="4" w:space="0" w:color="auto"/>
              <w:right w:val="single" w:sz="4" w:space="0" w:color="auto"/>
            </w:tcBorders>
            <w:shd w:val="clear" w:color="auto" w:fill="auto"/>
            <w:vAlign w:val="bottom"/>
            <w:hideMark/>
          </w:tcPr>
          <w:p w14:paraId="4B436AFA"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r w:rsidRPr="009002F0">
              <w:rPr>
                <w:rFonts w:ascii="Calibri" w:eastAsia="Times New Roman" w:hAnsi="Calibri" w:cs="Calibri"/>
                <w:sz w:val="20"/>
                <w:szCs w:val="20"/>
                <w:lang w:eastAsia="ko-KR"/>
              </w:rPr>
              <w:t> </w:t>
            </w: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746BCFE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Run-aways reports</w:t>
            </w:r>
          </w:p>
        </w:tc>
        <w:tc>
          <w:tcPr>
            <w:tcW w:w="782" w:type="pct"/>
            <w:tcBorders>
              <w:top w:val="single" w:sz="4" w:space="0" w:color="auto"/>
              <w:left w:val="nil"/>
              <w:bottom w:val="single" w:sz="4" w:space="0" w:color="auto"/>
              <w:right w:val="nil"/>
            </w:tcBorders>
            <w:shd w:val="clear" w:color="auto" w:fill="auto"/>
            <w:vAlign w:val="bottom"/>
            <w:hideMark/>
          </w:tcPr>
          <w:p w14:paraId="671313D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Police</w:t>
            </w:r>
          </w:p>
        </w:tc>
        <w:tc>
          <w:tcPr>
            <w:tcW w:w="819" w:type="pct"/>
            <w:tcBorders>
              <w:top w:val="single" w:sz="4" w:space="0" w:color="auto"/>
              <w:left w:val="nil"/>
              <w:bottom w:val="single" w:sz="4" w:space="0" w:color="auto"/>
              <w:right w:val="nil"/>
            </w:tcBorders>
            <w:shd w:val="clear" w:color="auto" w:fill="auto"/>
            <w:vAlign w:val="bottom"/>
            <w:hideMark/>
          </w:tcPr>
          <w:p w14:paraId="61ED6AA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Flow of foreign workers who ran away from job sites</w:t>
            </w:r>
          </w:p>
        </w:tc>
        <w:tc>
          <w:tcPr>
            <w:tcW w:w="812" w:type="pct"/>
            <w:tcBorders>
              <w:top w:val="single" w:sz="4" w:space="0" w:color="auto"/>
              <w:left w:val="nil"/>
              <w:bottom w:val="single" w:sz="4" w:space="0" w:color="auto"/>
              <w:right w:val="nil"/>
            </w:tcBorders>
            <w:shd w:val="clear" w:color="auto" w:fill="auto"/>
            <w:vAlign w:val="bottom"/>
            <w:hideMark/>
          </w:tcPr>
          <w:p w14:paraId="6C22A944"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08C492E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Not all employers report runaways as it involves costs. </w:t>
            </w:r>
          </w:p>
        </w:tc>
      </w:tr>
      <w:tr w:rsidR="009002F0" w:rsidRPr="009002F0" w14:paraId="1D163DBA" w14:textId="77777777" w:rsidTr="009002F0">
        <w:trPr>
          <w:trHeight w:val="1452"/>
        </w:trPr>
        <w:tc>
          <w:tcPr>
            <w:tcW w:w="870" w:type="pct"/>
            <w:vMerge/>
            <w:tcBorders>
              <w:left w:val="single" w:sz="4" w:space="0" w:color="auto"/>
              <w:right w:val="single" w:sz="4" w:space="0" w:color="auto"/>
            </w:tcBorders>
            <w:shd w:val="clear" w:color="auto" w:fill="auto"/>
            <w:vAlign w:val="bottom"/>
            <w:hideMark/>
          </w:tcPr>
          <w:p w14:paraId="7FF4DC45"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6FB34B0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Enforcement reports</w:t>
            </w:r>
          </w:p>
        </w:tc>
        <w:tc>
          <w:tcPr>
            <w:tcW w:w="782" w:type="pct"/>
            <w:tcBorders>
              <w:top w:val="single" w:sz="4" w:space="0" w:color="auto"/>
              <w:left w:val="nil"/>
              <w:bottom w:val="single" w:sz="4" w:space="0" w:color="auto"/>
              <w:right w:val="nil"/>
            </w:tcBorders>
            <w:shd w:val="clear" w:color="auto" w:fill="auto"/>
            <w:vAlign w:val="bottom"/>
            <w:hideMark/>
          </w:tcPr>
          <w:p w14:paraId="4C53725D"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Department of Immigration </w:t>
            </w:r>
          </w:p>
        </w:tc>
        <w:tc>
          <w:tcPr>
            <w:tcW w:w="819" w:type="pct"/>
            <w:tcBorders>
              <w:top w:val="single" w:sz="4" w:space="0" w:color="auto"/>
              <w:left w:val="nil"/>
              <w:bottom w:val="single" w:sz="4" w:space="0" w:color="auto"/>
              <w:right w:val="nil"/>
            </w:tcBorders>
            <w:shd w:val="clear" w:color="auto" w:fill="auto"/>
            <w:vAlign w:val="bottom"/>
            <w:hideMark/>
          </w:tcPr>
          <w:p w14:paraId="385733A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Stock of irregular foreign workers</w:t>
            </w:r>
          </w:p>
        </w:tc>
        <w:tc>
          <w:tcPr>
            <w:tcW w:w="812" w:type="pct"/>
            <w:tcBorders>
              <w:top w:val="single" w:sz="4" w:space="0" w:color="auto"/>
              <w:left w:val="nil"/>
              <w:bottom w:val="single" w:sz="4" w:space="0" w:color="auto"/>
              <w:right w:val="nil"/>
            </w:tcBorders>
            <w:shd w:val="clear" w:color="auto" w:fill="auto"/>
            <w:vAlign w:val="bottom"/>
            <w:hideMark/>
          </w:tcPr>
          <w:p w14:paraId="046452CD"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Irregular foreign workers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17C93580"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Raids are based on informants and not risk-based. Yet, possible to estimate the ratio between regular and irregular foreign workers</w:t>
            </w:r>
          </w:p>
        </w:tc>
      </w:tr>
      <w:tr w:rsidR="009002F0" w:rsidRPr="009002F0" w14:paraId="52AA0633" w14:textId="77777777" w:rsidTr="009002F0">
        <w:trPr>
          <w:trHeight w:val="900"/>
        </w:trPr>
        <w:tc>
          <w:tcPr>
            <w:tcW w:w="870" w:type="pct"/>
            <w:vMerge/>
            <w:tcBorders>
              <w:left w:val="single" w:sz="4" w:space="0" w:color="auto"/>
              <w:right w:val="single" w:sz="4" w:space="0" w:color="auto"/>
            </w:tcBorders>
            <w:shd w:val="clear" w:color="auto" w:fill="auto"/>
            <w:vAlign w:val="bottom"/>
            <w:hideMark/>
          </w:tcPr>
          <w:p w14:paraId="794AD45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46C04021"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Enforcement reports</w:t>
            </w:r>
          </w:p>
        </w:tc>
        <w:tc>
          <w:tcPr>
            <w:tcW w:w="782" w:type="pct"/>
            <w:tcBorders>
              <w:top w:val="single" w:sz="4" w:space="0" w:color="auto"/>
              <w:left w:val="nil"/>
              <w:bottom w:val="single" w:sz="4" w:space="0" w:color="auto"/>
              <w:right w:val="nil"/>
            </w:tcBorders>
            <w:shd w:val="clear" w:color="auto" w:fill="auto"/>
            <w:vAlign w:val="bottom"/>
            <w:hideMark/>
          </w:tcPr>
          <w:p w14:paraId="5869130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CIDB</w:t>
            </w:r>
          </w:p>
        </w:tc>
        <w:tc>
          <w:tcPr>
            <w:tcW w:w="819" w:type="pct"/>
            <w:tcBorders>
              <w:top w:val="single" w:sz="4" w:space="0" w:color="auto"/>
              <w:left w:val="nil"/>
              <w:bottom w:val="single" w:sz="4" w:space="0" w:color="auto"/>
              <w:right w:val="nil"/>
            </w:tcBorders>
            <w:shd w:val="clear" w:color="auto" w:fill="auto"/>
            <w:vAlign w:val="bottom"/>
            <w:hideMark/>
          </w:tcPr>
          <w:p w14:paraId="520B894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Stock </w:t>
            </w:r>
            <w:proofErr w:type="gramStart"/>
            <w:r w:rsidRPr="009002F0">
              <w:rPr>
                <w:rFonts w:ascii="Calibri" w:eastAsia="Times New Roman" w:hAnsi="Calibri" w:cs="Calibri"/>
                <w:sz w:val="20"/>
                <w:szCs w:val="20"/>
                <w:lang w:eastAsia="ko-KR"/>
              </w:rPr>
              <w:t>of  irregular</w:t>
            </w:r>
            <w:proofErr w:type="gramEnd"/>
            <w:r w:rsidRPr="009002F0">
              <w:rPr>
                <w:rFonts w:ascii="Calibri" w:eastAsia="Times New Roman" w:hAnsi="Calibri" w:cs="Calibri"/>
                <w:sz w:val="20"/>
                <w:szCs w:val="20"/>
                <w:lang w:eastAsia="ko-KR"/>
              </w:rPr>
              <w:t xml:space="preserve"> foreign workers in construction sector</w:t>
            </w:r>
          </w:p>
        </w:tc>
        <w:tc>
          <w:tcPr>
            <w:tcW w:w="812" w:type="pct"/>
            <w:tcBorders>
              <w:top w:val="single" w:sz="4" w:space="0" w:color="auto"/>
              <w:left w:val="nil"/>
              <w:bottom w:val="single" w:sz="4" w:space="0" w:color="auto"/>
              <w:right w:val="nil"/>
            </w:tcBorders>
            <w:shd w:val="clear" w:color="auto" w:fill="auto"/>
            <w:vAlign w:val="bottom"/>
            <w:hideMark/>
          </w:tcPr>
          <w:p w14:paraId="1F9E0FD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Irregular foreign workers employed in the construction sector</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0DD22A3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Raids are ad-hoc. </w:t>
            </w:r>
          </w:p>
        </w:tc>
      </w:tr>
      <w:tr w:rsidR="009002F0" w:rsidRPr="009002F0" w14:paraId="064B8374" w14:textId="77777777" w:rsidTr="009002F0">
        <w:trPr>
          <w:trHeight w:val="1272"/>
        </w:trPr>
        <w:tc>
          <w:tcPr>
            <w:tcW w:w="870" w:type="pct"/>
            <w:vMerge/>
            <w:tcBorders>
              <w:left w:val="single" w:sz="4" w:space="0" w:color="auto"/>
              <w:right w:val="single" w:sz="4" w:space="0" w:color="auto"/>
            </w:tcBorders>
            <w:shd w:val="clear" w:color="auto" w:fill="auto"/>
            <w:vAlign w:val="bottom"/>
            <w:hideMark/>
          </w:tcPr>
          <w:p w14:paraId="5FBCAF49" w14:textId="77777777" w:rsidR="009002F0" w:rsidRPr="009002F0" w:rsidRDefault="009002F0" w:rsidP="009002F0">
            <w:pPr>
              <w:widowControl/>
              <w:autoSpaceDE/>
              <w:autoSpaceDN/>
              <w:adjustRightInd/>
              <w:rPr>
                <w:rFonts w:ascii="Calibri" w:eastAsia="Times New Roman" w:hAnsi="Calibri" w:cs="Calibri"/>
                <w:color w:val="auto"/>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649D7EC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Data on application for foreign worker employment </w:t>
            </w:r>
          </w:p>
        </w:tc>
        <w:tc>
          <w:tcPr>
            <w:tcW w:w="782" w:type="pct"/>
            <w:tcBorders>
              <w:top w:val="single" w:sz="4" w:space="0" w:color="auto"/>
              <w:left w:val="nil"/>
              <w:bottom w:val="single" w:sz="4" w:space="0" w:color="auto"/>
              <w:right w:val="nil"/>
            </w:tcBorders>
            <w:shd w:val="clear" w:color="auto" w:fill="auto"/>
            <w:vAlign w:val="bottom"/>
            <w:hideMark/>
          </w:tcPr>
          <w:p w14:paraId="09156A6B"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MOHR</w:t>
            </w:r>
          </w:p>
        </w:tc>
        <w:tc>
          <w:tcPr>
            <w:tcW w:w="819" w:type="pct"/>
            <w:tcBorders>
              <w:top w:val="single" w:sz="4" w:space="0" w:color="auto"/>
              <w:left w:val="nil"/>
              <w:bottom w:val="single" w:sz="4" w:space="0" w:color="auto"/>
              <w:right w:val="nil"/>
            </w:tcBorders>
            <w:shd w:val="clear" w:color="auto" w:fill="auto"/>
            <w:vAlign w:val="bottom"/>
            <w:hideMark/>
          </w:tcPr>
          <w:p w14:paraId="15A04159"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The number of foreign workers in demand</w:t>
            </w:r>
          </w:p>
        </w:tc>
        <w:tc>
          <w:tcPr>
            <w:tcW w:w="812" w:type="pct"/>
            <w:tcBorders>
              <w:top w:val="single" w:sz="4" w:space="0" w:color="auto"/>
              <w:left w:val="nil"/>
              <w:bottom w:val="single" w:sz="4" w:space="0" w:color="auto"/>
              <w:right w:val="nil"/>
            </w:tcBorders>
            <w:shd w:val="clear" w:color="auto" w:fill="auto"/>
            <w:vAlign w:val="bottom"/>
            <w:hideMark/>
          </w:tcPr>
          <w:p w14:paraId="3FF7A8D5"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Demand for irregular worker in a given year by industry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1B14C16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Possible to apply for a higher number of foreign workers than needed as the rejection rates are high</w:t>
            </w:r>
          </w:p>
        </w:tc>
      </w:tr>
      <w:tr w:rsidR="009002F0" w:rsidRPr="009002F0" w14:paraId="1A6940BD" w14:textId="77777777" w:rsidTr="009002F0">
        <w:trPr>
          <w:trHeight w:val="1200"/>
        </w:trPr>
        <w:tc>
          <w:tcPr>
            <w:tcW w:w="870" w:type="pct"/>
            <w:vMerge/>
            <w:tcBorders>
              <w:left w:val="single" w:sz="4" w:space="0" w:color="auto"/>
              <w:bottom w:val="single" w:sz="4" w:space="0" w:color="auto"/>
              <w:right w:val="single" w:sz="4" w:space="0" w:color="auto"/>
            </w:tcBorders>
            <w:shd w:val="clear" w:color="auto" w:fill="auto"/>
            <w:vAlign w:val="bottom"/>
            <w:hideMark/>
          </w:tcPr>
          <w:p w14:paraId="19FEAB1F"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p>
        </w:tc>
        <w:tc>
          <w:tcPr>
            <w:tcW w:w="787" w:type="pct"/>
            <w:tcBorders>
              <w:top w:val="single" w:sz="4" w:space="0" w:color="auto"/>
              <w:left w:val="single" w:sz="4" w:space="0" w:color="auto"/>
              <w:bottom w:val="single" w:sz="4" w:space="0" w:color="auto"/>
              <w:right w:val="nil"/>
            </w:tcBorders>
            <w:shd w:val="clear" w:color="auto" w:fill="auto"/>
            <w:vAlign w:val="bottom"/>
            <w:hideMark/>
          </w:tcPr>
          <w:p w14:paraId="59F77DA8"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Data on quota application for foreign workers</w:t>
            </w:r>
          </w:p>
        </w:tc>
        <w:tc>
          <w:tcPr>
            <w:tcW w:w="782" w:type="pct"/>
            <w:tcBorders>
              <w:top w:val="single" w:sz="4" w:space="0" w:color="auto"/>
              <w:left w:val="nil"/>
              <w:bottom w:val="single" w:sz="4" w:space="0" w:color="auto"/>
              <w:right w:val="nil"/>
            </w:tcBorders>
            <w:shd w:val="clear" w:color="auto" w:fill="auto"/>
            <w:vAlign w:val="bottom"/>
            <w:hideMark/>
          </w:tcPr>
          <w:p w14:paraId="069C751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MOHA (One-stop shop)</w:t>
            </w:r>
          </w:p>
        </w:tc>
        <w:tc>
          <w:tcPr>
            <w:tcW w:w="819" w:type="pct"/>
            <w:tcBorders>
              <w:top w:val="single" w:sz="4" w:space="0" w:color="auto"/>
              <w:left w:val="nil"/>
              <w:bottom w:val="single" w:sz="4" w:space="0" w:color="auto"/>
              <w:right w:val="nil"/>
            </w:tcBorders>
            <w:shd w:val="clear" w:color="auto" w:fill="auto"/>
            <w:vAlign w:val="bottom"/>
            <w:hideMark/>
          </w:tcPr>
          <w:p w14:paraId="3B45C6A2"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The number of foreign workers in demand</w:t>
            </w:r>
          </w:p>
        </w:tc>
        <w:tc>
          <w:tcPr>
            <w:tcW w:w="812" w:type="pct"/>
            <w:tcBorders>
              <w:top w:val="single" w:sz="4" w:space="0" w:color="auto"/>
              <w:left w:val="nil"/>
              <w:bottom w:val="single" w:sz="4" w:space="0" w:color="auto"/>
              <w:right w:val="nil"/>
            </w:tcBorders>
            <w:shd w:val="clear" w:color="auto" w:fill="auto"/>
            <w:vAlign w:val="bottom"/>
            <w:hideMark/>
          </w:tcPr>
          <w:p w14:paraId="7EE1FA4E"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xml:space="preserve">A subset of demand for irregular worker in a given year by industry </w:t>
            </w:r>
          </w:p>
        </w:tc>
        <w:tc>
          <w:tcPr>
            <w:tcW w:w="930" w:type="pct"/>
            <w:tcBorders>
              <w:top w:val="single" w:sz="4" w:space="0" w:color="auto"/>
              <w:left w:val="nil"/>
              <w:bottom w:val="single" w:sz="4" w:space="0" w:color="auto"/>
              <w:right w:val="single" w:sz="4" w:space="0" w:color="auto"/>
            </w:tcBorders>
            <w:shd w:val="clear" w:color="auto" w:fill="auto"/>
            <w:vAlign w:val="bottom"/>
            <w:hideMark/>
          </w:tcPr>
          <w:p w14:paraId="3E4C9126" w14:textId="77777777" w:rsidR="009002F0" w:rsidRPr="009002F0" w:rsidRDefault="009002F0" w:rsidP="009002F0">
            <w:pPr>
              <w:widowControl/>
              <w:autoSpaceDE/>
              <w:autoSpaceDN/>
              <w:adjustRightInd/>
              <w:rPr>
                <w:rFonts w:ascii="Calibri" w:eastAsia="Times New Roman" w:hAnsi="Calibri" w:cs="Calibri"/>
                <w:sz w:val="20"/>
                <w:szCs w:val="20"/>
                <w:lang w:eastAsia="ko-KR"/>
              </w:rPr>
            </w:pPr>
            <w:r w:rsidRPr="009002F0">
              <w:rPr>
                <w:rFonts w:ascii="Calibri" w:eastAsia="Times New Roman" w:hAnsi="Calibri" w:cs="Calibri"/>
                <w:sz w:val="20"/>
                <w:szCs w:val="20"/>
                <w:lang w:eastAsia="ko-KR"/>
              </w:rPr>
              <w:t> </w:t>
            </w:r>
          </w:p>
        </w:tc>
      </w:tr>
    </w:tbl>
    <w:p w14:paraId="52E555A5"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4313839E"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5EAD14B8"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3100CC42"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06A8CBA8"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1499B10B"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p w14:paraId="6729B1A2" w14:textId="77777777" w:rsidR="009002F0" w:rsidRPr="009002F0" w:rsidRDefault="009002F0" w:rsidP="009002F0">
      <w:pPr>
        <w:widowControl/>
        <w:autoSpaceDE/>
        <w:autoSpaceDN/>
        <w:adjustRightInd/>
        <w:spacing w:after="120" w:line="264" w:lineRule="auto"/>
        <w:rPr>
          <w:rFonts w:ascii="Calibri" w:eastAsia="Calibri" w:hAnsi="Calibri" w:cs="Times New Roman"/>
          <w:bCs/>
          <w:color w:val="auto"/>
          <w:sz w:val="20"/>
          <w:szCs w:val="20"/>
        </w:rPr>
      </w:pPr>
      <w:r w:rsidRPr="009002F0">
        <w:rPr>
          <w:rFonts w:ascii="Calibri" w:eastAsia="Malgun Gothic" w:hAnsi="Calibri" w:cs="Times New Roman"/>
          <w:bCs/>
          <w:color w:val="auto"/>
          <w:sz w:val="20"/>
          <w:szCs w:val="20"/>
          <w:lang w:eastAsia="ko-KR"/>
        </w:rPr>
        <w:br w:type="page"/>
      </w:r>
    </w:p>
    <w:p w14:paraId="45908E5C" w14:textId="77777777" w:rsidR="009002F0" w:rsidRPr="009002F0" w:rsidRDefault="009002F0" w:rsidP="009002F0">
      <w:pPr>
        <w:keepNext/>
        <w:keepLines/>
        <w:widowControl/>
        <w:autoSpaceDE/>
        <w:autoSpaceDN/>
        <w:adjustRightInd/>
        <w:spacing w:before="320" w:after="360"/>
        <w:jc w:val="center"/>
        <w:outlineLvl w:val="0"/>
        <w:rPr>
          <w:rFonts w:ascii="Andes" w:eastAsia="Malgun Gothic" w:hAnsi="Andes" w:cs="Times New Roman"/>
          <w:b/>
          <w:color w:val="002345"/>
          <w:sz w:val="32"/>
          <w:szCs w:val="32"/>
          <w:lang w:eastAsia="ko-KR"/>
        </w:rPr>
      </w:pPr>
      <w:bookmarkStart w:id="129" w:name="_Toc536052744"/>
      <w:bookmarkStart w:id="130" w:name="_Toc4581542"/>
      <w:r w:rsidRPr="009002F0">
        <w:rPr>
          <w:rFonts w:ascii="Andes" w:eastAsia="Malgun Gothic" w:hAnsi="Andes" w:cs="Times New Roman"/>
          <w:b/>
          <w:color w:val="002345"/>
          <w:sz w:val="32"/>
          <w:szCs w:val="32"/>
          <w:lang w:eastAsia="ko-KR"/>
        </w:rPr>
        <w:lastRenderedPageBreak/>
        <w:t>Annex 2: Attempts to identify foreign worker (FW) information using the BNM’s remittance transaction data.</w:t>
      </w:r>
      <w:bookmarkEnd w:id="129"/>
      <w:bookmarkEnd w:id="130"/>
      <w:r w:rsidRPr="009002F0">
        <w:rPr>
          <w:rFonts w:ascii="Andes" w:eastAsia="Malgun Gothic" w:hAnsi="Andes" w:cs="Times New Roman"/>
          <w:b/>
          <w:color w:val="002345"/>
          <w:sz w:val="32"/>
          <w:szCs w:val="32"/>
          <w:lang w:eastAsia="ko-KR"/>
        </w:rPr>
        <w:t xml:space="preserve"> </w:t>
      </w:r>
    </w:p>
    <w:p w14:paraId="55B23896" w14:textId="77777777" w:rsidR="009002F0" w:rsidRPr="009002F0" w:rsidRDefault="009002F0" w:rsidP="009002F0">
      <w:pPr>
        <w:widowControl/>
        <w:autoSpaceDE/>
        <w:autoSpaceDN/>
        <w:snapToGrid w:val="0"/>
        <w:rPr>
          <w:rFonts w:ascii="Calibri" w:eastAsia="Malgun Gothic" w:hAnsi="Calibri" w:cs="Times New Roman"/>
          <w:color w:val="auto"/>
          <w:sz w:val="20"/>
          <w:szCs w:val="20"/>
          <w:lang w:eastAsia="ko-KR"/>
        </w:rPr>
      </w:pPr>
    </w:p>
    <w:tbl>
      <w:tblPr>
        <w:tblW w:w="5000" w:type="pct"/>
        <w:tblCellMar>
          <w:left w:w="0" w:type="dxa"/>
          <w:right w:w="0" w:type="dxa"/>
        </w:tblCellMar>
        <w:tblLook w:val="0420" w:firstRow="1" w:lastRow="0" w:firstColumn="0" w:lastColumn="0" w:noHBand="0" w:noVBand="1"/>
      </w:tblPr>
      <w:tblGrid>
        <w:gridCol w:w="1555"/>
        <w:gridCol w:w="35"/>
        <w:gridCol w:w="2539"/>
        <w:gridCol w:w="32"/>
        <w:gridCol w:w="1774"/>
        <w:gridCol w:w="50"/>
        <w:gridCol w:w="3031"/>
      </w:tblGrid>
      <w:tr w:rsidR="009002F0" w:rsidRPr="009002F0" w14:paraId="7859D205" w14:textId="77777777" w:rsidTr="009002F0">
        <w:trPr>
          <w:trHeight w:val="511"/>
        </w:trPr>
        <w:tc>
          <w:tcPr>
            <w:tcW w:w="881" w:type="pct"/>
            <w:gridSpan w:val="2"/>
            <w:tcBorders>
              <w:top w:val="single" w:sz="4" w:space="0" w:color="auto"/>
              <w:left w:val="single" w:sz="4" w:space="0" w:color="auto"/>
              <w:bottom w:val="single" w:sz="24" w:space="0" w:color="FFFFFF"/>
              <w:right w:val="single" w:sz="8" w:space="0" w:color="FFFFFF"/>
            </w:tcBorders>
            <w:shd w:val="clear" w:color="auto" w:fill="006068"/>
            <w:tcMar>
              <w:top w:w="72" w:type="dxa"/>
              <w:left w:w="144" w:type="dxa"/>
              <w:bottom w:w="72" w:type="dxa"/>
              <w:right w:w="144" w:type="dxa"/>
            </w:tcMar>
            <w:vAlign w:val="center"/>
            <w:hideMark/>
          </w:tcPr>
          <w:p w14:paraId="3131B22D" w14:textId="77777777" w:rsidR="009002F0" w:rsidRPr="009002F0" w:rsidRDefault="009002F0" w:rsidP="009002F0">
            <w:pPr>
              <w:widowControl/>
              <w:autoSpaceDE/>
              <w:autoSpaceDN/>
              <w:snapToGrid w:val="0"/>
              <w:jc w:val="center"/>
              <w:rPr>
                <w:rFonts w:ascii="Calibri" w:eastAsia="Calibri" w:hAnsi="Calibri" w:cs="Times New Roman"/>
                <w:bCs/>
                <w:color w:val="FFFFFF"/>
                <w:szCs w:val="20"/>
              </w:rPr>
            </w:pPr>
            <w:r w:rsidRPr="009002F0">
              <w:rPr>
                <w:rFonts w:ascii="Calibri" w:eastAsia="Calibri" w:hAnsi="Calibri" w:cs="Times New Roman"/>
                <w:b/>
                <w:bCs/>
                <w:color w:val="FFFFFF"/>
                <w:szCs w:val="20"/>
              </w:rPr>
              <w:t>Variable</w:t>
            </w:r>
          </w:p>
        </w:tc>
        <w:tc>
          <w:tcPr>
            <w:tcW w:w="1408" w:type="pct"/>
            <w:tcBorders>
              <w:top w:val="single" w:sz="4" w:space="0" w:color="auto"/>
              <w:left w:val="single" w:sz="8" w:space="0" w:color="FFFFFF"/>
              <w:bottom w:val="single" w:sz="24" w:space="0" w:color="FFFFFF"/>
              <w:right w:val="single" w:sz="8" w:space="0" w:color="FFFFFF"/>
            </w:tcBorders>
            <w:shd w:val="clear" w:color="auto" w:fill="006068"/>
            <w:tcMar>
              <w:top w:w="72" w:type="dxa"/>
              <w:left w:w="144" w:type="dxa"/>
              <w:bottom w:w="72" w:type="dxa"/>
              <w:right w:w="144" w:type="dxa"/>
            </w:tcMar>
            <w:vAlign w:val="center"/>
            <w:hideMark/>
          </w:tcPr>
          <w:p w14:paraId="5A8D4076" w14:textId="77777777" w:rsidR="009002F0" w:rsidRPr="009002F0" w:rsidRDefault="009002F0" w:rsidP="009002F0">
            <w:pPr>
              <w:widowControl/>
              <w:autoSpaceDE/>
              <w:autoSpaceDN/>
              <w:snapToGrid w:val="0"/>
              <w:jc w:val="center"/>
              <w:rPr>
                <w:rFonts w:ascii="Calibri" w:eastAsia="Calibri" w:hAnsi="Calibri" w:cs="Times New Roman"/>
                <w:bCs/>
                <w:color w:val="FFFFFF"/>
                <w:szCs w:val="20"/>
              </w:rPr>
            </w:pPr>
            <w:r w:rsidRPr="009002F0">
              <w:rPr>
                <w:rFonts w:ascii="Calibri" w:eastAsia="Calibri" w:hAnsi="Calibri" w:cs="Times New Roman"/>
                <w:b/>
                <w:bCs/>
                <w:color w:val="FFFFFF"/>
                <w:szCs w:val="20"/>
              </w:rPr>
              <w:t>Use</w:t>
            </w:r>
          </w:p>
        </w:tc>
        <w:tc>
          <w:tcPr>
            <w:tcW w:w="1002" w:type="pct"/>
            <w:gridSpan w:val="2"/>
            <w:tcBorders>
              <w:top w:val="single" w:sz="4" w:space="0" w:color="auto"/>
              <w:left w:val="single" w:sz="8" w:space="0" w:color="FFFFFF"/>
              <w:bottom w:val="single" w:sz="24" w:space="0" w:color="FFFFFF"/>
              <w:right w:val="single" w:sz="8" w:space="0" w:color="FFFFFF"/>
            </w:tcBorders>
            <w:shd w:val="clear" w:color="auto" w:fill="006068"/>
            <w:tcMar>
              <w:top w:w="72" w:type="dxa"/>
              <w:left w:w="144" w:type="dxa"/>
              <w:bottom w:w="72" w:type="dxa"/>
              <w:right w:w="144" w:type="dxa"/>
            </w:tcMar>
            <w:vAlign w:val="center"/>
            <w:hideMark/>
          </w:tcPr>
          <w:p w14:paraId="77EEE015" w14:textId="77777777" w:rsidR="009002F0" w:rsidRPr="009002F0" w:rsidRDefault="009002F0" w:rsidP="009002F0">
            <w:pPr>
              <w:widowControl/>
              <w:autoSpaceDE/>
              <w:autoSpaceDN/>
              <w:snapToGrid w:val="0"/>
              <w:jc w:val="center"/>
              <w:rPr>
                <w:rFonts w:ascii="Calibri" w:eastAsia="Calibri" w:hAnsi="Calibri" w:cs="Times New Roman"/>
                <w:bCs/>
                <w:color w:val="FFFFFF"/>
                <w:szCs w:val="20"/>
              </w:rPr>
            </w:pPr>
            <w:r w:rsidRPr="009002F0">
              <w:rPr>
                <w:rFonts w:ascii="Calibri" w:eastAsia="Calibri" w:hAnsi="Calibri" w:cs="Times New Roman"/>
                <w:b/>
                <w:bCs/>
                <w:color w:val="FFFFFF"/>
                <w:szCs w:val="20"/>
              </w:rPr>
              <w:t>Identifier for irregular</w:t>
            </w:r>
          </w:p>
        </w:tc>
        <w:tc>
          <w:tcPr>
            <w:tcW w:w="1709" w:type="pct"/>
            <w:gridSpan w:val="2"/>
            <w:tcBorders>
              <w:top w:val="single" w:sz="4" w:space="0" w:color="auto"/>
              <w:left w:val="single" w:sz="8" w:space="0" w:color="FFFFFF"/>
              <w:bottom w:val="single" w:sz="24" w:space="0" w:color="FFFFFF"/>
              <w:right w:val="single" w:sz="4" w:space="0" w:color="auto"/>
            </w:tcBorders>
            <w:shd w:val="clear" w:color="auto" w:fill="006068"/>
            <w:tcMar>
              <w:top w:w="72" w:type="dxa"/>
              <w:left w:w="144" w:type="dxa"/>
              <w:bottom w:w="72" w:type="dxa"/>
              <w:right w:w="144" w:type="dxa"/>
            </w:tcMar>
            <w:vAlign w:val="center"/>
            <w:hideMark/>
          </w:tcPr>
          <w:p w14:paraId="22177114" w14:textId="77777777" w:rsidR="009002F0" w:rsidRPr="009002F0" w:rsidRDefault="009002F0" w:rsidP="009002F0">
            <w:pPr>
              <w:widowControl/>
              <w:autoSpaceDE/>
              <w:autoSpaceDN/>
              <w:snapToGrid w:val="0"/>
              <w:jc w:val="center"/>
              <w:rPr>
                <w:rFonts w:ascii="Calibri" w:eastAsia="Calibri" w:hAnsi="Calibri" w:cs="Times New Roman"/>
                <w:bCs/>
                <w:color w:val="FFFFFF"/>
                <w:szCs w:val="20"/>
              </w:rPr>
            </w:pPr>
            <w:r w:rsidRPr="009002F0">
              <w:rPr>
                <w:rFonts w:ascii="Calibri" w:eastAsia="Calibri" w:hAnsi="Calibri" w:cs="Times New Roman"/>
                <w:b/>
                <w:bCs/>
                <w:color w:val="FFFFFF"/>
                <w:szCs w:val="20"/>
              </w:rPr>
              <w:t>Risks</w:t>
            </w:r>
          </w:p>
        </w:tc>
      </w:tr>
      <w:tr w:rsidR="009002F0" w:rsidRPr="009002F0" w14:paraId="17ACCA03" w14:textId="77777777" w:rsidTr="009002F0">
        <w:trPr>
          <w:trHeight w:val="1101"/>
        </w:trPr>
        <w:tc>
          <w:tcPr>
            <w:tcW w:w="881" w:type="pct"/>
            <w:gridSpan w:val="2"/>
            <w:tcBorders>
              <w:top w:val="single" w:sz="24" w:space="0" w:color="FFFFFF"/>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28DB0E24"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MSB outlet code</w:t>
            </w:r>
          </w:p>
        </w:tc>
        <w:tc>
          <w:tcPr>
            <w:tcW w:w="1408" w:type="pct"/>
            <w:tcBorders>
              <w:top w:val="single" w:sz="24"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6BA4C86"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Location of FW by state</w:t>
            </w:r>
          </w:p>
          <w:p w14:paraId="64169B87"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 </w:t>
            </w:r>
          </w:p>
        </w:tc>
        <w:tc>
          <w:tcPr>
            <w:tcW w:w="1002" w:type="pct"/>
            <w:gridSpan w:val="2"/>
            <w:tcBorders>
              <w:top w:val="single" w:sz="24"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25964C8" w14:textId="77777777" w:rsidR="009002F0" w:rsidRPr="009002F0" w:rsidRDefault="009002F0" w:rsidP="009002F0">
            <w:pPr>
              <w:widowControl/>
              <w:autoSpaceDE/>
              <w:autoSpaceDN/>
              <w:snapToGrid w:val="0"/>
              <w:jc w:val="center"/>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x</w:t>
            </w:r>
          </w:p>
        </w:tc>
        <w:tc>
          <w:tcPr>
            <w:tcW w:w="1709" w:type="pct"/>
            <w:gridSpan w:val="2"/>
            <w:tcBorders>
              <w:top w:val="single" w:sz="24" w:space="0" w:color="FFFFFF"/>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4A7C2539"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Over/underestimation by state. FW may visit KL and vicinity (i.e., crossing the state border of their job site) to wire money. </w:t>
            </w:r>
          </w:p>
        </w:tc>
      </w:tr>
      <w:tr w:rsidR="009002F0" w:rsidRPr="009002F0" w14:paraId="58D43805" w14:textId="77777777" w:rsidTr="009002F0">
        <w:trPr>
          <w:trHeight w:val="763"/>
        </w:trPr>
        <w:tc>
          <w:tcPr>
            <w:tcW w:w="881" w:type="pct"/>
            <w:gridSpan w:val="2"/>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5ACE8172"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Customer ID/ DOB/ nationality</w:t>
            </w:r>
          </w:p>
        </w:tc>
        <w:tc>
          <w:tcPr>
            <w:tcW w:w="140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F48E0A2"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Identify a FW. Limit those who are between 15-64</w:t>
            </w:r>
          </w:p>
        </w:tc>
        <w:tc>
          <w:tcPr>
            <w:tcW w:w="100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69DE881B" w14:textId="77777777" w:rsidR="009002F0" w:rsidRPr="009002F0" w:rsidRDefault="009002F0" w:rsidP="009002F0">
            <w:pPr>
              <w:widowControl/>
              <w:autoSpaceDE/>
              <w:autoSpaceDN/>
              <w:snapToGrid w:val="0"/>
              <w:jc w:val="center"/>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x</w:t>
            </w:r>
          </w:p>
        </w:tc>
        <w:tc>
          <w:tcPr>
            <w:tcW w:w="1709" w:type="pct"/>
            <w:gridSpan w:val="2"/>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19186B2C"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Possible to double count in case a worker uses a different ID every time. </w:t>
            </w:r>
          </w:p>
        </w:tc>
      </w:tr>
      <w:tr w:rsidR="009002F0" w:rsidRPr="009002F0" w14:paraId="6B773A4F" w14:textId="77777777" w:rsidTr="009002F0">
        <w:trPr>
          <w:trHeight w:val="575"/>
        </w:trPr>
        <w:tc>
          <w:tcPr>
            <w:tcW w:w="881" w:type="pct"/>
            <w:gridSpan w:val="2"/>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60760B21"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Occupation </w:t>
            </w:r>
          </w:p>
        </w:tc>
        <w:tc>
          <w:tcPr>
            <w:tcW w:w="140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2B95DFBC"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Occupation </w:t>
            </w:r>
          </w:p>
        </w:tc>
        <w:tc>
          <w:tcPr>
            <w:tcW w:w="100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2FB4F49B" w14:textId="77777777" w:rsidR="009002F0" w:rsidRPr="009002F0" w:rsidRDefault="009002F0" w:rsidP="009002F0">
            <w:pPr>
              <w:widowControl/>
              <w:autoSpaceDE/>
              <w:autoSpaceDN/>
              <w:snapToGrid w:val="0"/>
              <w:jc w:val="center"/>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x</w:t>
            </w:r>
          </w:p>
        </w:tc>
        <w:tc>
          <w:tcPr>
            <w:tcW w:w="1709" w:type="pct"/>
            <w:gridSpan w:val="2"/>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4C18B8D2"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Free text. Suggesting a drop-down. Currently not used. </w:t>
            </w:r>
          </w:p>
        </w:tc>
      </w:tr>
      <w:tr w:rsidR="009002F0" w:rsidRPr="009002F0" w14:paraId="7DED45C0" w14:textId="77777777" w:rsidTr="009002F0">
        <w:trPr>
          <w:trHeight w:val="250"/>
        </w:trPr>
        <w:tc>
          <w:tcPr>
            <w:tcW w:w="881" w:type="pct"/>
            <w:gridSpan w:val="2"/>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5804E9B9"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Customer type </w:t>
            </w:r>
          </w:p>
        </w:tc>
        <w:tc>
          <w:tcPr>
            <w:tcW w:w="140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F875651"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Identify a FW </w:t>
            </w:r>
          </w:p>
        </w:tc>
        <w:tc>
          <w:tcPr>
            <w:tcW w:w="100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160741C9" w14:textId="77777777" w:rsidR="009002F0" w:rsidRPr="009002F0" w:rsidRDefault="009002F0" w:rsidP="009002F0">
            <w:pPr>
              <w:widowControl/>
              <w:autoSpaceDE/>
              <w:autoSpaceDN/>
              <w:snapToGrid w:val="0"/>
              <w:jc w:val="center"/>
              <w:rPr>
                <w:rFonts w:ascii="Calibri" w:eastAsia="Calibri" w:hAnsi="Calibri" w:cs="Times New Roman"/>
                <w:bCs/>
                <w:color w:val="auto"/>
                <w:sz w:val="20"/>
                <w:szCs w:val="20"/>
              </w:rPr>
            </w:pPr>
          </w:p>
        </w:tc>
        <w:tc>
          <w:tcPr>
            <w:tcW w:w="1709" w:type="pct"/>
            <w:gridSpan w:val="2"/>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2F738620"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p>
        </w:tc>
      </w:tr>
      <w:tr w:rsidR="009002F0" w:rsidRPr="009002F0" w14:paraId="6F721A7F" w14:textId="77777777" w:rsidTr="009002F0">
        <w:trPr>
          <w:trHeight w:val="511"/>
        </w:trPr>
        <w:tc>
          <w:tcPr>
            <w:tcW w:w="881" w:type="pct"/>
            <w:gridSpan w:val="2"/>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1299C592"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Transaction type</w:t>
            </w:r>
          </w:p>
        </w:tc>
        <w:tc>
          <w:tcPr>
            <w:tcW w:w="140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03D3E64"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Identify a FW. Use only those to “send”</w:t>
            </w:r>
          </w:p>
        </w:tc>
        <w:tc>
          <w:tcPr>
            <w:tcW w:w="100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88F5FB1" w14:textId="77777777" w:rsidR="009002F0" w:rsidRPr="009002F0" w:rsidRDefault="009002F0" w:rsidP="009002F0">
            <w:pPr>
              <w:widowControl/>
              <w:autoSpaceDE/>
              <w:autoSpaceDN/>
              <w:snapToGrid w:val="0"/>
              <w:jc w:val="center"/>
              <w:rPr>
                <w:rFonts w:ascii="Calibri" w:eastAsia="Calibri" w:hAnsi="Calibri" w:cs="Times New Roman"/>
                <w:bCs/>
                <w:color w:val="auto"/>
                <w:sz w:val="20"/>
                <w:szCs w:val="20"/>
              </w:rPr>
            </w:pPr>
          </w:p>
        </w:tc>
        <w:tc>
          <w:tcPr>
            <w:tcW w:w="1709" w:type="pct"/>
            <w:gridSpan w:val="2"/>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6F56C936" w14:textId="77777777" w:rsidR="009002F0" w:rsidRPr="009002F0" w:rsidRDefault="009002F0" w:rsidP="009002F0">
            <w:pPr>
              <w:widowControl/>
              <w:autoSpaceDE/>
              <w:autoSpaceDN/>
              <w:snapToGrid w:val="0"/>
              <w:rPr>
                <w:rFonts w:ascii="Calibri" w:eastAsia="Calibri" w:hAnsi="Calibri" w:cs="Times New Roman"/>
                <w:bCs/>
                <w:color w:val="auto"/>
                <w:sz w:val="20"/>
                <w:szCs w:val="20"/>
              </w:rPr>
            </w:pPr>
          </w:p>
        </w:tc>
      </w:tr>
      <w:tr w:rsidR="009002F0" w:rsidRPr="009002F0" w14:paraId="7ED11185"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076F59F9"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Purpose of remittances</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5DB6538"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Limits to those to support families and pay debt.</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CC70549"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5A22A998"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Possible to underestimate. Suggest a drop-down option in line with the remittance literature. </w:t>
            </w:r>
          </w:p>
        </w:tc>
      </w:tr>
      <w:tr w:rsidR="009002F0" w:rsidRPr="009002F0" w14:paraId="7AF3A185"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359A0B56"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Source of fund</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1B1AAFF"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Limits it to those from earnings</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7F9E0C9"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58316B71"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Free-text. Suggest a drop-down option. </w:t>
            </w:r>
          </w:p>
        </w:tc>
      </w:tr>
      <w:tr w:rsidR="009002F0" w:rsidRPr="009002F0" w14:paraId="08D05622"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6F88527D"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Destination country </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BD18A42"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Match it with a FW’s nationality</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10B1E1C4"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x</w:t>
            </w: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132EE33D"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If not matching, possible to do the transaction on behalf of other FWs. </w:t>
            </w:r>
          </w:p>
        </w:tc>
      </w:tr>
      <w:tr w:rsidR="009002F0" w:rsidRPr="009002F0" w14:paraId="1DB098A1"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3B8507F4"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Beneficiary ID/ Relationship </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98EFEEB"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DD6710F"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x</w:t>
            </w: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26BC37AC"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If sending to multiple beneficiaries, possible to send those on behalf of other FWs. </w:t>
            </w:r>
          </w:p>
        </w:tc>
      </w:tr>
      <w:tr w:rsidR="009002F0" w:rsidRPr="009002F0" w14:paraId="02F54C37"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1ADC157C"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Purpose of remittances</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0830E3FB"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Limits to those to support families and pay debt.</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6A6D4EC"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5943392D"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Possible to underestimate. Suggest a drop-down option in line with the remittance literature. </w:t>
            </w:r>
          </w:p>
        </w:tc>
      </w:tr>
      <w:tr w:rsidR="009002F0" w:rsidRPr="009002F0" w14:paraId="77034117"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17799DCB"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Source of fund</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2FA736FD"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Limits it to those from earnings</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CF541E8"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27EE2B63"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Free-text. Suggest a drop-down option. </w:t>
            </w:r>
          </w:p>
        </w:tc>
      </w:tr>
      <w:tr w:rsidR="009002F0" w:rsidRPr="009002F0" w14:paraId="1981AE1E"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52E4FE2C"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Destination country </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5F7D0B3"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Identify a FW. Match it with a FW’s nationality</w:t>
            </w: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F0E4062"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x</w:t>
            </w: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60C8FC3E"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If not matching, possible to do the transaction on behalf of other FWs. </w:t>
            </w:r>
          </w:p>
        </w:tc>
      </w:tr>
      <w:tr w:rsidR="009002F0" w:rsidRPr="009002F0" w14:paraId="382AAFFC" w14:textId="77777777" w:rsidTr="009002F0">
        <w:trPr>
          <w:trHeight w:val="584"/>
        </w:trPr>
        <w:tc>
          <w:tcPr>
            <w:tcW w:w="862" w:type="pct"/>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hideMark/>
          </w:tcPr>
          <w:p w14:paraId="1F017557"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Beneficiary ID/ Relationship </w:t>
            </w:r>
          </w:p>
        </w:tc>
        <w:tc>
          <w:tcPr>
            <w:tcW w:w="1445" w:type="pct"/>
            <w:gridSpan w:val="3"/>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15FF462D"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p>
        </w:tc>
        <w:tc>
          <w:tcPr>
            <w:tcW w:w="1012" w:type="pct"/>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D33EF55" w14:textId="77777777" w:rsidR="009002F0" w:rsidRPr="009002F0" w:rsidRDefault="009002F0" w:rsidP="009002F0">
            <w:pPr>
              <w:widowControl/>
              <w:autoSpaceDE/>
              <w:autoSpaceDN/>
              <w:snapToGrid w:val="0"/>
              <w:jc w:val="center"/>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x</w:t>
            </w:r>
          </w:p>
        </w:tc>
        <w:tc>
          <w:tcPr>
            <w:tcW w:w="1681" w:type="pct"/>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hideMark/>
          </w:tcPr>
          <w:p w14:paraId="4C71788E" w14:textId="77777777" w:rsidR="009002F0" w:rsidRPr="009002F0" w:rsidRDefault="009002F0" w:rsidP="009002F0">
            <w:pPr>
              <w:widowControl/>
              <w:autoSpaceDE/>
              <w:autoSpaceDN/>
              <w:snapToGrid w:val="0"/>
              <w:rPr>
                <w:rFonts w:ascii="Calibri" w:eastAsia="Times New Roman" w:hAnsi="Calibri" w:cs="Calibri"/>
                <w:color w:val="auto"/>
                <w:sz w:val="20"/>
                <w:szCs w:val="20"/>
                <w:lang w:eastAsia="ko-KR"/>
              </w:rPr>
            </w:pPr>
            <w:r w:rsidRPr="009002F0">
              <w:rPr>
                <w:rFonts w:ascii="Calibri" w:eastAsia="Times New Roman" w:hAnsi="Calibri" w:cs="Calibri"/>
                <w:kern w:val="24"/>
                <w:sz w:val="20"/>
                <w:szCs w:val="20"/>
                <w:lang w:eastAsia="ko-KR"/>
              </w:rPr>
              <w:t xml:space="preserve">If sending to multiple beneficiaries, possible to send those on behalf of other FWs. </w:t>
            </w:r>
          </w:p>
        </w:tc>
      </w:tr>
    </w:tbl>
    <w:p w14:paraId="58AE2C90" w14:textId="77777777" w:rsidR="009002F0" w:rsidRPr="009002F0" w:rsidRDefault="009002F0" w:rsidP="009002F0">
      <w:pPr>
        <w:widowControl/>
        <w:autoSpaceDE/>
        <w:autoSpaceDN/>
        <w:adjustRightInd/>
        <w:spacing w:after="120" w:line="264" w:lineRule="auto"/>
        <w:rPr>
          <w:rFonts w:ascii="Andes" w:eastAsia="Malgun Gothic" w:hAnsi="Andes" w:cs="Times New Roman"/>
          <w:b/>
          <w:color w:val="002345"/>
          <w:sz w:val="32"/>
          <w:szCs w:val="32"/>
          <w:lang w:eastAsia="ko-KR"/>
        </w:rPr>
      </w:pPr>
      <w:r w:rsidRPr="009002F0">
        <w:rPr>
          <w:rFonts w:ascii="Calibri" w:eastAsia="Malgun Gothic" w:hAnsi="Calibri" w:cs="Times New Roman"/>
          <w:color w:val="auto"/>
          <w:sz w:val="20"/>
          <w:szCs w:val="20"/>
          <w:lang w:eastAsia="ko-KR"/>
        </w:rPr>
        <w:br w:type="page"/>
      </w:r>
    </w:p>
    <w:p w14:paraId="2CF07E3C" w14:textId="77777777" w:rsidR="009002F0" w:rsidRPr="009002F0" w:rsidRDefault="009002F0" w:rsidP="009002F0">
      <w:pPr>
        <w:keepNext/>
        <w:keepLines/>
        <w:widowControl/>
        <w:autoSpaceDE/>
        <w:autoSpaceDN/>
        <w:adjustRightInd/>
        <w:spacing w:before="320" w:after="360"/>
        <w:jc w:val="center"/>
        <w:outlineLvl w:val="0"/>
        <w:rPr>
          <w:rFonts w:ascii="Andes" w:eastAsia="Malgun Gothic" w:hAnsi="Andes" w:cs="Times New Roman"/>
          <w:b/>
          <w:color w:val="002345"/>
          <w:sz w:val="32"/>
          <w:szCs w:val="32"/>
          <w:lang w:eastAsia="ko-KR"/>
        </w:rPr>
      </w:pPr>
      <w:bookmarkStart w:id="131" w:name="_Toc4581543"/>
      <w:r w:rsidRPr="009002F0">
        <w:rPr>
          <w:rFonts w:ascii="Andes" w:eastAsia="Malgun Gothic" w:hAnsi="Andes" w:cs="Times New Roman"/>
          <w:b/>
          <w:color w:val="002345"/>
          <w:sz w:val="32"/>
          <w:szCs w:val="32"/>
          <w:lang w:eastAsia="ko-KR"/>
        </w:rPr>
        <w:lastRenderedPageBreak/>
        <w:t>Annex 3: Foreign worker levy by sector – equivalent to about one-month salaries (RM)</w:t>
      </w:r>
      <w:bookmarkEnd w:id="131"/>
      <w:r w:rsidRPr="009002F0">
        <w:rPr>
          <w:rFonts w:ascii="Andes" w:eastAsia="Malgun Gothic" w:hAnsi="Andes" w:cs="Times New Roman"/>
          <w:b/>
          <w:color w:val="002345"/>
          <w:sz w:val="32"/>
          <w:szCs w:val="32"/>
          <w:lang w:eastAsia="ko-KR"/>
        </w:rPr>
        <w:t xml:space="preserve"> </w:t>
      </w:r>
    </w:p>
    <w:tbl>
      <w:tblPr>
        <w:tblW w:w="7465" w:type="dxa"/>
        <w:jc w:val="center"/>
        <w:tblLook w:val="04A0" w:firstRow="1" w:lastRow="0" w:firstColumn="1" w:lastColumn="0" w:noHBand="0" w:noVBand="1"/>
      </w:tblPr>
      <w:tblGrid>
        <w:gridCol w:w="2605"/>
        <w:gridCol w:w="2340"/>
        <w:gridCol w:w="2520"/>
      </w:tblGrid>
      <w:tr w:rsidR="009002F0" w:rsidRPr="009002F0" w14:paraId="7C12206D" w14:textId="77777777" w:rsidTr="009002F0">
        <w:trPr>
          <w:trHeight w:val="60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006068"/>
            <w:vAlign w:val="center"/>
            <w:hideMark/>
          </w:tcPr>
          <w:p w14:paraId="2127892F" w14:textId="77777777" w:rsidR="009002F0" w:rsidRPr="009002F0" w:rsidRDefault="009002F0" w:rsidP="009002F0">
            <w:pPr>
              <w:widowControl/>
              <w:autoSpaceDE/>
              <w:autoSpaceDN/>
              <w:adjustRightInd/>
              <w:rPr>
                <w:rFonts w:ascii="Calibri" w:eastAsia="Times New Roman" w:hAnsi="Calibri" w:cs="Calibri"/>
                <w:b/>
                <w:bCs/>
                <w:color w:val="FFFFFF"/>
                <w:sz w:val="22"/>
                <w:szCs w:val="22"/>
                <w:lang w:eastAsia="ko-KR"/>
              </w:rPr>
            </w:pPr>
            <w:r w:rsidRPr="009002F0">
              <w:rPr>
                <w:rFonts w:ascii="Calibri" w:eastAsia="Times New Roman" w:hAnsi="Calibri" w:cs="Calibri"/>
                <w:b/>
                <w:bCs/>
                <w:color w:val="FFFFFF"/>
                <w:sz w:val="22"/>
                <w:szCs w:val="22"/>
                <w:lang w:eastAsia="ko-KR"/>
              </w:rPr>
              <w:t>SECTOR</w:t>
            </w:r>
          </w:p>
        </w:tc>
        <w:tc>
          <w:tcPr>
            <w:tcW w:w="2340" w:type="dxa"/>
            <w:tcBorders>
              <w:top w:val="single" w:sz="4" w:space="0" w:color="000000"/>
              <w:left w:val="nil"/>
              <w:bottom w:val="single" w:sz="4" w:space="0" w:color="000000"/>
              <w:right w:val="single" w:sz="4" w:space="0" w:color="000000"/>
            </w:tcBorders>
            <w:shd w:val="clear" w:color="auto" w:fill="006068"/>
            <w:vAlign w:val="center"/>
            <w:hideMark/>
          </w:tcPr>
          <w:p w14:paraId="04C68B32" w14:textId="77777777" w:rsidR="009002F0" w:rsidRPr="009002F0" w:rsidRDefault="009002F0" w:rsidP="009002F0">
            <w:pPr>
              <w:widowControl/>
              <w:autoSpaceDE/>
              <w:autoSpaceDN/>
              <w:adjustRightInd/>
              <w:jc w:val="center"/>
              <w:rPr>
                <w:rFonts w:ascii="Calibri" w:eastAsia="Times New Roman" w:hAnsi="Calibri" w:cs="Calibri"/>
                <w:b/>
                <w:bCs/>
                <w:color w:val="FFFFFF"/>
                <w:sz w:val="22"/>
                <w:szCs w:val="22"/>
                <w:lang w:eastAsia="ko-KR"/>
              </w:rPr>
            </w:pPr>
            <w:r w:rsidRPr="009002F0">
              <w:rPr>
                <w:rFonts w:ascii="Calibri" w:eastAsia="Times New Roman" w:hAnsi="Calibri" w:cs="Calibri"/>
                <w:b/>
                <w:bCs/>
                <w:color w:val="FFFFFF"/>
                <w:sz w:val="22"/>
                <w:szCs w:val="22"/>
                <w:lang w:eastAsia="ko-KR"/>
              </w:rPr>
              <w:t>Peninsular</w:t>
            </w:r>
          </w:p>
        </w:tc>
        <w:tc>
          <w:tcPr>
            <w:tcW w:w="2520" w:type="dxa"/>
            <w:tcBorders>
              <w:top w:val="single" w:sz="4" w:space="0" w:color="000000"/>
              <w:left w:val="nil"/>
              <w:bottom w:val="single" w:sz="4" w:space="0" w:color="000000"/>
              <w:right w:val="single" w:sz="4" w:space="0" w:color="000000"/>
            </w:tcBorders>
            <w:shd w:val="clear" w:color="auto" w:fill="006068"/>
            <w:vAlign w:val="center"/>
            <w:hideMark/>
          </w:tcPr>
          <w:p w14:paraId="4FD6BCB4" w14:textId="77777777" w:rsidR="009002F0" w:rsidRPr="009002F0" w:rsidRDefault="009002F0" w:rsidP="009002F0">
            <w:pPr>
              <w:widowControl/>
              <w:autoSpaceDE/>
              <w:autoSpaceDN/>
              <w:adjustRightInd/>
              <w:jc w:val="center"/>
              <w:rPr>
                <w:rFonts w:ascii="Calibri" w:eastAsia="Times New Roman" w:hAnsi="Calibri" w:cs="Calibri"/>
                <w:b/>
                <w:bCs/>
                <w:color w:val="FFFFFF"/>
                <w:sz w:val="22"/>
                <w:szCs w:val="22"/>
                <w:lang w:eastAsia="ko-KR"/>
              </w:rPr>
            </w:pPr>
            <w:r w:rsidRPr="009002F0">
              <w:rPr>
                <w:rFonts w:ascii="Calibri" w:eastAsia="Times New Roman" w:hAnsi="Calibri" w:cs="Calibri"/>
                <w:b/>
                <w:bCs/>
                <w:color w:val="FFFFFF"/>
                <w:sz w:val="22"/>
                <w:szCs w:val="22"/>
                <w:lang w:eastAsia="ko-KR"/>
              </w:rPr>
              <w:t>Sabah/ Sarawak</w:t>
            </w:r>
          </w:p>
        </w:tc>
      </w:tr>
      <w:tr w:rsidR="009002F0" w:rsidRPr="009002F0" w14:paraId="092AD4B4" w14:textId="77777777" w:rsidTr="009002F0">
        <w:trPr>
          <w:trHeight w:val="570"/>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5E72EA09"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Manufacturing</w:t>
            </w:r>
          </w:p>
        </w:tc>
        <w:tc>
          <w:tcPr>
            <w:tcW w:w="2340" w:type="dxa"/>
            <w:tcBorders>
              <w:top w:val="nil"/>
              <w:left w:val="nil"/>
              <w:bottom w:val="single" w:sz="4" w:space="0" w:color="000000"/>
              <w:right w:val="single" w:sz="4" w:space="0" w:color="000000"/>
            </w:tcBorders>
            <w:shd w:val="clear" w:color="auto" w:fill="auto"/>
            <w:vAlign w:val="center"/>
            <w:hideMark/>
          </w:tcPr>
          <w:p w14:paraId="79893F98"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1,850</w:t>
            </w:r>
          </w:p>
        </w:tc>
        <w:tc>
          <w:tcPr>
            <w:tcW w:w="2520" w:type="dxa"/>
            <w:tcBorders>
              <w:top w:val="nil"/>
              <w:left w:val="nil"/>
              <w:bottom w:val="single" w:sz="4" w:space="0" w:color="000000"/>
              <w:right w:val="single" w:sz="4" w:space="0" w:color="000000"/>
            </w:tcBorders>
            <w:shd w:val="clear" w:color="auto" w:fill="auto"/>
            <w:vAlign w:val="center"/>
            <w:hideMark/>
          </w:tcPr>
          <w:p w14:paraId="2159B2BE"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1,010</w:t>
            </w:r>
          </w:p>
        </w:tc>
      </w:tr>
      <w:tr w:rsidR="009002F0" w:rsidRPr="009002F0" w14:paraId="4986BC57" w14:textId="77777777" w:rsidTr="009002F0">
        <w:trPr>
          <w:trHeight w:val="570"/>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4B2EC146"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Construction</w:t>
            </w:r>
          </w:p>
        </w:tc>
        <w:tc>
          <w:tcPr>
            <w:tcW w:w="2340" w:type="dxa"/>
            <w:tcBorders>
              <w:top w:val="nil"/>
              <w:left w:val="nil"/>
              <w:bottom w:val="single" w:sz="4" w:space="0" w:color="000000"/>
              <w:right w:val="single" w:sz="4" w:space="0" w:color="000000"/>
            </w:tcBorders>
            <w:shd w:val="clear" w:color="auto" w:fill="auto"/>
            <w:vAlign w:val="center"/>
            <w:hideMark/>
          </w:tcPr>
          <w:p w14:paraId="5BB989FF"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1,850</w:t>
            </w:r>
          </w:p>
        </w:tc>
        <w:tc>
          <w:tcPr>
            <w:tcW w:w="2520" w:type="dxa"/>
            <w:tcBorders>
              <w:top w:val="nil"/>
              <w:left w:val="nil"/>
              <w:bottom w:val="single" w:sz="4" w:space="0" w:color="000000"/>
              <w:right w:val="single" w:sz="4" w:space="0" w:color="000000"/>
            </w:tcBorders>
            <w:shd w:val="clear" w:color="auto" w:fill="auto"/>
            <w:vAlign w:val="center"/>
            <w:hideMark/>
          </w:tcPr>
          <w:p w14:paraId="77EFE73B"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1,010</w:t>
            </w:r>
          </w:p>
        </w:tc>
      </w:tr>
      <w:tr w:rsidR="009002F0" w:rsidRPr="009002F0" w14:paraId="240E6FFB" w14:textId="77777777" w:rsidTr="009002F0">
        <w:trPr>
          <w:trHeight w:val="570"/>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50F443D3"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Plantation</w:t>
            </w:r>
          </w:p>
        </w:tc>
        <w:tc>
          <w:tcPr>
            <w:tcW w:w="2340" w:type="dxa"/>
            <w:tcBorders>
              <w:top w:val="nil"/>
              <w:left w:val="nil"/>
              <w:bottom w:val="single" w:sz="4" w:space="0" w:color="000000"/>
              <w:right w:val="single" w:sz="4" w:space="0" w:color="000000"/>
            </w:tcBorders>
            <w:shd w:val="clear" w:color="auto" w:fill="auto"/>
            <w:vAlign w:val="center"/>
            <w:hideMark/>
          </w:tcPr>
          <w:p w14:paraId="45DAD6E9"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640</w:t>
            </w:r>
          </w:p>
        </w:tc>
        <w:tc>
          <w:tcPr>
            <w:tcW w:w="2520" w:type="dxa"/>
            <w:tcBorders>
              <w:top w:val="nil"/>
              <w:left w:val="nil"/>
              <w:bottom w:val="single" w:sz="4" w:space="0" w:color="000000"/>
              <w:right w:val="single" w:sz="4" w:space="0" w:color="000000"/>
            </w:tcBorders>
            <w:shd w:val="clear" w:color="auto" w:fill="auto"/>
            <w:vAlign w:val="center"/>
            <w:hideMark/>
          </w:tcPr>
          <w:p w14:paraId="777379A4"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590</w:t>
            </w:r>
          </w:p>
        </w:tc>
      </w:tr>
      <w:tr w:rsidR="009002F0" w:rsidRPr="009002F0" w14:paraId="1443FAD8" w14:textId="77777777" w:rsidTr="009002F0">
        <w:trPr>
          <w:trHeight w:val="570"/>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58EABD22"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Agriculture</w:t>
            </w:r>
          </w:p>
        </w:tc>
        <w:tc>
          <w:tcPr>
            <w:tcW w:w="2340" w:type="dxa"/>
            <w:tcBorders>
              <w:top w:val="nil"/>
              <w:left w:val="nil"/>
              <w:bottom w:val="single" w:sz="4" w:space="0" w:color="000000"/>
              <w:right w:val="single" w:sz="4" w:space="0" w:color="000000"/>
            </w:tcBorders>
            <w:shd w:val="clear" w:color="auto" w:fill="auto"/>
            <w:vAlign w:val="center"/>
            <w:hideMark/>
          </w:tcPr>
          <w:p w14:paraId="4066B019"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640</w:t>
            </w:r>
          </w:p>
        </w:tc>
        <w:tc>
          <w:tcPr>
            <w:tcW w:w="2520" w:type="dxa"/>
            <w:tcBorders>
              <w:top w:val="nil"/>
              <w:left w:val="nil"/>
              <w:bottom w:val="single" w:sz="4" w:space="0" w:color="000000"/>
              <w:right w:val="single" w:sz="4" w:space="0" w:color="000000"/>
            </w:tcBorders>
            <w:shd w:val="clear" w:color="auto" w:fill="auto"/>
            <w:vAlign w:val="center"/>
            <w:hideMark/>
          </w:tcPr>
          <w:p w14:paraId="3E7E7464"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410</w:t>
            </w:r>
          </w:p>
        </w:tc>
      </w:tr>
      <w:tr w:rsidR="009002F0" w:rsidRPr="009002F0" w14:paraId="24026B20" w14:textId="77777777" w:rsidTr="009002F0">
        <w:trPr>
          <w:trHeight w:val="570"/>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0EFAF422"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Services</w:t>
            </w:r>
          </w:p>
        </w:tc>
        <w:tc>
          <w:tcPr>
            <w:tcW w:w="2340" w:type="dxa"/>
            <w:tcBorders>
              <w:top w:val="nil"/>
              <w:left w:val="nil"/>
              <w:bottom w:val="single" w:sz="4" w:space="0" w:color="000000"/>
              <w:right w:val="single" w:sz="4" w:space="0" w:color="000000"/>
            </w:tcBorders>
            <w:shd w:val="clear" w:color="auto" w:fill="auto"/>
            <w:vAlign w:val="center"/>
            <w:hideMark/>
          </w:tcPr>
          <w:p w14:paraId="4C7470A7"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1,850</w:t>
            </w:r>
          </w:p>
        </w:tc>
        <w:tc>
          <w:tcPr>
            <w:tcW w:w="2520" w:type="dxa"/>
            <w:tcBorders>
              <w:top w:val="nil"/>
              <w:left w:val="nil"/>
              <w:bottom w:val="single" w:sz="4" w:space="0" w:color="000000"/>
              <w:right w:val="single" w:sz="4" w:space="0" w:color="000000"/>
            </w:tcBorders>
            <w:shd w:val="clear" w:color="auto" w:fill="auto"/>
            <w:vAlign w:val="center"/>
            <w:hideMark/>
          </w:tcPr>
          <w:p w14:paraId="2A128844"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1,490</w:t>
            </w:r>
          </w:p>
        </w:tc>
      </w:tr>
      <w:tr w:rsidR="009002F0" w:rsidRPr="009002F0" w14:paraId="111675BA" w14:textId="77777777" w:rsidTr="009002F0">
        <w:trPr>
          <w:trHeight w:val="855"/>
          <w:jc w:val="center"/>
        </w:trPr>
        <w:tc>
          <w:tcPr>
            <w:tcW w:w="2605" w:type="dxa"/>
            <w:tcBorders>
              <w:top w:val="nil"/>
              <w:left w:val="single" w:sz="4" w:space="0" w:color="000000"/>
              <w:bottom w:val="single" w:sz="4" w:space="0" w:color="000000"/>
              <w:right w:val="single" w:sz="4" w:space="0" w:color="000000"/>
            </w:tcBorders>
            <w:shd w:val="clear" w:color="auto" w:fill="006068"/>
            <w:vAlign w:val="center"/>
            <w:hideMark/>
          </w:tcPr>
          <w:p w14:paraId="0BD47CFA" w14:textId="77777777" w:rsidR="009002F0" w:rsidRPr="009002F0" w:rsidRDefault="009002F0" w:rsidP="009002F0">
            <w:pPr>
              <w:widowControl/>
              <w:autoSpaceDE/>
              <w:autoSpaceDN/>
              <w:adjustRightInd/>
              <w:rPr>
                <w:rFonts w:ascii="Calibri" w:eastAsia="Times New Roman" w:hAnsi="Calibri" w:cs="Calibri"/>
                <w:b/>
                <w:color w:val="FFFFFF"/>
                <w:sz w:val="22"/>
                <w:szCs w:val="22"/>
                <w:lang w:eastAsia="ko-KR"/>
              </w:rPr>
            </w:pPr>
            <w:r w:rsidRPr="009002F0">
              <w:rPr>
                <w:rFonts w:ascii="Calibri" w:eastAsia="Times New Roman" w:hAnsi="Calibri" w:cs="Calibri"/>
                <w:b/>
                <w:color w:val="FFFFFF"/>
                <w:sz w:val="22"/>
                <w:szCs w:val="22"/>
                <w:lang w:eastAsia="ko-KR"/>
              </w:rPr>
              <w:t>Services (island resort)</w:t>
            </w:r>
          </w:p>
        </w:tc>
        <w:tc>
          <w:tcPr>
            <w:tcW w:w="2340" w:type="dxa"/>
            <w:tcBorders>
              <w:top w:val="nil"/>
              <w:left w:val="nil"/>
              <w:bottom w:val="single" w:sz="4" w:space="0" w:color="000000"/>
              <w:right w:val="single" w:sz="4" w:space="0" w:color="000000"/>
            </w:tcBorders>
            <w:shd w:val="clear" w:color="auto" w:fill="auto"/>
            <w:vAlign w:val="center"/>
            <w:hideMark/>
          </w:tcPr>
          <w:p w14:paraId="71CB27D5"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1,850</w:t>
            </w:r>
          </w:p>
        </w:tc>
        <w:tc>
          <w:tcPr>
            <w:tcW w:w="2520" w:type="dxa"/>
            <w:tcBorders>
              <w:top w:val="nil"/>
              <w:left w:val="nil"/>
              <w:bottom w:val="single" w:sz="4" w:space="0" w:color="000000"/>
              <w:right w:val="single" w:sz="4" w:space="0" w:color="000000"/>
            </w:tcBorders>
            <w:shd w:val="clear" w:color="auto" w:fill="auto"/>
            <w:vAlign w:val="center"/>
            <w:hideMark/>
          </w:tcPr>
          <w:p w14:paraId="19C40C3E" w14:textId="77777777" w:rsidR="009002F0" w:rsidRPr="009002F0" w:rsidRDefault="009002F0" w:rsidP="009002F0">
            <w:pPr>
              <w:widowControl/>
              <w:autoSpaceDE/>
              <w:autoSpaceDN/>
              <w:adjustRightInd/>
              <w:jc w:val="center"/>
              <w:rPr>
                <w:rFonts w:ascii="Calibri" w:eastAsia="Times New Roman" w:hAnsi="Calibri" w:cs="Calibri"/>
                <w:sz w:val="22"/>
                <w:szCs w:val="22"/>
                <w:lang w:eastAsia="ko-KR"/>
              </w:rPr>
            </w:pPr>
            <w:r w:rsidRPr="009002F0">
              <w:rPr>
                <w:rFonts w:ascii="Calibri" w:eastAsia="Times New Roman" w:hAnsi="Calibri" w:cs="Calibri"/>
                <w:sz w:val="22"/>
                <w:szCs w:val="22"/>
                <w:lang w:eastAsia="ko-KR"/>
              </w:rPr>
              <w:t>1,010</w:t>
            </w:r>
          </w:p>
        </w:tc>
      </w:tr>
    </w:tbl>
    <w:p w14:paraId="25AF13D3"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r w:rsidRPr="009002F0">
        <w:rPr>
          <w:rFonts w:ascii="Calibri" w:eastAsia="Calibri" w:hAnsi="Calibri" w:cs="Times New Roman"/>
          <w:bCs/>
          <w:color w:val="auto"/>
          <w:sz w:val="20"/>
          <w:szCs w:val="20"/>
        </w:rPr>
        <w:t xml:space="preserve">                    Source: Immigration Department. </w:t>
      </w:r>
    </w:p>
    <w:p w14:paraId="4898426B"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bookmarkEnd w:id="78"/>
    <w:p w14:paraId="1438E8A0" w14:textId="77777777" w:rsidR="009002F0" w:rsidRPr="009002F0" w:rsidRDefault="009002F0" w:rsidP="009002F0">
      <w:pPr>
        <w:widowControl/>
        <w:autoSpaceDE/>
        <w:autoSpaceDN/>
        <w:adjustRightInd/>
        <w:spacing w:after="120" w:line="256" w:lineRule="auto"/>
        <w:rPr>
          <w:rFonts w:ascii="Calibri" w:eastAsia="Calibri" w:hAnsi="Calibri" w:cs="Times New Roman"/>
          <w:bCs/>
          <w:color w:val="auto"/>
          <w:sz w:val="20"/>
          <w:szCs w:val="20"/>
        </w:rPr>
      </w:pPr>
    </w:p>
    <w:bookmarkEnd w:id="2"/>
    <w:p w14:paraId="66410F39" w14:textId="77777777" w:rsidR="009002F0" w:rsidRPr="009002F0" w:rsidRDefault="009002F0" w:rsidP="009002F0">
      <w:pPr>
        <w:widowControl/>
        <w:autoSpaceDE/>
        <w:autoSpaceDN/>
        <w:adjustRightInd/>
        <w:jc w:val="both"/>
        <w:rPr>
          <w:rFonts w:ascii="Calibri" w:eastAsia="Calibri" w:hAnsi="Calibri" w:cs="Times New Roman"/>
          <w:color w:val="auto"/>
        </w:rPr>
      </w:pPr>
    </w:p>
    <w:bookmarkEnd w:id="1"/>
    <w:p w14:paraId="5E20EFF9" w14:textId="77777777" w:rsidR="00C74666" w:rsidRPr="009002F0" w:rsidRDefault="00C74666" w:rsidP="009002F0">
      <w:pPr>
        <w:ind w:firstLine="720"/>
        <w:rPr>
          <w:sz w:val="36"/>
          <w:szCs w:val="36"/>
        </w:rPr>
      </w:pPr>
    </w:p>
    <w:sectPr w:rsidR="00C74666" w:rsidRPr="009002F0" w:rsidSect="000837CD">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92DB0" w14:textId="77777777" w:rsidR="00960052" w:rsidRDefault="00960052">
      <w:r>
        <w:separator/>
      </w:r>
    </w:p>
  </w:endnote>
  <w:endnote w:type="continuationSeparator" w:id="0">
    <w:p w14:paraId="12392DB2" w14:textId="77777777" w:rsidR="00960052" w:rsidRDefault="0096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WAdobeF">
    <w:panose1 w:val="00000000000000000000"/>
    <w:charset w:val="00"/>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42"/>
    </w:tblGrid>
    <w:tr w:rsidR="00960052" w14:paraId="12392DAB" w14:textId="77777777">
      <w:tc>
        <w:tcPr>
          <w:tcW w:w="11042" w:type="dxa"/>
          <w:tcBorders>
            <w:top w:val="nil"/>
            <w:left w:val="nil"/>
            <w:bottom w:val="nil"/>
            <w:right w:val="nil"/>
          </w:tcBorders>
          <w:shd w:val="clear" w:color="auto" w:fill="FFFFFF"/>
          <w:vAlign w:val="bottom"/>
        </w:tcPr>
        <w:p w14:paraId="12392DAA" w14:textId="77777777" w:rsidR="00960052" w:rsidRDefault="00960052">
          <w:pPr>
            <w:spacing w:line="320" w:lineRule="atLeast"/>
            <w:rPr>
              <w:sz w:val="20"/>
              <w:szCs w:val="20"/>
            </w:rPr>
          </w:pPr>
          <w:r>
            <w:rPr>
              <w:sz w:val="20"/>
              <w:szCs w:val="20"/>
            </w:rPr>
            <w:t>Document of the World Bank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355482"/>
      <w:docPartObj>
        <w:docPartGallery w:val="Page Numbers (Bottom of Page)"/>
        <w:docPartUnique/>
      </w:docPartObj>
    </w:sdtPr>
    <w:sdtEndPr>
      <w:rPr>
        <w:noProof/>
      </w:rPr>
    </w:sdtEndPr>
    <w:sdtContent>
      <w:p w14:paraId="66EDF764" w14:textId="77777777" w:rsidR="00960052" w:rsidRDefault="009600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389596" w14:textId="77777777" w:rsidR="00960052" w:rsidRDefault="00960052">
    <w:pPr>
      <w:pStyle w:val="Footer"/>
    </w:pPr>
    <w:r>
      <w:rPr>
        <w:noProof/>
        <w:lang w:eastAsia="zh-CN"/>
      </w:rPr>
      <w:drawing>
        <wp:anchor distT="152400" distB="152400" distL="152400" distR="152400" simplePos="0" relativeHeight="251659264" behindDoc="1" locked="0" layoutInCell="1" allowOverlap="1" wp14:anchorId="37BAAE2F" wp14:editId="0FB92568">
          <wp:simplePos x="0" y="0"/>
          <wp:positionH relativeFrom="page">
            <wp:posOffset>6076666</wp:posOffset>
          </wp:positionH>
          <wp:positionV relativeFrom="page">
            <wp:posOffset>10117588</wp:posOffset>
          </wp:positionV>
          <wp:extent cx="1333500" cy="260103"/>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1">
                    <a:extLst/>
                  </a:blip>
                  <a:stretch>
                    <a:fillRect/>
                  </a:stretch>
                </pic:blipFill>
                <pic:spPr>
                  <a:xfrm>
                    <a:off x="0" y="0"/>
                    <a:ext cx="1333500" cy="260103"/>
                  </a:xfrm>
                  <a:prstGeom prst="rect">
                    <a:avLst/>
                  </a:prstGeom>
                  <a:ln w="12700" cap="flat">
                    <a:noFill/>
                    <a:miter lim="400000"/>
                  </a:ln>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92DAC" w14:textId="77777777" w:rsidR="00960052" w:rsidRDefault="00960052">
      <w:r>
        <w:separator/>
      </w:r>
    </w:p>
  </w:footnote>
  <w:footnote w:type="continuationSeparator" w:id="0">
    <w:p w14:paraId="12392DAE" w14:textId="77777777" w:rsidR="00960052" w:rsidRDefault="00960052">
      <w:r>
        <w:continuationSeparator/>
      </w:r>
    </w:p>
  </w:footnote>
  <w:footnote w:id="1">
    <w:p w14:paraId="6E510978" w14:textId="77777777" w:rsidR="00960052" w:rsidRDefault="00960052" w:rsidP="009002F0">
      <w:pPr>
        <w:pStyle w:val="FootnoteText"/>
        <w:jc w:val="both"/>
      </w:pPr>
      <w:r>
        <w:rPr>
          <w:rStyle w:val="FootnoteReference"/>
        </w:rPr>
        <w:footnoteRef/>
      </w:r>
      <w:r>
        <w:t xml:space="preserve"> The World Bank. We thank Firas Raad, Salman Zaidi, </w:t>
      </w:r>
      <w:proofErr w:type="spellStart"/>
      <w:r>
        <w:t>Ça</w:t>
      </w:r>
      <w:r w:rsidRPr="009002F0">
        <w:rPr>
          <w:rFonts w:cs="Calibri"/>
        </w:rPr>
        <w:t>ğ</w:t>
      </w:r>
      <w:r>
        <w:t>lar</w:t>
      </w:r>
      <w:proofErr w:type="spellEnd"/>
      <w:r>
        <w:t xml:space="preserve"> </w:t>
      </w:r>
      <w:proofErr w:type="spellStart"/>
      <w:r>
        <w:t>Özden</w:t>
      </w:r>
      <w:proofErr w:type="spellEnd"/>
      <w:r>
        <w:t xml:space="preserve">, Achim Schmillen and participants at the presentation of this study’s findings on 31 January 2019 at Bank Negara Malaysia for their guidance, detailed comments and constructive suggestions. </w:t>
      </w:r>
    </w:p>
  </w:footnote>
  <w:footnote w:id="2">
    <w:p w14:paraId="35E52DB1" w14:textId="77777777" w:rsidR="00960052" w:rsidRPr="000D4AEF" w:rsidRDefault="00960052" w:rsidP="009002F0">
      <w:pPr>
        <w:pStyle w:val="FootnoteText"/>
        <w:jc w:val="both"/>
      </w:pPr>
      <w:r>
        <w:rPr>
          <w:rStyle w:val="FootnoteReference"/>
        </w:rPr>
        <w:footnoteRef/>
      </w:r>
      <w:r>
        <w:t xml:space="preserve"> </w:t>
      </w:r>
      <w:r w:rsidRPr="009002F0">
        <w:rPr>
          <w:rFonts w:eastAsia="Calibri" w:cs="Times New Roman"/>
          <w:lang w:eastAsia="en-US"/>
        </w:rPr>
        <w:t xml:space="preserve">Based on the National Employment Returns 2016 survey, the median wages of mid-skilled foreign workers were generally lower than locals and the over-concentration of foreign workers could further widen these wage differentials (see </w:t>
      </w:r>
      <w:r w:rsidRPr="000D4AEF">
        <w:rPr>
          <w:rFonts w:cs="Times New Roman"/>
        </w:rPr>
        <w:t>Ang, J.W., Murugasu, A. &amp; Chai, Y.W. 2018).</w:t>
      </w:r>
    </w:p>
  </w:footnote>
  <w:footnote w:id="3">
    <w:p w14:paraId="3416A4C3" w14:textId="77777777" w:rsidR="00960052" w:rsidRPr="000D4AEF" w:rsidRDefault="00960052" w:rsidP="009002F0">
      <w:pPr>
        <w:pStyle w:val="FootnoteText"/>
        <w:jc w:val="both"/>
      </w:pPr>
      <w:r w:rsidRPr="000D4AEF">
        <w:rPr>
          <w:rStyle w:val="FootnoteReference"/>
        </w:rPr>
        <w:footnoteRef/>
      </w:r>
      <w:r w:rsidRPr="000D4AEF">
        <w:t xml:space="preserve"> </w:t>
      </w:r>
      <w:proofErr w:type="spellStart"/>
      <w:r>
        <w:rPr>
          <w:rFonts w:cs="Times New Roman"/>
        </w:rPr>
        <w:t>Ö</w:t>
      </w:r>
      <w:r w:rsidRPr="000D4AEF">
        <w:rPr>
          <w:rFonts w:cs="Times New Roman"/>
        </w:rPr>
        <w:t>zden</w:t>
      </w:r>
      <w:proofErr w:type="spellEnd"/>
      <w:r w:rsidRPr="000D4AEF">
        <w:rPr>
          <w:rFonts w:cs="Times New Roman"/>
        </w:rPr>
        <w:t xml:space="preserve"> and Wagner (2014) report</w:t>
      </w:r>
      <w:r>
        <w:rPr>
          <w:rFonts w:cs="Times New Roman"/>
        </w:rPr>
        <w:t>ed</w:t>
      </w:r>
      <w:r w:rsidRPr="000D4AEF">
        <w:rPr>
          <w:rFonts w:cs="Times New Roman"/>
        </w:rPr>
        <w:t xml:space="preserve"> that a 10 percent increase in foreign workers results in a 0.71 percent wage reduction of Malaysians working in less skilled occupations. In a similar vein, </w:t>
      </w:r>
      <w:proofErr w:type="spellStart"/>
      <w:r w:rsidRPr="000D4AEF">
        <w:rPr>
          <w:rFonts w:cs="Times New Roman"/>
        </w:rPr>
        <w:t>Athukorala</w:t>
      </w:r>
      <w:proofErr w:type="spellEnd"/>
      <w:r w:rsidRPr="000D4AEF">
        <w:rPr>
          <w:rFonts w:cs="Times New Roman"/>
        </w:rPr>
        <w:t xml:space="preserve"> and </w:t>
      </w:r>
      <w:proofErr w:type="spellStart"/>
      <w:r w:rsidRPr="000D4AEF">
        <w:rPr>
          <w:rFonts w:cs="Times New Roman"/>
        </w:rPr>
        <w:t>Devadson</w:t>
      </w:r>
      <w:proofErr w:type="spellEnd"/>
      <w:r w:rsidRPr="000D4AEF">
        <w:rPr>
          <w:rFonts w:cs="Times New Roman"/>
        </w:rPr>
        <w:t xml:space="preserve"> (2012) showed that manufacturing wages were negatively impacted when foreign worker dependency increases; a 10 percent increase in foreign worker dependency reduces real wages by 1.3 percent.</w:t>
      </w:r>
    </w:p>
  </w:footnote>
  <w:footnote w:id="4">
    <w:p w14:paraId="63BB8EED" w14:textId="77777777" w:rsidR="00960052" w:rsidRPr="000D4AEF" w:rsidRDefault="00960052" w:rsidP="009002F0">
      <w:pPr>
        <w:pStyle w:val="FootnoteText"/>
        <w:jc w:val="both"/>
        <w:rPr>
          <w:rFonts w:cs="Times New Roman"/>
        </w:rPr>
      </w:pPr>
      <w:r w:rsidRPr="000D4AEF">
        <w:rPr>
          <w:rStyle w:val="FootnoteReference"/>
          <w:rFonts w:cs="Times New Roman"/>
        </w:rPr>
        <w:footnoteRef/>
      </w:r>
      <w:r w:rsidRPr="000D4AEF">
        <w:rPr>
          <w:rFonts w:cs="Times New Roman"/>
        </w:rPr>
        <w:t xml:space="preserve"> In 2015, Deputy Home Minister, Datuk Wan </w:t>
      </w:r>
      <w:proofErr w:type="spellStart"/>
      <w:r w:rsidRPr="000D4AEF">
        <w:rPr>
          <w:rFonts w:cs="Times New Roman"/>
        </w:rPr>
        <w:t>Junaidi</w:t>
      </w:r>
      <w:proofErr w:type="spellEnd"/>
      <w:r w:rsidRPr="000D4AEF">
        <w:rPr>
          <w:rFonts w:cs="Times New Roman"/>
        </w:rPr>
        <w:t xml:space="preserve"> </w:t>
      </w:r>
      <w:proofErr w:type="spellStart"/>
      <w:r w:rsidRPr="000D4AEF">
        <w:rPr>
          <w:rFonts w:cs="Times New Roman"/>
        </w:rPr>
        <w:t>Tuanku</w:t>
      </w:r>
      <w:proofErr w:type="spellEnd"/>
      <w:r w:rsidRPr="000D4AEF">
        <w:rPr>
          <w:rFonts w:cs="Times New Roman"/>
        </w:rPr>
        <w:t xml:space="preserve"> Jaafar, revealed that up to RM29 million was spent on </w:t>
      </w:r>
      <w:r>
        <w:rPr>
          <w:rFonts w:cs="Times New Roman"/>
        </w:rPr>
        <w:t>“</w:t>
      </w:r>
      <w:r w:rsidRPr="000D4AEF">
        <w:rPr>
          <w:rFonts w:cs="Times New Roman"/>
        </w:rPr>
        <w:t>illegal immigrants</w:t>
      </w:r>
      <w:r>
        <w:rPr>
          <w:rFonts w:cs="Times New Roman"/>
        </w:rPr>
        <w:t>”</w:t>
      </w:r>
      <w:r w:rsidRPr="000D4AEF">
        <w:rPr>
          <w:rFonts w:cs="Times New Roman"/>
        </w:rPr>
        <w:t xml:space="preserve"> in terms of the cost of meals in detention </w:t>
      </w:r>
      <w:proofErr w:type="spellStart"/>
      <w:r w:rsidRPr="000D4AEF">
        <w:rPr>
          <w:rFonts w:cs="Times New Roman"/>
        </w:rPr>
        <w:t>centres</w:t>
      </w:r>
      <w:proofErr w:type="spellEnd"/>
      <w:r w:rsidRPr="000D4AEF">
        <w:rPr>
          <w:rFonts w:cs="Times New Roman"/>
        </w:rPr>
        <w:t xml:space="preserve"> as well as cost of raids, investigation and repatriation.</w:t>
      </w:r>
    </w:p>
  </w:footnote>
  <w:footnote w:id="5">
    <w:p w14:paraId="2D66FBE1" w14:textId="77777777" w:rsidR="00960052" w:rsidRDefault="00960052" w:rsidP="009002F0">
      <w:pPr>
        <w:pStyle w:val="FootnoteText"/>
        <w:jc w:val="both"/>
      </w:pPr>
      <w:r>
        <w:rPr>
          <w:rStyle w:val="FootnoteReference"/>
        </w:rPr>
        <w:footnoteRef/>
      </w:r>
      <w:r>
        <w:t xml:space="preserve"> The name 6P is shorthand for </w:t>
      </w:r>
      <w:proofErr w:type="spellStart"/>
      <w:r>
        <w:t>p</w:t>
      </w:r>
      <w:r w:rsidRPr="004D2536">
        <w:t>endaftaran</w:t>
      </w:r>
      <w:proofErr w:type="spellEnd"/>
      <w:r w:rsidRPr="004D2536">
        <w:t xml:space="preserve"> (registration), </w:t>
      </w:r>
      <w:proofErr w:type="spellStart"/>
      <w:r>
        <w:t>p</w:t>
      </w:r>
      <w:r w:rsidRPr="004D2536">
        <w:t>emutihan</w:t>
      </w:r>
      <w:proofErr w:type="spellEnd"/>
      <w:r w:rsidRPr="004D2536">
        <w:t xml:space="preserve"> (</w:t>
      </w:r>
      <w:proofErr w:type="spellStart"/>
      <w:r w:rsidRPr="004D2536">
        <w:t>legalisation</w:t>
      </w:r>
      <w:proofErr w:type="spellEnd"/>
      <w:r w:rsidRPr="004D2536">
        <w:t xml:space="preserve">), </w:t>
      </w:r>
      <w:proofErr w:type="spellStart"/>
      <w:r w:rsidRPr="004D2536">
        <w:t>pengampunan</w:t>
      </w:r>
      <w:proofErr w:type="spellEnd"/>
      <w:r w:rsidRPr="004D2536">
        <w:t xml:space="preserve"> (amnesty), </w:t>
      </w:r>
      <w:proofErr w:type="spellStart"/>
      <w:r w:rsidRPr="004D2536">
        <w:t>pemantauan</w:t>
      </w:r>
      <w:proofErr w:type="spellEnd"/>
      <w:r w:rsidRPr="004D2536">
        <w:t xml:space="preserve"> (supervision), </w:t>
      </w:r>
      <w:proofErr w:type="spellStart"/>
      <w:r w:rsidRPr="004D2536">
        <w:t>penguatkuasaan</w:t>
      </w:r>
      <w:proofErr w:type="spellEnd"/>
      <w:r w:rsidRPr="004D2536">
        <w:t xml:space="preserve"> (enforcement), and </w:t>
      </w:r>
      <w:proofErr w:type="spellStart"/>
      <w:r w:rsidRPr="004D2536">
        <w:t>pengusiran</w:t>
      </w:r>
      <w:proofErr w:type="spellEnd"/>
      <w:r w:rsidRPr="004D2536">
        <w:t xml:space="preserve"> (deportation).</w:t>
      </w:r>
    </w:p>
  </w:footnote>
  <w:footnote w:id="6">
    <w:p w14:paraId="62D9C226" w14:textId="77777777" w:rsidR="00960052" w:rsidRDefault="00960052" w:rsidP="009002F0">
      <w:pPr>
        <w:pStyle w:val="FootnoteText"/>
      </w:pPr>
      <w:r>
        <w:rPr>
          <w:rStyle w:val="FootnoteReference"/>
        </w:rPr>
        <w:footnoteRef/>
      </w:r>
      <w:r>
        <w:t xml:space="preserve"> According to the Immigration Department’s news briefing which is quoted in “No more 6P amnesty </w:t>
      </w:r>
      <w:proofErr w:type="spellStart"/>
      <w:r>
        <w:t>programme</w:t>
      </w:r>
      <w:proofErr w:type="spellEnd"/>
      <w:r>
        <w:t xml:space="preserve"> for foreign workers,” R. </w:t>
      </w:r>
      <w:proofErr w:type="spellStart"/>
      <w:r>
        <w:t>Zolkepli</w:t>
      </w:r>
      <w:proofErr w:type="spellEnd"/>
      <w:r>
        <w:t xml:space="preserve">, Jun 15, 2015, at </w:t>
      </w:r>
      <w:r w:rsidRPr="00690B6E">
        <w:t>https://www.thestar.com.my/news/nation/2015/06/15/fake-6p-programme/</w:t>
      </w:r>
      <w:r>
        <w:t>.</w:t>
      </w:r>
    </w:p>
  </w:footnote>
  <w:footnote w:id="7">
    <w:p w14:paraId="56FA1CB8" w14:textId="77777777" w:rsidR="00960052" w:rsidRDefault="00960052" w:rsidP="009002F0">
      <w:pPr>
        <w:pStyle w:val="FootnoteText"/>
        <w:jc w:val="both"/>
      </w:pPr>
      <w:r>
        <w:rPr>
          <w:rStyle w:val="FootnoteReference"/>
        </w:rPr>
        <w:footnoteRef/>
      </w:r>
      <w:r>
        <w:t xml:space="preserve"> The government has been contemplating extending this requirement to all employers in other sectors who hire foreign workers. </w:t>
      </w:r>
    </w:p>
  </w:footnote>
  <w:footnote w:id="8">
    <w:p w14:paraId="542CB4C8" w14:textId="77777777" w:rsidR="00960052" w:rsidRDefault="00960052" w:rsidP="009002F0">
      <w:pPr>
        <w:pStyle w:val="FootnoteText"/>
      </w:pPr>
      <w:r>
        <w:rPr>
          <w:rStyle w:val="FootnoteReference"/>
        </w:rPr>
        <w:footnoteRef/>
      </w:r>
      <w:r>
        <w:t xml:space="preserve"> Loayza (2018) finds that unregistered informal firms are seemingly large in Malaysia. </w:t>
      </w:r>
    </w:p>
  </w:footnote>
  <w:footnote w:id="9">
    <w:p w14:paraId="522032C0" w14:textId="77777777" w:rsidR="00960052" w:rsidRDefault="00960052" w:rsidP="009002F0">
      <w:pPr>
        <w:pStyle w:val="FootnoteText"/>
      </w:pPr>
      <w:r>
        <w:rPr>
          <w:rStyle w:val="FootnoteReference"/>
        </w:rPr>
        <w:footnoteRef/>
      </w:r>
      <w:r>
        <w:t xml:space="preserve"> Accessed at </w:t>
      </w:r>
      <w:hyperlink r:id="rId1" w:history="1">
        <w:r w:rsidRPr="000D49B3">
          <w:rPr>
            <w:rStyle w:val="Hyperlink"/>
          </w:rPr>
          <w:t>https://www.iom.int/key-migration-terms</w:t>
        </w:r>
      </w:hyperlink>
      <w:r>
        <w:t xml:space="preserve"> on January 18, 2019. </w:t>
      </w:r>
    </w:p>
  </w:footnote>
  <w:footnote w:id="10">
    <w:p w14:paraId="3847BE47" w14:textId="77777777" w:rsidR="00960052" w:rsidRPr="009554F4" w:rsidRDefault="00960052" w:rsidP="009002F0">
      <w:pPr>
        <w:pStyle w:val="FootnoteText"/>
        <w:jc w:val="both"/>
      </w:pPr>
      <w:r>
        <w:rPr>
          <w:rStyle w:val="FootnoteReference"/>
        </w:rPr>
        <w:footnoteRef/>
      </w:r>
      <w:r>
        <w:t xml:space="preserve"> This is sometimes aggravated by rules imposed by origin countries</w:t>
      </w:r>
      <w:r w:rsidRPr="009554F4">
        <w:t xml:space="preserve">. </w:t>
      </w:r>
      <w:r>
        <w:t xml:space="preserve">For instance, undocumented </w:t>
      </w:r>
      <w:r w:rsidRPr="009002F0">
        <w:rPr>
          <w:rFonts w:eastAsia="Calibri"/>
          <w:bCs/>
          <w:lang w:eastAsia="en-US"/>
        </w:rPr>
        <w:t>immigrants from East Java, Indonesia, tend to be those who fail to meet the migration requirements set by the Indonesian Manpower authorities, such as being younger than the legal migration ages (18 or older) or with lower education levels than required (</w:t>
      </w:r>
      <w:proofErr w:type="spellStart"/>
      <w:r w:rsidRPr="009002F0">
        <w:rPr>
          <w:rFonts w:eastAsia="Calibri"/>
          <w:bCs/>
          <w:lang w:eastAsia="en-US"/>
        </w:rPr>
        <w:t>Sibarani</w:t>
      </w:r>
      <w:proofErr w:type="spellEnd"/>
      <w:r w:rsidRPr="009002F0">
        <w:rPr>
          <w:rFonts w:eastAsia="Calibri"/>
          <w:bCs/>
          <w:lang w:eastAsia="en-US"/>
        </w:rPr>
        <w:t xml:space="preserve">, 2017, from small sample analyses). </w:t>
      </w:r>
    </w:p>
  </w:footnote>
  <w:footnote w:id="11">
    <w:p w14:paraId="335B6B0E" w14:textId="77777777" w:rsidR="00960052" w:rsidRDefault="00960052" w:rsidP="009002F0">
      <w:pPr>
        <w:pStyle w:val="FootnoteText"/>
        <w:jc w:val="both"/>
      </w:pPr>
      <w:r>
        <w:rPr>
          <w:rStyle w:val="FootnoteReference"/>
        </w:rPr>
        <w:footnoteRef/>
      </w:r>
      <w:r>
        <w:t xml:space="preserve"> The Employment Pass has three categories that are distinguishable by the salary and employment duration requirement: Category 1 for salaries of RM10,000/month or higher and an employment contract of up to five years, Category 2 for salaries more than RM 5,000 and less than RM10,000 an employment contract up to two years, and Category 3 for salaries more than RM 3,000 and less than RM 5,000 and an employment contract up to one year.   </w:t>
      </w:r>
    </w:p>
  </w:footnote>
  <w:footnote w:id="12">
    <w:p w14:paraId="5526D9F1" w14:textId="77777777" w:rsidR="00960052" w:rsidRDefault="00960052" w:rsidP="009002F0">
      <w:pPr>
        <w:pStyle w:val="FootnoteText"/>
        <w:jc w:val="both"/>
      </w:pPr>
      <w:r>
        <w:rPr>
          <w:rStyle w:val="FootnoteReference"/>
        </w:rPr>
        <w:footnoteRef/>
      </w:r>
      <w:r>
        <w:t xml:space="preserve"> The Committee consists of representatives from 13 ministries and is chaired by the Deputy Prime Minister with MOHA as the secretariat for the Committee. </w:t>
      </w:r>
    </w:p>
  </w:footnote>
  <w:footnote w:id="13">
    <w:p w14:paraId="4E83D4EE" w14:textId="77777777" w:rsidR="00960052" w:rsidRDefault="00960052" w:rsidP="009002F0">
      <w:pPr>
        <w:pStyle w:val="FootnoteText"/>
        <w:jc w:val="both"/>
      </w:pPr>
      <w:r>
        <w:rPr>
          <w:rStyle w:val="FootnoteReference"/>
        </w:rPr>
        <w:footnoteRef/>
      </w:r>
      <w:r>
        <w:t xml:space="preserve"> Effective January 2019, employers must register their foreign workers (including domestic helpers) under the Social Security Organization and contribute to the Employment Injury Scheme, which replaces FWCS. </w:t>
      </w:r>
    </w:p>
  </w:footnote>
  <w:footnote w:id="14">
    <w:p w14:paraId="328C9B42" w14:textId="77777777" w:rsidR="00960052" w:rsidRDefault="00960052" w:rsidP="009002F0">
      <w:pPr>
        <w:pStyle w:val="FootnoteText"/>
        <w:jc w:val="both"/>
      </w:pPr>
      <w:r>
        <w:rPr>
          <w:rStyle w:val="FootnoteReference"/>
        </w:rPr>
        <w:footnoteRef/>
      </w:r>
      <w:r>
        <w:t xml:space="preserve"> This health care scheme is mandatory and a prerequisite for a VP(TE) for all foreign workers except for plantation workers and domestic helpers. If an employer purchases SPIKPA for foreign workers in the planation and domestic helper segments, employers must pay the premiums. For other foreign workers, it is up to both parties to decide how premium costs are split among foreign workers and their employers.    </w:t>
      </w:r>
    </w:p>
  </w:footnote>
  <w:footnote w:id="15">
    <w:p w14:paraId="572D02ED" w14:textId="77777777" w:rsidR="00960052" w:rsidRPr="007E4A38" w:rsidRDefault="00960052" w:rsidP="009002F0">
      <w:pPr>
        <w:pStyle w:val="FootnoteText"/>
        <w:jc w:val="both"/>
      </w:pPr>
      <w:r>
        <w:rPr>
          <w:rStyle w:val="FootnoteReference"/>
        </w:rPr>
        <w:footnoteRef/>
      </w:r>
      <w:r>
        <w:t xml:space="preserve"> For </w:t>
      </w:r>
      <w:r w:rsidRPr="007E4A38">
        <w:t xml:space="preserve">implementation at the state level, </w:t>
      </w:r>
      <w:r>
        <w:t xml:space="preserve">the responsible </w:t>
      </w:r>
      <w:r w:rsidRPr="009002F0">
        <w:rPr>
          <w:rFonts w:cs="Calibri"/>
          <w:lang w:eastAsia="zh-CN"/>
        </w:rPr>
        <w:t>agencies vary. In Peninsular Malaysia, the Department of Labor Peninsular Malaysia (JTKSM) approves the recruitment quota. In East Malaysia, the Sabah State Labor Department and the Committee for Foreign Workers in Sabah and Labuan are responsible to issue licenses and recruitment quotas, respectively. In Sarawak the responsible entity is the Sarawak State Labor Department.</w:t>
      </w:r>
    </w:p>
  </w:footnote>
  <w:footnote w:id="16">
    <w:p w14:paraId="74D610AA" w14:textId="77777777" w:rsidR="00960052" w:rsidRDefault="00960052" w:rsidP="009002F0">
      <w:pPr>
        <w:pStyle w:val="FootnoteText"/>
        <w:jc w:val="both"/>
      </w:pPr>
      <w:r>
        <w:rPr>
          <w:rStyle w:val="FootnoteReference"/>
        </w:rPr>
        <w:footnoteRef/>
      </w:r>
      <w:r>
        <w:t xml:space="preserve"> Employers incur the cost to hire foreign workers as well but have ways to recoup the cost – such as through salary deductions. </w:t>
      </w:r>
    </w:p>
  </w:footnote>
  <w:footnote w:id="17">
    <w:p w14:paraId="534A5067" w14:textId="77777777" w:rsidR="00960052" w:rsidRPr="001D25EE" w:rsidRDefault="00960052" w:rsidP="009002F0">
      <w:pPr>
        <w:pStyle w:val="FootnoteText"/>
        <w:jc w:val="both"/>
      </w:pPr>
      <w:r>
        <w:rPr>
          <w:rStyle w:val="FootnoteReference"/>
        </w:rPr>
        <w:footnoteRef/>
      </w:r>
      <w:r>
        <w:t xml:space="preserve"> </w:t>
      </w:r>
      <w:r w:rsidRPr="009002F0">
        <w:rPr>
          <w:rFonts w:cs="Calibri"/>
          <w:lang w:eastAsia="zh-CN"/>
        </w:rPr>
        <w:t xml:space="preserve">The migration costs can be more than five-month earnings of foreign workers in Malaysia. </w:t>
      </w:r>
      <w:r>
        <w:t xml:space="preserve">The World Bank KNOMAD team (2015) consisting of World Bank and ILO staff attempted to estimate migration costs incurred by Vietnamese workers in the manufacturing sector, reporting the mean migration costs of US$1,374 per worker. UNODC (2015) reported that </w:t>
      </w:r>
      <w:r w:rsidRPr="009002F0">
        <w:rPr>
          <w:rFonts w:cs="Calibri"/>
          <w:lang w:eastAsia="zh-CN"/>
        </w:rPr>
        <w:t>Bangladesh workers incurred US$2,700 to be hired in Malaysia.</w:t>
      </w:r>
    </w:p>
  </w:footnote>
  <w:footnote w:id="18">
    <w:p w14:paraId="64FB68FD" w14:textId="77777777" w:rsidR="00960052" w:rsidRPr="00F07A39" w:rsidRDefault="00960052" w:rsidP="009002F0">
      <w:pPr>
        <w:pStyle w:val="FootnoteText"/>
        <w:jc w:val="both"/>
      </w:pPr>
      <w:r>
        <w:rPr>
          <w:rStyle w:val="FootnoteReference"/>
        </w:rPr>
        <w:footnoteRef/>
      </w:r>
      <w:r>
        <w:t xml:space="preserve"> </w:t>
      </w:r>
      <w:r w:rsidRPr="00F07A39">
        <w:t xml:space="preserve">World Bank/ILO KNOMAD surveys of </w:t>
      </w:r>
      <w:r w:rsidRPr="009002F0">
        <w:rPr>
          <w:rFonts w:cs="Calibri"/>
          <w:lang w:eastAsia="zh-CN"/>
        </w:rPr>
        <w:t xml:space="preserve">Vietnamese workers in the manufacturing sector in Malaysia show that it took an average of 2.8 months to process their deployment to Malaysia. MEF reports that the processing of applications for VDR takes 30 working days (compared to one week in the past) and that the approval can take longer than three months. Moreover, the VP(TE) renewal can take from two weeks to more than a month, and that the processing time for applications for more than five workers can be longer than two months (MEF, 2014). </w:t>
      </w:r>
    </w:p>
  </w:footnote>
  <w:footnote w:id="19">
    <w:p w14:paraId="1BF7AF7E" w14:textId="77777777" w:rsidR="00960052" w:rsidRDefault="00960052" w:rsidP="009002F0">
      <w:pPr>
        <w:pStyle w:val="FootnoteText"/>
        <w:jc w:val="both"/>
      </w:pPr>
      <w:r>
        <w:rPr>
          <w:rStyle w:val="FootnoteReference"/>
        </w:rPr>
        <w:footnoteRef/>
      </w:r>
      <w:r>
        <w:t xml:space="preserve"> The government has attempted to eliminate this problem by transferring the levy payment responsibility back to employers in 2018, but this has its own weakness in that employers could potentially use irregular workers to fill labor shortages where the levy is burdensome (see Annex 3 on the foreign worker levy by sector, and World Bank, 2016 for further discussion on the levy system).   </w:t>
      </w:r>
    </w:p>
  </w:footnote>
  <w:footnote w:id="20">
    <w:p w14:paraId="081438BD" w14:textId="77777777" w:rsidR="00960052" w:rsidRPr="00D44268" w:rsidRDefault="00960052" w:rsidP="009002F0">
      <w:pPr>
        <w:pStyle w:val="FootnoteText"/>
      </w:pPr>
      <w:r>
        <w:rPr>
          <w:rStyle w:val="FootnoteReference"/>
        </w:rPr>
        <w:footnoteRef/>
      </w:r>
      <w:r>
        <w:t xml:space="preserve"> </w:t>
      </w:r>
      <w:r w:rsidRPr="00D44268">
        <w:t>S</w:t>
      </w:r>
      <w:r w:rsidRPr="009002F0">
        <w:rPr>
          <w:rFonts w:eastAsia="Calibri" w:cs="Times New Roman"/>
          <w:lang w:eastAsia="en-US"/>
        </w:rPr>
        <w:t xml:space="preserve">ee </w:t>
      </w:r>
      <w:r w:rsidRPr="009002F0">
        <w:rPr>
          <w:rFonts w:eastAsia="Calibri" w:cs="Times New Roman"/>
          <w:noProof/>
          <w:lang w:eastAsia="en-US"/>
        </w:rPr>
        <w:t xml:space="preserve">Mau et al (2015) for </w:t>
      </w:r>
      <w:r w:rsidRPr="009002F0">
        <w:rPr>
          <w:rFonts w:eastAsia="Calibri" w:cs="Times New Roman"/>
          <w:lang w:eastAsia="en-US"/>
        </w:rPr>
        <w:t>discussions related to the link between short-term mobility and irregular immigration.</w:t>
      </w:r>
    </w:p>
  </w:footnote>
  <w:footnote w:id="21">
    <w:p w14:paraId="0AD15479" w14:textId="77777777" w:rsidR="00960052" w:rsidRDefault="00960052" w:rsidP="009002F0">
      <w:pPr>
        <w:pStyle w:val="FootnoteText"/>
        <w:jc w:val="both"/>
      </w:pPr>
      <w:r>
        <w:rPr>
          <w:rStyle w:val="FootnoteReference"/>
        </w:rPr>
        <w:footnoteRef/>
      </w:r>
      <w:r>
        <w:t xml:space="preserve"> The MOHR announced that outsourcing of foreign worker recruitment shall be gradually discontinued and placed under the MOHR’s Private Employment Agency from </w:t>
      </w:r>
      <w:r w:rsidRPr="009355F0">
        <w:t>2019</w:t>
      </w:r>
      <w:r>
        <w:t xml:space="preserve"> onwards. </w:t>
      </w:r>
    </w:p>
  </w:footnote>
  <w:footnote w:id="22">
    <w:p w14:paraId="1BA26712" w14:textId="77777777" w:rsidR="00960052" w:rsidRDefault="00960052" w:rsidP="009002F0">
      <w:pPr>
        <w:pStyle w:val="FootnoteText"/>
        <w:jc w:val="both"/>
      </w:pPr>
      <w:r>
        <w:rPr>
          <w:rStyle w:val="FootnoteReference"/>
        </w:rPr>
        <w:footnoteRef/>
      </w:r>
      <w:r>
        <w:t xml:space="preserve"> It was widely reported that Indonesians form the largest number of foreign nationals in Sabah. According to a statement from the Indonesian Consul General in 2008, there are 230,000 legal Indonesian workers, in addition to about 569,000 undocumented Indonesian immigrants, in Sabah, who are largely working in the plantations and smallholdings in the countryside (</w:t>
      </w:r>
      <w:proofErr w:type="spellStart"/>
      <w:r>
        <w:t>Kassim</w:t>
      </w:r>
      <w:proofErr w:type="spellEnd"/>
      <w:r>
        <w:t xml:space="preserve">, 2009).   </w:t>
      </w:r>
    </w:p>
  </w:footnote>
  <w:footnote w:id="23">
    <w:p w14:paraId="4058F176" w14:textId="77777777" w:rsidR="00960052" w:rsidRDefault="00960052" w:rsidP="009002F0">
      <w:pPr>
        <w:pStyle w:val="FootnoteText"/>
      </w:pPr>
      <w:r>
        <w:rPr>
          <w:rStyle w:val="FootnoteReference"/>
        </w:rPr>
        <w:footnoteRef/>
      </w:r>
      <w:r>
        <w:t xml:space="preserve"> Using the 2016 annual average rate of RM 4.14/US$1.  </w:t>
      </w:r>
    </w:p>
  </w:footnote>
  <w:footnote w:id="24">
    <w:p w14:paraId="2F340021" w14:textId="77777777" w:rsidR="00960052" w:rsidRDefault="00960052" w:rsidP="009002F0">
      <w:pPr>
        <w:pStyle w:val="FootnoteText"/>
        <w:jc w:val="both"/>
      </w:pPr>
      <w:r>
        <w:rPr>
          <w:rStyle w:val="FootnoteReference"/>
        </w:rPr>
        <w:footnoteRef/>
      </w:r>
      <w:r>
        <w:t xml:space="preserve"> As reported in “Immigration Dept wants more Sabah employers caned for hiring illegal foreigners” by J. Chan on December 28, 2018, </w:t>
      </w:r>
      <w:proofErr w:type="spellStart"/>
      <w:r>
        <w:t>Malaymail</w:t>
      </w:r>
      <w:proofErr w:type="spellEnd"/>
      <w:r>
        <w:t xml:space="preserve">, at </w:t>
      </w:r>
      <w:r w:rsidRPr="00DC7484">
        <w:t>https://www.malaymail.com/news/malaysia/2018/12/28/immigration-dept-wants-more-sabah-employers-caned-for-hiring-illegal-foreig/1707056</w:t>
      </w:r>
    </w:p>
  </w:footnote>
  <w:footnote w:id="25">
    <w:p w14:paraId="78F5B7AB" w14:textId="77777777" w:rsidR="00960052" w:rsidRPr="009F16B0" w:rsidRDefault="00960052" w:rsidP="009002F0">
      <w:pPr>
        <w:pStyle w:val="FootnoteText"/>
        <w:tabs>
          <w:tab w:val="left" w:pos="180"/>
        </w:tabs>
        <w:contextualSpacing/>
        <w:jc w:val="both"/>
        <w:rPr>
          <w:rFonts w:cs="Times New Roman"/>
        </w:rPr>
      </w:pPr>
      <w:r w:rsidRPr="009F16B0">
        <w:rPr>
          <w:rStyle w:val="FootnoteReference"/>
          <w:rFonts w:cs="Times New Roman"/>
        </w:rPr>
        <w:footnoteRef/>
      </w:r>
      <w:r w:rsidRPr="009F16B0">
        <w:rPr>
          <w:rFonts w:cs="Times New Roman"/>
        </w:rPr>
        <w:t xml:space="preserve"> In addition to the 6P legalization program, another initiative to neutralize </w:t>
      </w:r>
      <w:r>
        <w:rPr>
          <w:rFonts w:cs="Times New Roman"/>
        </w:rPr>
        <w:t>irregular</w:t>
      </w:r>
      <w:r w:rsidRPr="009F16B0">
        <w:rPr>
          <w:rFonts w:cs="Times New Roman"/>
        </w:rPr>
        <w:t xml:space="preserve"> foreign workers is the Rehiring program targeted at </w:t>
      </w:r>
      <w:r>
        <w:rPr>
          <w:rFonts w:cs="Times New Roman"/>
        </w:rPr>
        <w:t>irregular</w:t>
      </w:r>
      <w:r w:rsidRPr="009F16B0">
        <w:rPr>
          <w:rFonts w:cs="Times New Roman"/>
        </w:rPr>
        <w:t xml:space="preserve"> foreign workers with an employer. </w:t>
      </w:r>
    </w:p>
  </w:footnote>
  <w:footnote w:id="26">
    <w:p w14:paraId="0594187B" w14:textId="77777777" w:rsidR="00960052" w:rsidRPr="00A85EBB" w:rsidRDefault="00960052" w:rsidP="009002F0">
      <w:pPr>
        <w:pStyle w:val="FootnoteText"/>
        <w:jc w:val="both"/>
      </w:pPr>
      <w:r w:rsidRPr="00A85EBB">
        <w:rPr>
          <w:rStyle w:val="FootnoteReference"/>
        </w:rPr>
        <w:footnoteRef/>
      </w:r>
      <w:r w:rsidRPr="00A85EBB">
        <w:t xml:space="preserve"> It was supposed to be a one-off program to </w:t>
      </w:r>
      <w:r>
        <w:t xml:space="preserve">end in </w:t>
      </w:r>
      <w:r w:rsidRPr="00A85EBB">
        <w:t>October 2011, but the deadline was extended three times – first to April 2012,</w:t>
      </w:r>
      <w:r>
        <w:t xml:space="preserve"> then</w:t>
      </w:r>
      <w:r w:rsidRPr="00A85EBB">
        <w:t xml:space="preserve"> to 2013 and then finally to </w:t>
      </w:r>
      <w:r>
        <w:t xml:space="preserve">the </w:t>
      </w:r>
      <w:r w:rsidRPr="00A85EBB">
        <w:t xml:space="preserve">end </w:t>
      </w:r>
      <w:r>
        <w:t xml:space="preserve">of </w:t>
      </w:r>
      <w:r w:rsidRPr="00A85EBB">
        <w:t>2014</w:t>
      </w:r>
      <w:r>
        <w:t xml:space="preserve">. </w:t>
      </w:r>
    </w:p>
  </w:footnote>
  <w:footnote w:id="27">
    <w:p w14:paraId="1D7BD5D1" w14:textId="77777777" w:rsidR="00960052" w:rsidRDefault="00960052" w:rsidP="009002F0">
      <w:pPr>
        <w:pStyle w:val="FootnoteText"/>
        <w:jc w:val="both"/>
      </w:pPr>
      <w:r>
        <w:rPr>
          <w:rStyle w:val="FootnoteReference"/>
        </w:rPr>
        <w:footnoteRef/>
      </w:r>
      <w:r>
        <w:t xml:space="preserve"> Unregistered and formal recruitment agents undertook the registration and regularization of irregular immigrants. In the process, some agents received fees from employers and irregular immigrants for identification papers (renewed passports), levy payment and work </w:t>
      </w:r>
      <w:proofErr w:type="gramStart"/>
      <w:r>
        <w:t>permits</w:t>
      </w:r>
      <w:proofErr w:type="gramEnd"/>
      <w:r>
        <w:t>, but failed to deliver them, and as a result those irregular immigrants fell back to the illegal status again (</w:t>
      </w:r>
      <w:proofErr w:type="spellStart"/>
      <w:r>
        <w:t>Kassim</w:t>
      </w:r>
      <w:proofErr w:type="spellEnd"/>
      <w:r>
        <w:t xml:space="preserve">, 2014). </w:t>
      </w:r>
    </w:p>
  </w:footnote>
  <w:footnote w:id="28">
    <w:p w14:paraId="32C67012" w14:textId="77777777" w:rsidR="00960052" w:rsidRDefault="00960052" w:rsidP="009002F0">
      <w:pPr>
        <w:pStyle w:val="FootnoteText"/>
        <w:jc w:val="both"/>
      </w:pPr>
      <w:r>
        <w:rPr>
          <w:rStyle w:val="FootnoteReference"/>
        </w:rPr>
        <w:footnoteRef/>
      </w:r>
      <w:r>
        <w:t xml:space="preserve"> </w:t>
      </w:r>
      <w:bookmarkStart w:id="64" w:name="_Hlk535996527"/>
      <w:r>
        <w:t xml:space="preserve">According to the Immigration Department, “No more 6P amnesty </w:t>
      </w:r>
      <w:proofErr w:type="spellStart"/>
      <w:r>
        <w:t>programme</w:t>
      </w:r>
      <w:proofErr w:type="spellEnd"/>
      <w:r>
        <w:t xml:space="preserve"> for foreign workers,” R. </w:t>
      </w:r>
      <w:proofErr w:type="spellStart"/>
      <w:r>
        <w:t>Zolkepli</w:t>
      </w:r>
      <w:proofErr w:type="spellEnd"/>
      <w:r>
        <w:t xml:space="preserve">, Jun 15, 2015, at </w:t>
      </w:r>
      <w:r w:rsidRPr="00690B6E">
        <w:t>https://www.thestar.com.my/news/nation/2015/06/15/fake-6p-programme/</w:t>
      </w:r>
      <w:r>
        <w:t>.</w:t>
      </w:r>
      <w:bookmarkEnd w:id="64"/>
    </w:p>
  </w:footnote>
  <w:footnote w:id="29">
    <w:p w14:paraId="01C61E69" w14:textId="77777777" w:rsidR="00960052" w:rsidRDefault="00960052" w:rsidP="009002F0">
      <w:pPr>
        <w:pStyle w:val="FootnoteText"/>
        <w:jc w:val="both"/>
      </w:pPr>
      <w:r>
        <w:rPr>
          <w:rStyle w:val="FootnoteReference"/>
        </w:rPr>
        <w:footnoteRef/>
      </w:r>
      <w:r>
        <w:t xml:space="preserve"> According to “Malaysia downplays foreign worker controversy,” S. Naidu, Feb. 19, 2016, at </w:t>
      </w:r>
      <w:r w:rsidRPr="00086B42">
        <w:t>https://www.channelnewsasia.com/news/asia/malaysia-downplays-foreign-worker-controversy-8185762</w:t>
      </w:r>
      <w:r>
        <w:t>.</w:t>
      </w:r>
    </w:p>
  </w:footnote>
  <w:footnote w:id="30">
    <w:p w14:paraId="28895AA4" w14:textId="77777777" w:rsidR="00960052" w:rsidRPr="00CC3B41" w:rsidRDefault="00960052" w:rsidP="009002F0">
      <w:pPr>
        <w:pStyle w:val="FootnoteText"/>
      </w:pPr>
      <w:r>
        <w:rPr>
          <w:rStyle w:val="FootnoteReference"/>
        </w:rPr>
        <w:footnoteRef/>
      </w:r>
      <w:r>
        <w:t xml:space="preserve"> </w:t>
      </w:r>
      <w:r w:rsidRPr="00CC3B41">
        <w:t>California, Florida, Illinois, New Jersey, New York and Texas</w:t>
      </w:r>
      <w:r>
        <w:t>.</w:t>
      </w:r>
    </w:p>
  </w:footnote>
  <w:footnote w:id="31">
    <w:p w14:paraId="38671DC6" w14:textId="77777777" w:rsidR="00960052" w:rsidRDefault="00960052" w:rsidP="009002F0">
      <w:pPr>
        <w:pStyle w:val="FootnoteText"/>
      </w:pPr>
      <w:r>
        <w:rPr>
          <w:rStyle w:val="FootnoteReference"/>
        </w:rPr>
        <w:footnoteRef/>
      </w:r>
      <w:r>
        <w:t xml:space="preserve"> For how each system works, see IMF 2008, “Understanding Remittances: Demography, Transaction Channels, and Regulatory Aspects,” Chapter 2 in </w:t>
      </w:r>
      <w:r w:rsidRPr="00BE19E2">
        <w:rPr>
          <w:i/>
        </w:rPr>
        <w:t>International Transactions in Remittances: Guide for Compilers and Users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0C4D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1E856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88EC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9FCDC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08B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EE74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0C81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E42F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6C61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CC10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102F58C"/>
    <w:lvl w:ilvl="0" w:tplc="A7E6CB42">
      <w:start w:val="1"/>
      <w:numFmt w:val="bullet"/>
      <w:lvlText w:val=""/>
      <w:lvlJc w:val="left"/>
      <w:pPr>
        <w:ind w:left="360" w:hanging="360"/>
      </w:pPr>
      <w:rPr>
        <w:rFonts w:ascii="Wingdings" w:hAnsi="Wingdings" w:hint="default"/>
      </w:rPr>
    </w:lvl>
    <w:lvl w:ilvl="1" w:tplc="5C62843C">
      <w:start w:val="1"/>
      <w:numFmt w:val="bullet"/>
      <w:lvlText w:val="o"/>
      <w:lvlJc w:val="left"/>
      <w:pPr>
        <w:ind w:left="1080" w:hanging="360"/>
      </w:pPr>
      <w:rPr>
        <w:rFonts w:ascii="Courier New" w:hAnsi="Courier New" w:cs="Courier New" w:hint="default"/>
      </w:rPr>
    </w:lvl>
    <w:lvl w:ilvl="2" w:tplc="950C606E">
      <w:start w:val="1"/>
      <w:numFmt w:val="bullet"/>
      <w:lvlText w:val=""/>
      <w:lvlJc w:val="left"/>
      <w:pPr>
        <w:ind w:left="1800" w:hanging="360"/>
      </w:pPr>
      <w:rPr>
        <w:rFonts w:ascii="Wingdings" w:hAnsi="Wingdings" w:hint="default"/>
      </w:rPr>
    </w:lvl>
    <w:lvl w:ilvl="3" w:tplc="D416FFB0">
      <w:start w:val="1"/>
      <w:numFmt w:val="bullet"/>
      <w:lvlText w:val=""/>
      <w:lvlJc w:val="left"/>
      <w:pPr>
        <w:ind w:left="2520" w:hanging="360"/>
      </w:pPr>
      <w:rPr>
        <w:rFonts w:ascii="Symbol" w:hAnsi="Symbol" w:hint="default"/>
      </w:rPr>
    </w:lvl>
    <w:lvl w:ilvl="4" w:tplc="BE9AA3D4">
      <w:start w:val="1"/>
      <w:numFmt w:val="bullet"/>
      <w:lvlText w:val="o"/>
      <w:lvlJc w:val="left"/>
      <w:pPr>
        <w:ind w:left="3240" w:hanging="360"/>
      </w:pPr>
      <w:rPr>
        <w:rFonts w:ascii="Courier New" w:hAnsi="Courier New" w:cs="Courier New" w:hint="default"/>
      </w:rPr>
    </w:lvl>
    <w:lvl w:ilvl="5" w:tplc="87761F78">
      <w:start w:val="1"/>
      <w:numFmt w:val="bullet"/>
      <w:lvlText w:val=""/>
      <w:lvlJc w:val="left"/>
      <w:pPr>
        <w:ind w:left="3960" w:hanging="360"/>
      </w:pPr>
      <w:rPr>
        <w:rFonts w:ascii="Wingdings" w:hAnsi="Wingdings" w:hint="default"/>
      </w:rPr>
    </w:lvl>
    <w:lvl w:ilvl="6" w:tplc="B9767AF6">
      <w:start w:val="1"/>
      <w:numFmt w:val="bullet"/>
      <w:lvlText w:val=""/>
      <w:lvlJc w:val="left"/>
      <w:pPr>
        <w:ind w:left="4680" w:hanging="360"/>
      </w:pPr>
      <w:rPr>
        <w:rFonts w:ascii="Symbol" w:hAnsi="Symbol" w:hint="default"/>
      </w:rPr>
    </w:lvl>
    <w:lvl w:ilvl="7" w:tplc="B97A25D0">
      <w:start w:val="1"/>
      <w:numFmt w:val="bullet"/>
      <w:lvlText w:val="o"/>
      <w:lvlJc w:val="left"/>
      <w:pPr>
        <w:ind w:left="5400" w:hanging="360"/>
      </w:pPr>
      <w:rPr>
        <w:rFonts w:ascii="Courier New" w:hAnsi="Courier New" w:cs="Courier New" w:hint="default"/>
      </w:rPr>
    </w:lvl>
    <w:lvl w:ilvl="8" w:tplc="2236D1E8">
      <w:start w:val="1"/>
      <w:numFmt w:val="bullet"/>
      <w:lvlText w:val=""/>
      <w:lvlJc w:val="left"/>
      <w:pPr>
        <w:ind w:left="6120" w:hanging="360"/>
      </w:pPr>
      <w:rPr>
        <w:rFonts w:ascii="Wingdings" w:hAnsi="Wingdings" w:hint="default"/>
      </w:rPr>
    </w:lvl>
  </w:abstractNum>
  <w:abstractNum w:abstractNumId="11" w15:restartNumberingAfterBreak="0">
    <w:nsid w:val="05664F41"/>
    <w:multiLevelType w:val="hybridMultilevel"/>
    <w:tmpl w:val="91FE53B0"/>
    <w:lvl w:ilvl="0" w:tplc="0F160432">
      <w:start w:val="1"/>
      <w:numFmt w:val="lowerLetter"/>
      <w:lvlText w:val="%1."/>
      <w:lvlJc w:val="left"/>
      <w:pPr>
        <w:ind w:left="360" w:hanging="360"/>
      </w:pPr>
      <w:rPr>
        <w:rFonts w:asciiTheme="minorHAnsi" w:eastAsiaTheme="minorEastAsia" w:hAnsiTheme="minorHAnsi" w:cstheme="minorHAns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7BF6235"/>
    <w:multiLevelType w:val="hybridMultilevel"/>
    <w:tmpl w:val="CBA64E8A"/>
    <w:lvl w:ilvl="0" w:tplc="032C1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1A781E"/>
    <w:multiLevelType w:val="hybridMultilevel"/>
    <w:tmpl w:val="E12274BC"/>
    <w:lvl w:ilvl="0" w:tplc="F2205C22">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F12B30"/>
    <w:multiLevelType w:val="hybridMultilevel"/>
    <w:tmpl w:val="24E26DA8"/>
    <w:lvl w:ilvl="0" w:tplc="43B61334">
      <w:start w:val="1"/>
      <w:numFmt w:val="bullet"/>
      <w:lvlText w:val="•"/>
      <w:lvlJc w:val="left"/>
      <w:pPr>
        <w:tabs>
          <w:tab w:val="num" w:pos="360"/>
        </w:tabs>
        <w:ind w:left="360" w:hanging="360"/>
      </w:pPr>
      <w:rPr>
        <w:rFonts w:ascii="Times New Roman" w:hAnsi="Times New Roman" w:cs="Times New Roman" w:hint="default"/>
      </w:rPr>
    </w:lvl>
    <w:lvl w:ilvl="1" w:tplc="7188FA4C" w:tentative="1">
      <w:start w:val="1"/>
      <w:numFmt w:val="bullet"/>
      <w:lvlText w:val="•"/>
      <w:lvlJc w:val="left"/>
      <w:pPr>
        <w:tabs>
          <w:tab w:val="num" w:pos="1080"/>
        </w:tabs>
        <w:ind w:left="1080" w:hanging="360"/>
      </w:pPr>
      <w:rPr>
        <w:rFonts w:ascii="Times New Roman" w:hAnsi="Times New Roman" w:hint="default"/>
      </w:rPr>
    </w:lvl>
    <w:lvl w:ilvl="2" w:tplc="E82445B0" w:tentative="1">
      <w:start w:val="1"/>
      <w:numFmt w:val="bullet"/>
      <w:lvlText w:val="•"/>
      <w:lvlJc w:val="left"/>
      <w:pPr>
        <w:tabs>
          <w:tab w:val="num" w:pos="1800"/>
        </w:tabs>
        <w:ind w:left="1800" w:hanging="360"/>
      </w:pPr>
      <w:rPr>
        <w:rFonts w:ascii="Times New Roman" w:hAnsi="Times New Roman" w:hint="default"/>
      </w:rPr>
    </w:lvl>
    <w:lvl w:ilvl="3" w:tplc="049C3F30" w:tentative="1">
      <w:start w:val="1"/>
      <w:numFmt w:val="bullet"/>
      <w:lvlText w:val="•"/>
      <w:lvlJc w:val="left"/>
      <w:pPr>
        <w:tabs>
          <w:tab w:val="num" w:pos="2520"/>
        </w:tabs>
        <w:ind w:left="2520" w:hanging="360"/>
      </w:pPr>
      <w:rPr>
        <w:rFonts w:ascii="Times New Roman" w:hAnsi="Times New Roman" w:hint="default"/>
      </w:rPr>
    </w:lvl>
    <w:lvl w:ilvl="4" w:tplc="927C084E" w:tentative="1">
      <w:start w:val="1"/>
      <w:numFmt w:val="bullet"/>
      <w:lvlText w:val="•"/>
      <w:lvlJc w:val="left"/>
      <w:pPr>
        <w:tabs>
          <w:tab w:val="num" w:pos="3240"/>
        </w:tabs>
        <w:ind w:left="3240" w:hanging="360"/>
      </w:pPr>
      <w:rPr>
        <w:rFonts w:ascii="Times New Roman" w:hAnsi="Times New Roman" w:hint="default"/>
      </w:rPr>
    </w:lvl>
    <w:lvl w:ilvl="5" w:tplc="EA229738" w:tentative="1">
      <w:start w:val="1"/>
      <w:numFmt w:val="bullet"/>
      <w:lvlText w:val="•"/>
      <w:lvlJc w:val="left"/>
      <w:pPr>
        <w:tabs>
          <w:tab w:val="num" w:pos="3960"/>
        </w:tabs>
        <w:ind w:left="3960" w:hanging="360"/>
      </w:pPr>
      <w:rPr>
        <w:rFonts w:ascii="Times New Roman" w:hAnsi="Times New Roman" w:hint="default"/>
      </w:rPr>
    </w:lvl>
    <w:lvl w:ilvl="6" w:tplc="AE683CA8" w:tentative="1">
      <w:start w:val="1"/>
      <w:numFmt w:val="bullet"/>
      <w:lvlText w:val="•"/>
      <w:lvlJc w:val="left"/>
      <w:pPr>
        <w:tabs>
          <w:tab w:val="num" w:pos="4680"/>
        </w:tabs>
        <w:ind w:left="4680" w:hanging="360"/>
      </w:pPr>
      <w:rPr>
        <w:rFonts w:ascii="Times New Roman" w:hAnsi="Times New Roman" w:hint="default"/>
      </w:rPr>
    </w:lvl>
    <w:lvl w:ilvl="7" w:tplc="805CB8E4" w:tentative="1">
      <w:start w:val="1"/>
      <w:numFmt w:val="bullet"/>
      <w:lvlText w:val="•"/>
      <w:lvlJc w:val="left"/>
      <w:pPr>
        <w:tabs>
          <w:tab w:val="num" w:pos="5400"/>
        </w:tabs>
        <w:ind w:left="5400" w:hanging="360"/>
      </w:pPr>
      <w:rPr>
        <w:rFonts w:ascii="Times New Roman" w:hAnsi="Times New Roman" w:hint="default"/>
      </w:rPr>
    </w:lvl>
    <w:lvl w:ilvl="8" w:tplc="7DE4396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0D6803B9"/>
    <w:multiLevelType w:val="hybridMultilevel"/>
    <w:tmpl w:val="F058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525FD"/>
    <w:multiLevelType w:val="hybridMultilevel"/>
    <w:tmpl w:val="D6DAFB68"/>
    <w:lvl w:ilvl="0" w:tplc="C9C62F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88136F"/>
    <w:multiLevelType w:val="hybridMultilevel"/>
    <w:tmpl w:val="C4A6AECE"/>
    <w:lvl w:ilvl="0" w:tplc="D9AC13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E57387"/>
    <w:multiLevelType w:val="hybridMultilevel"/>
    <w:tmpl w:val="CAF4A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51880"/>
    <w:multiLevelType w:val="hybridMultilevel"/>
    <w:tmpl w:val="3F980B2A"/>
    <w:lvl w:ilvl="0" w:tplc="CE669834">
      <w:start w:val="1"/>
      <w:numFmt w:val="bullet"/>
      <w:lvlText w:val="•"/>
      <w:lvlJc w:val="left"/>
      <w:pPr>
        <w:tabs>
          <w:tab w:val="num" w:pos="720"/>
        </w:tabs>
        <w:ind w:left="720" w:hanging="360"/>
      </w:pPr>
      <w:rPr>
        <w:rFonts w:ascii="Times New Roman" w:hAnsi="Times New Roman" w:hint="default"/>
      </w:rPr>
    </w:lvl>
    <w:lvl w:ilvl="1" w:tplc="69E29122" w:tentative="1">
      <w:start w:val="1"/>
      <w:numFmt w:val="bullet"/>
      <w:lvlText w:val="•"/>
      <w:lvlJc w:val="left"/>
      <w:pPr>
        <w:tabs>
          <w:tab w:val="num" w:pos="1440"/>
        </w:tabs>
        <w:ind w:left="1440" w:hanging="360"/>
      </w:pPr>
      <w:rPr>
        <w:rFonts w:ascii="Times New Roman" w:hAnsi="Times New Roman" w:hint="default"/>
      </w:rPr>
    </w:lvl>
    <w:lvl w:ilvl="2" w:tplc="29F4C7B4" w:tentative="1">
      <w:start w:val="1"/>
      <w:numFmt w:val="bullet"/>
      <w:lvlText w:val="•"/>
      <w:lvlJc w:val="left"/>
      <w:pPr>
        <w:tabs>
          <w:tab w:val="num" w:pos="2160"/>
        </w:tabs>
        <w:ind w:left="2160" w:hanging="360"/>
      </w:pPr>
      <w:rPr>
        <w:rFonts w:ascii="Times New Roman" w:hAnsi="Times New Roman" w:hint="default"/>
      </w:rPr>
    </w:lvl>
    <w:lvl w:ilvl="3" w:tplc="BC70B780" w:tentative="1">
      <w:start w:val="1"/>
      <w:numFmt w:val="bullet"/>
      <w:lvlText w:val="•"/>
      <w:lvlJc w:val="left"/>
      <w:pPr>
        <w:tabs>
          <w:tab w:val="num" w:pos="2880"/>
        </w:tabs>
        <w:ind w:left="2880" w:hanging="360"/>
      </w:pPr>
      <w:rPr>
        <w:rFonts w:ascii="Times New Roman" w:hAnsi="Times New Roman" w:hint="default"/>
      </w:rPr>
    </w:lvl>
    <w:lvl w:ilvl="4" w:tplc="1C46FE12" w:tentative="1">
      <w:start w:val="1"/>
      <w:numFmt w:val="bullet"/>
      <w:lvlText w:val="•"/>
      <w:lvlJc w:val="left"/>
      <w:pPr>
        <w:tabs>
          <w:tab w:val="num" w:pos="3600"/>
        </w:tabs>
        <w:ind w:left="3600" w:hanging="360"/>
      </w:pPr>
      <w:rPr>
        <w:rFonts w:ascii="Times New Roman" w:hAnsi="Times New Roman" w:hint="default"/>
      </w:rPr>
    </w:lvl>
    <w:lvl w:ilvl="5" w:tplc="95E88E62" w:tentative="1">
      <w:start w:val="1"/>
      <w:numFmt w:val="bullet"/>
      <w:lvlText w:val="•"/>
      <w:lvlJc w:val="left"/>
      <w:pPr>
        <w:tabs>
          <w:tab w:val="num" w:pos="4320"/>
        </w:tabs>
        <w:ind w:left="4320" w:hanging="360"/>
      </w:pPr>
      <w:rPr>
        <w:rFonts w:ascii="Times New Roman" w:hAnsi="Times New Roman" w:hint="default"/>
      </w:rPr>
    </w:lvl>
    <w:lvl w:ilvl="6" w:tplc="CDCA36DC" w:tentative="1">
      <w:start w:val="1"/>
      <w:numFmt w:val="bullet"/>
      <w:lvlText w:val="•"/>
      <w:lvlJc w:val="left"/>
      <w:pPr>
        <w:tabs>
          <w:tab w:val="num" w:pos="5040"/>
        </w:tabs>
        <w:ind w:left="5040" w:hanging="360"/>
      </w:pPr>
      <w:rPr>
        <w:rFonts w:ascii="Times New Roman" w:hAnsi="Times New Roman" w:hint="default"/>
      </w:rPr>
    </w:lvl>
    <w:lvl w:ilvl="7" w:tplc="EF74CBDE" w:tentative="1">
      <w:start w:val="1"/>
      <w:numFmt w:val="bullet"/>
      <w:lvlText w:val="•"/>
      <w:lvlJc w:val="left"/>
      <w:pPr>
        <w:tabs>
          <w:tab w:val="num" w:pos="5760"/>
        </w:tabs>
        <w:ind w:left="5760" w:hanging="360"/>
      </w:pPr>
      <w:rPr>
        <w:rFonts w:ascii="Times New Roman" w:hAnsi="Times New Roman" w:hint="default"/>
      </w:rPr>
    </w:lvl>
    <w:lvl w:ilvl="8" w:tplc="93EC326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DA8744D"/>
    <w:multiLevelType w:val="hybridMultilevel"/>
    <w:tmpl w:val="00FAB4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388439B"/>
    <w:multiLevelType w:val="hybridMultilevel"/>
    <w:tmpl w:val="D8F26FFC"/>
    <w:lvl w:ilvl="0" w:tplc="49B06EB6">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6F1641"/>
    <w:multiLevelType w:val="hybridMultilevel"/>
    <w:tmpl w:val="CA526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027D6E"/>
    <w:multiLevelType w:val="hybridMultilevel"/>
    <w:tmpl w:val="4FE8D384"/>
    <w:lvl w:ilvl="0" w:tplc="E264BF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BA1A57"/>
    <w:multiLevelType w:val="hybridMultilevel"/>
    <w:tmpl w:val="D48CAABE"/>
    <w:lvl w:ilvl="0" w:tplc="EB3C127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C8430E"/>
    <w:multiLevelType w:val="hybridMultilevel"/>
    <w:tmpl w:val="1C30D7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1385D35"/>
    <w:multiLevelType w:val="hybridMultilevel"/>
    <w:tmpl w:val="CEFC4276"/>
    <w:lvl w:ilvl="0" w:tplc="238299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4275D"/>
    <w:multiLevelType w:val="hybridMultilevel"/>
    <w:tmpl w:val="C91A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CA23A6"/>
    <w:multiLevelType w:val="hybridMultilevel"/>
    <w:tmpl w:val="7BE208F4"/>
    <w:lvl w:ilvl="0" w:tplc="C1464DF0">
      <w:start w:val="1"/>
      <w:numFmt w:val="bullet"/>
      <w:lvlText w:val="•"/>
      <w:lvlJc w:val="left"/>
      <w:pPr>
        <w:tabs>
          <w:tab w:val="num" w:pos="720"/>
        </w:tabs>
        <w:ind w:left="720" w:hanging="360"/>
      </w:pPr>
      <w:rPr>
        <w:rFonts w:ascii="Times New Roman" w:hAnsi="Times New Roman" w:hint="default"/>
      </w:rPr>
    </w:lvl>
    <w:lvl w:ilvl="1" w:tplc="7188FA4C" w:tentative="1">
      <w:start w:val="1"/>
      <w:numFmt w:val="bullet"/>
      <w:lvlText w:val="•"/>
      <w:lvlJc w:val="left"/>
      <w:pPr>
        <w:tabs>
          <w:tab w:val="num" w:pos="1440"/>
        </w:tabs>
        <w:ind w:left="1440" w:hanging="360"/>
      </w:pPr>
      <w:rPr>
        <w:rFonts w:ascii="Times New Roman" w:hAnsi="Times New Roman" w:hint="default"/>
      </w:rPr>
    </w:lvl>
    <w:lvl w:ilvl="2" w:tplc="E82445B0" w:tentative="1">
      <w:start w:val="1"/>
      <w:numFmt w:val="bullet"/>
      <w:lvlText w:val="•"/>
      <w:lvlJc w:val="left"/>
      <w:pPr>
        <w:tabs>
          <w:tab w:val="num" w:pos="2160"/>
        </w:tabs>
        <w:ind w:left="2160" w:hanging="360"/>
      </w:pPr>
      <w:rPr>
        <w:rFonts w:ascii="Times New Roman" w:hAnsi="Times New Roman" w:hint="default"/>
      </w:rPr>
    </w:lvl>
    <w:lvl w:ilvl="3" w:tplc="049C3F30" w:tentative="1">
      <w:start w:val="1"/>
      <w:numFmt w:val="bullet"/>
      <w:lvlText w:val="•"/>
      <w:lvlJc w:val="left"/>
      <w:pPr>
        <w:tabs>
          <w:tab w:val="num" w:pos="2880"/>
        </w:tabs>
        <w:ind w:left="2880" w:hanging="360"/>
      </w:pPr>
      <w:rPr>
        <w:rFonts w:ascii="Times New Roman" w:hAnsi="Times New Roman" w:hint="default"/>
      </w:rPr>
    </w:lvl>
    <w:lvl w:ilvl="4" w:tplc="927C084E" w:tentative="1">
      <w:start w:val="1"/>
      <w:numFmt w:val="bullet"/>
      <w:lvlText w:val="•"/>
      <w:lvlJc w:val="left"/>
      <w:pPr>
        <w:tabs>
          <w:tab w:val="num" w:pos="3600"/>
        </w:tabs>
        <w:ind w:left="3600" w:hanging="360"/>
      </w:pPr>
      <w:rPr>
        <w:rFonts w:ascii="Times New Roman" w:hAnsi="Times New Roman" w:hint="default"/>
      </w:rPr>
    </w:lvl>
    <w:lvl w:ilvl="5" w:tplc="EA229738" w:tentative="1">
      <w:start w:val="1"/>
      <w:numFmt w:val="bullet"/>
      <w:lvlText w:val="•"/>
      <w:lvlJc w:val="left"/>
      <w:pPr>
        <w:tabs>
          <w:tab w:val="num" w:pos="4320"/>
        </w:tabs>
        <w:ind w:left="4320" w:hanging="360"/>
      </w:pPr>
      <w:rPr>
        <w:rFonts w:ascii="Times New Roman" w:hAnsi="Times New Roman" w:hint="default"/>
      </w:rPr>
    </w:lvl>
    <w:lvl w:ilvl="6" w:tplc="AE683CA8" w:tentative="1">
      <w:start w:val="1"/>
      <w:numFmt w:val="bullet"/>
      <w:lvlText w:val="•"/>
      <w:lvlJc w:val="left"/>
      <w:pPr>
        <w:tabs>
          <w:tab w:val="num" w:pos="5040"/>
        </w:tabs>
        <w:ind w:left="5040" w:hanging="360"/>
      </w:pPr>
      <w:rPr>
        <w:rFonts w:ascii="Times New Roman" w:hAnsi="Times New Roman" w:hint="default"/>
      </w:rPr>
    </w:lvl>
    <w:lvl w:ilvl="7" w:tplc="805CB8E4" w:tentative="1">
      <w:start w:val="1"/>
      <w:numFmt w:val="bullet"/>
      <w:lvlText w:val="•"/>
      <w:lvlJc w:val="left"/>
      <w:pPr>
        <w:tabs>
          <w:tab w:val="num" w:pos="5760"/>
        </w:tabs>
        <w:ind w:left="5760" w:hanging="360"/>
      </w:pPr>
      <w:rPr>
        <w:rFonts w:ascii="Times New Roman" w:hAnsi="Times New Roman" w:hint="default"/>
      </w:rPr>
    </w:lvl>
    <w:lvl w:ilvl="8" w:tplc="7DE4396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9F245AA"/>
    <w:multiLevelType w:val="hybridMultilevel"/>
    <w:tmpl w:val="1BEA3A84"/>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CF2919"/>
    <w:multiLevelType w:val="hybridMultilevel"/>
    <w:tmpl w:val="05EC8186"/>
    <w:lvl w:ilvl="0" w:tplc="A7F25E0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E255D13"/>
    <w:multiLevelType w:val="hybridMultilevel"/>
    <w:tmpl w:val="54E8C08A"/>
    <w:lvl w:ilvl="0" w:tplc="9842CBC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F2826A8"/>
    <w:multiLevelType w:val="hybridMultilevel"/>
    <w:tmpl w:val="7954F5E2"/>
    <w:lvl w:ilvl="0" w:tplc="A772297C">
      <w:start w:val="1"/>
      <w:numFmt w:val="bullet"/>
      <w:lvlText w:val="•"/>
      <w:lvlJc w:val="left"/>
      <w:pPr>
        <w:tabs>
          <w:tab w:val="num" w:pos="720"/>
        </w:tabs>
        <w:ind w:left="720" w:hanging="360"/>
      </w:pPr>
      <w:rPr>
        <w:rFonts w:ascii="Times New Roman" w:hAnsi="Times New Roman" w:hint="default"/>
      </w:rPr>
    </w:lvl>
    <w:lvl w:ilvl="1" w:tplc="D1820F04" w:tentative="1">
      <w:start w:val="1"/>
      <w:numFmt w:val="bullet"/>
      <w:lvlText w:val="•"/>
      <w:lvlJc w:val="left"/>
      <w:pPr>
        <w:tabs>
          <w:tab w:val="num" w:pos="1440"/>
        </w:tabs>
        <w:ind w:left="1440" w:hanging="360"/>
      </w:pPr>
      <w:rPr>
        <w:rFonts w:ascii="Times New Roman" w:hAnsi="Times New Roman" w:hint="default"/>
      </w:rPr>
    </w:lvl>
    <w:lvl w:ilvl="2" w:tplc="7878349A" w:tentative="1">
      <w:start w:val="1"/>
      <w:numFmt w:val="bullet"/>
      <w:lvlText w:val="•"/>
      <w:lvlJc w:val="left"/>
      <w:pPr>
        <w:tabs>
          <w:tab w:val="num" w:pos="2160"/>
        </w:tabs>
        <w:ind w:left="2160" w:hanging="360"/>
      </w:pPr>
      <w:rPr>
        <w:rFonts w:ascii="Times New Roman" w:hAnsi="Times New Roman" w:hint="default"/>
      </w:rPr>
    </w:lvl>
    <w:lvl w:ilvl="3" w:tplc="5394C44A" w:tentative="1">
      <w:start w:val="1"/>
      <w:numFmt w:val="bullet"/>
      <w:lvlText w:val="•"/>
      <w:lvlJc w:val="left"/>
      <w:pPr>
        <w:tabs>
          <w:tab w:val="num" w:pos="2880"/>
        </w:tabs>
        <w:ind w:left="2880" w:hanging="360"/>
      </w:pPr>
      <w:rPr>
        <w:rFonts w:ascii="Times New Roman" w:hAnsi="Times New Roman" w:hint="default"/>
      </w:rPr>
    </w:lvl>
    <w:lvl w:ilvl="4" w:tplc="085AD47E" w:tentative="1">
      <w:start w:val="1"/>
      <w:numFmt w:val="bullet"/>
      <w:lvlText w:val="•"/>
      <w:lvlJc w:val="left"/>
      <w:pPr>
        <w:tabs>
          <w:tab w:val="num" w:pos="3600"/>
        </w:tabs>
        <w:ind w:left="3600" w:hanging="360"/>
      </w:pPr>
      <w:rPr>
        <w:rFonts w:ascii="Times New Roman" w:hAnsi="Times New Roman" w:hint="default"/>
      </w:rPr>
    </w:lvl>
    <w:lvl w:ilvl="5" w:tplc="5E8C87DE" w:tentative="1">
      <w:start w:val="1"/>
      <w:numFmt w:val="bullet"/>
      <w:lvlText w:val="•"/>
      <w:lvlJc w:val="left"/>
      <w:pPr>
        <w:tabs>
          <w:tab w:val="num" w:pos="4320"/>
        </w:tabs>
        <w:ind w:left="4320" w:hanging="360"/>
      </w:pPr>
      <w:rPr>
        <w:rFonts w:ascii="Times New Roman" w:hAnsi="Times New Roman" w:hint="default"/>
      </w:rPr>
    </w:lvl>
    <w:lvl w:ilvl="6" w:tplc="F8543586" w:tentative="1">
      <w:start w:val="1"/>
      <w:numFmt w:val="bullet"/>
      <w:lvlText w:val="•"/>
      <w:lvlJc w:val="left"/>
      <w:pPr>
        <w:tabs>
          <w:tab w:val="num" w:pos="5040"/>
        </w:tabs>
        <w:ind w:left="5040" w:hanging="360"/>
      </w:pPr>
      <w:rPr>
        <w:rFonts w:ascii="Times New Roman" w:hAnsi="Times New Roman" w:hint="default"/>
      </w:rPr>
    </w:lvl>
    <w:lvl w:ilvl="7" w:tplc="C30C49A6" w:tentative="1">
      <w:start w:val="1"/>
      <w:numFmt w:val="bullet"/>
      <w:lvlText w:val="•"/>
      <w:lvlJc w:val="left"/>
      <w:pPr>
        <w:tabs>
          <w:tab w:val="num" w:pos="5760"/>
        </w:tabs>
        <w:ind w:left="5760" w:hanging="360"/>
      </w:pPr>
      <w:rPr>
        <w:rFonts w:ascii="Times New Roman" w:hAnsi="Times New Roman" w:hint="default"/>
      </w:rPr>
    </w:lvl>
    <w:lvl w:ilvl="8" w:tplc="B9F45C3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4745D01"/>
    <w:multiLevelType w:val="hybridMultilevel"/>
    <w:tmpl w:val="9AFA1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5DF3184"/>
    <w:multiLevelType w:val="hybridMultilevel"/>
    <w:tmpl w:val="95D48C42"/>
    <w:lvl w:ilvl="0" w:tplc="3274156E">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4A6A7988"/>
    <w:multiLevelType w:val="hybridMultilevel"/>
    <w:tmpl w:val="06A64A46"/>
    <w:lvl w:ilvl="0" w:tplc="F5AA1C1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2A23DA"/>
    <w:multiLevelType w:val="hybridMultilevel"/>
    <w:tmpl w:val="9522CB7E"/>
    <w:lvl w:ilvl="0" w:tplc="D36C4F02">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DB5B5A"/>
    <w:multiLevelType w:val="multilevel"/>
    <w:tmpl w:val="8444C902"/>
    <w:lvl w:ilvl="0">
      <w:start w:val="1"/>
      <w:numFmt w:val="decimal"/>
      <w:lvlText w:val="%1."/>
      <w:lvlJc w:val="left"/>
      <w:pPr>
        <w:ind w:left="360" w:hanging="360"/>
      </w:pPr>
      <w:rPr>
        <w:color w:val="002345"/>
      </w:rPr>
    </w:lvl>
    <w:lvl w:ilvl="1">
      <w:start w:val="1"/>
      <w:numFmt w:val="decimal"/>
      <w:isLgl/>
      <w:lvlText w:val="%1.%2."/>
      <w:lvlJc w:val="left"/>
      <w:pPr>
        <w:ind w:left="360" w:hanging="360"/>
      </w:pPr>
      <w:rPr>
        <w:rFonts w:hint="default"/>
        <w:i w:val="0"/>
        <w:color w:val="00606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94B5B30"/>
    <w:multiLevelType w:val="hybridMultilevel"/>
    <w:tmpl w:val="AC4A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C70682"/>
    <w:multiLevelType w:val="hybridMultilevel"/>
    <w:tmpl w:val="A8AAFF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043C14"/>
    <w:multiLevelType w:val="hybridMultilevel"/>
    <w:tmpl w:val="2CF88BE8"/>
    <w:lvl w:ilvl="0" w:tplc="AC7EF858">
      <w:start w:val="1"/>
      <w:numFmt w:val="bullet"/>
      <w:lvlText w:val="•"/>
      <w:lvlJc w:val="left"/>
      <w:pPr>
        <w:tabs>
          <w:tab w:val="num" w:pos="720"/>
        </w:tabs>
        <w:ind w:left="720" w:hanging="360"/>
      </w:pPr>
      <w:rPr>
        <w:rFonts w:ascii="Times New Roman" w:hAnsi="Times New Roman" w:hint="default"/>
      </w:rPr>
    </w:lvl>
    <w:lvl w:ilvl="1" w:tplc="CC0A0FCE" w:tentative="1">
      <w:start w:val="1"/>
      <w:numFmt w:val="bullet"/>
      <w:lvlText w:val="•"/>
      <w:lvlJc w:val="left"/>
      <w:pPr>
        <w:tabs>
          <w:tab w:val="num" w:pos="1440"/>
        </w:tabs>
        <w:ind w:left="1440" w:hanging="360"/>
      </w:pPr>
      <w:rPr>
        <w:rFonts w:ascii="Times New Roman" w:hAnsi="Times New Roman" w:hint="default"/>
      </w:rPr>
    </w:lvl>
    <w:lvl w:ilvl="2" w:tplc="BA6EB2D8" w:tentative="1">
      <w:start w:val="1"/>
      <w:numFmt w:val="bullet"/>
      <w:lvlText w:val="•"/>
      <w:lvlJc w:val="left"/>
      <w:pPr>
        <w:tabs>
          <w:tab w:val="num" w:pos="2160"/>
        </w:tabs>
        <w:ind w:left="2160" w:hanging="360"/>
      </w:pPr>
      <w:rPr>
        <w:rFonts w:ascii="Times New Roman" w:hAnsi="Times New Roman" w:hint="default"/>
      </w:rPr>
    </w:lvl>
    <w:lvl w:ilvl="3" w:tplc="BC3A79F2" w:tentative="1">
      <w:start w:val="1"/>
      <w:numFmt w:val="bullet"/>
      <w:lvlText w:val="•"/>
      <w:lvlJc w:val="left"/>
      <w:pPr>
        <w:tabs>
          <w:tab w:val="num" w:pos="2880"/>
        </w:tabs>
        <w:ind w:left="2880" w:hanging="360"/>
      </w:pPr>
      <w:rPr>
        <w:rFonts w:ascii="Times New Roman" w:hAnsi="Times New Roman" w:hint="default"/>
      </w:rPr>
    </w:lvl>
    <w:lvl w:ilvl="4" w:tplc="9460CE92" w:tentative="1">
      <w:start w:val="1"/>
      <w:numFmt w:val="bullet"/>
      <w:lvlText w:val="•"/>
      <w:lvlJc w:val="left"/>
      <w:pPr>
        <w:tabs>
          <w:tab w:val="num" w:pos="3600"/>
        </w:tabs>
        <w:ind w:left="3600" w:hanging="360"/>
      </w:pPr>
      <w:rPr>
        <w:rFonts w:ascii="Times New Roman" w:hAnsi="Times New Roman" w:hint="default"/>
      </w:rPr>
    </w:lvl>
    <w:lvl w:ilvl="5" w:tplc="5E208F3C" w:tentative="1">
      <w:start w:val="1"/>
      <w:numFmt w:val="bullet"/>
      <w:lvlText w:val="•"/>
      <w:lvlJc w:val="left"/>
      <w:pPr>
        <w:tabs>
          <w:tab w:val="num" w:pos="4320"/>
        </w:tabs>
        <w:ind w:left="4320" w:hanging="360"/>
      </w:pPr>
      <w:rPr>
        <w:rFonts w:ascii="Times New Roman" w:hAnsi="Times New Roman" w:hint="default"/>
      </w:rPr>
    </w:lvl>
    <w:lvl w:ilvl="6" w:tplc="656E88F8" w:tentative="1">
      <w:start w:val="1"/>
      <w:numFmt w:val="bullet"/>
      <w:lvlText w:val="•"/>
      <w:lvlJc w:val="left"/>
      <w:pPr>
        <w:tabs>
          <w:tab w:val="num" w:pos="5040"/>
        </w:tabs>
        <w:ind w:left="5040" w:hanging="360"/>
      </w:pPr>
      <w:rPr>
        <w:rFonts w:ascii="Times New Roman" w:hAnsi="Times New Roman" w:hint="default"/>
      </w:rPr>
    </w:lvl>
    <w:lvl w:ilvl="7" w:tplc="3CB0BF16" w:tentative="1">
      <w:start w:val="1"/>
      <w:numFmt w:val="bullet"/>
      <w:lvlText w:val="•"/>
      <w:lvlJc w:val="left"/>
      <w:pPr>
        <w:tabs>
          <w:tab w:val="num" w:pos="5760"/>
        </w:tabs>
        <w:ind w:left="5760" w:hanging="360"/>
      </w:pPr>
      <w:rPr>
        <w:rFonts w:ascii="Times New Roman" w:hAnsi="Times New Roman" w:hint="default"/>
      </w:rPr>
    </w:lvl>
    <w:lvl w:ilvl="8" w:tplc="5E30C9B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8F660E2"/>
    <w:multiLevelType w:val="hybridMultilevel"/>
    <w:tmpl w:val="D630B08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216D36"/>
    <w:multiLevelType w:val="hybridMultilevel"/>
    <w:tmpl w:val="F112B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B511EB"/>
    <w:multiLevelType w:val="multilevel"/>
    <w:tmpl w:val="46C0C366"/>
    <w:lvl w:ilvl="0">
      <w:start w:val="1"/>
      <w:numFmt w:val="decimal"/>
      <w:lvlText w:val="%1."/>
      <w:lvlJc w:val="left"/>
      <w:pPr>
        <w:ind w:left="720" w:hanging="360"/>
      </w:pPr>
      <w:rPr>
        <w:rFonts w:hint="default"/>
        <w:color w:val="002345"/>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19C4E75"/>
    <w:multiLevelType w:val="hybridMultilevel"/>
    <w:tmpl w:val="314C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1442C6"/>
    <w:multiLevelType w:val="hybridMultilevel"/>
    <w:tmpl w:val="CCE86AFA"/>
    <w:lvl w:ilvl="0" w:tplc="6A34E25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55286A"/>
    <w:multiLevelType w:val="hybridMultilevel"/>
    <w:tmpl w:val="DC2E9316"/>
    <w:lvl w:ilvl="0" w:tplc="38683C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51FF0"/>
    <w:multiLevelType w:val="hybridMultilevel"/>
    <w:tmpl w:val="0EC4C8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7"/>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10"/>
  </w:num>
  <w:num w:numId="6">
    <w:abstractNumId w:val="31"/>
  </w:num>
  <w:num w:numId="7">
    <w:abstractNumId w:val="41"/>
  </w:num>
  <w:num w:numId="8">
    <w:abstractNumId w:val="11"/>
  </w:num>
  <w:num w:numId="9">
    <w:abstractNumId w:val="47"/>
  </w:num>
  <w:num w:numId="10">
    <w:abstractNumId w:val="36"/>
  </w:num>
  <w:num w:numId="11">
    <w:abstractNumId w:val="13"/>
  </w:num>
  <w:num w:numId="12">
    <w:abstractNumId w:val="42"/>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num>
  <w:num w:numId="15">
    <w:abstractNumId w:val="15"/>
  </w:num>
  <w:num w:numId="16">
    <w:abstractNumId w:val="18"/>
  </w:num>
  <w:num w:numId="17">
    <w:abstractNumId w:val="39"/>
  </w:num>
  <w:num w:numId="18">
    <w:abstractNumId w:val="37"/>
  </w:num>
  <w:num w:numId="19">
    <w:abstractNumId w:val="26"/>
  </w:num>
  <w:num w:numId="20">
    <w:abstractNumId w:val="27"/>
  </w:num>
  <w:num w:numId="21">
    <w:abstractNumId w:val="20"/>
  </w:num>
  <w:num w:numId="22">
    <w:abstractNumId w:val="38"/>
  </w:num>
  <w:num w:numId="23">
    <w:abstractNumId w:val="25"/>
  </w:num>
  <w:num w:numId="24">
    <w:abstractNumId w:val="29"/>
  </w:num>
  <w:num w:numId="25">
    <w:abstractNumId w:val="30"/>
  </w:num>
  <w:num w:numId="26">
    <w:abstractNumId w:val="24"/>
  </w:num>
  <w:num w:numId="27">
    <w:abstractNumId w:val="35"/>
  </w:num>
  <w:num w:numId="28">
    <w:abstractNumId w:val="34"/>
  </w:num>
  <w:num w:numId="29">
    <w:abstractNumId w:val="23"/>
  </w:num>
  <w:num w:numId="30">
    <w:abstractNumId w:val="12"/>
  </w:num>
  <w:num w:numId="31">
    <w:abstractNumId w:val="43"/>
  </w:num>
  <w:num w:numId="32">
    <w:abstractNumId w:val="46"/>
  </w:num>
  <w:num w:numId="33">
    <w:abstractNumId w:val="22"/>
  </w:num>
  <w:num w:numId="34">
    <w:abstractNumId w:val="19"/>
  </w:num>
  <w:num w:numId="35">
    <w:abstractNumId w:val="28"/>
  </w:num>
  <w:num w:numId="36">
    <w:abstractNumId w:val="14"/>
  </w:num>
  <w:num w:numId="37">
    <w:abstractNumId w:val="40"/>
  </w:num>
  <w:num w:numId="38">
    <w:abstractNumId w:val="32"/>
  </w:num>
  <w:num w:numId="39">
    <w:abstractNumId w:val="21"/>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8C"/>
    <w:rsid w:val="000837CD"/>
    <w:rsid w:val="00102F1F"/>
    <w:rsid w:val="0012121E"/>
    <w:rsid w:val="00124DDB"/>
    <w:rsid w:val="002014BA"/>
    <w:rsid w:val="00277AE4"/>
    <w:rsid w:val="00343D43"/>
    <w:rsid w:val="003F19C7"/>
    <w:rsid w:val="006165DF"/>
    <w:rsid w:val="00662DC4"/>
    <w:rsid w:val="00675DB5"/>
    <w:rsid w:val="00873754"/>
    <w:rsid w:val="009002F0"/>
    <w:rsid w:val="00906DE5"/>
    <w:rsid w:val="00960052"/>
    <w:rsid w:val="009B7359"/>
    <w:rsid w:val="009C328C"/>
    <w:rsid w:val="00A11980"/>
    <w:rsid w:val="00B70913"/>
    <w:rsid w:val="00C263DB"/>
    <w:rsid w:val="00C74666"/>
    <w:rsid w:val="00CB597A"/>
    <w:rsid w:val="00CE1943"/>
    <w:rsid w:val="00E00A79"/>
    <w:rsid w:val="00E03FD7"/>
    <w:rsid w:val="00E970DF"/>
    <w:rsid w:val="00EB0EFA"/>
    <w:rsid w:val="00F16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D70"/>
  <w15:docId w15:val="{F59509FE-6FB0-4868-AF13-3F3A6B4C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Arial" w:hAnsi="Arial" w:cs="Arial"/>
      <w:color w:val="000000"/>
      <w:sz w:val="24"/>
      <w:szCs w:val="24"/>
    </w:rPr>
  </w:style>
  <w:style w:type="paragraph" w:styleId="Heading1">
    <w:name w:val="heading 1"/>
    <w:basedOn w:val="Normal"/>
    <w:next w:val="Normal"/>
    <w:link w:val="Heading1Char"/>
    <w:uiPriority w:val="9"/>
    <w:qFormat/>
    <w:pPr>
      <w:outlineLvl w:val="0"/>
    </w:pPr>
    <w:rPr>
      <w:b/>
      <w:bCs/>
      <w:sz w:val="32"/>
      <w:szCs w:val="32"/>
    </w:rPr>
  </w:style>
  <w:style w:type="paragraph" w:styleId="Heading2">
    <w:name w:val="heading 2"/>
    <w:basedOn w:val="Normal"/>
    <w:next w:val="Normal"/>
    <w:link w:val="Heading2Char"/>
    <w:uiPriority w:val="9"/>
    <w:qFormat/>
    <w:pPr>
      <w:outlineLvl w:val="1"/>
    </w:pPr>
    <w:rPr>
      <w:b/>
      <w:bCs/>
      <w:i/>
      <w:iCs/>
      <w:sz w:val="28"/>
      <w:szCs w:val="28"/>
    </w:rPr>
  </w:style>
  <w:style w:type="paragraph" w:styleId="Heading3">
    <w:name w:val="heading 3"/>
    <w:basedOn w:val="Normal"/>
    <w:next w:val="Normal"/>
    <w:link w:val="Heading3Char"/>
    <w:uiPriority w:val="9"/>
    <w:qFormat/>
    <w:pPr>
      <w:outlineLvl w:val="2"/>
    </w:pPr>
    <w:rPr>
      <w:b/>
      <w:bCs/>
      <w:sz w:val="26"/>
      <w:szCs w:val="26"/>
    </w:rPr>
  </w:style>
  <w:style w:type="paragraph" w:styleId="Heading4">
    <w:name w:val="heading 4"/>
    <w:basedOn w:val="Normal"/>
    <w:next w:val="Normal"/>
    <w:link w:val="Heading4Char"/>
    <w:uiPriority w:val="9"/>
    <w:semiHidden/>
    <w:unhideWhenUsed/>
    <w:qFormat/>
    <w:rsid w:val="00C74666"/>
    <w:pPr>
      <w:keepNext/>
      <w:keepLines/>
      <w:widowControl/>
      <w:autoSpaceDE/>
      <w:autoSpaceDN/>
      <w:adjustRightInd/>
      <w:spacing w:before="40" w:line="264" w:lineRule="auto"/>
      <w:outlineLvl w:val="3"/>
    </w:pPr>
    <w:rPr>
      <w:rFonts w:asciiTheme="majorHAnsi" w:eastAsiaTheme="majorEastAsia" w:hAnsiTheme="majorHAnsi" w:cstheme="majorBidi"/>
      <w:color w:val="auto"/>
      <w:sz w:val="22"/>
      <w:szCs w:val="22"/>
      <w:lang w:eastAsia="ko-KR"/>
    </w:rPr>
  </w:style>
  <w:style w:type="paragraph" w:styleId="Heading5">
    <w:name w:val="heading 5"/>
    <w:basedOn w:val="Normal"/>
    <w:next w:val="Normal"/>
    <w:link w:val="Heading5Char"/>
    <w:uiPriority w:val="9"/>
    <w:semiHidden/>
    <w:unhideWhenUsed/>
    <w:qFormat/>
    <w:rsid w:val="00C74666"/>
    <w:pPr>
      <w:keepNext/>
      <w:keepLines/>
      <w:widowControl/>
      <w:autoSpaceDE/>
      <w:autoSpaceDN/>
      <w:adjustRightInd/>
      <w:spacing w:before="40" w:line="264" w:lineRule="auto"/>
      <w:outlineLvl w:val="4"/>
    </w:pPr>
    <w:rPr>
      <w:rFonts w:asciiTheme="majorHAnsi" w:eastAsiaTheme="majorEastAsia" w:hAnsiTheme="majorHAnsi" w:cstheme="majorBidi"/>
      <w:color w:val="44546A" w:themeColor="text2"/>
      <w:sz w:val="22"/>
      <w:szCs w:val="22"/>
      <w:lang w:eastAsia="ko-KR"/>
    </w:rPr>
  </w:style>
  <w:style w:type="paragraph" w:styleId="Heading6">
    <w:name w:val="heading 6"/>
    <w:basedOn w:val="Normal"/>
    <w:next w:val="Normal"/>
    <w:link w:val="Heading6Char"/>
    <w:uiPriority w:val="9"/>
    <w:semiHidden/>
    <w:unhideWhenUsed/>
    <w:qFormat/>
    <w:rsid w:val="00C74666"/>
    <w:pPr>
      <w:keepNext/>
      <w:keepLines/>
      <w:widowControl/>
      <w:autoSpaceDE/>
      <w:autoSpaceDN/>
      <w:adjustRightInd/>
      <w:spacing w:before="40" w:line="264" w:lineRule="auto"/>
      <w:outlineLvl w:val="5"/>
    </w:pPr>
    <w:rPr>
      <w:rFonts w:asciiTheme="majorHAnsi" w:eastAsiaTheme="majorEastAsia" w:hAnsiTheme="majorHAnsi" w:cstheme="majorBidi"/>
      <w:i/>
      <w:iCs/>
      <w:color w:val="44546A" w:themeColor="text2"/>
      <w:sz w:val="21"/>
      <w:szCs w:val="21"/>
      <w:lang w:eastAsia="ko-KR"/>
    </w:rPr>
  </w:style>
  <w:style w:type="paragraph" w:styleId="Heading7">
    <w:name w:val="heading 7"/>
    <w:basedOn w:val="Normal"/>
    <w:next w:val="Normal"/>
    <w:link w:val="Heading7Char"/>
    <w:uiPriority w:val="9"/>
    <w:semiHidden/>
    <w:unhideWhenUsed/>
    <w:qFormat/>
    <w:rsid w:val="00C74666"/>
    <w:pPr>
      <w:keepNext/>
      <w:keepLines/>
      <w:widowControl/>
      <w:autoSpaceDE/>
      <w:autoSpaceDN/>
      <w:adjustRightInd/>
      <w:spacing w:before="40" w:line="264" w:lineRule="auto"/>
      <w:outlineLvl w:val="6"/>
    </w:pPr>
    <w:rPr>
      <w:rFonts w:asciiTheme="majorHAnsi" w:eastAsiaTheme="majorEastAsia" w:hAnsiTheme="majorHAnsi" w:cstheme="majorBidi"/>
      <w:i/>
      <w:iCs/>
      <w:color w:val="1F4E79" w:themeColor="accent1" w:themeShade="80"/>
      <w:sz w:val="21"/>
      <w:szCs w:val="21"/>
      <w:lang w:eastAsia="ko-KR"/>
    </w:rPr>
  </w:style>
  <w:style w:type="paragraph" w:styleId="Heading8">
    <w:name w:val="heading 8"/>
    <w:basedOn w:val="Normal"/>
    <w:next w:val="Normal"/>
    <w:link w:val="Heading8Char"/>
    <w:uiPriority w:val="9"/>
    <w:semiHidden/>
    <w:unhideWhenUsed/>
    <w:qFormat/>
    <w:rsid w:val="00C74666"/>
    <w:pPr>
      <w:keepNext/>
      <w:keepLines/>
      <w:widowControl/>
      <w:autoSpaceDE/>
      <w:autoSpaceDN/>
      <w:adjustRightInd/>
      <w:spacing w:before="40" w:line="264" w:lineRule="auto"/>
      <w:outlineLvl w:val="7"/>
    </w:pPr>
    <w:rPr>
      <w:rFonts w:asciiTheme="majorHAnsi" w:eastAsiaTheme="majorEastAsia" w:hAnsiTheme="majorHAnsi" w:cstheme="majorBidi"/>
      <w:b/>
      <w:bCs/>
      <w:color w:val="44546A" w:themeColor="text2"/>
      <w:sz w:val="20"/>
      <w:szCs w:val="20"/>
      <w:lang w:eastAsia="ko-KR"/>
    </w:rPr>
  </w:style>
  <w:style w:type="paragraph" w:styleId="Heading9">
    <w:name w:val="heading 9"/>
    <w:basedOn w:val="Normal"/>
    <w:next w:val="Normal"/>
    <w:link w:val="Heading9Char"/>
    <w:uiPriority w:val="9"/>
    <w:semiHidden/>
    <w:unhideWhenUsed/>
    <w:qFormat/>
    <w:rsid w:val="00C74666"/>
    <w:pPr>
      <w:keepNext/>
      <w:keepLines/>
      <w:widowControl/>
      <w:autoSpaceDE/>
      <w:autoSpaceDN/>
      <w:adjustRightInd/>
      <w:spacing w:before="40" w:line="264" w:lineRule="auto"/>
      <w:outlineLvl w:val="8"/>
    </w:pPr>
    <w:rPr>
      <w:rFonts w:asciiTheme="majorHAnsi" w:eastAsiaTheme="majorEastAsia" w:hAnsiTheme="majorHAnsi" w:cstheme="majorBidi"/>
      <w:b/>
      <w:bCs/>
      <w:i/>
      <w:iCs/>
      <w:color w:val="44546A" w:themeColor="text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rPr>
  </w:style>
  <w:style w:type="paragraph" w:styleId="Header">
    <w:name w:val="header"/>
    <w:basedOn w:val="Normal"/>
    <w:link w:val="HeaderChar"/>
    <w:uiPriority w:val="99"/>
    <w:unhideWhenUsed/>
    <w:rsid w:val="00675DB5"/>
    <w:pPr>
      <w:tabs>
        <w:tab w:val="center" w:pos="4680"/>
        <w:tab w:val="right" w:pos="9360"/>
      </w:tabs>
    </w:pPr>
  </w:style>
  <w:style w:type="character" w:customStyle="1" w:styleId="HeaderChar">
    <w:name w:val="Header Char"/>
    <w:basedOn w:val="DefaultParagraphFont"/>
    <w:link w:val="Header"/>
    <w:uiPriority w:val="99"/>
    <w:rsid w:val="00675DB5"/>
    <w:rPr>
      <w:rFonts w:ascii="Arial" w:hAnsi="Arial" w:cs="Arial"/>
      <w:color w:val="000000"/>
      <w:sz w:val="24"/>
      <w:szCs w:val="24"/>
    </w:rPr>
  </w:style>
  <w:style w:type="paragraph" w:styleId="Footer">
    <w:name w:val="footer"/>
    <w:basedOn w:val="Normal"/>
    <w:link w:val="FooterChar"/>
    <w:uiPriority w:val="99"/>
    <w:unhideWhenUsed/>
    <w:rsid w:val="00675DB5"/>
    <w:pPr>
      <w:tabs>
        <w:tab w:val="center" w:pos="4680"/>
        <w:tab w:val="right" w:pos="9360"/>
      </w:tabs>
    </w:pPr>
  </w:style>
  <w:style w:type="character" w:customStyle="1" w:styleId="FooterChar">
    <w:name w:val="Footer Char"/>
    <w:basedOn w:val="DefaultParagraphFont"/>
    <w:link w:val="Footer"/>
    <w:uiPriority w:val="99"/>
    <w:rsid w:val="00675DB5"/>
    <w:rPr>
      <w:rFonts w:ascii="Arial" w:hAnsi="Arial" w:cs="Arial"/>
      <w:color w:val="000000"/>
      <w:sz w:val="24"/>
      <w:szCs w:val="24"/>
    </w:rPr>
  </w:style>
  <w:style w:type="paragraph" w:customStyle="1" w:styleId="Default">
    <w:name w:val="Default"/>
    <w:rsid w:val="00873754"/>
    <w:pPr>
      <w:autoSpaceDE w:val="0"/>
      <w:autoSpaceDN w:val="0"/>
      <w:adjustRightInd w:val="0"/>
      <w:spacing w:after="0" w:line="240" w:lineRule="auto"/>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873754"/>
    <w:rPr>
      <w:color w:val="0563C1" w:themeColor="hyperlink"/>
      <w:u w:val="single"/>
    </w:rPr>
  </w:style>
  <w:style w:type="character" w:customStyle="1" w:styleId="Heading4Char">
    <w:name w:val="Heading 4 Char"/>
    <w:basedOn w:val="DefaultParagraphFont"/>
    <w:link w:val="Heading4"/>
    <w:uiPriority w:val="9"/>
    <w:semiHidden/>
    <w:rsid w:val="00C74666"/>
    <w:rPr>
      <w:rFonts w:asciiTheme="majorHAnsi" w:eastAsiaTheme="majorEastAsia" w:hAnsiTheme="majorHAnsi" w:cstheme="majorBidi"/>
      <w:lang w:eastAsia="ko-KR"/>
    </w:rPr>
  </w:style>
  <w:style w:type="character" w:customStyle="1" w:styleId="Heading5Char">
    <w:name w:val="Heading 5 Char"/>
    <w:basedOn w:val="DefaultParagraphFont"/>
    <w:link w:val="Heading5"/>
    <w:uiPriority w:val="9"/>
    <w:semiHidden/>
    <w:rsid w:val="00C74666"/>
    <w:rPr>
      <w:rFonts w:asciiTheme="majorHAnsi" w:eastAsiaTheme="majorEastAsia" w:hAnsiTheme="majorHAnsi" w:cstheme="majorBidi"/>
      <w:color w:val="44546A" w:themeColor="text2"/>
      <w:lang w:eastAsia="ko-KR"/>
    </w:rPr>
  </w:style>
  <w:style w:type="character" w:customStyle="1" w:styleId="Heading6Char">
    <w:name w:val="Heading 6 Char"/>
    <w:basedOn w:val="DefaultParagraphFont"/>
    <w:link w:val="Heading6"/>
    <w:uiPriority w:val="9"/>
    <w:semiHidden/>
    <w:rsid w:val="00C74666"/>
    <w:rPr>
      <w:rFonts w:asciiTheme="majorHAnsi" w:eastAsiaTheme="majorEastAsia" w:hAnsiTheme="majorHAnsi" w:cstheme="majorBidi"/>
      <w:i/>
      <w:iCs/>
      <w:color w:val="44546A" w:themeColor="text2"/>
      <w:sz w:val="21"/>
      <w:szCs w:val="21"/>
      <w:lang w:eastAsia="ko-KR"/>
    </w:rPr>
  </w:style>
  <w:style w:type="character" w:customStyle="1" w:styleId="Heading7Char">
    <w:name w:val="Heading 7 Char"/>
    <w:basedOn w:val="DefaultParagraphFont"/>
    <w:link w:val="Heading7"/>
    <w:uiPriority w:val="9"/>
    <w:semiHidden/>
    <w:rsid w:val="00C74666"/>
    <w:rPr>
      <w:rFonts w:asciiTheme="majorHAnsi" w:eastAsiaTheme="majorEastAsia" w:hAnsiTheme="majorHAnsi" w:cstheme="majorBidi"/>
      <w:i/>
      <w:iCs/>
      <w:color w:val="1F4E79" w:themeColor="accent1" w:themeShade="80"/>
      <w:sz w:val="21"/>
      <w:szCs w:val="21"/>
      <w:lang w:eastAsia="ko-KR"/>
    </w:rPr>
  </w:style>
  <w:style w:type="character" w:customStyle="1" w:styleId="Heading8Char">
    <w:name w:val="Heading 8 Char"/>
    <w:basedOn w:val="DefaultParagraphFont"/>
    <w:link w:val="Heading8"/>
    <w:uiPriority w:val="9"/>
    <w:semiHidden/>
    <w:rsid w:val="00C74666"/>
    <w:rPr>
      <w:rFonts w:asciiTheme="majorHAnsi" w:eastAsiaTheme="majorEastAsia" w:hAnsiTheme="majorHAnsi" w:cstheme="majorBidi"/>
      <w:b/>
      <w:bCs/>
      <w:color w:val="44546A" w:themeColor="text2"/>
      <w:sz w:val="20"/>
      <w:szCs w:val="20"/>
      <w:lang w:eastAsia="ko-KR"/>
    </w:rPr>
  </w:style>
  <w:style w:type="character" w:customStyle="1" w:styleId="Heading9Char">
    <w:name w:val="Heading 9 Char"/>
    <w:basedOn w:val="DefaultParagraphFont"/>
    <w:link w:val="Heading9"/>
    <w:uiPriority w:val="9"/>
    <w:semiHidden/>
    <w:rsid w:val="00C74666"/>
    <w:rPr>
      <w:rFonts w:asciiTheme="majorHAnsi" w:eastAsiaTheme="majorEastAsia" w:hAnsiTheme="majorHAnsi" w:cstheme="majorBidi"/>
      <w:b/>
      <w:bCs/>
      <w:i/>
      <w:iCs/>
      <w:color w:val="44546A" w:themeColor="text2"/>
      <w:sz w:val="20"/>
      <w:szCs w:val="20"/>
      <w:lang w:eastAsia="ko-KR"/>
    </w:rPr>
  </w:style>
  <w:style w:type="paragraph" w:customStyle="1" w:styleId="Normal00">
    <w:name w:val="Normal_0_0"/>
    <w:rsid w:val="00C74666"/>
    <w:pPr>
      <w:spacing w:after="120" w:line="256" w:lineRule="auto"/>
    </w:pPr>
    <w:rPr>
      <w:rFonts w:eastAsiaTheme="minorHAnsi" w:cstheme="minorBidi"/>
      <w:sz w:val="20"/>
      <w:szCs w:val="20"/>
    </w:rPr>
  </w:style>
  <w:style w:type="paragraph" w:styleId="ListParagraph">
    <w:name w:val="List Paragraph"/>
    <w:basedOn w:val="Normal"/>
    <w:uiPriority w:val="34"/>
    <w:qFormat/>
    <w:rsid w:val="00C74666"/>
    <w:pPr>
      <w:widowControl/>
      <w:autoSpaceDE/>
      <w:autoSpaceDN/>
      <w:adjustRightInd/>
      <w:spacing w:after="120" w:line="264" w:lineRule="auto"/>
      <w:ind w:left="720"/>
      <w:contextualSpacing/>
    </w:pPr>
    <w:rPr>
      <w:rFonts w:asciiTheme="minorHAnsi" w:hAnsiTheme="minorHAnsi" w:cstheme="minorBidi"/>
      <w:color w:val="auto"/>
      <w:sz w:val="20"/>
      <w:szCs w:val="20"/>
      <w:lang w:eastAsia="ko-KR"/>
    </w:rPr>
  </w:style>
  <w:style w:type="paragraph" w:styleId="Date">
    <w:name w:val="Date"/>
    <w:basedOn w:val="Normal"/>
    <w:next w:val="Normal"/>
    <w:link w:val="DateChar"/>
    <w:uiPriority w:val="99"/>
    <w:semiHidden/>
    <w:unhideWhenUsed/>
    <w:rsid w:val="00C74666"/>
    <w:pPr>
      <w:widowControl/>
      <w:autoSpaceDE/>
      <w:autoSpaceDN/>
      <w:adjustRightInd/>
      <w:spacing w:after="120" w:line="264" w:lineRule="auto"/>
    </w:pPr>
    <w:rPr>
      <w:rFonts w:asciiTheme="minorHAnsi" w:hAnsiTheme="minorHAnsi" w:cstheme="minorBidi"/>
      <w:color w:val="auto"/>
      <w:sz w:val="20"/>
      <w:szCs w:val="20"/>
      <w:lang w:eastAsia="ko-KR"/>
    </w:rPr>
  </w:style>
  <w:style w:type="character" w:customStyle="1" w:styleId="DateChar">
    <w:name w:val="Date Char"/>
    <w:basedOn w:val="DefaultParagraphFont"/>
    <w:link w:val="Date"/>
    <w:uiPriority w:val="99"/>
    <w:semiHidden/>
    <w:rsid w:val="00C74666"/>
    <w:rPr>
      <w:rFonts w:cstheme="minorBidi"/>
      <w:sz w:val="20"/>
      <w:szCs w:val="20"/>
      <w:lang w:eastAsia="ko-KR"/>
    </w:rPr>
  </w:style>
  <w:style w:type="paragraph" w:styleId="FootnoteText">
    <w:name w:val="footnote text"/>
    <w:basedOn w:val="Normal"/>
    <w:link w:val="FootnoteTextChar"/>
    <w:uiPriority w:val="99"/>
    <w:semiHidden/>
    <w:unhideWhenUsed/>
    <w:rsid w:val="00C74666"/>
    <w:pPr>
      <w:widowControl/>
      <w:autoSpaceDE/>
      <w:autoSpaceDN/>
      <w:adjustRightInd/>
    </w:pPr>
    <w:rPr>
      <w:rFonts w:asciiTheme="minorHAnsi" w:hAnsiTheme="minorHAnsi" w:cstheme="minorBidi"/>
      <w:color w:val="auto"/>
      <w:sz w:val="20"/>
      <w:szCs w:val="20"/>
      <w:lang w:eastAsia="ko-KR"/>
    </w:rPr>
  </w:style>
  <w:style w:type="character" w:customStyle="1" w:styleId="FootnoteTextChar">
    <w:name w:val="Footnote Text Char"/>
    <w:basedOn w:val="DefaultParagraphFont"/>
    <w:link w:val="FootnoteText"/>
    <w:uiPriority w:val="99"/>
    <w:semiHidden/>
    <w:rsid w:val="00C74666"/>
    <w:rPr>
      <w:rFonts w:cstheme="minorBidi"/>
      <w:sz w:val="20"/>
      <w:szCs w:val="20"/>
      <w:lang w:eastAsia="ko-KR"/>
    </w:rPr>
  </w:style>
  <w:style w:type="character" w:styleId="FootnoteReference">
    <w:name w:val="footnote reference"/>
    <w:basedOn w:val="DefaultParagraphFont"/>
    <w:uiPriority w:val="99"/>
    <w:semiHidden/>
    <w:unhideWhenUsed/>
    <w:rsid w:val="00C74666"/>
    <w:rPr>
      <w:vertAlign w:val="superscript"/>
    </w:rPr>
  </w:style>
  <w:style w:type="table" w:styleId="TableGrid">
    <w:name w:val="Table Grid"/>
    <w:basedOn w:val="TableNormal"/>
    <w:uiPriority w:val="59"/>
    <w:rsid w:val="00C74666"/>
    <w:pPr>
      <w:spacing w:after="0" w:line="240" w:lineRule="auto"/>
    </w:pPr>
    <w:rPr>
      <w:rFonts w:cstheme="minorBidi"/>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4666"/>
    <w:rPr>
      <w:sz w:val="16"/>
      <w:szCs w:val="16"/>
    </w:rPr>
  </w:style>
  <w:style w:type="paragraph" w:styleId="CommentText">
    <w:name w:val="annotation text"/>
    <w:basedOn w:val="Normal"/>
    <w:link w:val="CommentTextChar"/>
    <w:uiPriority w:val="99"/>
    <w:semiHidden/>
    <w:unhideWhenUsed/>
    <w:rsid w:val="00C74666"/>
    <w:pPr>
      <w:widowControl/>
      <w:autoSpaceDE/>
      <w:autoSpaceDN/>
      <w:adjustRightInd/>
      <w:spacing w:after="12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C74666"/>
    <w:rPr>
      <w:rFonts w:eastAsiaTheme="minorHAnsi" w:cstheme="minorBidi"/>
      <w:sz w:val="20"/>
      <w:szCs w:val="20"/>
    </w:rPr>
  </w:style>
  <w:style w:type="table" w:customStyle="1" w:styleId="TableGrid1">
    <w:name w:val="Table Grid1"/>
    <w:basedOn w:val="TableNormal"/>
    <w:next w:val="TableGrid"/>
    <w:uiPriority w:val="39"/>
    <w:rsid w:val="00C74666"/>
    <w:pPr>
      <w:spacing w:after="0" w:line="240" w:lineRule="auto"/>
    </w:pPr>
    <w:rPr>
      <w:rFonts w:eastAsia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4666"/>
    <w:pPr>
      <w:widowControl/>
      <w:autoSpaceDE/>
      <w:autoSpaceDN/>
      <w:adjustRightInd/>
    </w:pPr>
    <w:rPr>
      <w:rFonts w:ascii="Segoe UI" w:hAnsi="Segoe UI" w:cs="Segoe UI"/>
      <w:color w:val="auto"/>
      <w:sz w:val="18"/>
      <w:szCs w:val="18"/>
      <w:lang w:eastAsia="ko-KR"/>
    </w:rPr>
  </w:style>
  <w:style w:type="character" w:customStyle="1" w:styleId="BalloonTextChar">
    <w:name w:val="Balloon Text Char"/>
    <w:basedOn w:val="DefaultParagraphFont"/>
    <w:link w:val="BalloonText"/>
    <w:uiPriority w:val="99"/>
    <w:semiHidden/>
    <w:rsid w:val="00C74666"/>
    <w:rPr>
      <w:rFonts w:ascii="Segoe UI" w:hAnsi="Segoe UI" w:cs="Segoe UI"/>
      <w:sz w:val="18"/>
      <w:szCs w:val="18"/>
      <w:lang w:eastAsia="ko-KR"/>
    </w:rPr>
  </w:style>
  <w:style w:type="paragraph" w:styleId="Caption">
    <w:name w:val="caption"/>
    <w:basedOn w:val="Normal"/>
    <w:next w:val="Normal"/>
    <w:uiPriority w:val="35"/>
    <w:unhideWhenUsed/>
    <w:rsid w:val="00C74666"/>
    <w:pPr>
      <w:widowControl/>
      <w:autoSpaceDE/>
      <w:autoSpaceDN/>
      <w:adjustRightInd/>
      <w:spacing w:after="120"/>
    </w:pPr>
    <w:rPr>
      <w:rFonts w:asciiTheme="minorHAnsi" w:hAnsiTheme="minorHAnsi" w:cstheme="minorBidi"/>
      <w:bCs/>
      <w:color w:val="595959" w:themeColor="text1" w:themeTint="A6"/>
      <w:spacing w:val="4"/>
      <w:szCs w:val="20"/>
      <w:lang w:eastAsia="ko-KR"/>
    </w:rPr>
  </w:style>
  <w:style w:type="paragraph" w:styleId="Title">
    <w:name w:val="Title"/>
    <w:basedOn w:val="Normal"/>
    <w:next w:val="Normal"/>
    <w:link w:val="TitleChar"/>
    <w:uiPriority w:val="10"/>
    <w:qFormat/>
    <w:rsid w:val="00C74666"/>
    <w:pPr>
      <w:widowControl/>
      <w:autoSpaceDE/>
      <w:autoSpaceDN/>
      <w:adjustRightInd/>
      <w:contextualSpacing/>
    </w:pPr>
    <w:rPr>
      <w:rFonts w:asciiTheme="majorHAnsi" w:eastAsiaTheme="majorEastAsia" w:hAnsiTheme="majorHAnsi" w:cstheme="majorBidi"/>
      <w:color w:val="5B9BD5" w:themeColor="accent1"/>
      <w:spacing w:val="-10"/>
      <w:sz w:val="56"/>
      <w:szCs w:val="56"/>
      <w:lang w:eastAsia="ko-KR"/>
    </w:rPr>
  </w:style>
  <w:style w:type="character" w:customStyle="1" w:styleId="TitleChar">
    <w:name w:val="Title Char"/>
    <w:basedOn w:val="DefaultParagraphFont"/>
    <w:link w:val="Title"/>
    <w:uiPriority w:val="10"/>
    <w:rsid w:val="00C74666"/>
    <w:rPr>
      <w:rFonts w:asciiTheme="majorHAnsi" w:eastAsiaTheme="majorEastAsia" w:hAnsiTheme="majorHAnsi" w:cstheme="majorBidi"/>
      <w:color w:val="5B9BD5" w:themeColor="accent1"/>
      <w:spacing w:val="-10"/>
      <w:sz w:val="56"/>
      <w:szCs w:val="56"/>
      <w:lang w:eastAsia="ko-KR"/>
    </w:rPr>
  </w:style>
  <w:style w:type="paragraph" w:styleId="Subtitle">
    <w:name w:val="Subtitle"/>
    <w:basedOn w:val="Normal"/>
    <w:next w:val="Normal"/>
    <w:link w:val="SubtitleChar"/>
    <w:uiPriority w:val="11"/>
    <w:qFormat/>
    <w:rsid w:val="00C74666"/>
    <w:pPr>
      <w:widowControl/>
      <w:numPr>
        <w:ilvl w:val="1"/>
      </w:numPr>
      <w:autoSpaceDE/>
      <w:autoSpaceDN/>
      <w:adjustRightInd/>
      <w:spacing w:after="120"/>
    </w:pPr>
    <w:rPr>
      <w:rFonts w:asciiTheme="majorHAnsi" w:eastAsiaTheme="majorEastAsia" w:hAnsiTheme="majorHAnsi" w:cstheme="majorBidi"/>
      <w:color w:val="auto"/>
      <w:lang w:eastAsia="ko-KR"/>
    </w:rPr>
  </w:style>
  <w:style w:type="character" w:customStyle="1" w:styleId="SubtitleChar">
    <w:name w:val="Subtitle Char"/>
    <w:basedOn w:val="DefaultParagraphFont"/>
    <w:link w:val="Subtitle"/>
    <w:uiPriority w:val="11"/>
    <w:rsid w:val="00C74666"/>
    <w:rPr>
      <w:rFonts w:asciiTheme="majorHAnsi" w:eastAsiaTheme="majorEastAsia" w:hAnsiTheme="majorHAnsi" w:cstheme="majorBidi"/>
      <w:sz w:val="24"/>
      <w:szCs w:val="24"/>
      <w:lang w:eastAsia="ko-KR"/>
    </w:rPr>
  </w:style>
  <w:style w:type="character" w:styleId="Strong">
    <w:name w:val="Strong"/>
    <w:basedOn w:val="DefaultParagraphFont"/>
    <w:uiPriority w:val="22"/>
    <w:qFormat/>
    <w:rsid w:val="00C74666"/>
    <w:rPr>
      <w:b/>
      <w:bCs/>
    </w:rPr>
  </w:style>
  <w:style w:type="character" w:styleId="Emphasis">
    <w:name w:val="Emphasis"/>
    <w:basedOn w:val="DefaultParagraphFont"/>
    <w:uiPriority w:val="20"/>
    <w:qFormat/>
    <w:rsid w:val="00C74666"/>
    <w:rPr>
      <w:i/>
      <w:iCs/>
    </w:rPr>
  </w:style>
  <w:style w:type="paragraph" w:styleId="NoSpacing">
    <w:name w:val="No Spacing"/>
    <w:uiPriority w:val="1"/>
    <w:qFormat/>
    <w:rsid w:val="00C74666"/>
    <w:pPr>
      <w:spacing w:after="0" w:line="240" w:lineRule="auto"/>
    </w:pPr>
    <w:rPr>
      <w:rFonts w:cstheme="minorBidi"/>
      <w:sz w:val="20"/>
      <w:szCs w:val="20"/>
      <w:lang w:eastAsia="ko-KR"/>
    </w:rPr>
  </w:style>
  <w:style w:type="paragraph" w:styleId="Quote">
    <w:name w:val="Quote"/>
    <w:basedOn w:val="Normal"/>
    <w:next w:val="Normal"/>
    <w:link w:val="QuoteChar"/>
    <w:uiPriority w:val="29"/>
    <w:qFormat/>
    <w:rsid w:val="00C74666"/>
    <w:pPr>
      <w:widowControl/>
      <w:autoSpaceDE/>
      <w:autoSpaceDN/>
      <w:adjustRightInd/>
      <w:spacing w:before="160" w:after="120" w:line="264" w:lineRule="auto"/>
      <w:ind w:left="720" w:right="720"/>
    </w:pPr>
    <w:rPr>
      <w:rFonts w:asciiTheme="minorHAnsi" w:hAnsiTheme="minorHAnsi" w:cstheme="minorBidi"/>
      <w:i/>
      <w:iCs/>
      <w:color w:val="404040" w:themeColor="text1" w:themeTint="BF"/>
      <w:sz w:val="20"/>
      <w:szCs w:val="20"/>
      <w:lang w:eastAsia="ko-KR"/>
    </w:rPr>
  </w:style>
  <w:style w:type="character" w:customStyle="1" w:styleId="QuoteChar">
    <w:name w:val="Quote Char"/>
    <w:basedOn w:val="DefaultParagraphFont"/>
    <w:link w:val="Quote"/>
    <w:uiPriority w:val="29"/>
    <w:rsid w:val="00C74666"/>
    <w:rPr>
      <w:rFonts w:cstheme="minorBidi"/>
      <w:i/>
      <w:iCs/>
      <w:color w:val="404040" w:themeColor="text1" w:themeTint="BF"/>
      <w:sz w:val="20"/>
      <w:szCs w:val="20"/>
      <w:lang w:eastAsia="ko-KR"/>
    </w:rPr>
  </w:style>
  <w:style w:type="paragraph" w:styleId="IntenseQuote">
    <w:name w:val="Intense Quote"/>
    <w:basedOn w:val="Normal"/>
    <w:next w:val="Normal"/>
    <w:link w:val="IntenseQuoteChar"/>
    <w:uiPriority w:val="30"/>
    <w:qFormat/>
    <w:rsid w:val="00C74666"/>
    <w:pPr>
      <w:widowControl/>
      <w:pBdr>
        <w:left w:val="single" w:sz="18" w:space="12" w:color="5B9BD5" w:themeColor="accent1"/>
      </w:pBdr>
      <w:autoSpaceDE/>
      <w:autoSpaceDN/>
      <w:adjustRightInd/>
      <w:spacing w:before="100" w:beforeAutospacing="1" w:after="120" w:line="300" w:lineRule="auto"/>
      <w:ind w:left="1224" w:right="1224"/>
    </w:pPr>
    <w:rPr>
      <w:rFonts w:asciiTheme="majorHAnsi" w:eastAsiaTheme="majorEastAsia" w:hAnsiTheme="majorHAnsi" w:cstheme="majorBidi"/>
      <w:color w:val="5B9BD5" w:themeColor="accent1"/>
      <w:sz w:val="28"/>
      <w:szCs w:val="28"/>
      <w:lang w:eastAsia="ko-KR"/>
    </w:rPr>
  </w:style>
  <w:style w:type="character" w:customStyle="1" w:styleId="IntenseQuoteChar">
    <w:name w:val="Intense Quote Char"/>
    <w:basedOn w:val="DefaultParagraphFont"/>
    <w:link w:val="IntenseQuote"/>
    <w:uiPriority w:val="30"/>
    <w:rsid w:val="00C74666"/>
    <w:rPr>
      <w:rFonts w:asciiTheme="majorHAnsi" w:eastAsiaTheme="majorEastAsia" w:hAnsiTheme="majorHAnsi" w:cstheme="majorBidi"/>
      <w:color w:val="5B9BD5" w:themeColor="accent1"/>
      <w:sz w:val="28"/>
      <w:szCs w:val="28"/>
      <w:lang w:eastAsia="ko-KR"/>
    </w:rPr>
  </w:style>
  <w:style w:type="character" w:styleId="SubtleEmphasis">
    <w:name w:val="Subtle Emphasis"/>
    <w:basedOn w:val="DefaultParagraphFont"/>
    <w:uiPriority w:val="19"/>
    <w:qFormat/>
    <w:rsid w:val="00C74666"/>
    <w:rPr>
      <w:i/>
      <w:iCs/>
      <w:color w:val="404040" w:themeColor="text1" w:themeTint="BF"/>
    </w:rPr>
  </w:style>
  <w:style w:type="character" w:styleId="IntenseEmphasis">
    <w:name w:val="Intense Emphasis"/>
    <w:basedOn w:val="DefaultParagraphFont"/>
    <w:uiPriority w:val="21"/>
    <w:qFormat/>
    <w:rsid w:val="00C74666"/>
    <w:rPr>
      <w:b/>
      <w:bCs/>
      <w:i/>
      <w:iCs/>
    </w:rPr>
  </w:style>
  <w:style w:type="character" w:styleId="SubtleReference">
    <w:name w:val="Subtle Reference"/>
    <w:basedOn w:val="DefaultParagraphFont"/>
    <w:uiPriority w:val="31"/>
    <w:qFormat/>
    <w:rsid w:val="00C746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74666"/>
    <w:rPr>
      <w:b/>
      <w:bCs/>
      <w:smallCaps/>
      <w:spacing w:val="5"/>
      <w:u w:val="single"/>
    </w:rPr>
  </w:style>
  <w:style w:type="character" w:styleId="BookTitle">
    <w:name w:val="Book Title"/>
    <w:basedOn w:val="DefaultParagraphFont"/>
    <w:uiPriority w:val="33"/>
    <w:qFormat/>
    <w:rsid w:val="00C74666"/>
    <w:rPr>
      <w:b/>
      <w:bCs/>
      <w:smallCaps/>
    </w:rPr>
  </w:style>
  <w:style w:type="paragraph" w:styleId="TOCHeading">
    <w:name w:val="TOC Heading"/>
    <w:basedOn w:val="Heading1"/>
    <w:next w:val="Normal"/>
    <w:uiPriority w:val="39"/>
    <w:unhideWhenUsed/>
    <w:qFormat/>
    <w:rsid w:val="00C74666"/>
    <w:pPr>
      <w:keepNext/>
      <w:keepLines/>
      <w:widowControl/>
      <w:autoSpaceDE/>
      <w:autoSpaceDN/>
      <w:adjustRightInd/>
      <w:spacing w:before="320" w:after="360"/>
      <w:jc w:val="center"/>
      <w:outlineLvl w:val="9"/>
    </w:pPr>
    <w:rPr>
      <w:rFonts w:ascii="Andes" w:eastAsiaTheme="majorEastAsia" w:hAnsi="Andes" w:cstheme="majorBidi"/>
      <w:bCs w:val="0"/>
      <w:color w:val="002345"/>
      <w:lang w:eastAsia="ko-KR"/>
    </w:rPr>
  </w:style>
  <w:style w:type="paragraph" w:styleId="TOC2">
    <w:name w:val="toc 2"/>
    <w:basedOn w:val="Normal"/>
    <w:next w:val="Normal"/>
    <w:autoRedefine/>
    <w:uiPriority w:val="39"/>
    <w:unhideWhenUsed/>
    <w:rsid w:val="00C74666"/>
    <w:pPr>
      <w:widowControl/>
      <w:autoSpaceDE/>
      <w:autoSpaceDN/>
      <w:adjustRightInd/>
      <w:spacing w:after="100" w:line="264" w:lineRule="auto"/>
      <w:ind w:left="200"/>
    </w:pPr>
    <w:rPr>
      <w:rFonts w:asciiTheme="minorHAnsi" w:hAnsiTheme="minorHAnsi" w:cstheme="minorBidi"/>
      <w:color w:val="auto"/>
      <w:sz w:val="20"/>
      <w:szCs w:val="20"/>
      <w:lang w:eastAsia="ko-KR"/>
    </w:rPr>
  </w:style>
  <w:style w:type="paragraph" w:styleId="TOC1">
    <w:name w:val="toc 1"/>
    <w:basedOn w:val="Normal"/>
    <w:next w:val="Normal"/>
    <w:autoRedefine/>
    <w:uiPriority w:val="39"/>
    <w:unhideWhenUsed/>
    <w:rsid w:val="00C74666"/>
    <w:pPr>
      <w:widowControl/>
      <w:autoSpaceDE/>
      <w:autoSpaceDN/>
      <w:adjustRightInd/>
      <w:spacing w:after="100" w:line="264" w:lineRule="auto"/>
    </w:pPr>
    <w:rPr>
      <w:rFonts w:asciiTheme="minorHAnsi" w:hAnsiTheme="minorHAnsi" w:cstheme="minorBidi"/>
      <w:color w:val="auto"/>
      <w:sz w:val="20"/>
      <w:szCs w:val="20"/>
      <w:lang w:eastAsia="ko-KR"/>
    </w:rPr>
  </w:style>
  <w:style w:type="paragraph" w:styleId="Bibliography">
    <w:name w:val="Bibliography"/>
    <w:basedOn w:val="Normal"/>
    <w:next w:val="Normal"/>
    <w:uiPriority w:val="37"/>
    <w:unhideWhenUsed/>
    <w:rsid w:val="00C74666"/>
    <w:pPr>
      <w:widowControl/>
      <w:autoSpaceDE/>
      <w:autoSpaceDN/>
      <w:adjustRightInd/>
      <w:spacing w:after="120" w:line="264" w:lineRule="auto"/>
    </w:pPr>
    <w:rPr>
      <w:rFonts w:asciiTheme="minorHAnsi" w:hAnsiTheme="minorHAnsi" w:cstheme="minorBidi"/>
      <w:color w:val="auto"/>
      <w:sz w:val="20"/>
      <w:szCs w:val="20"/>
      <w:lang w:eastAsia="ko-KR"/>
    </w:rPr>
  </w:style>
  <w:style w:type="character" w:styleId="UnresolvedMention">
    <w:name w:val="Unresolved Mention"/>
    <w:basedOn w:val="DefaultParagraphFont"/>
    <w:uiPriority w:val="99"/>
    <w:semiHidden/>
    <w:unhideWhenUsed/>
    <w:rsid w:val="00C74666"/>
    <w:rPr>
      <w:color w:val="808080"/>
      <w:shd w:val="clear" w:color="auto" w:fill="E6E6E6"/>
    </w:rPr>
  </w:style>
  <w:style w:type="paragraph" w:styleId="NormalWeb">
    <w:name w:val="Normal (Web)"/>
    <w:basedOn w:val="Normal"/>
    <w:uiPriority w:val="99"/>
    <w:semiHidden/>
    <w:unhideWhenUsed/>
    <w:rsid w:val="00C74666"/>
    <w:pPr>
      <w:widowControl/>
      <w:autoSpaceDE/>
      <w:autoSpaceDN/>
      <w:adjustRightInd/>
      <w:spacing w:before="100" w:beforeAutospacing="1" w:after="100" w:afterAutospacing="1"/>
    </w:pPr>
    <w:rPr>
      <w:rFonts w:ascii="Times New Roman" w:eastAsia="Times New Roman" w:hAnsi="Times New Roman" w:cs="Times New Roman"/>
      <w:color w:val="auto"/>
      <w:lang w:eastAsia="ko-KR"/>
    </w:rPr>
  </w:style>
  <w:style w:type="paragraph" w:styleId="CommentSubject">
    <w:name w:val="annotation subject"/>
    <w:basedOn w:val="CommentText"/>
    <w:next w:val="CommentText"/>
    <w:link w:val="CommentSubjectChar"/>
    <w:uiPriority w:val="99"/>
    <w:semiHidden/>
    <w:unhideWhenUsed/>
    <w:rsid w:val="00C74666"/>
    <w:rPr>
      <w:rFonts w:eastAsiaTheme="minorEastAsia"/>
      <w:b/>
      <w:bCs/>
      <w:lang w:eastAsia="ko-KR"/>
    </w:rPr>
  </w:style>
  <w:style w:type="character" w:customStyle="1" w:styleId="CommentSubjectChar">
    <w:name w:val="Comment Subject Char"/>
    <w:basedOn w:val="CommentTextChar"/>
    <w:link w:val="CommentSubject"/>
    <w:uiPriority w:val="99"/>
    <w:semiHidden/>
    <w:rsid w:val="00C74666"/>
    <w:rPr>
      <w:rFonts w:eastAsiaTheme="minorHAnsi" w:cstheme="minorBidi"/>
      <w:b/>
      <w:bCs/>
      <w:sz w:val="20"/>
      <w:szCs w:val="20"/>
      <w:lang w:eastAsia="ko-KR"/>
    </w:rPr>
  </w:style>
  <w:style w:type="paragraph" w:customStyle="1" w:styleId="Style1">
    <w:name w:val="Style1"/>
    <w:basedOn w:val="Normal"/>
    <w:link w:val="Style1Char"/>
    <w:qFormat/>
    <w:rsid w:val="00C74666"/>
    <w:pPr>
      <w:widowControl/>
      <w:autoSpaceDE/>
      <w:autoSpaceDN/>
      <w:adjustRightInd/>
      <w:spacing w:after="120" w:line="264" w:lineRule="auto"/>
    </w:pPr>
    <w:rPr>
      <w:rFonts w:asciiTheme="minorHAnsi" w:hAnsiTheme="minorHAnsi" w:cstheme="minorBidi"/>
      <w:color w:val="000000" w:themeColor="text1"/>
      <w:szCs w:val="20"/>
      <w:lang w:eastAsia="ko-KR"/>
    </w:rPr>
  </w:style>
  <w:style w:type="paragraph" w:styleId="TOC3">
    <w:name w:val="toc 3"/>
    <w:basedOn w:val="Normal"/>
    <w:next w:val="Normal"/>
    <w:autoRedefine/>
    <w:uiPriority w:val="39"/>
    <w:unhideWhenUsed/>
    <w:rsid w:val="00C74666"/>
    <w:pPr>
      <w:widowControl/>
      <w:autoSpaceDE/>
      <w:autoSpaceDN/>
      <w:adjustRightInd/>
      <w:spacing w:after="100" w:line="264" w:lineRule="auto"/>
      <w:ind w:left="400"/>
    </w:pPr>
    <w:rPr>
      <w:rFonts w:asciiTheme="minorHAnsi" w:hAnsiTheme="minorHAnsi" w:cstheme="minorBidi"/>
      <w:color w:val="auto"/>
      <w:sz w:val="20"/>
      <w:szCs w:val="20"/>
      <w:lang w:eastAsia="ko-KR"/>
    </w:rPr>
  </w:style>
  <w:style w:type="character" w:customStyle="1" w:styleId="Style1Char">
    <w:name w:val="Style1 Char"/>
    <w:basedOn w:val="DefaultParagraphFont"/>
    <w:link w:val="Style1"/>
    <w:rsid w:val="00C74666"/>
    <w:rPr>
      <w:rFonts w:cstheme="minorBidi"/>
      <w:color w:val="000000" w:themeColor="text1"/>
      <w:sz w:val="24"/>
      <w:szCs w:val="20"/>
      <w:lang w:eastAsia="ko-KR"/>
    </w:rPr>
  </w:style>
  <w:style w:type="paragraph" w:styleId="TableofFigures">
    <w:name w:val="table of figures"/>
    <w:basedOn w:val="Normal"/>
    <w:next w:val="Normal"/>
    <w:uiPriority w:val="99"/>
    <w:unhideWhenUsed/>
    <w:rsid w:val="00C74666"/>
    <w:pPr>
      <w:widowControl/>
      <w:autoSpaceDE/>
      <w:autoSpaceDN/>
      <w:adjustRightInd/>
      <w:spacing w:line="264" w:lineRule="auto"/>
    </w:pPr>
    <w:rPr>
      <w:rFonts w:asciiTheme="minorHAnsi" w:hAnsiTheme="minorHAnsi" w:cstheme="minorBidi"/>
      <w:color w:val="auto"/>
      <w:sz w:val="20"/>
      <w:szCs w:val="20"/>
      <w:lang w:eastAsia="ko-KR"/>
    </w:rPr>
  </w:style>
  <w:style w:type="paragraph" w:styleId="BlockText">
    <w:name w:val="Block Text"/>
    <w:basedOn w:val="Normal"/>
    <w:uiPriority w:val="99"/>
    <w:semiHidden/>
    <w:unhideWhenUsed/>
    <w:rsid w:val="00C74666"/>
    <w:pPr>
      <w:widowControl/>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autoSpaceDN/>
      <w:adjustRightInd/>
      <w:spacing w:after="120" w:line="264" w:lineRule="auto"/>
      <w:ind w:left="1152" w:right="1152"/>
    </w:pPr>
    <w:rPr>
      <w:rFonts w:asciiTheme="minorHAnsi" w:hAnsiTheme="minorHAnsi" w:cstheme="minorBidi"/>
      <w:i/>
      <w:iCs/>
      <w:color w:val="5B9BD5" w:themeColor="accent1"/>
      <w:sz w:val="20"/>
      <w:szCs w:val="20"/>
      <w:lang w:eastAsia="ko-KR"/>
    </w:rPr>
  </w:style>
  <w:style w:type="paragraph" w:styleId="BodyText">
    <w:name w:val="Body Text"/>
    <w:basedOn w:val="Normal"/>
    <w:link w:val="BodyTextChar"/>
    <w:uiPriority w:val="99"/>
    <w:semiHidden/>
    <w:unhideWhenUsed/>
    <w:rsid w:val="00C74666"/>
    <w:pPr>
      <w:widowControl/>
      <w:autoSpaceDE/>
      <w:autoSpaceDN/>
      <w:adjustRightInd/>
      <w:spacing w:after="120" w:line="264" w:lineRule="auto"/>
    </w:pPr>
    <w:rPr>
      <w:rFonts w:asciiTheme="minorHAnsi" w:hAnsiTheme="minorHAnsi" w:cstheme="minorBidi"/>
      <w:color w:val="auto"/>
      <w:sz w:val="20"/>
      <w:szCs w:val="20"/>
      <w:lang w:eastAsia="ko-KR"/>
    </w:rPr>
  </w:style>
  <w:style w:type="character" w:customStyle="1" w:styleId="BodyTextChar">
    <w:name w:val="Body Text Char"/>
    <w:basedOn w:val="DefaultParagraphFont"/>
    <w:link w:val="BodyText"/>
    <w:uiPriority w:val="99"/>
    <w:semiHidden/>
    <w:rsid w:val="00C74666"/>
    <w:rPr>
      <w:rFonts w:cstheme="minorBidi"/>
      <w:sz w:val="20"/>
      <w:szCs w:val="20"/>
      <w:lang w:eastAsia="ko-KR"/>
    </w:rPr>
  </w:style>
  <w:style w:type="paragraph" w:styleId="BodyText2">
    <w:name w:val="Body Text 2"/>
    <w:basedOn w:val="Normal"/>
    <w:link w:val="BodyText2Char"/>
    <w:uiPriority w:val="99"/>
    <w:semiHidden/>
    <w:unhideWhenUsed/>
    <w:rsid w:val="00C74666"/>
    <w:pPr>
      <w:widowControl/>
      <w:autoSpaceDE/>
      <w:autoSpaceDN/>
      <w:adjustRightInd/>
      <w:spacing w:after="120" w:line="480" w:lineRule="auto"/>
    </w:pPr>
    <w:rPr>
      <w:rFonts w:asciiTheme="minorHAnsi" w:hAnsiTheme="minorHAnsi" w:cstheme="minorBidi"/>
      <w:color w:val="auto"/>
      <w:sz w:val="20"/>
      <w:szCs w:val="20"/>
      <w:lang w:eastAsia="ko-KR"/>
    </w:rPr>
  </w:style>
  <w:style w:type="character" w:customStyle="1" w:styleId="BodyText2Char">
    <w:name w:val="Body Text 2 Char"/>
    <w:basedOn w:val="DefaultParagraphFont"/>
    <w:link w:val="BodyText2"/>
    <w:uiPriority w:val="99"/>
    <w:semiHidden/>
    <w:rsid w:val="00C74666"/>
    <w:rPr>
      <w:rFonts w:cstheme="minorBidi"/>
      <w:sz w:val="20"/>
      <w:szCs w:val="20"/>
      <w:lang w:eastAsia="ko-KR"/>
    </w:rPr>
  </w:style>
  <w:style w:type="paragraph" w:styleId="BodyText3">
    <w:name w:val="Body Text 3"/>
    <w:basedOn w:val="Normal"/>
    <w:link w:val="BodyText3Char"/>
    <w:uiPriority w:val="99"/>
    <w:semiHidden/>
    <w:unhideWhenUsed/>
    <w:rsid w:val="00C74666"/>
    <w:pPr>
      <w:widowControl/>
      <w:autoSpaceDE/>
      <w:autoSpaceDN/>
      <w:adjustRightInd/>
      <w:spacing w:after="120" w:line="264" w:lineRule="auto"/>
    </w:pPr>
    <w:rPr>
      <w:rFonts w:asciiTheme="minorHAnsi" w:hAnsiTheme="minorHAnsi" w:cstheme="minorBidi"/>
      <w:color w:val="auto"/>
      <w:sz w:val="16"/>
      <w:szCs w:val="16"/>
      <w:lang w:eastAsia="ko-KR"/>
    </w:rPr>
  </w:style>
  <w:style w:type="character" w:customStyle="1" w:styleId="BodyText3Char">
    <w:name w:val="Body Text 3 Char"/>
    <w:basedOn w:val="DefaultParagraphFont"/>
    <w:link w:val="BodyText3"/>
    <w:uiPriority w:val="99"/>
    <w:semiHidden/>
    <w:rsid w:val="00C74666"/>
    <w:rPr>
      <w:rFonts w:cstheme="minorBidi"/>
      <w:sz w:val="16"/>
      <w:szCs w:val="16"/>
      <w:lang w:eastAsia="ko-KR"/>
    </w:rPr>
  </w:style>
  <w:style w:type="paragraph" w:styleId="BodyTextFirstIndent">
    <w:name w:val="Body Text First Indent"/>
    <w:basedOn w:val="BodyText"/>
    <w:link w:val="BodyTextFirstIndentChar"/>
    <w:uiPriority w:val="99"/>
    <w:semiHidden/>
    <w:unhideWhenUsed/>
    <w:rsid w:val="00C74666"/>
    <w:pPr>
      <w:ind w:firstLine="360"/>
    </w:pPr>
  </w:style>
  <w:style w:type="character" w:customStyle="1" w:styleId="BodyTextFirstIndentChar">
    <w:name w:val="Body Text First Indent Char"/>
    <w:basedOn w:val="BodyTextChar"/>
    <w:link w:val="BodyTextFirstIndent"/>
    <w:uiPriority w:val="99"/>
    <w:semiHidden/>
    <w:rsid w:val="00C74666"/>
    <w:rPr>
      <w:rFonts w:cstheme="minorBidi"/>
      <w:sz w:val="20"/>
      <w:szCs w:val="20"/>
      <w:lang w:eastAsia="ko-KR"/>
    </w:rPr>
  </w:style>
  <w:style w:type="paragraph" w:styleId="BodyTextIndent">
    <w:name w:val="Body Text Indent"/>
    <w:basedOn w:val="Normal"/>
    <w:link w:val="BodyTextIndentChar"/>
    <w:uiPriority w:val="99"/>
    <w:semiHidden/>
    <w:unhideWhenUsed/>
    <w:rsid w:val="00C74666"/>
    <w:pPr>
      <w:widowControl/>
      <w:autoSpaceDE/>
      <w:autoSpaceDN/>
      <w:adjustRightInd/>
      <w:spacing w:after="120" w:line="264" w:lineRule="auto"/>
      <w:ind w:left="360"/>
    </w:pPr>
    <w:rPr>
      <w:rFonts w:asciiTheme="minorHAnsi" w:hAnsiTheme="minorHAnsi" w:cstheme="minorBidi"/>
      <w:color w:val="auto"/>
      <w:sz w:val="20"/>
      <w:szCs w:val="20"/>
      <w:lang w:eastAsia="ko-KR"/>
    </w:rPr>
  </w:style>
  <w:style w:type="character" w:customStyle="1" w:styleId="BodyTextIndentChar">
    <w:name w:val="Body Text Indent Char"/>
    <w:basedOn w:val="DefaultParagraphFont"/>
    <w:link w:val="BodyTextIndent"/>
    <w:uiPriority w:val="99"/>
    <w:semiHidden/>
    <w:rsid w:val="00C74666"/>
    <w:rPr>
      <w:rFonts w:cstheme="minorBidi"/>
      <w:sz w:val="20"/>
      <w:szCs w:val="20"/>
      <w:lang w:eastAsia="ko-KR"/>
    </w:rPr>
  </w:style>
  <w:style w:type="paragraph" w:styleId="BodyTextFirstIndent2">
    <w:name w:val="Body Text First Indent 2"/>
    <w:basedOn w:val="BodyTextIndent"/>
    <w:link w:val="BodyTextFirstIndent2Char"/>
    <w:uiPriority w:val="99"/>
    <w:semiHidden/>
    <w:unhideWhenUsed/>
    <w:rsid w:val="00C74666"/>
    <w:pPr>
      <w:ind w:firstLine="360"/>
    </w:pPr>
  </w:style>
  <w:style w:type="character" w:customStyle="1" w:styleId="BodyTextFirstIndent2Char">
    <w:name w:val="Body Text First Indent 2 Char"/>
    <w:basedOn w:val="BodyTextIndentChar"/>
    <w:link w:val="BodyTextFirstIndent2"/>
    <w:uiPriority w:val="99"/>
    <w:semiHidden/>
    <w:rsid w:val="00C74666"/>
    <w:rPr>
      <w:rFonts w:cstheme="minorBidi"/>
      <w:sz w:val="20"/>
      <w:szCs w:val="20"/>
      <w:lang w:eastAsia="ko-KR"/>
    </w:rPr>
  </w:style>
  <w:style w:type="paragraph" w:styleId="BodyTextIndent2">
    <w:name w:val="Body Text Indent 2"/>
    <w:basedOn w:val="Normal"/>
    <w:link w:val="BodyTextIndent2Char"/>
    <w:uiPriority w:val="99"/>
    <w:semiHidden/>
    <w:unhideWhenUsed/>
    <w:rsid w:val="00C74666"/>
    <w:pPr>
      <w:widowControl/>
      <w:autoSpaceDE/>
      <w:autoSpaceDN/>
      <w:adjustRightInd/>
      <w:spacing w:after="120" w:line="480" w:lineRule="auto"/>
      <w:ind w:left="360"/>
    </w:pPr>
    <w:rPr>
      <w:rFonts w:asciiTheme="minorHAnsi" w:hAnsiTheme="minorHAnsi" w:cstheme="minorBidi"/>
      <w:color w:val="auto"/>
      <w:sz w:val="20"/>
      <w:szCs w:val="20"/>
      <w:lang w:eastAsia="ko-KR"/>
    </w:rPr>
  </w:style>
  <w:style w:type="character" w:customStyle="1" w:styleId="BodyTextIndent2Char">
    <w:name w:val="Body Text Indent 2 Char"/>
    <w:basedOn w:val="DefaultParagraphFont"/>
    <w:link w:val="BodyTextIndent2"/>
    <w:uiPriority w:val="99"/>
    <w:semiHidden/>
    <w:rsid w:val="00C74666"/>
    <w:rPr>
      <w:rFonts w:cstheme="minorBidi"/>
      <w:sz w:val="20"/>
      <w:szCs w:val="20"/>
      <w:lang w:eastAsia="ko-KR"/>
    </w:rPr>
  </w:style>
  <w:style w:type="paragraph" w:styleId="BodyTextIndent3">
    <w:name w:val="Body Text Indent 3"/>
    <w:basedOn w:val="Normal"/>
    <w:link w:val="BodyTextIndent3Char"/>
    <w:uiPriority w:val="99"/>
    <w:semiHidden/>
    <w:unhideWhenUsed/>
    <w:rsid w:val="00C74666"/>
    <w:pPr>
      <w:widowControl/>
      <w:autoSpaceDE/>
      <w:autoSpaceDN/>
      <w:adjustRightInd/>
      <w:spacing w:after="120" w:line="264" w:lineRule="auto"/>
      <w:ind w:left="360"/>
    </w:pPr>
    <w:rPr>
      <w:rFonts w:asciiTheme="minorHAnsi" w:hAnsiTheme="minorHAnsi" w:cstheme="minorBidi"/>
      <w:color w:val="auto"/>
      <w:sz w:val="16"/>
      <w:szCs w:val="16"/>
      <w:lang w:eastAsia="ko-KR"/>
    </w:rPr>
  </w:style>
  <w:style w:type="character" w:customStyle="1" w:styleId="BodyTextIndent3Char">
    <w:name w:val="Body Text Indent 3 Char"/>
    <w:basedOn w:val="DefaultParagraphFont"/>
    <w:link w:val="BodyTextIndent3"/>
    <w:uiPriority w:val="99"/>
    <w:semiHidden/>
    <w:rsid w:val="00C74666"/>
    <w:rPr>
      <w:rFonts w:cstheme="minorBidi"/>
      <w:sz w:val="16"/>
      <w:szCs w:val="16"/>
      <w:lang w:eastAsia="ko-KR"/>
    </w:rPr>
  </w:style>
  <w:style w:type="paragraph" w:styleId="Closing">
    <w:name w:val="Closing"/>
    <w:basedOn w:val="Normal"/>
    <w:link w:val="ClosingChar"/>
    <w:uiPriority w:val="99"/>
    <w:semiHidden/>
    <w:unhideWhenUsed/>
    <w:rsid w:val="00C74666"/>
    <w:pPr>
      <w:widowControl/>
      <w:autoSpaceDE/>
      <w:autoSpaceDN/>
      <w:adjustRightInd/>
      <w:ind w:left="4320"/>
    </w:pPr>
    <w:rPr>
      <w:rFonts w:asciiTheme="minorHAnsi" w:hAnsiTheme="minorHAnsi" w:cstheme="minorBidi"/>
      <w:color w:val="auto"/>
      <w:sz w:val="20"/>
      <w:szCs w:val="20"/>
      <w:lang w:eastAsia="ko-KR"/>
    </w:rPr>
  </w:style>
  <w:style w:type="character" w:customStyle="1" w:styleId="ClosingChar">
    <w:name w:val="Closing Char"/>
    <w:basedOn w:val="DefaultParagraphFont"/>
    <w:link w:val="Closing"/>
    <w:uiPriority w:val="99"/>
    <w:semiHidden/>
    <w:rsid w:val="00C74666"/>
    <w:rPr>
      <w:rFonts w:cstheme="minorBidi"/>
      <w:sz w:val="20"/>
      <w:szCs w:val="20"/>
      <w:lang w:eastAsia="ko-KR"/>
    </w:rPr>
  </w:style>
  <w:style w:type="paragraph" w:styleId="DocumentMap">
    <w:name w:val="Document Map"/>
    <w:basedOn w:val="Normal"/>
    <w:link w:val="DocumentMapChar"/>
    <w:uiPriority w:val="99"/>
    <w:semiHidden/>
    <w:unhideWhenUsed/>
    <w:rsid w:val="00C74666"/>
    <w:pPr>
      <w:widowControl/>
      <w:autoSpaceDE/>
      <w:autoSpaceDN/>
      <w:adjustRightInd/>
    </w:pPr>
    <w:rPr>
      <w:rFonts w:ascii="Segoe UI" w:hAnsi="Segoe UI" w:cs="Segoe UI"/>
      <w:color w:val="auto"/>
      <w:sz w:val="16"/>
      <w:szCs w:val="16"/>
      <w:lang w:eastAsia="ko-KR"/>
    </w:rPr>
  </w:style>
  <w:style w:type="character" w:customStyle="1" w:styleId="DocumentMapChar">
    <w:name w:val="Document Map Char"/>
    <w:basedOn w:val="DefaultParagraphFont"/>
    <w:link w:val="DocumentMap"/>
    <w:uiPriority w:val="99"/>
    <w:semiHidden/>
    <w:rsid w:val="00C74666"/>
    <w:rPr>
      <w:rFonts w:ascii="Segoe UI" w:hAnsi="Segoe UI" w:cs="Segoe UI"/>
      <w:sz w:val="16"/>
      <w:szCs w:val="16"/>
      <w:lang w:eastAsia="ko-KR"/>
    </w:rPr>
  </w:style>
  <w:style w:type="paragraph" w:styleId="E-mailSignature">
    <w:name w:val="E-mail Signature"/>
    <w:basedOn w:val="Normal"/>
    <w:link w:val="E-mailSignatureChar"/>
    <w:uiPriority w:val="99"/>
    <w:semiHidden/>
    <w:unhideWhenUsed/>
    <w:rsid w:val="00C74666"/>
    <w:pPr>
      <w:widowControl/>
      <w:autoSpaceDE/>
      <w:autoSpaceDN/>
      <w:adjustRightInd/>
    </w:pPr>
    <w:rPr>
      <w:rFonts w:asciiTheme="minorHAnsi" w:hAnsiTheme="minorHAnsi" w:cstheme="minorBidi"/>
      <w:color w:val="auto"/>
      <w:sz w:val="20"/>
      <w:szCs w:val="20"/>
      <w:lang w:eastAsia="ko-KR"/>
    </w:rPr>
  </w:style>
  <w:style w:type="character" w:customStyle="1" w:styleId="E-mailSignatureChar">
    <w:name w:val="E-mail Signature Char"/>
    <w:basedOn w:val="DefaultParagraphFont"/>
    <w:link w:val="E-mailSignature"/>
    <w:uiPriority w:val="99"/>
    <w:semiHidden/>
    <w:rsid w:val="00C74666"/>
    <w:rPr>
      <w:rFonts w:cstheme="minorBidi"/>
      <w:sz w:val="20"/>
      <w:szCs w:val="20"/>
      <w:lang w:eastAsia="ko-KR"/>
    </w:rPr>
  </w:style>
  <w:style w:type="paragraph" w:styleId="EndnoteText">
    <w:name w:val="endnote text"/>
    <w:basedOn w:val="Normal"/>
    <w:link w:val="EndnoteTextChar"/>
    <w:uiPriority w:val="99"/>
    <w:semiHidden/>
    <w:unhideWhenUsed/>
    <w:rsid w:val="00C74666"/>
    <w:pPr>
      <w:widowControl/>
      <w:autoSpaceDE/>
      <w:autoSpaceDN/>
      <w:adjustRightInd/>
    </w:pPr>
    <w:rPr>
      <w:rFonts w:asciiTheme="minorHAnsi" w:hAnsiTheme="minorHAnsi" w:cstheme="minorBidi"/>
      <w:color w:val="auto"/>
      <w:sz w:val="20"/>
      <w:szCs w:val="20"/>
      <w:lang w:eastAsia="ko-KR"/>
    </w:rPr>
  </w:style>
  <w:style w:type="character" w:customStyle="1" w:styleId="EndnoteTextChar">
    <w:name w:val="Endnote Text Char"/>
    <w:basedOn w:val="DefaultParagraphFont"/>
    <w:link w:val="EndnoteText"/>
    <w:uiPriority w:val="99"/>
    <w:semiHidden/>
    <w:rsid w:val="00C74666"/>
    <w:rPr>
      <w:rFonts w:cstheme="minorBidi"/>
      <w:sz w:val="20"/>
      <w:szCs w:val="20"/>
      <w:lang w:eastAsia="ko-KR"/>
    </w:rPr>
  </w:style>
  <w:style w:type="paragraph" w:styleId="EnvelopeAddress">
    <w:name w:val="envelope address"/>
    <w:basedOn w:val="Normal"/>
    <w:uiPriority w:val="99"/>
    <w:semiHidden/>
    <w:unhideWhenUsed/>
    <w:rsid w:val="00C74666"/>
    <w:pPr>
      <w:framePr w:w="7920" w:h="1980" w:hRule="exact" w:hSpace="180" w:wrap="auto" w:hAnchor="page" w:xAlign="center" w:yAlign="bottom"/>
      <w:widowControl/>
      <w:autoSpaceDE/>
      <w:autoSpaceDN/>
      <w:adjustRightInd/>
      <w:ind w:left="2880"/>
    </w:pPr>
    <w:rPr>
      <w:rFonts w:asciiTheme="majorHAnsi" w:eastAsiaTheme="majorEastAsia" w:hAnsiTheme="majorHAnsi" w:cstheme="majorBidi"/>
      <w:color w:val="auto"/>
      <w:lang w:eastAsia="ko-KR"/>
    </w:rPr>
  </w:style>
  <w:style w:type="paragraph" w:styleId="EnvelopeReturn">
    <w:name w:val="envelope return"/>
    <w:basedOn w:val="Normal"/>
    <w:uiPriority w:val="99"/>
    <w:semiHidden/>
    <w:unhideWhenUsed/>
    <w:rsid w:val="00C74666"/>
    <w:pPr>
      <w:widowControl/>
      <w:autoSpaceDE/>
      <w:autoSpaceDN/>
      <w:adjustRightInd/>
    </w:pPr>
    <w:rPr>
      <w:rFonts w:asciiTheme="majorHAnsi" w:eastAsiaTheme="majorEastAsia" w:hAnsiTheme="majorHAnsi" w:cstheme="majorBidi"/>
      <w:color w:val="auto"/>
      <w:sz w:val="20"/>
      <w:szCs w:val="20"/>
      <w:lang w:eastAsia="ko-KR"/>
    </w:rPr>
  </w:style>
  <w:style w:type="paragraph" w:styleId="HTMLAddress">
    <w:name w:val="HTML Address"/>
    <w:basedOn w:val="Normal"/>
    <w:link w:val="HTMLAddressChar"/>
    <w:uiPriority w:val="99"/>
    <w:semiHidden/>
    <w:unhideWhenUsed/>
    <w:rsid w:val="00C74666"/>
    <w:pPr>
      <w:widowControl/>
      <w:autoSpaceDE/>
      <w:autoSpaceDN/>
      <w:adjustRightInd/>
    </w:pPr>
    <w:rPr>
      <w:rFonts w:asciiTheme="minorHAnsi" w:hAnsiTheme="minorHAnsi" w:cstheme="minorBidi"/>
      <w:i/>
      <w:iCs/>
      <w:color w:val="auto"/>
      <w:sz w:val="20"/>
      <w:szCs w:val="20"/>
      <w:lang w:eastAsia="ko-KR"/>
    </w:rPr>
  </w:style>
  <w:style w:type="character" w:customStyle="1" w:styleId="HTMLAddressChar">
    <w:name w:val="HTML Address Char"/>
    <w:basedOn w:val="DefaultParagraphFont"/>
    <w:link w:val="HTMLAddress"/>
    <w:uiPriority w:val="99"/>
    <w:semiHidden/>
    <w:rsid w:val="00C74666"/>
    <w:rPr>
      <w:rFonts w:cstheme="minorBidi"/>
      <w:i/>
      <w:iCs/>
      <w:sz w:val="20"/>
      <w:szCs w:val="20"/>
      <w:lang w:eastAsia="ko-KR"/>
    </w:rPr>
  </w:style>
  <w:style w:type="paragraph" w:styleId="HTMLPreformatted">
    <w:name w:val="HTML Preformatted"/>
    <w:basedOn w:val="Normal"/>
    <w:link w:val="HTMLPreformattedChar"/>
    <w:uiPriority w:val="99"/>
    <w:semiHidden/>
    <w:unhideWhenUsed/>
    <w:rsid w:val="00C74666"/>
    <w:pPr>
      <w:widowControl/>
      <w:autoSpaceDE/>
      <w:autoSpaceDN/>
      <w:adjustRightInd/>
    </w:pPr>
    <w:rPr>
      <w:rFonts w:ascii="Consolas" w:hAnsi="Consolas" w:cstheme="minorBidi"/>
      <w:color w:val="auto"/>
      <w:sz w:val="20"/>
      <w:szCs w:val="20"/>
      <w:lang w:eastAsia="ko-KR"/>
    </w:rPr>
  </w:style>
  <w:style w:type="character" w:customStyle="1" w:styleId="HTMLPreformattedChar">
    <w:name w:val="HTML Preformatted Char"/>
    <w:basedOn w:val="DefaultParagraphFont"/>
    <w:link w:val="HTMLPreformatted"/>
    <w:uiPriority w:val="99"/>
    <w:semiHidden/>
    <w:rsid w:val="00C74666"/>
    <w:rPr>
      <w:rFonts w:ascii="Consolas" w:hAnsi="Consolas" w:cstheme="minorBidi"/>
      <w:sz w:val="20"/>
      <w:szCs w:val="20"/>
      <w:lang w:eastAsia="ko-KR"/>
    </w:rPr>
  </w:style>
  <w:style w:type="paragraph" w:styleId="Index1">
    <w:name w:val="index 1"/>
    <w:basedOn w:val="Normal"/>
    <w:next w:val="Normal"/>
    <w:autoRedefine/>
    <w:uiPriority w:val="99"/>
    <w:semiHidden/>
    <w:unhideWhenUsed/>
    <w:rsid w:val="00C74666"/>
    <w:pPr>
      <w:widowControl/>
      <w:autoSpaceDE/>
      <w:autoSpaceDN/>
      <w:adjustRightInd/>
      <w:ind w:left="200" w:hanging="200"/>
    </w:pPr>
    <w:rPr>
      <w:rFonts w:asciiTheme="minorHAnsi" w:hAnsiTheme="minorHAnsi" w:cstheme="minorBidi"/>
      <w:color w:val="auto"/>
      <w:sz w:val="20"/>
      <w:szCs w:val="20"/>
      <w:lang w:eastAsia="ko-KR"/>
    </w:rPr>
  </w:style>
  <w:style w:type="paragraph" w:styleId="Index2">
    <w:name w:val="index 2"/>
    <w:basedOn w:val="Normal"/>
    <w:next w:val="Normal"/>
    <w:autoRedefine/>
    <w:uiPriority w:val="99"/>
    <w:semiHidden/>
    <w:unhideWhenUsed/>
    <w:rsid w:val="00C74666"/>
    <w:pPr>
      <w:widowControl/>
      <w:autoSpaceDE/>
      <w:autoSpaceDN/>
      <w:adjustRightInd/>
      <w:ind w:left="400" w:hanging="200"/>
    </w:pPr>
    <w:rPr>
      <w:rFonts w:asciiTheme="minorHAnsi" w:hAnsiTheme="minorHAnsi" w:cstheme="minorBidi"/>
      <w:color w:val="auto"/>
      <w:sz w:val="20"/>
      <w:szCs w:val="20"/>
      <w:lang w:eastAsia="ko-KR"/>
    </w:rPr>
  </w:style>
  <w:style w:type="paragraph" w:styleId="Index3">
    <w:name w:val="index 3"/>
    <w:basedOn w:val="Normal"/>
    <w:next w:val="Normal"/>
    <w:autoRedefine/>
    <w:uiPriority w:val="99"/>
    <w:semiHidden/>
    <w:unhideWhenUsed/>
    <w:rsid w:val="00C74666"/>
    <w:pPr>
      <w:widowControl/>
      <w:autoSpaceDE/>
      <w:autoSpaceDN/>
      <w:adjustRightInd/>
      <w:ind w:left="600" w:hanging="200"/>
    </w:pPr>
    <w:rPr>
      <w:rFonts w:asciiTheme="minorHAnsi" w:hAnsiTheme="minorHAnsi" w:cstheme="minorBidi"/>
      <w:color w:val="auto"/>
      <w:sz w:val="20"/>
      <w:szCs w:val="20"/>
      <w:lang w:eastAsia="ko-KR"/>
    </w:rPr>
  </w:style>
  <w:style w:type="paragraph" w:styleId="Index4">
    <w:name w:val="index 4"/>
    <w:basedOn w:val="Normal"/>
    <w:next w:val="Normal"/>
    <w:autoRedefine/>
    <w:uiPriority w:val="99"/>
    <w:semiHidden/>
    <w:unhideWhenUsed/>
    <w:rsid w:val="00C74666"/>
    <w:pPr>
      <w:widowControl/>
      <w:autoSpaceDE/>
      <w:autoSpaceDN/>
      <w:adjustRightInd/>
      <w:ind w:left="800" w:hanging="200"/>
    </w:pPr>
    <w:rPr>
      <w:rFonts w:asciiTheme="minorHAnsi" w:hAnsiTheme="minorHAnsi" w:cstheme="minorBidi"/>
      <w:color w:val="auto"/>
      <w:sz w:val="20"/>
      <w:szCs w:val="20"/>
      <w:lang w:eastAsia="ko-KR"/>
    </w:rPr>
  </w:style>
  <w:style w:type="paragraph" w:styleId="Index5">
    <w:name w:val="index 5"/>
    <w:basedOn w:val="Normal"/>
    <w:next w:val="Normal"/>
    <w:autoRedefine/>
    <w:uiPriority w:val="99"/>
    <w:semiHidden/>
    <w:unhideWhenUsed/>
    <w:rsid w:val="00C74666"/>
    <w:pPr>
      <w:widowControl/>
      <w:autoSpaceDE/>
      <w:autoSpaceDN/>
      <w:adjustRightInd/>
      <w:ind w:left="1000" w:hanging="200"/>
    </w:pPr>
    <w:rPr>
      <w:rFonts w:asciiTheme="minorHAnsi" w:hAnsiTheme="minorHAnsi" w:cstheme="minorBidi"/>
      <w:color w:val="auto"/>
      <w:sz w:val="20"/>
      <w:szCs w:val="20"/>
      <w:lang w:eastAsia="ko-KR"/>
    </w:rPr>
  </w:style>
  <w:style w:type="paragraph" w:styleId="Index6">
    <w:name w:val="index 6"/>
    <w:basedOn w:val="Normal"/>
    <w:next w:val="Normal"/>
    <w:autoRedefine/>
    <w:uiPriority w:val="99"/>
    <w:semiHidden/>
    <w:unhideWhenUsed/>
    <w:rsid w:val="00C74666"/>
    <w:pPr>
      <w:widowControl/>
      <w:autoSpaceDE/>
      <w:autoSpaceDN/>
      <w:adjustRightInd/>
      <w:ind w:left="1200" w:hanging="200"/>
    </w:pPr>
    <w:rPr>
      <w:rFonts w:asciiTheme="minorHAnsi" w:hAnsiTheme="minorHAnsi" w:cstheme="minorBidi"/>
      <w:color w:val="auto"/>
      <w:sz w:val="20"/>
      <w:szCs w:val="20"/>
      <w:lang w:eastAsia="ko-KR"/>
    </w:rPr>
  </w:style>
  <w:style w:type="paragraph" w:styleId="Index7">
    <w:name w:val="index 7"/>
    <w:basedOn w:val="Normal"/>
    <w:next w:val="Normal"/>
    <w:autoRedefine/>
    <w:uiPriority w:val="99"/>
    <w:semiHidden/>
    <w:unhideWhenUsed/>
    <w:rsid w:val="00C74666"/>
    <w:pPr>
      <w:widowControl/>
      <w:autoSpaceDE/>
      <w:autoSpaceDN/>
      <w:adjustRightInd/>
      <w:ind w:left="1400" w:hanging="200"/>
    </w:pPr>
    <w:rPr>
      <w:rFonts w:asciiTheme="minorHAnsi" w:hAnsiTheme="minorHAnsi" w:cstheme="minorBidi"/>
      <w:color w:val="auto"/>
      <w:sz w:val="20"/>
      <w:szCs w:val="20"/>
      <w:lang w:eastAsia="ko-KR"/>
    </w:rPr>
  </w:style>
  <w:style w:type="paragraph" w:styleId="Index8">
    <w:name w:val="index 8"/>
    <w:basedOn w:val="Normal"/>
    <w:next w:val="Normal"/>
    <w:autoRedefine/>
    <w:uiPriority w:val="99"/>
    <w:semiHidden/>
    <w:unhideWhenUsed/>
    <w:rsid w:val="00C74666"/>
    <w:pPr>
      <w:widowControl/>
      <w:autoSpaceDE/>
      <w:autoSpaceDN/>
      <w:adjustRightInd/>
      <w:ind w:left="1600" w:hanging="200"/>
    </w:pPr>
    <w:rPr>
      <w:rFonts w:asciiTheme="minorHAnsi" w:hAnsiTheme="minorHAnsi" w:cstheme="minorBidi"/>
      <w:color w:val="auto"/>
      <w:sz w:val="20"/>
      <w:szCs w:val="20"/>
      <w:lang w:eastAsia="ko-KR"/>
    </w:rPr>
  </w:style>
  <w:style w:type="paragraph" w:styleId="Index9">
    <w:name w:val="index 9"/>
    <w:basedOn w:val="Normal"/>
    <w:next w:val="Normal"/>
    <w:autoRedefine/>
    <w:uiPriority w:val="99"/>
    <w:semiHidden/>
    <w:unhideWhenUsed/>
    <w:rsid w:val="00C74666"/>
    <w:pPr>
      <w:widowControl/>
      <w:autoSpaceDE/>
      <w:autoSpaceDN/>
      <w:adjustRightInd/>
      <w:ind w:left="1800" w:hanging="200"/>
    </w:pPr>
    <w:rPr>
      <w:rFonts w:asciiTheme="minorHAnsi" w:hAnsiTheme="minorHAnsi" w:cstheme="minorBidi"/>
      <w:color w:val="auto"/>
      <w:sz w:val="20"/>
      <w:szCs w:val="20"/>
      <w:lang w:eastAsia="ko-KR"/>
    </w:rPr>
  </w:style>
  <w:style w:type="paragraph" w:styleId="IndexHeading">
    <w:name w:val="index heading"/>
    <w:basedOn w:val="Normal"/>
    <w:next w:val="Index1"/>
    <w:uiPriority w:val="99"/>
    <w:semiHidden/>
    <w:unhideWhenUsed/>
    <w:rsid w:val="00C74666"/>
    <w:pPr>
      <w:widowControl/>
      <w:autoSpaceDE/>
      <w:autoSpaceDN/>
      <w:adjustRightInd/>
      <w:spacing w:after="120" w:line="264" w:lineRule="auto"/>
    </w:pPr>
    <w:rPr>
      <w:rFonts w:asciiTheme="majorHAnsi" w:eastAsiaTheme="majorEastAsia" w:hAnsiTheme="majorHAnsi" w:cstheme="majorBidi"/>
      <w:b/>
      <w:bCs/>
      <w:color w:val="auto"/>
      <w:sz w:val="20"/>
      <w:szCs w:val="20"/>
      <w:lang w:eastAsia="ko-KR"/>
    </w:rPr>
  </w:style>
  <w:style w:type="paragraph" w:styleId="List">
    <w:name w:val="List"/>
    <w:basedOn w:val="Normal"/>
    <w:uiPriority w:val="99"/>
    <w:semiHidden/>
    <w:unhideWhenUsed/>
    <w:rsid w:val="00C74666"/>
    <w:pPr>
      <w:widowControl/>
      <w:autoSpaceDE/>
      <w:autoSpaceDN/>
      <w:adjustRightInd/>
      <w:spacing w:after="120" w:line="264" w:lineRule="auto"/>
      <w:ind w:left="360" w:hanging="360"/>
      <w:contextualSpacing/>
    </w:pPr>
    <w:rPr>
      <w:rFonts w:asciiTheme="minorHAnsi" w:hAnsiTheme="minorHAnsi" w:cstheme="minorBidi"/>
      <w:color w:val="auto"/>
      <w:sz w:val="20"/>
      <w:szCs w:val="20"/>
      <w:lang w:eastAsia="ko-KR"/>
    </w:rPr>
  </w:style>
  <w:style w:type="paragraph" w:styleId="List2">
    <w:name w:val="List 2"/>
    <w:basedOn w:val="Normal"/>
    <w:uiPriority w:val="99"/>
    <w:semiHidden/>
    <w:unhideWhenUsed/>
    <w:rsid w:val="00C74666"/>
    <w:pPr>
      <w:widowControl/>
      <w:autoSpaceDE/>
      <w:autoSpaceDN/>
      <w:adjustRightInd/>
      <w:spacing w:after="120" w:line="264" w:lineRule="auto"/>
      <w:ind w:left="720" w:hanging="360"/>
      <w:contextualSpacing/>
    </w:pPr>
    <w:rPr>
      <w:rFonts w:asciiTheme="minorHAnsi" w:hAnsiTheme="minorHAnsi" w:cstheme="minorBidi"/>
      <w:color w:val="auto"/>
      <w:sz w:val="20"/>
      <w:szCs w:val="20"/>
      <w:lang w:eastAsia="ko-KR"/>
    </w:rPr>
  </w:style>
  <w:style w:type="paragraph" w:styleId="List3">
    <w:name w:val="List 3"/>
    <w:basedOn w:val="Normal"/>
    <w:uiPriority w:val="99"/>
    <w:semiHidden/>
    <w:unhideWhenUsed/>
    <w:rsid w:val="00C74666"/>
    <w:pPr>
      <w:widowControl/>
      <w:autoSpaceDE/>
      <w:autoSpaceDN/>
      <w:adjustRightInd/>
      <w:spacing w:after="120" w:line="264" w:lineRule="auto"/>
      <w:ind w:left="1080" w:hanging="360"/>
      <w:contextualSpacing/>
    </w:pPr>
    <w:rPr>
      <w:rFonts w:asciiTheme="minorHAnsi" w:hAnsiTheme="minorHAnsi" w:cstheme="minorBidi"/>
      <w:color w:val="auto"/>
      <w:sz w:val="20"/>
      <w:szCs w:val="20"/>
      <w:lang w:eastAsia="ko-KR"/>
    </w:rPr>
  </w:style>
  <w:style w:type="paragraph" w:styleId="List4">
    <w:name w:val="List 4"/>
    <w:basedOn w:val="Normal"/>
    <w:uiPriority w:val="99"/>
    <w:semiHidden/>
    <w:unhideWhenUsed/>
    <w:rsid w:val="00C74666"/>
    <w:pPr>
      <w:widowControl/>
      <w:autoSpaceDE/>
      <w:autoSpaceDN/>
      <w:adjustRightInd/>
      <w:spacing w:after="120" w:line="264" w:lineRule="auto"/>
      <w:ind w:left="1440" w:hanging="360"/>
      <w:contextualSpacing/>
    </w:pPr>
    <w:rPr>
      <w:rFonts w:asciiTheme="minorHAnsi" w:hAnsiTheme="minorHAnsi" w:cstheme="minorBidi"/>
      <w:color w:val="auto"/>
      <w:sz w:val="20"/>
      <w:szCs w:val="20"/>
      <w:lang w:eastAsia="ko-KR"/>
    </w:rPr>
  </w:style>
  <w:style w:type="paragraph" w:styleId="List5">
    <w:name w:val="List 5"/>
    <w:basedOn w:val="Normal"/>
    <w:uiPriority w:val="99"/>
    <w:semiHidden/>
    <w:unhideWhenUsed/>
    <w:rsid w:val="00C74666"/>
    <w:pPr>
      <w:widowControl/>
      <w:autoSpaceDE/>
      <w:autoSpaceDN/>
      <w:adjustRightInd/>
      <w:spacing w:after="120" w:line="264" w:lineRule="auto"/>
      <w:ind w:left="1800" w:hanging="360"/>
      <w:contextualSpacing/>
    </w:pPr>
    <w:rPr>
      <w:rFonts w:asciiTheme="minorHAnsi" w:hAnsiTheme="minorHAnsi" w:cstheme="minorBidi"/>
      <w:color w:val="auto"/>
      <w:sz w:val="20"/>
      <w:szCs w:val="20"/>
      <w:lang w:eastAsia="ko-KR"/>
    </w:rPr>
  </w:style>
  <w:style w:type="paragraph" w:styleId="ListBullet">
    <w:name w:val="List Bullet"/>
    <w:basedOn w:val="Normal"/>
    <w:uiPriority w:val="99"/>
    <w:semiHidden/>
    <w:unhideWhenUsed/>
    <w:rsid w:val="00C74666"/>
    <w:pPr>
      <w:widowControl/>
      <w:numPr>
        <w:numId w:val="40"/>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Bullet2">
    <w:name w:val="List Bullet 2"/>
    <w:basedOn w:val="Normal"/>
    <w:uiPriority w:val="99"/>
    <w:semiHidden/>
    <w:unhideWhenUsed/>
    <w:rsid w:val="00C74666"/>
    <w:pPr>
      <w:widowControl/>
      <w:numPr>
        <w:numId w:val="41"/>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Bullet3">
    <w:name w:val="List Bullet 3"/>
    <w:basedOn w:val="Normal"/>
    <w:uiPriority w:val="99"/>
    <w:semiHidden/>
    <w:unhideWhenUsed/>
    <w:rsid w:val="00C74666"/>
    <w:pPr>
      <w:widowControl/>
      <w:numPr>
        <w:numId w:val="42"/>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Bullet4">
    <w:name w:val="List Bullet 4"/>
    <w:basedOn w:val="Normal"/>
    <w:uiPriority w:val="99"/>
    <w:semiHidden/>
    <w:unhideWhenUsed/>
    <w:rsid w:val="00C74666"/>
    <w:pPr>
      <w:widowControl/>
      <w:numPr>
        <w:numId w:val="43"/>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Bullet5">
    <w:name w:val="List Bullet 5"/>
    <w:basedOn w:val="Normal"/>
    <w:uiPriority w:val="99"/>
    <w:semiHidden/>
    <w:unhideWhenUsed/>
    <w:rsid w:val="00C74666"/>
    <w:pPr>
      <w:widowControl/>
      <w:numPr>
        <w:numId w:val="44"/>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Continue">
    <w:name w:val="List Continue"/>
    <w:basedOn w:val="Normal"/>
    <w:uiPriority w:val="99"/>
    <w:semiHidden/>
    <w:unhideWhenUsed/>
    <w:rsid w:val="00C74666"/>
    <w:pPr>
      <w:widowControl/>
      <w:autoSpaceDE/>
      <w:autoSpaceDN/>
      <w:adjustRightInd/>
      <w:spacing w:after="120" w:line="264" w:lineRule="auto"/>
      <w:ind w:left="360"/>
      <w:contextualSpacing/>
    </w:pPr>
    <w:rPr>
      <w:rFonts w:asciiTheme="minorHAnsi" w:hAnsiTheme="minorHAnsi" w:cstheme="minorBidi"/>
      <w:color w:val="auto"/>
      <w:sz w:val="20"/>
      <w:szCs w:val="20"/>
      <w:lang w:eastAsia="ko-KR"/>
    </w:rPr>
  </w:style>
  <w:style w:type="paragraph" w:styleId="ListContinue2">
    <w:name w:val="List Continue 2"/>
    <w:basedOn w:val="Normal"/>
    <w:uiPriority w:val="99"/>
    <w:semiHidden/>
    <w:unhideWhenUsed/>
    <w:rsid w:val="00C74666"/>
    <w:pPr>
      <w:widowControl/>
      <w:autoSpaceDE/>
      <w:autoSpaceDN/>
      <w:adjustRightInd/>
      <w:spacing w:after="120" w:line="264" w:lineRule="auto"/>
      <w:ind w:left="720"/>
      <w:contextualSpacing/>
    </w:pPr>
    <w:rPr>
      <w:rFonts w:asciiTheme="minorHAnsi" w:hAnsiTheme="minorHAnsi" w:cstheme="minorBidi"/>
      <w:color w:val="auto"/>
      <w:sz w:val="20"/>
      <w:szCs w:val="20"/>
      <w:lang w:eastAsia="ko-KR"/>
    </w:rPr>
  </w:style>
  <w:style w:type="paragraph" w:styleId="ListContinue3">
    <w:name w:val="List Continue 3"/>
    <w:basedOn w:val="Normal"/>
    <w:uiPriority w:val="99"/>
    <w:semiHidden/>
    <w:unhideWhenUsed/>
    <w:rsid w:val="00C74666"/>
    <w:pPr>
      <w:widowControl/>
      <w:autoSpaceDE/>
      <w:autoSpaceDN/>
      <w:adjustRightInd/>
      <w:spacing w:after="120" w:line="264" w:lineRule="auto"/>
      <w:ind w:left="1080"/>
      <w:contextualSpacing/>
    </w:pPr>
    <w:rPr>
      <w:rFonts w:asciiTheme="minorHAnsi" w:hAnsiTheme="minorHAnsi" w:cstheme="minorBidi"/>
      <w:color w:val="auto"/>
      <w:sz w:val="20"/>
      <w:szCs w:val="20"/>
      <w:lang w:eastAsia="ko-KR"/>
    </w:rPr>
  </w:style>
  <w:style w:type="paragraph" w:styleId="ListContinue4">
    <w:name w:val="List Continue 4"/>
    <w:basedOn w:val="Normal"/>
    <w:uiPriority w:val="99"/>
    <w:semiHidden/>
    <w:unhideWhenUsed/>
    <w:rsid w:val="00C74666"/>
    <w:pPr>
      <w:widowControl/>
      <w:autoSpaceDE/>
      <w:autoSpaceDN/>
      <w:adjustRightInd/>
      <w:spacing w:after="120" w:line="264" w:lineRule="auto"/>
      <w:ind w:left="1440"/>
      <w:contextualSpacing/>
    </w:pPr>
    <w:rPr>
      <w:rFonts w:asciiTheme="minorHAnsi" w:hAnsiTheme="minorHAnsi" w:cstheme="minorBidi"/>
      <w:color w:val="auto"/>
      <w:sz w:val="20"/>
      <w:szCs w:val="20"/>
      <w:lang w:eastAsia="ko-KR"/>
    </w:rPr>
  </w:style>
  <w:style w:type="paragraph" w:styleId="ListContinue5">
    <w:name w:val="List Continue 5"/>
    <w:basedOn w:val="Normal"/>
    <w:uiPriority w:val="99"/>
    <w:semiHidden/>
    <w:unhideWhenUsed/>
    <w:rsid w:val="00C74666"/>
    <w:pPr>
      <w:widowControl/>
      <w:autoSpaceDE/>
      <w:autoSpaceDN/>
      <w:adjustRightInd/>
      <w:spacing w:after="120" w:line="264" w:lineRule="auto"/>
      <w:ind w:left="1800"/>
      <w:contextualSpacing/>
    </w:pPr>
    <w:rPr>
      <w:rFonts w:asciiTheme="minorHAnsi" w:hAnsiTheme="minorHAnsi" w:cstheme="minorBidi"/>
      <w:color w:val="auto"/>
      <w:sz w:val="20"/>
      <w:szCs w:val="20"/>
      <w:lang w:eastAsia="ko-KR"/>
    </w:rPr>
  </w:style>
  <w:style w:type="paragraph" w:styleId="ListNumber">
    <w:name w:val="List Number"/>
    <w:basedOn w:val="Normal"/>
    <w:uiPriority w:val="99"/>
    <w:semiHidden/>
    <w:unhideWhenUsed/>
    <w:rsid w:val="00C74666"/>
    <w:pPr>
      <w:widowControl/>
      <w:numPr>
        <w:numId w:val="45"/>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Number2">
    <w:name w:val="List Number 2"/>
    <w:basedOn w:val="Normal"/>
    <w:uiPriority w:val="99"/>
    <w:semiHidden/>
    <w:unhideWhenUsed/>
    <w:rsid w:val="00C74666"/>
    <w:pPr>
      <w:widowControl/>
      <w:numPr>
        <w:numId w:val="46"/>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Number3">
    <w:name w:val="List Number 3"/>
    <w:basedOn w:val="Normal"/>
    <w:uiPriority w:val="99"/>
    <w:semiHidden/>
    <w:unhideWhenUsed/>
    <w:rsid w:val="00C74666"/>
    <w:pPr>
      <w:widowControl/>
      <w:numPr>
        <w:numId w:val="47"/>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Number4">
    <w:name w:val="List Number 4"/>
    <w:basedOn w:val="Normal"/>
    <w:uiPriority w:val="99"/>
    <w:semiHidden/>
    <w:unhideWhenUsed/>
    <w:rsid w:val="00C74666"/>
    <w:pPr>
      <w:widowControl/>
      <w:numPr>
        <w:numId w:val="48"/>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ListNumber5">
    <w:name w:val="List Number 5"/>
    <w:basedOn w:val="Normal"/>
    <w:uiPriority w:val="99"/>
    <w:semiHidden/>
    <w:unhideWhenUsed/>
    <w:rsid w:val="00C74666"/>
    <w:pPr>
      <w:widowControl/>
      <w:numPr>
        <w:numId w:val="49"/>
      </w:numPr>
      <w:autoSpaceDE/>
      <w:autoSpaceDN/>
      <w:adjustRightInd/>
      <w:spacing w:after="120" w:line="264" w:lineRule="auto"/>
      <w:contextualSpacing/>
    </w:pPr>
    <w:rPr>
      <w:rFonts w:asciiTheme="minorHAnsi" w:hAnsiTheme="minorHAnsi" w:cstheme="minorBidi"/>
      <w:color w:val="auto"/>
      <w:sz w:val="20"/>
      <w:szCs w:val="20"/>
      <w:lang w:eastAsia="ko-KR"/>
    </w:rPr>
  </w:style>
  <w:style w:type="paragraph" w:styleId="MacroText">
    <w:name w:val="macro"/>
    <w:link w:val="MacroTextChar"/>
    <w:uiPriority w:val="99"/>
    <w:semiHidden/>
    <w:unhideWhenUsed/>
    <w:rsid w:val="00C74666"/>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cstheme="minorBidi"/>
      <w:sz w:val="20"/>
      <w:szCs w:val="20"/>
      <w:lang w:eastAsia="ko-KR"/>
    </w:rPr>
  </w:style>
  <w:style w:type="character" w:customStyle="1" w:styleId="MacroTextChar">
    <w:name w:val="Macro Text Char"/>
    <w:basedOn w:val="DefaultParagraphFont"/>
    <w:link w:val="MacroText"/>
    <w:uiPriority w:val="99"/>
    <w:semiHidden/>
    <w:rsid w:val="00C74666"/>
    <w:rPr>
      <w:rFonts w:ascii="Consolas" w:hAnsi="Consolas" w:cstheme="minorBidi"/>
      <w:sz w:val="20"/>
      <w:szCs w:val="20"/>
      <w:lang w:eastAsia="ko-KR"/>
    </w:rPr>
  </w:style>
  <w:style w:type="paragraph" w:styleId="MessageHeader">
    <w:name w:val="Message Header"/>
    <w:basedOn w:val="Normal"/>
    <w:link w:val="MessageHeaderChar"/>
    <w:uiPriority w:val="99"/>
    <w:semiHidden/>
    <w:unhideWhenUsed/>
    <w:rsid w:val="00C7466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Theme="majorHAnsi" w:eastAsiaTheme="majorEastAsia" w:hAnsiTheme="majorHAnsi" w:cstheme="majorBidi"/>
      <w:color w:val="auto"/>
      <w:lang w:eastAsia="ko-KR"/>
    </w:rPr>
  </w:style>
  <w:style w:type="character" w:customStyle="1" w:styleId="MessageHeaderChar">
    <w:name w:val="Message Header Char"/>
    <w:basedOn w:val="DefaultParagraphFont"/>
    <w:link w:val="MessageHeader"/>
    <w:uiPriority w:val="99"/>
    <w:semiHidden/>
    <w:rsid w:val="00C74666"/>
    <w:rPr>
      <w:rFonts w:asciiTheme="majorHAnsi" w:eastAsiaTheme="majorEastAsia" w:hAnsiTheme="majorHAnsi" w:cstheme="majorBidi"/>
      <w:sz w:val="24"/>
      <w:szCs w:val="24"/>
      <w:shd w:val="pct20" w:color="auto" w:fill="auto"/>
      <w:lang w:eastAsia="ko-KR"/>
    </w:rPr>
  </w:style>
  <w:style w:type="paragraph" w:styleId="NormalIndent">
    <w:name w:val="Normal Indent"/>
    <w:basedOn w:val="Normal"/>
    <w:uiPriority w:val="99"/>
    <w:semiHidden/>
    <w:unhideWhenUsed/>
    <w:rsid w:val="00C74666"/>
    <w:pPr>
      <w:widowControl/>
      <w:autoSpaceDE/>
      <w:autoSpaceDN/>
      <w:adjustRightInd/>
      <w:spacing w:after="120" w:line="264" w:lineRule="auto"/>
      <w:ind w:left="720"/>
    </w:pPr>
    <w:rPr>
      <w:rFonts w:asciiTheme="minorHAnsi" w:hAnsiTheme="minorHAnsi" w:cstheme="minorBidi"/>
      <w:color w:val="auto"/>
      <w:sz w:val="20"/>
      <w:szCs w:val="20"/>
      <w:lang w:eastAsia="ko-KR"/>
    </w:rPr>
  </w:style>
  <w:style w:type="paragraph" w:styleId="NoteHeading">
    <w:name w:val="Note Heading"/>
    <w:basedOn w:val="Normal"/>
    <w:next w:val="Normal"/>
    <w:link w:val="NoteHeadingChar"/>
    <w:uiPriority w:val="99"/>
    <w:semiHidden/>
    <w:unhideWhenUsed/>
    <w:rsid w:val="00C74666"/>
    <w:pPr>
      <w:widowControl/>
      <w:autoSpaceDE/>
      <w:autoSpaceDN/>
      <w:adjustRightInd/>
    </w:pPr>
    <w:rPr>
      <w:rFonts w:asciiTheme="minorHAnsi" w:hAnsiTheme="minorHAnsi" w:cstheme="minorBidi"/>
      <w:color w:val="auto"/>
      <w:sz w:val="20"/>
      <w:szCs w:val="20"/>
      <w:lang w:eastAsia="ko-KR"/>
    </w:rPr>
  </w:style>
  <w:style w:type="character" w:customStyle="1" w:styleId="NoteHeadingChar">
    <w:name w:val="Note Heading Char"/>
    <w:basedOn w:val="DefaultParagraphFont"/>
    <w:link w:val="NoteHeading"/>
    <w:uiPriority w:val="99"/>
    <w:semiHidden/>
    <w:rsid w:val="00C74666"/>
    <w:rPr>
      <w:rFonts w:cstheme="minorBidi"/>
      <w:sz w:val="20"/>
      <w:szCs w:val="20"/>
      <w:lang w:eastAsia="ko-KR"/>
    </w:rPr>
  </w:style>
  <w:style w:type="paragraph" w:styleId="PlainText">
    <w:name w:val="Plain Text"/>
    <w:basedOn w:val="Normal"/>
    <w:link w:val="PlainTextChar"/>
    <w:uiPriority w:val="99"/>
    <w:semiHidden/>
    <w:unhideWhenUsed/>
    <w:rsid w:val="00C74666"/>
    <w:pPr>
      <w:widowControl/>
      <w:autoSpaceDE/>
      <w:autoSpaceDN/>
      <w:adjustRightInd/>
    </w:pPr>
    <w:rPr>
      <w:rFonts w:ascii="Consolas" w:hAnsi="Consolas" w:cstheme="minorBidi"/>
      <w:color w:val="auto"/>
      <w:sz w:val="21"/>
      <w:szCs w:val="21"/>
      <w:lang w:eastAsia="ko-KR"/>
    </w:rPr>
  </w:style>
  <w:style w:type="character" w:customStyle="1" w:styleId="PlainTextChar">
    <w:name w:val="Plain Text Char"/>
    <w:basedOn w:val="DefaultParagraphFont"/>
    <w:link w:val="PlainText"/>
    <w:uiPriority w:val="99"/>
    <w:semiHidden/>
    <w:rsid w:val="00C74666"/>
    <w:rPr>
      <w:rFonts w:ascii="Consolas" w:hAnsi="Consolas" w:cstheme="minorBidi"/>
      <w:sz w:val="21"/>
      <w:szCs w:val="21"/>
      <w:lang w:eastAsia="ko-KR"/>
    </w:rPr>
  </w:style>
  <w:style w:type="paragraph" w:styleId="Salutation">
    <w:name w:val="Salutation"/>
    <w:basedOn w:val="Normal"/>
    <w:next w:val="Normal"/>
    <w:link w:val="SalutationChar"/>
    <w:uiPriority w:val="99"/>
    <w:semiHidden/>
    <w:unhideWhenUsed/>
    <w:rsid w:val="00C74666"/>
    <w:pPr>
      <w:widowControl/>
      <w:autoSpaceDE/>
      <w:autoSpaceDN/>
      <w:adjustRightInd/>
      <w:spacing w:after="120" w:line="264" w:lineRule="auto"/>
    </w:pPr>
    <w:rPr>
      <w:rFonts w:asciiTheme="minorHAnsi" w:hAnsiTheme="minorHAnsi" w:cstheme="minorBidi"/>
      <w:color w:val="auto"/>
      <w:sz w:val="20"/>
      <w:szCs w:val="20"/>
      <w:lang w:eastAsia="ko-KR"/>
    </w:rPr>
  </w:style>
  <w:style w:type="character" w:customStyle="1" w:styleId="SalutationChar">
    <w:name w:val="Salutation Char"/>
    <w:basedOn w:val="DefaultParagraphFont"/>
    <w:link w:val="Salutation"/>
    <w:uiPriority w:val="99"/>
    <w:semiHidden/>
    <w:rsid w:val="00C74666"/>
    <w:rPr>
      <w:rFonts w:cstheme="minorBidi"/>
      <w:sz w:val="20"/>
      <w:szCs w:val="20"/>
      <w:lang w:eastAsia="ko-KR"/>
    </w:rPr>
  </w:style>
  <w:style w:type="paragraph" w:styleId="Signature">
    <w:name w:val="Signature"/>
    <w:basedOn w:val="Normal"/>
    <w:link w:val="SignatureChar"/>
    <w:uiPriority w:val="99"/>
    <w:semiHidden/>
    <w:unhideWhenUsed/>
    <w:rsid w:val="00C74666"/>
    <w:pPr>
      <w:widowControl/>
      <w:autoSpaceDE/>
      <w:autoSpaceDN/>
      <w:adjustRightInd/>
      <w:ind w:left="4320"/>
    </w:pPr>
    <w:rPr>
      <w:rFonts w:asciiTheme="minorHAnsi" w:hAnsiTheme="minorHAnsi" w:cstheme="minorBidi"/>
      <w:color w:val="auto"/>
      <w:sz w:val="20"/>
      <w:szCs w:val="20"/>
      <w:lang w:eastAsia="ko-KR"/>
    </w:rPr>
  </w:style>
  <w:style w:type="character" w:customStyle="1" w:styleId="SignatureChar">
    <w:name w:val="Signature Char"/>
    <w:basedOn w:val="DefaultParagraphFont"/>
    <w:link w:val="Signature"/>
    <w:uiPriority w:val="99"/>
    <w:semiHidden/>
    <w:rsid w:val="00C74666"/>
    <w:rPr>
      <w:rFonts w:cstheme="minorBidi"/>
      <w:sz w:val="20"/>
      <w:szCs w:val="20"/>
      <w:lang w:eastAsia="ko-KR"/>
    </w:rPr>
  </w:style>
  <w:style w:type="paragraph" w:styleId="TableofAuthorities">
    <w:name w:val="table of authorities"/>
    <w:basedOn w:val="Normal"/>
    <w:next w:val="Normal"/>
    <w:uiPriority w:val="99"/>
    <w:semiHidden/>
    <w:unhideWhenUsed/>
    <w:rsid w:val="00C74666"/>
    <w:pPr>
      <w:widowControl/>
      <w:autoSpaceDE/>
      <w:autoSpaceDN/>
      <w:adjustRightInd/>
      <w:spacing w:line="264" w:lineRule="auto"/>
      <w:ind w:left="200" w:hanging="200"/>
    </w:pPr>
    <w:rPr>
      <w:rFonts w:asciiTheme="minorHAnsi" w:hAnsiTheme="minorHAnsi" w:cstheme="minorBidi"/>
      <w:color w:val="auto"/>
      <w:sz w:val="20"/>
      <w:szCs w:val="20"/>
      <w:lang w:eastAsia="ko-KR"/>
    </w:rPr>
  </w:style>
  <w:style w:type="paragraph" w:styleId="TOAHeading">
    <w:name w:val="toa heading"/>
    <w:basedOn w:val="Normal"/>
    <w:next w:val="Normal"/>
    <w:uiPriority w:val="99"/>
    <w:semiHidden/>
    <w:unhideWhenUsed/>
    <w:rsid w:val="00C74666"/>
    <w:pPr>
      <w:widowControl/>
      <w:autoSpaceDE/>
      <w:autoSpaceDN/>
      <w:adjustRightInd/>
      <w:spacing w:before="120" w:after="120" w:line="264" w:lineRule="auto"/>
    </w:pPr>
    <w:rPr>
      <w:rFonts w:asciiTheme="majorHAnsi" w:eastAsiaTheme="majorEastAsia" w:hAnsiTheme="majorHAnsi" w:cstheme="majorBidi"/>
      <w:b/>
      <w:bCs/>
      <w:color w:val="auto"/>
      <w:lang w:eastAsia="ko-KR"/>
    </w:rPr>
  </w:style>
  <w:style w:type="paragraph" w:styleId="TOC4">
    <w:name w:val="toc 4"/>
    <w:basedOn w:val="Normal"/>
    <w:next w:val="Normal"/>
    <w:autoRedefine/>
    <w:uiPriority w:val="39"/>
    <w:semiHidden/>
    <w:unhideWhenUsed/>
    <w:rsid w:val="00C74666"/>
    <w:pPr>
      <w:widowControl/>
      <w:autoSpaceDE/>
      <w:autoSpaceDN/>
      <w:adjustRightInd/>
      <w:spacing w:after="100" w:line="264" w:lineRule="auto"/>
      <w:ind w:left="600"/>
    </w:pPr>
    <w:rPr>
      <w:rFonts w:asciiTheme="minorHAnsi" w:hAnsiTheme="minorHAnsi" w:cstheme="minorBidi"/>
      <w:color w:val="auto"/>
      <w:sz w:val="20"/>
      <w:szCs w:val="20"/>
      <w:lang w:eastAsia="ko-KR"/>
    </w:rPr>
  </w:style>
  <w:style w:type="paragraph" w:styleId="TOC5">
    <w:name w:val="toc 5"/>
    <w:basedOn w:val="Normal"/>
    <w:next w:val="Normal"/>
    <w:autoRedefine/>
    <w:uiPriority w:val="39"/>
    <w:semiHidden/>
    <w:unhideWhenUsed/>
    <w:rsid w:val="00C74666"/>
    <w:pPr>
      <w:widowControl/>
      <w:autoSpaceDE/>
      <w:autoSpaceDN/>
      <w:adjustRightInd/>
      <w:spacing w:after="100" w:line="264" w:lineRule="auto"/>
      <w:ind w:left="800"/>
    </w:pPr>
    <w:rPr>
      <w:rFonts w:asciiTheme="minorHAnsi" w:hAnsiTheme="minorHAnsi" w:cstheme="minorBidi"/>
      <w:color w:val="auto"/>
      <w:sz w:val="20"/>
      <w:szCs w:val="20"/>
      <w:lang w:eastAsia="ko-KR"/>
    </w:rPr>
  </w:style>
  <w:style w:type="paragraph" w:styleId="TOC6">
    <w:name w:val="toc 6"/>
    <w:basedOn w:val="Normal"/>
    <w:next w:val="Normal"/>
    <w:autoRedefine/>
    <w:uiPriority w:val="39"/>
    <w:semiHidden/>
    <w:unhideWhenUsed/>
    <w:rsid w:val="00C74666"/>
    <w:pPr>
      <w:widowControl/>
      <w:autoSpaceDE/>
      <w:autoSpaceDN/>
      <w:adjustRightInd/>
      <w:spacing w:after="100" w:line="264" w:lineRule="auto"/>
      <w:ind w:left="1000"/>
    </w:pPr>
    <w:rPr>
      <w:rFonts w:asciiTheme="minorHAnsi" w:hAnsiTheme="minorHAnsi" w:cstheme="minorBidi"/>
      <w:color w:val="auto"/>
      <w:sz w:val="20"/>
      <w:szCs w:val="20"/>
      <w:lang w:eastAsia="ko-KR"/>
    </w:rPr>
  </w:style>
  <w:style w:type="paragraph" w:styleId="TOC7">
    <w:name w:val="toc 7"/>
    <w:basedOn w:val="Normal"/>
    <w:next w:val="Normal"/>
    <w:autoRedefine/>
    <w:uiPriority w:val="39"/>
    <w:semiHidden/>
    <w:unhideWhenUsed/>
    <w:rsid w:val="00C74666"/>
    <w:pPr>
      <w:widowControl/>
      <w:autoSpaceDE/>
      <w:autoSpaceDN/>
      <w:adjustRightInd/>
      <w:spacing w:after="100" w:line="264" w:lineRule="auto"/>
      <w:ind w:left="1200"/>
    </w:pPr>
    <w:rPr>
      <w:rFonts w:asciiTheme="minorHAnsi" w:hAnsiTheme="minorHAnsi" w:cstheme="minorBidi"/>
      <w:color w:val="auto"/>
      <w:sz w:val="20"/>
      <w:szCs w:val="20"/>
      <w:lang w:eastAsia="ko-KR"/>
    </w:rPr>
  </w:style>
  <w:style w:type="paragraph" w:styleId="TOC8">
    <w:name w:val="toc 8"/>
    <w:basedOn w:val="Normal"/>
    <w:next w:val="Normal"/>
    <w:autoRedefine/>
    <w:uiPriority w:val="39"/>
    <w:semiHidden/>
    <w:unhideWhenUsed/>
    <w:rsid w:val="00C74666"/>
    <w:pPr>
      <w:widowControl/>
      <w:autoSpaceDE/>
      <w:autoSpaceDN/>
      <w:adjustRightInd/>
      <w:spacing w:after="100" w:line="264" w:lineRule="auto"/>
      <w:ind w:left="1400"/>
    </w:pPr>
    <w:rPr>
      <w:rFonts w:asciiTheme="minorHAnsi" w:hAnsiTheme="minorHAnsi" w:cstheme="minorBidi"/>
      <w:color w:val="auto"/>
      <w:sz w:val="20"/>
      <w:szCs w:val="20"/>
      <w:lang w:eastAsia="ko-KR"/>
    </w:rPr>
  </w:style>
  <w:style w:type="paragraph" w:styleId="TOC9">
    <w:name w:val="toc 9"/>
    <w:basedOn w:val="Normal"/>
    <w:next w:val="Normal"/>
    <w:autoRedefine/>
    <w:uiPriority w:val="39"/>
    <w:semiHidden/>
    <w:unhideWhenUsed/>
    <w:rsid w:val="00C74666"/>
    <w:pPr>
      <w:widowControl/>
      <w:autoSpaceDE/>
      <w:autoSpaceDN/>
      <w:adjustRightInd/>
      <w:spacing w:after="100" w:line="264" w:lineRule="auto"/>
      <w:ind w:left="1600"/>
    </w:pPr>
    <w:rPr>
      <w:rFonts w:asciiTheme="minorHAnsi" w:hAnsiTheme="minorHAnsi" w:cstheme="minorBidi"/>
      <w:color w:val="auto"/>
      <w:sz w:val="20"/>
      <w:szCs w:val="20"/>
      <w:lang w:eastAsia="ko-KR"/>
    </w:rPr>
  </w:style>
  <w:style w:type="numbering" w:customStyle="1" w:styleId="NoList1">
    <w:name w:val="No List1"/>
    <w:next w:val="NoList"/>
    <w:uiPriority w:val="99"/>
    <w:semiHidden/>
    <w:unhideWhenUsed/>
    <w:rsid w:val="00900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3.xml"/><Relationship Id="rId39" Type="http://schemas.openxmlformats.org/officeDocument/2006/relationships/chart" Target="charts/chart9.xml"/><Relationship Id="rId21" Type="http://schemas.openxmlformats.org/officeDocument/2006/relationships/image" Target="media/image8.emf"/><Relationship Id="rId34" Type="http://schemas.openxmlformats.org/officeDocument/2006/relationships/chart" Target="charts/chart7.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5.xml"/><Relationship Id="rId36" Type="http://schemas.microsoft.com/office/2014/relationships/chartEx" Target="charts/chartEx1.xml"/><Relationship Id="rId10" Type="http://schemas.openxmlformats.org/officeDocument/2006/relationships/hyperlink" Target="mailto:pubrights@worldbank.org" TargetMode="External"/><Relationship Id="rId19" Type="http://schemas.openxmlformats.org/officeDocument/2006/relationships/image" Target="media/image7.svg"/><Relationship Id="rId31" Type="http://schemas.openxmlformats.org/officeDocument/2006/relationships/image" Target="media/image12.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chart" Target="charts/chart8.xml"/><Relationship Id="rId20" Type="http://schemas.openxmlformats.org/officeDocument/2006/relationships/hyperlink" Target="https://www.imi.gov.my/index.php/en/foreign-worker.html" TargetMode="Externa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om.int/key-migration-term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Ex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wb507203\Documents\OneDrive%20-%20WBG\Remittance%20Data\Irregular%20Worker%20Estimation.xlsx" TargetMode="External"/><Relationship Id="rId4"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cat>
            <c:strRef>
              <c:f>Sheet1!$A$4:$A$18</c:f>
              <c:strCache>
                <c:ptCount val="15"/>
                <c:pt idx="0">
                  <c:v>Selangor</c:v>
                </c:pt>
                <c:pt idx="1">
                  <c:v>Johor</c:v>
                </c:pt>
                <c:pt idx="2">
                  <c:v>Sarawak</c:v>
                </c:pt>
                <c:pt idx="3">
                  <c:v>Sabah</c:v>
                </c:pt>
                <c:pt idx="4">
                  <c:v>Pulau Pinang</c:v>
                </c:pt>
                <c:pt idx="5">
                  <c:v>Perak</c:v>
                </c:pt>
                <c:pt idx="6">
                  <c:v>Pahang</c:v>
                </c:pt>
                <c:pt idx="7">
                  <c:v>Negeri Sembilan</c:v>
                </c:pt>
                <c:pt idx="8">
                  <c:v>Melaka</c:v>
                </c:pt>
                <c:pt idx="9">
                  <c:v>Kedah</c:v>
                </c:pt>
                <c:pt idx="10">
                  <c:v>Terengganu</c:v>
                </c:pt>
                <c:pt idx="11">
                  <c:v>Kelantan</c:v>
                </c:pt>
                <c:pt idx="12">
                  <c:v>Perlis</c:v>
                </c:pt>
                <c:pt idx="13">
                  <c:v>Wilayah Persekutuan Labuan</c:v>
                </c:pt>
                <c:pt idx="14">
                  <c:v>Wilayah Persekutuan Putrajaya</c:v>
                </c:pt>
              </c:strCache>
            </c:strRef>
          </c:cat>
          <c:val>
            <c:numRef>
              <c:f>Sheet1!$H$4:$H$18</c:f>
              <c:numCache>
                <c:formatCode>#,##0</c:formatCode>
                <c:ptCount val="15"/>
                <c:pt idx="0">
                  <c:v>1015170.8</c:v>
                </c:pt>
                <c:pt idx="1">
                  <c:v>678122</c:v>
                </c:pt>
                <c:pt idx="2">
                  <c:v>313313</c:v>
                </c:pt>
                <c:pt idx="3">
                  <c:v>289042</c:v>
                </c:pt>
                <c:pt idx="4">
                  <c:v>277847.2</c:v>
                </c:pt>
                <c:pt idx="5">
                  <c:v>197213.4</c:v>
                </c:pt>
                <c:pt idx="6">
                  <c:v>128741</c:v>
                </c:pt>
                <c:pt idx="7">
                  <c:v>125311.6</c:v>
                </c:pt>
                <c:pt idx="8">
                  <c:v>108654</c:v>
                </c:pt>
                <c:pt idx="9">
                  <c:v>81102</c:v>
                </c:pt>
                <c:pt idx="10">
                  <c:v>23595</c:v>
                </c:pt>
                <c:pt idx="11">
                  <c:v>20583.599999999999</c:v>
                </c:pt>
                <c:pt idx="12">
                  <c:v>5781.6</c:v>
                </c:pt>
                <c:pt idx="13">
                  <c:v>2618</c:v>
                </c:pt>
                <c:pt idx="14">
                  <c:v>597.20000000000005</c:v>
                </c:pt>
              </c:numCache>
            </c:numRef>
          </c:val>
          <c:extLst>
            <c:ext xmlns:c16="http://schemas.microsoft.com/office/drawing/2014/chart" uri="{C3380CC4-5D6E-409C-BE32-E72D297353CC}">
              <c16:uniqueId val="{00000000-FA7C-4003-A959-7D2AC79C5DDA}"/>
            </c:ext>
          </c:extLst>
        </c:ser>
        <c:dLbls>
          <c:showLegendKey val="0"/>
          <c:showVal val="0"/>
          <c:showCatName val="0"/>
          <c:showSerName val="0"/>
          <c:showPercent val="0"/>
          <c:showBubbleSize val="0"/>
        </c:dLbls>
        <c:gapWidth val="75"/>
        <c:overlap val="-27"/>
        <c:axId val="254272224"/>
        <c:axId val="1861013168"/>
      </c:barChart>
      <c:catAx>
        <c:axId val="2542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1013168"/>
        <c:crosses val="autoZero"/>
        <c:auto val="1"/>
        <c:lblAlgn val="ctr"/>
        <c:lblOffset val="100"/>
        <c:noMultiLvlLbl val="0"/>
      </c:catAx>
      <c:valAx>
        <c:axId val="186101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427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Foreign workers (LHS)</c:v>
          </c:tx>
          <c:spPr>
            <a:solidFill>
              <a:srgbClr val="002060"/>
            </a:solidFill>
            <a:ln>
              <a:solidFill>
                <a:schemeClr val="accent1"/>
              </a:solidFill>
            </a:ln>
            <a:effectLst/>
          </c:spPr>
          <c:invertIfNegative val="0"/>
          <c:cat>
            <c:numRef>
              <c:f>plantation!$D$27:$J$27</c:f>
              <c:numCache>
                <c:formatCode>General</c:formatCode>
                <c:ptCount val="7"/>
                <c:pt idx="0">
                  <c:v>2011</c:v>
                </c:pt>
                <c:pt idx="1">
                  <c:v>2012</c:v>
                </c:pt>
                <c:pt idx="2">
                  <c:v>2013</c:v>
                </c:pt>
                <c:pt idx="3">
                  <c:v>2014</c:v>
                </c:pt>
                <c:pt idx="4">
                  <c:v>2015</c:v>
                </c:pt>
                <c:pt idx="5">
                  <c:v>2016</c:v>
                </c:pt>
                <c:pt idx="6">
                  <c:v>2017</c:v>
                </c:pt>
              </c:numCache>
            </c:numRef>
          </c:cat>
          <c:val>
            <c:numRef>
              <c:f>plantation!$D$36:$J$36</c:f>
              <c:numCache>
                <c:formatCode>General</c:formatCode>
                <c:ptCount val="7"/>
                <c:pt idx="0">
                  <c:v>1388969</c:v>
                </c:pt>
                <c:pt idx="1">
                  <c:v>1428653</c:v>
                </c:pt>
                <c:pt idx="2" formatCode="#,##0">
                  <c:v>2250322</c:v>
                </c:pt>
                <c:pt idx="3" formatCode="#,##0">
                  <c:v>2073414</c:v>
                </c:pt>
                <c:pt idx="4" formatCode="#,##0">
                  <c:v>2135035</c:v>
                </c:pt>
                <c:pt idx="5" formatCode="#,##0">
                  <c:v>1866369</c:v>
                </c:pt>
                <c:pt idx="6" formatCode="#,##0">
                  <c:v>1797377</c:v>
                </c:pt>
              </c:numCache>
            </c:numRef>
          </c:val>
          <c:extLst>
            <c:ext xmlns:c16="http://schemas.microsoft.com/office/drawing/2014/chart" uri="{C3380CC4-5D6E-409C-BE32-E72D297353CC}">
              <c16:uniqueId val="{00000000-8755-41CB-9039-98D6253D760F}"/>
            </c:ext>
          </c:extLst>
        </c:ser>
        <c:dLbls>
          <c:showLegendKey val="0"/>
          <c:showVal val="0"/>
          <c:showCatName val="0"/>
          <c:showSerName val="0"/>
          <c:showPercent val="0"/>
          <c:showBubbleSize val="0"/>
        </c:dLbls>
        <c:gapWidth val="150"/>
        <c:axId val="1587844703"/>
        <c:axId val="1655465791"/>
      </c:barChart>
      <c:lineChart>
        <c:grouping val="standard"/>
        <c:varyColors val="0"/>
        <c:ser>
          <c:idx val="0"/>
          <c:order val="1"/>
          <c:tx>
            <c:v>Changes (2011=100) (RHS)</c:v>
          </c:tx>
          <c:spPr>
            <a:ln w="28575" cap="rnd">
              <a:solidFill>
                <a:srgbClr val="C00000"/>
              </a:solidFill>
              <a:round/>
            </a:ln>
            <a:effectLst/>
          </c:spPr>
          <c:marker>
            <c:symbol val="none"/>
          </c:marker>
          <c:val>
            <c:numRef>
              <c:f>plantation!$D$35:$J$35</c:f>
              <c:numCache>
                <c:formatCode>General</c:formatCode>
                <c:ptCount val="7"/>
                <c:pt idx="0">
                  <c:v>100</c:v>
                </c:pt>
                <c:pt idx="1">
                  <c:v>102.85708320344082</c:v>
                </c:pt>
                <c:pt idx="2">
                  <c:v>162.01383904176407</c:v>
                </c:pt>
                <c:pt idx="3">
                  <c:v>149.27719769123718</c:v>
                </c:pt>
                <c:pt idx="4">
                  <c:v>153.71365379644902</c:v>
                </c:pt>
                <c:pt idx="5">
                  <c:v>134.3708174912471</c:v>
                </c:pt>
                <c:pt idx="6">
                  <c:v>129.40367999573786</c:v>
                </c:pt>
              </c:numCache>
            </c:numRef>
          </c:val>
          <c:smooth val="0"/>
          <c:extLst>
            <c:ext xmlns:c16="http://schemas.microsoft.com/office/drawing/2014/chart" uri="{C3380CC4-5D6E-409C-BE32-E72D297353CC}">
              <c16:uniqueId val="{00000001-8755-41CB-9039-98D6253D760F}"/>
            </c:ext>
          </c:extLst>
        </c:ser>
        <c:dLbls>
          <c:showLegendKey val="0"/>
          <c:showVal val="0"/>
          <c:showCatName val="0"/>
          <c:showSerName val="0"/>
          <c:showPercent val="0"/>
          <c:showBubbleSize val="0"/>
        </c:dLbls>
        <c:marker val="1"/>
        <c:smooth val="0"/>
        <c:axId val="1587849279"/>
        <c:axId val="1779169935"/>
      </c:lineChart>
      <c:catAx>
        <c:axId val="158784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55465791"/>
        <c:crossesAt val="0"/>
        <c:auto val="1"/>
        <c:lblAlgn val="ctr"/>
        <c:lblOffset val="100"/>
        <c:noMultiLvlLbl val="0"/>
      </c:catAx>
      <c:valAx>
        <c:axId val="165546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87844703"/>
        <c:crosses val="autoZero"/>
        <c:crossBetween val="between"/>
        <c:dispUnits>
          <c:builtInUnit val="millions"/>
          <c:dispUnitsLbl>
            <c:layout>
              <c:manualLayout>
                <c:xMode val="edge"/>
                <c:yMode val="edge"/>
                <c:x val="1.7112299465240642E-2"/>
                <c:y val="0.3410852713178294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ispUnitsLbl>
        </c:dispUnits>
      </c:valAx>
      <c:valAx>
        <c:axId val="1779169935"/>
        <c:scaling>
          <c:orientation val="minMax"/>
          <c:min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87849279"/>
        <c:crosses val="max"/>
        <c:crossBetween val="between"/>
      </c:valAx>
      <c:catAx>
        <c:axId val="1587849279"/>
        <c:scaling>
          <c:orientation val="minMax"/>
        </c:scaling>
        <c:delete val="1"/>
        <c:axPos val="b"/>
        <c:majorTickMark val="out"/>
        <c:minorTickMark val="none"/>
        <c:tickLblPos val="nextTo"/>
        <c:crossAx val="17791699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lumMod val="50000"/>
              </a:schemeClr>
            </a:solidFill>
            <a:ln w="19050">
              <a:noFill/>
            </a:ln>
            <a:effectLst/>
          </c:spPr>
          <c:invertIfNegative val="0"/>
          <c:dPt>
            <c:idx val="0"/>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1-373F-4829-B5A4-C81011C58EDD}"/>
              </c:ext>
            </c:extLst>
          </c:dPt>
          <c:dPt>
            <c:idx val="1"/>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3-373F-4829-B5A4-C81011C58EDD}"/>
              </c:ext>
            </c:extLst>
          </c:dPt>
          <c:dPt>
            <c:idx val="2"/>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5-373F-4829-B5A4-C81011C58EDD}"/>
              </c:ext>
            </c:extLst>
          </c:dPt>
          <c:dPt>
            <c:idx val="3"/>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7-373F-4829-B5A4-C81011C58EDD}"/>
              </c:ext>
            </c:extLst>
          </c:dPt>
          <c:dPt>
            <c:idx val="4"/>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9-373F-4829-B5A4-C81011C58EDD}"/>
              </c:ext>
            </c:extLst>
          </c:dPt>
          <c:dPt>
            <c:idx val="5"/>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B-373F-4829-B5A4-C81011C58EDD}"/>
              </c:ext>
            </c:extLst>
          </c:dPt>
          <c:dPt>
            <c:idx val="6"/>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D-373F-4829-B5A4-C81011C58EDD}"/>
              </c:ext>
            </c:extLst>
          </c:dPt>
          <c:dPt>
            <c:idx val="7"/>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F-373F-4829-B5A4-C81011C58EDD}"/>
              </c:ext>
            </c:extLst>
          </c:dPt>
          <c:dPt>
            <c:idx val="8"/>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11-373F-4829-B5A4-C81011C58EDD}"/>
              </c:ext>
            </c:extLst>
          </c:dPt>
          <c:dPt>
            <c:idx val="9"/>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13-373F-4829-B5A4-C81011C58EDD}"/>
              </c:ext>
            </c:extLst>
          </c:dPt>
          <c:dPt>
            <c:idx val="10"/>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15-373F-4829-B5A4-C81011C58EDD}"/>
              </c:ext>
            </c:extLst>
          </c:dPt>
          <c:dPt>
            <c:idx val="11"/>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17-373F-4829-B5A4-C81011C58EDD}"/>
              </c:ext>
            </c:extLst>
          </c:dPt>
          <c:dPt>
            <c:idx val="12"/>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19-373F-4829-B5A4-C81011C58EDD}"/>
              </c:ext>
            </c:extLst>
          </c:dPt>
          <c:cat>
            <c:strRef>
              <c:f>[2]Sheet1!$F$24:$F$36</c:f>
              <c:strCache>
                <c:ptCount val="13"/>
                <c:pt idx="0">
                  <c:v>INDONESIA</c:v>
                </c:pt>
                <c:pt idx="1">
                  <c:v>NEPAL</c:v>
                </c:pt>
                <c:pt idx="2">
                  <c:v>BANGLADESH</c:v>
                </c:pt>
                <c:pt idx="3">
                  <c:v>INDIA</c:v>
                </c:pt>
                <c:pt idx="4">
                  <c:v>MYANMAR</c:v>
                </c:pt>
                <c:pt idx="5">
                  <c:v>PAKISTAN</c:v>
                </c:pt>
                <c:pt idx="6">
                  <c:v>PHILIPPINES</c:v>
                </c:pt>
                <c:pt idx="7">
                  <c:v>VIETNAM</c:v>
                </c:pt>
                <c:pt idx="8">
                  <c:v>CHINA</c:v>
                </c:pt>
                <c:pt idx="9">
                  <c:v>THAILAND</c:v>
                </c:pt>
                <c:pt idx="10">
                  <c:v>SRI LANKA</c:v>
                </c:pt>
                <c:pt idx="11">
                  <c:v>CAMBODIA</c:v>
                </c:pt>
                <c:pt idx="12">
                  <c:v>LAOS</c:v>
                </c:pt>
              </c:strCache>
            </c:strRef>
          </c:cat>
          <c:val>
            <c:numRef>
              <c:f>[2]Sheet1!$G$24:$G$36</c:f>
              <c:numCache>
                <c:formatCode>#,##0</c:formatCode>
                <c:ptCount val="13"/>
                <c:pt idx="0">
                  <c:v>705154</c:v>
                </c:pt>
                <c:pt idx="1">
                  <c:v>382651</c:v>
                </c:pt>
                <c:pt idx="2">
                  <c:v>268050</c:v>
                </c:pt>
                <c:pt idx="3">
                  <c:v>113891</c:v>
                </c:pt>
                <c:pt idx="4">
                  <c:v>107555</c:v>
                </c:pt>
                <c:pt idx="5">
                  <c:v>56719</c:v>
                </c:pt>
                <c:pt idx="6">
                  <c:v>54402</c:v>
                </c:pt>
                <c:pt idx="7">
                  <c:v>23902</c:v>
                </c:pt>
                <c:pt idx="8">
                  <c:v>21265</c:v>
                </c:pt>
                <c:pt idx="9">
                  <c:v>15515</c:v>
                </c:pt>
                <c:pt idx="10">
                  <c:v>5129</c:v>
                </c:pt>
                <c:pt idx="11">
                  <c:v>3972</c:v>
                </c:pt>
                <c:pt idx="12">
                  <c:v>33</c:v>
                </c:pt>
              </c:numCache>
            </c:numRef>
          </c:val>
          <c:extLst>
            <c:ext xmlns:c16="http://schemas.microsoft.com/office/drawing/2014/chart" uri="{C3380CC4-5D6E-409C-BE32-E72D297353CC}">
              <c16:uniqueId val="{0000001A-373F-4829-B5A4-C81011C58EDD}"/>
            </c:ext>
          </c:extLst>
        </c:ser>
        <c:dLbls>
          <c:showLegendKey val="0"/>
          <c:showVal val="0"/>
          <c:showCatName val="0"/>
          <c:showSerName val="0"/>
          <c:showPercent val="0"/>
          <c:showBubbleSize val="0"/>
        </c:dLbls>
        <c:gapWidth val="100"/>
        <c:axId val="1897430544"/>
        <c:axId val="1574236400"/>
      </c:barChart>
      <c:catAx>
        <c:axId val="1897430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236400"/>
        <c:crosses val="autoZero"/>
        <c:auto val="1"/>
        <c:lblAlgn val="ctr"/>
        <c:lblOffset val="100"/>
        <c:noMultiLvlLbl val="0"/>
      </c:catAx>
      <c:valAx>
        <c:axId val="157423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43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lt1"/>
            </a:solidFill>
            <a:ln w="19050">
              <a:solidFill>
                <a:schemeClr val="tx1">
                  <a:lumMod val="75000"/>
                  <a:lumOff val="25000"/>
                </a:schemeClr>
              </a:solidFill>
            </a:ln>
            <a:effectLst/>
          </c:spPr>
          <c:dPt>
            <c:idx val="0"/>
            <c:bubble3D val="0"/>
            <c:spPr>
              <a:solidFill>
                <a:schemeClr val="lt1"/>
              </a:solidFill>
              <a:ln w="19050">
                <a:solidFill>
                  <a:schemeClr val="tx1">
                    <a:lumMod val="75000"/>
                    <a:lumOff val="25000"/>
                  </a:schemeClr>
                </a:solidFill>
              </a:ln>
              <a:effectLst/>
            </c:spPr>
            <c:extLst>
              <c:ext xmlns:c16="http://schemas.microsoft.com/office/drawing/2014/chart" uri="{C3380CC4-5D6E-409C-BE32-E72D297353CC}">
                <c16:uniqueId val="{00000001-A16B-4F65-8A13-03573BFDD759}"/>
              </c:ext>
            </c:extLst>
          </c:dPt>
          <c:dPt>
            <c:idx val="1"/>
            <c:bubble3D val="0"/>
            <c:spPr>
              <a:solidFill>
                <a:schemeClr val="lt1"/>
              </a:solidFill>
              <a:ln w="19050">
                <a:solidFill>
                  <a:schemeClr val="tx1">
                    <a:lumMod val="75000"/>
                    <a:lumOff val="25000"/>
                  </a:schemeClr>
                </a:solidFill>
              </a:ln>
              <a:effectLst/>
            </c:spPr>
            <c:extLst>
              <c:ext xmlns:c16="http://schemas.microsoft.com/office/drawing/2014/chart" uri="{C3380CC4-5D6E-409C-BE32-E72D297353CC}">
                <c16:uniqueId val="{00000003-A16B-4F65-8A13-03573BFDD759}"/>
              </c:ext>
            </c:extLst>
          </c:dPt>
          <c:dLbls>
            <c:dLbl>
              <c:idx val="0"/>
              <c:layout>
                <c:manualLayout>
                  <c:x val="-0.20517766313693556"/>
                  <c:y val="-0.26504801357661617"/>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475862068965516"/>
                      <c:h val="0.27748326639892906"/>
                    </c:manualLayout>
                  </c15:layout>
                </c:ext>
                <c:ext xmlns:c16="http://schemas.microsoft.com/office/drawing/2014/chart" uri="{C3380CC4-5D6E-409C-BE32-E72D297353CC}">
                  <c16:uniqueId val="{00000001-A16B-4F65-8A13-03573BFDD759}"/>
                </c:ext>
              </c:extLst>
            </c:dLbl>
            <c:dLbl>
              <c:idx val="1"/>
              <c:layout>
                <c:manualLayout>
                  <c:x val="0.18642266268440583"/>
                  <c:y val="0.184725463533925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6B-4F65-8A13-03573BFDD7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Sheet2!$N$3:$O$3</c:f>
              <c:strCache>
                <c:ptCount val="2"/>
                <c:pt idx="0">
                  <c:v>Male</c:v>
                </c:pt>
                <c:pt idx="1">
                  <c:v>Female</c:v>
                </c:pt>
              </c:strCache>
            </c:strRef>
          </c:cat>
          <c:val>
            <c:numRef>
              <c:f>Sheet2!$N$17:$O$17</c:f>
              <c:numCache>
                <c:formatCode>#,##0</c:formatCode>
                <c:ptCount val="2"/>
                <c:pt idx="0">
                  <c:v>1489326</c:v>
                </c:pt>
                <c:pt idx="1">
                  <c:v>377043</c:v>
                </c:pt>
              </c:numCache>
            </c:numRef>
          </c:val>
          <c:extLst>
            <c:ext xmlns:c16="http://schemas.microsoft.com/office/drawing/2014/chart" uri="{C3380CC4-5D6E-409C-BE32-E72D297353CC}">
              <c16:uniqueId val="{00000004-A16B-4F65-8A13-03573BFDD75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2060"/>
            </a:solidFill>
            <a:ln>
              <a:noFill/>
            </a:ln>
            <a:effectLst/>
          </c:spPr>
          <c:invertIfNegative val="0"/>
          <c:cat>
            <c:strRef>
              <c:f>Sheet1!$T$3:$T$14</c:f>
              <c:strCache>
                <c:ptCount val="12"/>
                <c:pt idx="0">
                  <c:v>Selangor</c:v>
                </c:pt>
                <c:pt idx="1">
                  <c:v>Johor</c:v>
                </c:pt>
                <c:pt idx="2">
                  <c:v>WP Kuala Lumpur</c:v>
                </c:pt>
                <c:pt idx="3">
                  <c:v>Pulau Pinang</c:v>
                </c:pt>
                <c:pt idx="4">
                  <c:v>Sabah</c:v>
                </c:pt>
                <c:pt idx="5">
                  <c:v>Sarawak</c:v>
                </c:pt>
                <c:pt idx="6">
                  <c:v>Perak</c:v>
                </c:pt>
                <c:pt idx="7">
                  <c:v>Negeri Sembilan</c:v>
                </c:pt>
                <c:pt idx="8">
                  <c:v>Melaka</c:v>
                </c:pt>
                <c:pt idx="9">
                  <c:v>Pahang</c:v>
                </c:pt>
                <c:pt idx="10">
                  <c:v>Kedah</c:v>
                </c:pt>
                <c:pt idx="11">
                  <c:v>Others</c:v>
                </c:pt>
              </c:strCache>
            </c:strRef>
          </c:cat>
          <c:val>
            <c:numRef>
              <c:f>Sheet1!$S$3:$S$14</c:f>
              <c:numCache>
                <c:formatCode>#,##0</c:formatCode>
                <c:ptCount val="12"/>
                <c:pt idx="0">
                  <c:v>527448</c:v>
                </c:pt>
                <c:pt idx="1">
                  <c:v>308190</c:v>
                </c:pt>
                <c:pt idx="2">
                  <c:v>256126</c:v>
                </c:pt>
                <c:pt idx="3">
                  <c:v>130076</c:v>
                </c:pt>
                <c:pt idx="4">
                  <c:v>126533</c:v>
                </c:pt>
                <c:pt idx="5">
                  <c:v>126389</c:v>
                </c:pt>
                <c:pt idx="6">
                  <c:v>81448</c:v>
                </c:pt>
                <c:pt idx="7">
                  <c:v>49299</c:v>
                </c:pt>
                <c:pt idx="8">
                  <c:v>48784</c:v>
                </c:pt>
                <c:pt idx="9">
                  <c:v>40899</c:v>
                </c:pt>
                <c:pt idx="10">
                  <c:v>34629</c:v>
                </c:pt>
                <c:pt idx="11">
                  <c:v>20543</c:v>
                </c:pt>
              </c:numCache>
            </c:numRef>
          </c:val>
          <c:extLst>
            <c:ext xmlns:c16="http://schemas.microsoft.com/office/drawing/2014/chart" uri="{C3380CC4-5D6E-409C-BE32-E72D297353CC}">
              <c16:uniqueId val="{00000000-E617-4BBE-918D-B4ED43E73FDA}"/>
            </c:ext>
          </c:extLst>
        </c:ser>
        <c:dLbls>
          <c:showLegendKey val="0"/>
          <c:showVal val="0"/>
          <c:showCatName val="0"/>
          <c:showSerName val="0"/>
          <c:showPercent val="0"/>
          <c:showBubbleSize val="0"/>
        </c:dLbls>
        <c:gapWidth val="75"/>
        <c:overlap val="-27"/>
        <c:axId val="1522125599"/>
        <c:axId val="1655467087"/>
      </c:barChart>
      <c:catAx>
        <c:axId val="15221255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55467087"/>
        <c:crosses val="autoZero"/>
        <c:auto val="0"/>
        <c:lblAlgn val="ctr"/>
        <c:lblOffset val="100"/>
        <c:noMultiLvlLbl val="0"/>
      </c:catAx>
      <c:valAx>
        <c:axId val="1655467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22125599"/>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34868680630607"/>
          <c:y val="2.5485332032610969E-2"/>
          <c:w val="0.72243116669239871"/>
          <c:h val="0.97451466796738906"/>
        </c:manualLayout>
      </c:layout>
      <c:pieChart>
        <c:varyColors val="1"/>
        <c:ser>
          <c:idx val="0"/>
          <c:order val="0"/>
          <c:spPr>
            <a:solidFill>
              <a:schemeClr val="lt1"/>
            </a:solidFill>
            <a:ln w="19050">
              <a:solidFill>
                <a:schemeClr val="tx1">
                  <a:lumMod val="65000"/>
                  <a:lumOff val="35000"/>
                </a:schemeClr>
              </a:solidFill>
            </a:ln>
            <a:effectLst/>
          </c:spPr>
          <c:dPt>
            <c:idx val="0"/>
            <c:bubble3D val="0"/>
            <c:spPr>
              <a:solidFill>
                <a:srgbClr val="FFFF00"/>
              </a:solidFill>
              <a:ln w="19050">
                <a:solidFill>
                  <a:schemeClr val="tx1">
                    <a:lumMod val="65000"/>
                    <a:lumOff val="35000"/>
                  </a:schemeClr>
                </a:solidFill>
              </a:ln>
              <a:effectLst/>
            </c:spPr>
            <c:extLst>
              <c:ext xmlns:c16="http://schemas.microsoft.com/office/drawing/2014/chart" uri="{C3380CC4-5D6E-409C-BE32-E72D297353CC}">
                <c16:uniqueId val="{00000001-87BA-4536-85F6-12FAFC197201}"/>
              </c:ext>
            </c:extLst>
          </c:dPt>
          <c:dPt>
            <c:idx val="1"/>
            <c:bubble3D val="0"/>
            <c:spPr>
              <a:solidFill>
                <a:srgbClr val="FFFF00"/>
              </a:solidFill>
              <a:ln w="19050">
                <a:solidFill>
                  <a:schemeClr val="tx1">
                    <a:lumMod val="65000"/>
                    <a:lumOff val="35000"/>
                  </a:schemeClr>
                </a:solidFill>
              </a:ln>
              <a:effectLst/>
            </c:spPr>
            <c:extLst>
              <c:ext xmlns:c16="http://schemas.microsoft.com/office/drawing/2014/chart" uri="{C3380CC4-5D6E-409C-BE32-E72D297353CC}">
                <c16:uniqueId val="{00000003-87BA-4536-85F6-12FAFC197201}"/>
              </c:ext>
            </c:extLst>
          </c:dPt>
          <c:dPt>
            <c:idx val="2"/>
            <c:bubble3D val="0"/>
            <c:spPr>
              <a:solidFill>
                <a:srgbClr val="FFFF00"/>
              </a:solidFill>
              <a:ln w="19050">
                <a:solidFill>
                  <a:schemeClr val="tx1">
                    <a:lumMod val="65000"/>
                    <a:lumOff val="35000"/>
                  </a:schemeClr>
                </a:solidFill>
              </a:ln>
              <a:effectLst/>
            </c:spPr>
            <c:extLst>
              <c:ext xmlns:c16="http://schemas.microsoft.com/office/drawing/2014/chart" uri="{C3380CC4-5D6E-409C-BE32-E72D297353CC}">
                <c16:uniqueId val="{00000005-87BA-4536-85F6-12FAFC197201}"/>
              </c:ext>
            </c:extLst>
          </c:dPt>
          <c:dPt>
            <c:idx val="3"/>
            <c:bubble3D val="0"/>
            <c:spPr>
              <a:solidFill>
                <a:schemeClr val="lt1"/>
              </a:solidFill>
              <a:ln w="19050">
                <a:solidFill>
                  <a:schemeClr val="tx1">
                    <a:lumMod val="65000"/>
                    <a:lumOff val="35000"/>
                  </a:schemeClr>
                </a:solidFill>
              </a:ln>
              <a:effectLst/>
            </c:spPr>
            <c:extLst>
              <c:ext xmlns:c16="http://schemas.microsoft.com/office/drawing/2014/chart" uri="{C3380CC4-5D6E-409C-BE32-E72D297353CC}">
                <c16:uniqueId val="{00000007-87BA-4536-85F6-12FAFC197201}"/>
              </c:ext>
            </c:extLst>
          </c:dPt>
          <c:dPt>
            <c:idx val="4"/>
            <c:bubble3D val="0"/>
            <c:spPr>
              <a:solidFill>
                <a:schemeClr val="lt1"/>
              </a:solidFill>
              <a:ln w="19050">
                <a:solidFill>
                  <a:schemeClr val="tx1">
                    <a:lumMod val="65000"/>
                    <a:lumOff val="35000"/>
                  </a:schemeClr>
                </a:solidFill>
              </a:ln>
              <a:effectLst/>
            </c:spPr>
            <c:extLst>
              <c:ext xmlns:c16="http://schemas.microsoft.com/office/drawing/2014/chart" uri="{C3380CC4-5D6E-409C-BE32-E72D297353CC}">
                <c16:uniqueId val="{00000009-87BA-4536-85F6-12FAFC197201}"/>
              </c:ext>
            </c:extLst>
          </c:dPt>
          <c:dPt>
            <c:idx val="5"/>
            <c:bubble3D val="0"/>
            <c:spPr>
              <a:solidFill>
                <a:schemeClr val="lt1"/>
              </a:solidFill>
              <a:ln w="19050">
                <a:solidFill>
                  <a:schemeClr val="tx1">
                    <a:lumMod val="65000"/>
                    <a:lumOff val="35000"/>
                  </a:schemeClr>
                </a:solidFill>
              </a:ln>
              <a:effectLst/>
            </c:spPr>
            <c:extLst>
              <c:ext xmlns:c16="http://schemas.microsoft.com/office/drawing/2014/chart" uri="{C3380CC4-5D6E-409C-BE32-E72D297353CC}">
                <c16:uniqueId val="{0000000B-87BA-4536-85F6-12FAFC197201}"/>
              </c:ext>
            </c:extLst>
          </c:dPt>
          <c:dLbls>
            <c:dLbl>
              <c:idx val="0"/>
              <c:layout>
                <c:manualLayout>
                  <c:x val="-0.15532207983805954"/>
                  <c:y val="0.1546280166306645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99363559947159"/>
                      <c:h val="0.19053120572317842"/>
                    </c:manualLayout>
                  </c15:layout>
                </c:ext>
                <c:ext xmlns:c16="http://schemas.microsoft.com/office/drawing/2014/chart" uri="{C3380CC4-5D6E-409C-BE32-E72D297353CC}">
                  <c16:uniqueId val="{00000001-87BA-4536-85F6-12FAFC197201}"/>
                </c:ext>
              </c:extLst>
            </c:dLbl>
            <c:dLbl>
              <c:idx val="1"/>
              <c:layout>
                <c:manualLayout>
                  <c:x val="-0.11444667455783714"/>
                  <c:y val="-8.753582793301280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78196352906867"/>
                      <c:h val="0.19053120572317842"/>
                    </c:manualLayout>
                  </c15:layout>
                </c:ext>
                <c:ext xmlns:c16="http://schemas.microsoft.com/office/drawing/2014/chart" uri="{C3380CC4-5D6E-409C-BE32-E72D297353CC}">
                  <c16:uniqueId val="{00000003-87BA-4536-85F6-12FAFC197201}"/>
                </c:ext>
              </c:extLst>
            </c:dLbl>
            <c:dLbl>
              <c:idx val="2"/>
              <c:layout>
                <c:manualLayout>
                  <c:x val="0.18289463267875167"/>
                  <c:y val="-0.1791283714904369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24607835391808"/>
                      <c:h val="0.18032779235928842"/>
                    </c:manualLayout>
                  </c15:layout>
                </c:ext>
                <c:ext xmlns:c16="http://schemas.microsoft.com/office/drawing/2014/chart" uri="{C3380CC4-5D6E-409C-BE32-E72D297353CC}">
                  <c16:uniqueId val="{00000005-87BA-4536-85F6-12FAFC197201}"/>
                </c:ext>
              </c:extLst>
            </c:dLbl>
            <c:dLbl>
              <c:idx val="3"/>
              <c:layout>
                <c:manualLayout>
                  <c:x val="0.1786916346490956"/>
                  <c:y val="4.38188172977432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592587715833179"/>
                      <c:h val="0.18032779235928842"/>
                    </c:manualLayout>
                  </c15:layout>
                </c:ext>
                <c:ext xmlns:c16="http://schemas.microsoft.com/office/drawing/2014/chart" uri="{C3380CC4-5D6E-409C-BE32-E72D297353CC}">
                  <c16:uniqueId val="{00000007-87BA-4536-85F6-12FAFC197201}"/>
                </c:ext>
              </c:extLst>
            </c:dLbl>
            <c:dLbl>
              <c:idx val="4"/>
              <c:layout>
                <c:manualLayout>
                  <c:x val="0.1522144681747557"/>
                  <c:y val="0.1456130650335374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573602319317929"/>
                      <c:h val="0.22200032518059137"/>
                    </c:manualLayout>
                  </c15:layout>
                </c:ext>
                <c:ext xmlns:c16="http://schemas.microsoft.com/office/drawing/2014/chart" uri="{C3380CC4-5D6E-409C-BE32-E72D297353CC}">
                  <c16:uniqueId val="{00000009-87BA-4536-85F6-12FAFC197201}"/>
                </c:ext>
              </c:extLst>
            </c:dLbl>
            <c:dLbl>
              <c:idx val="5"/>
              <c:layout>
                <c:manualLayout>
                  <c:x val="7.5515410072068745E-2"/>
                  <c:y val="4.817731116943714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086957267596453"/>
                      <c:h val="0.30673634822195894"/>
                    </c:manualLayout>
                  </c15:layout>
                </c:ext>
                <c:ext xmlns:c16="http://schemas.microsoft.com/office/drawing/2014/chart" uri="{C3380CC4-5D6E-409C-BE32-E72D297353CC}">
                  <c16:uniqueId val="{0000000B-87BA-4536-85F6-12FAFC19720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Sheet1!$B$25:$B$30</c:f>
              <c:strCache>
                <c:ptCount val="6"/>
                <c:pt idx="0">
                  <c:v>Manufacturing</c:v>
                </c:pt>
                <c:pt idx="1">
                  <c:v>Construction</c:v>
                </c:pt>
                <c:pt idx="2">
                  <c:v>Plantation</c:v>
                </c:pt>
                <c:pt idx="3">
                  <c:v>Services</c:v>
                </c:pt>
                <c:pt idx="4">
                  <c:v>Agiculture</c:v>
                </c:pt>
                <c:pt idx="5">
                  <c:v>Domestic helper</c:v>
                </c:pt>
              </c:strCache>
            </c:strRef>
          </c:cat>
          <c:val>
            <c:numRef>
              <c:f>Sheet1!$D$25:$D$30</c:f>
              <c:numCache>
                <c:formatCode>General</c:formatCode>
                <c:ptCount val="6"/>
                <c:pt idx="0">
                  <c:v>0.36577641934709637</c:v>
                </c:pt>
                <c:pt idx="1">
                  <c:v>0.18798422056627145</c:v>
                </c:pt>
                <c:pt idx="2">
                  <c:v>0.15073442844484081</c:v>
                </c:pt>
                <c:pt idx="3">
                  <c:v>0.13630748510724941</c:v>
                </c:pt>
                <c:pt idx="4">
                  <c:v>8.7996050591558142E-2</c:v>
                </c:pt>
                <c:pt idx="5">
                  <c:v>7.1201395942983831E-2</c:v>
                </c:pt>
              </c:numCache>
            </c:numRef>
          </c:val>
          <c:extLst>
            <c:ext xmlns:c16="http://schemas.microsoft.com/office/drawing/2014/chart" uri="{C3380CC4-5D6E-409C-BE32-E72D297353CC}">
              <c16:uniqueId val="{0000000C-87BA-4536-85F6-12FAFC19720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bg1">
          <a:lumMod val="6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838145231846"/>
          <c:y val="5.0347769028871399E-2"/>
          <c:w val="0.84596062992125987"/>
          <c:h val="0.66218317081225775"/>
        </c:manualLayout>
      </c:layout>
      <c:barChart>
        <c:barDir val="col"/>
        <c:grouping val="clustered"/>
        <c:varyColors val="0"/>
        <c:ser>
          <c:idx val="0"/>
          <c:order val="0"/>
          <c:tx>
            <c:strRef>
              <c:f>Sheet1!$D$12</c:f>
              <c:strCache>
                <c:ptCount val="1"/>
                <c:pt idx="0">
                  <c:v>New application </c:v>
                </c:pt>
              </c:strCache>
            </c:strRef>
          </c:tx>
          <c:spPr>
            <a:solidFill>
              <a:schemeClr val="accent1"/>
            </a:solidFill>
            <a:ln>
              <a:noFill/>
            </a:ln>
            <a:effectLst/>
          </c:spPr>
          <c:invertIfNegative val="0"/>
          <c:cat>
            <c:strRef>
              <c:f>Sheet1!$C$13:$C$18</c:f>
              <c:strCache>
                <c:ptCount val="6"/>
                <c:pt idx="0">
                  <c:v>Total</c:v>
                </c:pt>
                <c:pt idx="1">
                  <c:v>Manufacturing</c:v>
                </c:pt>
                <c:pt idx="2">
                  <c:v>Services</c:v>
                </c:pt>
                <c:pt idx="3">
                  <c:v>Construction</c:v>
                </c:pt>
                <c:pt idx="4">
                  <c:v>Plantation</c:v>
                </c:pt>
                <c:pt idx="5">
                  <c:v>Agriculture</c:v>
                </c:pt>
              </c:strCache>
            </c:strRef>
          </c:cat>
          <c:val>
            <c:numRef>
              <c:f>Sheet1!$D$13:$D$18</c:f>
            </c:numRef>
          </c:val>
          <c:extLst>
            <c:ext xmlns:c16="http://schemas.microsoft.com/office/drawing/2014/chart" uri="{C3380CC4-5D6E-409C-BE32-E72D297353CC}">
              <c16:uniqueId val="{00000000-7263-41E7-9F19-E475F17E348C}"/>
            </c:ext>
          </c:extLst>
        </c:ser>
        <c:ser>
          <c:idx val="1"/>
          <c:order val="1"/>
          <c:tx>
            <c:strRef>
              <c:f>Sheet1!$E$12</c:f>
              <c:strCache>
                <c:ptCount val="1"/>
                <c:pt idx="0">
                  <c:v>Renewal</c:v>
                </c:pt>
              </c:strCache>
            </c:strRef>
          </c:tx>
          <c:spPr>
            <a:solidFill>
              <a:schemeClr val="accent2"/>
            </a:solidFill>
            <a:ln>
              <a:noFill/>
            </a:ln>
            <a:effectLst/>
          </c:spPr>
          <c:invertIfNegative val="0"/>
          <c:cat>
            <c:strRef>
              <c:f>Sheet1!$C$13:$C$18</c:f>
              <c:strCache>
                <c:ptCount val="6"/>
                <c:pt idx="0">
                  <c:v>Total</c:v>
                </c:pt>
                <c:pt idx="1">
                  <c:v>Manufacturing</c:v>
                </c:pt>
                <c:pt idx="2">
                  <c:v>Services</c:v>
                </c:pt>
                <c:pt idx="3">
                  <c:v>Construction</c:v>
                </c:pt>
                <c:pt idx="4">
                  <c:v>Plantation</c:v>
                </c:pt>
                <c:pt idx="5">
                  <c:v>Agriculture</c:v>
                </c:pt>
              </c:strCache>
            </c:strRef>
          </c:cat>
          <c:val>
            <c:numRef>
              <c:f>Sheet1!$E$13:$E$18</c:f>
            </c:numRef>
          </c:val>
          <c:extLst>
            <c:ext xmlns:c16="http://schemas.microsoft.com/office/drawing/2014/chart" uri="{C3380CC4-5D6E-409C-BE32-E72D297353CC}">
              <c16:uniqueId val="{00000001-7263-41E7-9F19-E475F17E348C}"/>
            </c:ext>
          </c:extLst>
        </c:ser>
        <c:ser>
          <c:idx val="2"/>
          <c:order val="2"/>
          <c:tx>
            <c:strRef>
              <c:f>Sheet1!$F$12</c:f>
              <c:strCache>
                <c:ptCount val="1"/>
                <c:pt idx="0">
                  <c:v>New application </c:v>
                </c:pt>
              </c:strCache>
            </c:strRef>
          </c:tx>
          <c:spPr>
            <a:solidFill>
              <a:schemeClr val="accent3"/>
            </a:solidFill>
            <a:ln>
              <a:noFill/>
            </a:ln>
            <a:effectLst/>
          </c:spPr>
          <c:invertIfNegative val="0"/>
          <c:cat>
            <c:strRef>
              <c:f>Sheet1!$C$13:$C$18</c:f>
              <c:strCache>
                <c:ptCount val="6"/>
                <c:pt idx="0">
                  <c:v>Total</c:v>
                </c:pt>
                <c:pt idx="1">
                  <c:v>Manufacturing</c:v>
                </c:pt>
                <c:pt idx="2">
                  <c:v>Services</c:v>
                </c:pt>
                <c:pt idx="3">
                  <c:v>Construction</c:v>
                </c:pt>
                <c:pt idx="4">
                  <c:v>Plantation</c:v>
                </c:pt>
                <c:pt idx="5">
                  <c:v>Agriculture</c:v>
                </c:pt>
              </c:strCache>
            </c:strRef>
          </c:cat>
          <c:val>
            <c:numRef>
              <c:f>Sheet1!$F$13:$F$18</c:f>
            </c:numRef>
          </c:val>
          <c:extLst>
            <c:ext xmlns:c16="http://schemas.microsoft.com/office/drawing/2014/chart" uri="{C3380CC4-5D6E-409C-BE32-E72D297353CC}">
              <c16:uniqueId val="{00000002-7263-41E7-9F19-E475F17E348C}"/>
            </c:ext>
          </c:extLst>
        </c:ser>
        <c:ser>
          <c:idx val="3"/>
          <c:order val="3"/>
          <c:tx>
            <c:strRef>
              <c:f>Sheet1!$G$12</c:f>
              <c:strCache>
                <c:ptCount val="1"/>
                <c:pt idx="0">
                  <c:v>Renewal</c:v>
                </c:pt>
              </c:strCache>
            </c:strRef>
          </c:tx>
          <c:spPr>
            <a:solidFill>
              <a:schemeClr val="accent4"/>
            </a:solidFill>
            <a:ln>
              <a:noFill/>
            </a:ln>
            <a:effectLst/>
          </c:spPr>
          <c:invertIfNegative val="0"/>
          <c:cat>
            <c:strRef>
              <c:f>Sheet1!$C$13:$C$18</c:f>
              <c:strCache>
                <c:ptCount val="6"/>
                <c:pt idx="0">
                  <c:v>Total</c:v>
                </c:pt>
                <c:pt idx="1">
                  <c:v>Manufacturing</c:v>
                </c:pt>
                <c:pt idx="2">
                  <c:v>Services</c:v>
                </c:pt>
                <c:pt idx="3">
                  <c:v>Construction</c:v>
                </c:pt>
                <c:pt idx="4">
                  <c:v>Plantation</c:v>
                </c:pt>
                <c:pt idx="5">
                  <c:v>Agriculture</c:v>
                </c:pt>
              </c:strCache>
            </c:strRef>
          </c:cat>
          <c:val>
            <c:numRef>
              <c:f>Sheet1!$G$13:$G$18</c:f>
            </c:numRef>
          </c:val>
          <c:extLst>
            <c:ext xmlns:c16="http://schemas.microsoft.com/office/drawing/2014/chart" uri="{C3380CC4-5D6E-409C-BE32-E72D297353CC}">
              <c16:uniqueId val="{00000003-7263-41E7-9F19-E475F17E348C}"/>
            </c:ext>
          </c:extLst>
        </c:ser>
        <c:ser>
          <c:idx val="4"/>
          <c:order val="4"/>
          <c:tx>
            <c:strRef>
              <c:f>Sheet1!$H$12</c:f>
              <c:strCache>
                <c:ptCount val="1"/>
                <c:pt idx="0">
                  <c:v>Rejection</c:v>
                </c:pt>
              </c:strCache>
            </c:strRef>
          </c:tx>
          <c:spPr>
            <a:solidFill>
              <a:schemeClr val="accent1">
                <a:lumMod val="75000"/>
              </a:schemeClr>
            </a:solidFill>
            <a:ln>
              <a:noFill/>
            </a:ln>
            <a:effectLst/>
          </c:spPr>
          <c:invertIfNegative val="0"/>
          <c:dLbls>
            <c:dLbl>
              <c:idx val="0"/>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3-41E7-9F19-E475F17E348C}"/>
                </c:ext>
              </c:extLst>
            </c:dLbl>
            <c:dLbl>
              <c:idx val="1"/>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3-41E7-9F19-E475F17E348C}"/>
                </c:ext>
              </c:extLst>
            </c:dLbl>
            <c:dLbl>
              <c:idx val="2"/>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63-41E7-9F19-E475F17E348C}"/>
                </c:ext>
              </c:extLst>
            </c:dLbl>
            <c:dLbl>
              <c:idx val="3"/>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63-41E7-9F19-E475F17E348C}"/>
                </c:ext>
              </c:extLst>
            </c:dLbl>
            <c:dLbl>
              <c:idx val="4"/>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63-41E7-9F19-E475F17E348C}"/>
                </c:ext>
              </c:extLst>
            </c:dLbl>
            <c:dLbl>
              <c:idx val="5"/>
              <c:layout>
                <c:manualLayout>
                  <c:x val="2.7777777777778798E-3"/>
                  <c:y val="9.2592592592591737E-3"/>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63-41E7-9F19-E475F17E348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Sheet1!$C$13:$C$18</c:f>
              <c:strCache>
                <c:ptCount val="6"/>
                <c:pt idx="0">
                  <c:v>Total</c:v>
                </c:pt>
                <c:pt idx="1">
                  <c:v>Manufacturing</c:v>
                </c:pt>
                <c:pt idx="2">
                  <c:v>Services</c:v>
                </c:pt>
                <c:pt idx="3">
                  <c:v>Construction</c:v>
                </c:pt>
                <c:pt idx="4">
                  <c:v>Plantation</c:v>
                </c:pt>
                <c:pt idx="5">
                  <c:v>Agriculture</c:v>
                </c:pt>
              </c:strCache>
            </c:strRef>
          </c:cat>
          <c:val>
            <c:numRef>
              <c:f>Sheet1!$H$13:$H$18</c:f>
              <c:numCache>
                <c:formatCode>#,##0</c:formatCode>
                <c:ptCount val="6"/>
                <c:pt idx="0">
                  <c:v>268164</c:v>
                </c:pt>
                <c:pt idx="1">
                  <c:v>127379</c:v>
                </c:pt>
                <c:pt idx="2">
                  <c:v>55043</c:v>
                </c:pt>
                <c:pt idx="3">
                  <c:v>38331</c:v>
                </c:pt>
                <c:pt idx="4">
                  <c:v>26207</c:v>
                </c:pt>
                <c:pt idx="5">
                  <c:v>21204</c:v>
                </c:pt>
              </c:numCache>
            </c:numRef>
          </c:val>
          <c:extLst>
            <c:ext xmlns:c16="http://schemas.microsoft.com/office/drawing/2014/chart" uri="{C3380CC4-5D6E-409C-BE32-E72D297353CC}">
              <c16:uniqueId val="{0000000A-7263-41E7-9F19-E475F17E348C}"/>
            </c:ext>
          </c:extLst>
        </c:ser>
        <c:ser>
          <c:idx val="5"/>
          <c:order val="5"/>
          <c:tx>
            <c:strRef>
              <c:f>Sheet1!$I$12</c:f>
              <c:strCache>
                <c:ptCount val="1"/>
                <c:pt idx="0">
                  <c:v>Approval</c:v>
                </c:pt>
              </c:strCache>
            </c:strRef>
          </c:tx>
          <c:spPr>
            <a:solidFill>
              <a:schemeClr val="accent5">
                <a:lumMod val="60000"/>
                <a:lumOff val="40000"/>
              </a:schemeClr>
            </a:solidFill>
            <a:ln>
              <a:noFill/>
            </a:ln>
            <a:effectLst/>
          </c:spPr>
          <c:invertIfNegative val="0"/>
          <c:cat>
            <c:strRef>
              <c:f>Sheet1!$C$13:$C$18</c:f>
              <c:strCache>
                <c:ptCount val="6"/>
                <c:pt idx="0">
                  <c:v>Total</c:v>
                </c:pt>
                <c:pt idx="1">
                  <c:v>Manufacturing</c:v>
                </c:pt>
                <c:pt idx="2">
                  <c:v>Services</c:v>
                </c:pt>
                <c:pt idx="3">
                  <c:v>Construction</c:v>
                </c:pt>
                <c:pt idx="4">
                  <c:v>Plantation</c:v>
                </c:pt>
                <c:pt idx="5">
                  <c:v>Agriculture</c:v>
                </c:pt>
              </c:strCache>
            </c:strRef>
          </c:cat>
          <c:val>
            <c:numRef>
              <c:f>Sheet1!$I$13:$I$18</c:f>
              <c:numCache>
                <c:formatCode>#,##0</c:formatCode>
                <c:ptCount val="6"/>
                <c:pt idx="0">
                  <c:v>120083</c:v>
                </c:pt>
                <c:pt idx="1">
                  <c:v>73691</c:v>
                </c:pt>
                <c:pt idx="2">
                  <c:v>4608</c:v>
                </c:pt>
                <c:pt idx="3">
                  <c:v>20570</c:v>
                </c:pt>
                <c:pt idx="4">
                  <c:v>13987</c:v>
                </c:pt>
                <c:pt idx="5">
                  <c:v>7227</c:v>
                </c:pt>
              </c:numCache>
            </c:numRef>
          </c:val>
          <c:extLst>
            <c:ext xmlns:c16="http://schemas.microsoft.com/office/drawing/2014/chart" uri="{C3380CC4-5D6E-409C-BE32-E72D297353CC}">
              <c16:uniqueId val="{0000000B-7263-41E7-9F19-E475F17E348C}"/>
            </c:ext>
          </c:extLst>
        </c:ser>
        <c:dLbls>
          <c:showLegendKey val="0"/>
          <c:showVal val="0"/>
          <c:showCatName val="0"/>
          <c:showSerName val="0"/>
          <c:showPercent val="0"/>
          <c:showBubbleSize val="0"/>
        </c:dLbls>
        <c:gapWidth val="219"/>
        <c:axId val="563193183"/>
        <c:axId val="562256831"/>
      </c:barChart>
      <c:catAx>
        <c:axId val="56319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62256831"/>
        <c:crosses val="autoZero"/>
        <c:auto val="1"/>
        <c:lblAlgn val="ctr"/>
        <c:lblOffset val="100"/>
        <c:noMultiLvlLbl val="0"/>
      </c:catAx>
      <c:valAx>
        <c:axId val="562256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63193183"/>
        <c:crosses val="autoZero"/>
        <c:crossBetween val="between"/>
      </c:valAx>
      <c:spPr>
        <a:noFill/>
        <a:ln>
          <a:noFill/>
        </a:ln>
        <a:effectLst/>
      </c:spPr>
    </c:plotArea>
    <c:legend>
      <c:legendPos val="t"/>
      <c:layout>
        <c:manualLayout>
          <c:xMode val="edge"/>
          <c:yMode val="edge"/>
          <c:x val="0.65092649608482811"/>
          <c:y val="7.0302967096000424E-2"/>
          <c:w val="0.33132524059492563"/>
          <c:h val="8.590168462718972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879-4BD0-9B09-863081C7FBCC}"/>
              </c:ext>
            </c:extLst>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3-2879-4BD0-9B09-863081C7FBCC}"/>
              </c:ext>
            </c:extLst>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5-2879-4BD0-9B09-863081C7FBCC}"/>
              </c:ext>
            </c:extLst>
          </c:dPt>
          <c:dPt>
            <c:idx val="3"/>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7-2879-4BD0-9B09-863081C7FBCC}"/>
              </c:ext>
            </c:extLst>
          </c:dPt>
          <c:dPt>
            <c:idx val="4"/>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09-2879-4BD0-9B09-863081C7FBCC}"/>
              </c:ext>
            </c:extLst>
          </c:dPt>
          <c:dPt>
            <c:idx val="5"/>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extLst>
              <c:ext xmlns:c16="http://schemas.microsoft.com/office/drawing/2014/chart" uri="{C3380CC4-5D6E-409C-BE32-E72D297353CC}">
                <c16:uniqueId val="{0000000B-2879-4BD0-9B09-863081C7FBCC}"/>
              </c:ext>
            </c:extLst>
          </c:dPt>
          <c:dPt>
            <c:idx val="6"/>
            <c:bubble3D val="0"/>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extLst>
              <c:ext xmlns:c16="http://schemas.microsoft.com/office/drawing/2014/chart" uri="{C3380CC4-5D6E-409C-BE32-E72D297353CC}">
                <c16:uniqueId val="{0000000D-2879-4BD0-9B09-863081C7FBCC}"/>
              </c:ext>
            </c:extLst>
          </c:dPt>
          <c:dPt>
            <c:idx val="7"/>
            <c:bubble3D val="0"/>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extLst>
              <c:ext xmlns:c16="http://schemas.microsoft.com/office/drawing/2014/chart" uri="{C3380CC4-5D6E-409C-BE32-E72D297353CC}">
                <c16:uniqueId val="{0000000F-2879-4BD0-9B09-863081C7FBCC}"/>
              </c:ext>
            </c:extLst>
          </c:dPt>
          <c:dPt>
            <c:idx val="8"/>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extLst>
              <c:ext xmlns:c16="http://schemas.microsoft.com/office/drawing/2014/chart" uri="{C3380CC4-5D6E-409C-BE32-E72D297353CC}">
                <c16:uniqueId val="{00000011-2879-4BD0-9B09-863081C7FBCC}"/>
              </c:ext>
            </c:extLst>
          </c:dPt>
          <c:dPt>
            <c:idx val="9"/>
            <c:bubble3D val="0"/>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extLst>
              <c:ext xmlns:c16="http://schemas.microsoft.com/office/drawing/2014/chart" uri="{C3380CC4-5D6E-409C-BE32-E72D297353CC}">
                <c16:uniqueId val="{00000013-2879-4BD0-9B09-863081C7FBCC}"/>
              </c:ext>
            </c:extLst>
          </c:dPt>
          <c:dLbls>
            <c:dLbl>
              <c:idx val="8"/>
              <c:layout>
                <c:manualLayout>
                  <c:x val="3.7736220472440944E-3"/>
                  <c:y val="9.57168635170603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879-4BD0-9B09-863081C7FBCC}"/>
                </c:ext>
              </c:extLst>
            </c:dLbl>
            <c:dLbl>
              <c:idx val="9"/>
              <c:layout>
                <c:manualLayout>
                  <c:x val="6.658027121609799E-3"/>
                  <c:y val="0.146260207057451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879-4BD0-9B09-863081C7FB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'Overall Distribution'!$H$3:$H$12</c:f>
              <c:strCache>
                <c:ptCount val="10"/>
                <c:pt idx="0">
                  <c:v>ID</c:v>
                </c:pt>
                <c:pt idx="1">
                  <c:v>BD</c:v>
                </c:pt>
                <c:pt idx="2">
                  <c:v>NP</c:v>
                </c:pt>
                <c:pt idx="3">
                  <c:v>IN</c:v>
                </c:pt>
                <c:pt idx="4">
                  <c:v>PH</c:v>
                </c:pt>
                <c:pt idx="5">
                  <c:v>PK</c:v>
                </c:pt>
                <c:pt idx="6">
                  <c:v>VN</c:v>
                </c:pt>
                <c:pt idx="7">
                  <c:v>MM</c:v>
                </c:pt>
                <c:pt idx="8">
                  <c:v>LK</c:v>
                </c:pt>
                <c:pt idx="9">
                  <c:v>TH</c:v>
                </c:pt>
              </c:strCache>
            </c:strRef>
          </c:cat>
          <c:val>
            <c:numRef>
              <c:f>'Overall Distribution'!$I$3:$I$12</c:f>
              <c:numCache>
                <c:formatCode>#,##0</c:formatCode>
                <c:ptCount val="10"/>
                <c:pt idx="0">
                  <c:v>903376</c:v>
                </c:pt>
                <c:pt idx="1">
                  <c:v>488753</c:v>
                </c:pt>
                <c:pt idx="2">
                  <c:v>371400</c:v>
                </c:pt>
                <c:pt idx="3">
                  <c:v>153241</c:v>
                </c:pt>
                <c:pt idx="4">
                  <c:v>142442</c:v>
                </c:pt>
                <c:pt idx="5">
                  <c:v>70344</c:v>
                </c:pt>
                <c:pt idx="6">
                  <c:v>59717</c:v>
                </c:pt>
                <c:pt idx="7">
                  <c:v>55145</c:v>
                </c:pt>
                <c:pt idx="8">
                  <c:v>13204</c:v>
                </c:pt>
                <c:pt idx="9">
                  <c:v>9286</c:v>
                </c:pt>
              </c:numCache>
            </c:numRef>
          </c:val>
          <c:extLst>
            <c:ext xmlns:c16="http://schemas.microsoft.com/office/drawing/2014/chart" uri="{C3380CC4-5D6E-409C-BE32-E72D297353CC}">
              <c16:uniqueId val="{00000014-2879-4BD0-9B09-863081C7FB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DA5E-407F-9C6A-E4FEE5AE167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DA5E-407F-9C6A-E4FEE5AE167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DA5E-407F-9C6A-E4FEE5AE1676}"/>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DA5E-407F-9C6A-E4FEE5AE1676}"/>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DA5E-407F-9C6A-E4FEE5AE1676}"/>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B-DA5E-407F-9C6A-E4FEE5AE1676}"/>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D-DA5E-407F-9C6A-E4FEE5AE1676}"/>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F-DA5E-407F-9C6A-E4FEE5AE1676}"/>
              </c:ext>
            </c:extLst>
          </c:dPt>
          <c:dPt>
            <c:idx val="8"/>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1-DA5E-407F-9C6A-E4FEE5AE1676}"/>
              </c:ext>
            </c:extLst>
          </c:dPt>
          <c:dPt>
            <c:idx val="9"/>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13-DA5E-407F-9C6A-E4FEE5AE1676}"/>
              </c:ext>
            </c:extLst>
          </c:dPt>
          <c:dLbls>
            <c:dLbl>
              <c:idx val="5"/>
              <c:layout>
                <c:manualLayout>
                  <c:x val="9.49603631561865E-2"/>
                  <c:y val="0.192115931648579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A5E-407F-9C6A-E4FEE5AE1676}"/>
                </c:ext>
              </c:extLst>
            </c:dLbl>
            <c:dLbl>
              <c:idx val="7"/>
              <c:layout>
                <c:manualLayout>
                  <c:x val="2.196217567665695E-2"/>
                  <c:y val="1.20496158806002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A5E-407F-9C6A-E4FEE5AE1676}"/>
                </c:ext>
              </c:extLst>
            </c:dLbl>
            <c:dLbl>
              <c:idx val="8"/>
              <c:layout>
                <c:manualLayout>
                  <c:x val="3.8155286981336983E-3"/>
                  <c:y val="0.113787202397210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A5E-407F-9C6A-E4FEE5AE1676}"/>
                </c:ext>
              </c:extLst>
            </c:dLbl>
            <c:dLbl>
              <c:idx val="9"/>
              <c:layout>
                <c:manualLayout>
                  <c:x val="6.2784642038322281E-3"/>
                  <c:y val="0.24103849675882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A5E-407F-9C6A-E4FEE5AE16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'Either (Param11 to Param16)==1'!$B$3:$B$12</c:f>
              <c:strCache>
                <c:ptCount val="10"/>
                <c:pt idx="0">
                  <c:v>BD</c:v>
                </c:pt>
                <c:pt idx="1">
                  <c:v>ID</c:v>
                </c:pt>
                <c:pt idx="2">
                  <c:v>IN</c:v>
                </c:pt>
                <c:pt idx="3">
                  <c:v>PH</c:v>
                </c:pt>
                <c:pt idx="4">
                  <c:v>NP</c:v>
                </c:pt>
                <c:pt idx="5">
                  <c:v>VN</c:v>
                </c:pt>
                <c:pt idx="6">
                  <c:v>PK</c:v>
                </c:pt>
                <c:pt idx="7">
                  <c:v>MM</c:v>
                </c:pt>
                <c:pt idx="8">
                  <c:v>TH</c:v>
                </c:pt>
                <c:pt idx="9">
                  <c:v>LK</c:v>
                </c:pt>
              </c:strCache>
            </c:strRef>
          </c:cat>
          <c:val>
            <c:numRef>
              <c:f>'Either (Param11 to Param16)==1'!$C$3:$C$12</c:f>
              <c:numCache>
                <c:formatCode>#,##0</c:formatCode>
                <c:ptCount val="10"/>
                <c:pt idx="0">
                  <c:v>476350</c:v>
                </c:pt>
                <c:pt idx="1">
                  <c:v>344253</c:v>
                </c:pt>
                <c:pt idx="2">
                  <c:v>136735</c:v>
                </c:pt>
                <c:pt idx="3">
                  <c:v>66557</c:v>
                </c:pt>
                <c:pt idx="4">
                  <c:v>56144</c:v>
                </c:pt>
                <c:pt idx="5">
                  <c:v>23189</c:v>
                </c:pt>
                <c:pt idx="6">
                  <c:v>19694</c:v>
                </c:pt>
                <c:pt idx="7">
                  <c:v>19064</c:v>
                </c:pt>
                <c:pt idx="8">
                  <c:v>5837</c:v>
                </c:pt>
                <c:pt idx="9">
                  <c:v>4211</c:v>
                </c:pt>
              </c:numCache>
            </c:numRef>
          </c:val>
          <c:extLst>
            <c:ext xmlns:c16="http://schemas.microsoft.com/office/drawing/2014/chart" uri="{C3380CC4-5D6E-409C-BE32-E72D297353CC}">
              <c16:uniqueId val="{00000014-DA5E-407F-9C6A-E4FEE5AE167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'[Irregular Worker Estimation.xlsx]Overall Distribution'!$C$3:$C$20</cx:f>
        <cx:lvl ptCount="18">
          <cx:pt idx="0">Selangor</cx:pt>
          <cx:pt idx="1">Johor</cx:pt>
          <cx:pt idx="2">W.P. Kuala Lumpur</cx:pt>
          <cx:pt idx="3">Sabah</cx:pt>
          <cx:pt idx="4">Pulau Pinang</cx:pt>
          <cx:pt idx="5">Perak</cx:pt>
          <cx:pt idx="6">Negeri Sembilan</cx:pt>
          <cx:pt idx="7">Melaka</cx:pt>
          <cx:pt idx="8">Sarawak</cx:pt>
          <cx:pt idx="9">Pahang</cx:pt>
          <cx:pt idx="10">Kedah</cx:pt>
          <cx:pt idx="11">Missing</cx:pt>
          <cx:pt idx="12">Kelantan</cx:pt>
          <cx:pt idx="13">Terengganu</cx:pt>
          <cx:pt idx="14">Null</cx:pt>
          <cx:pt idx="15">W.P. Putrajaya</cx:pt>
          <cx:pt idx="16">W.P. Labuan</cx:pt>
          <cx:pt idx="17">Perlis</cx:pt>
        </cx:lvl>
      </cx:strDim>
      <cx:numDim type="size">
        <cx:f>'[Irregular Worker Estimation.xlsx]Overall Distribution'!$D$3:$D$20</cx:f>
        <cx:lvl ptCount="18" formatCode="#,##0">
          <cx:pt idx="0">701499</cx:pt>
          <cx:pt idx="1">434532</cx:pt>
          <cx:pt idx="2">329749</cx:pt>
          <cx:pt idx="3">158131</cx:pt>
          <cx:pt idx="4">137776</cx:pt>
          <cx:pt idx="5">118847</cx:pt>
          <cx:pt idx="6">97197</cx:pt>
          <cx:pt idx="7">72483</cx:pt>
          <cx:pt idx="8">71732</cx:pt>
          <cx:pt idx="9">54628</cx:pt>
          <cx:pt idx="10">52357</cx:pt>
          <cx:pt idx="11">26494</cx:pt>
          <cx:pt idx="12">17530</cx:pt>
          <cx:pt idx="13">15322</cx:pt>
          <cx:pt idx="14">6944</cx:pt>
          <cx:pt idx="15">3171</cx:pt>
          <cx:pt idx="16">2921</cx:pt>
          <cx:pt idx="17">1618</cx:pt>
        </cx:lvl>
      </cx:numDim>
    </cx:data>
  </cx:chartData>
  <cx:chart>
    <cx:plotArea>
      <cx:plotAreaRegion>
        <cx:series layoutId="treemap" uniqueId="{ED35DA51-8A9F-423B-9A4D-CD9EB5BEF463}">
          <cx:dataLabels pos="ctr">
            <cx:spPr>
              <a:solidFill>
                <a:srgbClr val="FF0000"/>
              </a:solidFill>
              <a:ln>
                <a:solidFill>
                  <a:schemeClr val="accent1">
                    <a:hueOff val="0"/>
                    <a:satOff val="0"/>
                    <a:lumOff val="0"/>
                  </a:schemeClr>
                </a:solidFill>
              </a:ln>
            </cx:spPr>
            <cx:txPr>
              <a:bodyPr spcFirstLastPara="1" vertOverflow="ellipsis" horzOverflow="overflow" wrap="square" lIns="0" tIns="0" rIns="0" bIns="0" anchor="ctr" anchorCtr="1"/>
              <a:lstStyle/>
              <a:p>
                <a:pPr algn="ctr" rtl="0">
                  <a:defRPr sz="700">
                    <a:solidFill>
                      <a:schemeClr val="bg1"/>
                    </a:solidFill>
                    <a:latin typeface="+mn-lt"/>
                    <a:ea typeface="Trebuchet MS" panose="020B0603020202020204" pitchFamily="34" charset="0"/>
                    <a:cs typeface="Trebuchet MS" panose="020B0603020202020204" pitchFamily="34" charset="0"/>
                  </a:defRPr>
                </a:pPr>
                <a:endParaRPr lang="en-US" sz="700" b="0" i="0" u="none" strike="noStrike" baseline="0">
                  <a:solidFill>
                    <a:schemeClr val="bg1"/>
                  </a:solidFill>
                  <a:latin typeface="+mn-lt"/>
                </a:endParaRPr>
              </a:p>
            </cx:txPr>
            <cx:visibility seriesName="0" categoryName="1" value="0"/>
            <cx:dataLabel idx="0">
              <cx:txPr>
                <a:bodyPr spcFirstLastPara="1" vertOverflow="ellipsis" horzOverflow="overflow" wrap="square" lIns="0" tIns="0" rIns="0" bIns="0" anchor="ctr" anchorCtr="1"/>
                <a:lstStyle/>
                <a:p>
                  <a:pPr algn="ctr" rtl="0">
                    <a:defRPr>
                      <a:solidFill>
                        <a:schemeClr val="bg1"/>
                      </a:solidFill>
                    </a:defRPr>
                  </a:pPr>
                  <a:r>
                    <a:rPr lang="en-US" sz="1050" b="0" i="0" u="none" strike="noStrike" baseline="0">
                      <a:solidFill>
                        <a:schemeClr val="bg1"/>
                      </a:solidFill>
                      <a:latin typeface="Trebuchet MS" panose="020B0603020202020204" pitchFamily="34" charset="0"/>
                    </a:rPr>
                    <a:t>Selangor</a:t>
                  </a:r>
                </a:p>
              </cx:txPr>
              <cx:visibility seriesName="0" categoryName="1" value="0"/>
            </cx:dataLabel>
            <cx:dataLabel idx="1">
              <cx:txPr>
                <a:bodyPr spcFirstLastPara="1" vertOverflow="ellipsis" horzOverflow="overflow" wrap="square" lIns="0" tIns="0" rIns="0" bIns="0" anchor="ctr" anchorCtr="1"/>
                <a:lstStyle/>
                <a:p>
                  <a:pPr algn="ctr" rtl="0">
                    <a:defRPr>
                      <a:solidFill>
                        <a:schemeClr val="bg1"/>
                      </a:solidFill>
                    </a:defRPr>
                  </a:pPr>
                  <a:r>
                    <a:rPr lang="en-US" sz="1050" b="0" i="0" u="none" strike="noStrike" baseline="0">
                      <a:solidFill>
                        <a:schemeClr val="bg1"/>
                      </a:solidFill>
                      <a:latin typeface="Trebuchet MS" panose="020B0603020202020204" pitchFamily="34" charset="0"/>
                    </a:rPr>
                    <a:t>Johor</a:t>
                  </a:r>
                </a:p>
              </cx:txPr>
              <cx:visibility seriesName="0" categoryName="1" value="0"/>
            </cx:dataLabel>
            <cx:dataLabel idx="2">
              <cx:txPr>
                <a:bodyPr spcFirstLastPara="1" vertOverflow="ellipsis" horzOverflow="overflow" wrap="square" lIns="0" tIns="0" rIns="0" bIns="0" anchor="ctr" anchorCtr="1"/>
                <a:lstStyle/>
                <a:p>
                  <a:pPr algn="ctr" rtl="0">
                    <a:defRPr>
                      <a:solidFill>
                        <a:schemeClr val="bg1"/>
                      </a:solidFill>
                    </a:defRPr>
                  </a:pPr>
                  <a:r>
                    <a:rPr lang="en-US" sz="1050" b="0" i="0" u="none" strike="noStrike" baseline="0">
                      <a:solidFill>
                        <a:schemeClr val="bg1"/>
                      </a:solidFill>
                      <a:latin typeface="Trebuchet MS" panose="020B0603020202020204" pitchFamily="34" charset="0"/>
                    </a:rPr>
                    <a:t>W.P. Kuala Lumpur</a:t>
                  </a:r>
                </a:p>
              </cx:txPr>
              <cx:visibility seriesName="0" categoryName="1" value="0"/>
            </cx:dataLabel>
            <cx:dataLabel idx="5">
              <cx:txPr>
                <a:bodyPr spcFirstLastPara="1" vertOverflow="ellipsis" horzOverflow="overflow" wrap="square" lIns="0" tIns="0" rIns="0" bIns="0" anchor="ctr" anchorCtr="1"/>
                <a:lstStyle/>
                <a:p>
                  <a:pPr algn="ctr" rtl="0">
                    <a:defRPr>
                      <a:solidFill>
                        <a:schemeClr val="tx2">
                          <a:lumMod val="50000"/>
                          <a:lumOff val="50000"/>
                        </a:schemeClr>
                      </a:solidFill>
                    </a:defRPr>
                  </a:pPr>
                  <a:r>
                    <a:rPr lang="en-US" sz="1050" b="0" i="0" u="none" strike="noStrike" baseline="0">
                      <a:solidFill>
                        <a:schemeClr val="tx2">
                          <a:lumMod val="50000"/>
                          <a:lumOff val="50000"/>
                        </a:schemeClr>
                      </a:solidFill>
                      <a:latin typeface="Trebuchet MS" panose="020B0603020202020204" pitchFamily="34" charset="0"/>
                    </a:rPr>
                    <a:t>Perak</a:t>
                  </a:r>
                </a:p>
              </cx:txPr>
              <cx:visibility seriesName="0" categoryName="1" value="0"/>
            </cx:dataLabel>
            <cx:dataLabel idx="7">
              <cx:txPr>
                <a:bodyPr spcFirstLastPara="1" vertOverflow="ellipsis" horzOverflow="overflow" wrap="square" lIns="0" tIns="0" rIns="0" bIns="0" anchor="ctr" anchorCtr="1"/>
                <a:lstStyle/>
                <a:p>
                  <a:pPr algn="ctr" rtl="0">
                    <a:defRPr sz="700">
                      <a:solidFill>
                        <a:schemeClr val="tx1"/>
                      </a:solidFill>
                    </a:defRPr>
                  </a:pPr>
                  <a:r>
                    <a:rPr lang="en-US" sz="700" b="0" i="0" u="none" strike="noStrike" baseline="0">
                      <a:solidFill>
                        <a:schemeClr val="tx1"/>
                      </a:solidFill>
                      <a:latin typeface="Trebuchet MS" panose="020B0603020202020204" pitchFamily="34" charset="0"/>
                    </a:rPr>
                    <a:t>Melaka</a:t>
                  </a:r>
                </a:p>
              </cx:txPr>
              <cx:visibility seriesName="0" categoryName="1" value="0"/>
            </cx:dataLabel>
            <cx:dataLabel idx="8">
              <cx:txPr>
                <a:bodyPr spcFirstLastPara="1" vertOverflow="ellipsis" horzOverflow="overflow" wrap="square" lIns="0" tIns="0" rIns="0" bIns="0" anchor="ctr" anchorCtr="1"/>
                <a:lstStyle/>
                <a:p>
                  <a:pPr algn="ctr" rtl="0">
                    <a:defRPr sz="600">
                      <a:solidFill>
                        <a:schemeClr val="tx1"/>
                      </a:solidFill>
                    </a:defRPr>
                  </a:pPr>
                  <a:r>
                    <a:rPr lang="en-US" sz="600" b="0" i="0" u="none" strike="noStrike" baseline="0">
                      <a:solidFill>
                        <a:schemeClr val="tx1"/>
                      </a:solidFill>
                      <a:latin typeface="+mn-lt"/>
                    </a:rPr>
                    <a:t>Sarawak</a:t>
                  </a:r>
                </a:p>
              </cx:txPr>
              <cx:visibility seriesName="0" categoryName="1" value="0"/>
            </cx:dataLabel>
          </cx:dataLabels>
          <cx:dataId val="0"/>
          <cx:layoutPr>
            <cx:parentLabelLayout val="overlapping"/>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6">
  <cs:axisTitle>
    <cs:lnRef idx="0"/>
    <cs:fillRef idx="0"/>
    <cs:effectRef idx="0"/>
    <cs:fontRef idx="minor">
      <a:schemeClr val="tx1">
        <a:lumMod val="65000"/>
        <a:lumOff val="35000"/>
      </a:schemeClr>
    </cs:fontRef>
    <cs:spPr>
      <a:solidFill>
        <a:schemeClr val="bg1">
          <a:lumMod val="65000"/>
        </a:schemeClr>
      </a:solidFill>
      <a:ln>
        <a:solidFill>
          <a:schemeClr val="bg1"/>
        </a:solidFill>
      </a:ln>
    </cs:spPr>
    <cs:defRPr sz="1197"/>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cs:chartArea>
  <cs:dataLabel>
    <cs:lnRef idx="0"/>
    <cs:fillRef idx="0"/>
    <cs:effectRef idx="0"/>
    <cs:fontRef idx="minor">
      <a:schemeClr val="lt1"/>
    </cs:fontRef>
    <cs:defRPr sz="1330" b="1"/>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1197"/>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2128" b="1" cap="all"/>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Uri14</b:Tag>
    <b:SourceType>JournalArticle</b:SourceType>
    <b:Guid>{661FA32B-B922-4A45-B10E-9F9322FB9889}</b:Guid>
    <b:Author>
      <b:Author>
        <b:NameList>
          <b:Person>
            <b:Last>Dadush</b:Last>
            <b:First>Uri</b:First>
          </b:Person>
        </b:NameList>
      </b:Author>
    </b:Author>
    <b:Title>The Effect of Low-Skilled Labor Migration on the Host Economy</b:Title>
    <b:JournalName>KNOMAD Working Paper 1</b:JournalName>
    <b:Year>2014</b:Year>
    <b:RefOrder>1</b:RefOrder>
  </b:Source>
  <b:Source>
    <b:Tag>Eur17</b:Tag>
    <b:SourceType>JournalArticle</b:SourceType>
    <b:Guid>{53E3A268-1809-4370-8120-B75EB8EC972D}</b:Guid>
    <b:Author>
      <b:Author>
        <b:Corporate>Europeach Commission</b:Corporate>
      </b:Author>
    </b:Author>
    <b:Title>REPORT FROM THE COMMISSION TO THE EUROPEAN PARLIAMENT AND THE COUNCIL: First Report under the Visa Suspension Mechanism</b:Title>
    <b:JournalName>Brussels, 20.12.2017 COM(2017) 815 final</b:JournalName>
    <b:Year>2017</b:Year>
    <b:RefOrder>2</b:RefOrder>
  </b:Source>
  <b:Source>
    <b:Tag>Wur18</b:Tag>
    <b:SourceType>JournalArticle</b:SourceType>
    <b:Guid>{D5486472-E0C9-4509-97C1-45A65508219C}</b:Guid>
    <b:Author>
      <b:Author>
        <b:NameList>
          <b:Person>
            <b:Last>Wurscher</b:Last>
            <b:First>Inessa</b:First>
          </b:Person>
        </b:NameList>
      </b:Author>
    </b:Author>
    <b:Title>Refugee and Asylum-Seekers in Malaysia: The Consequences of Invisibility </b:Title>
    <b:JournalName>International Law Review, College of Law, Michigan State University </b:JournalName>
    <b:Year>2018</b:Year>
    <b:RefOrder>3</b:RefOrder>
  </b:Source>
  <b:Source>
    <b:Tag>Placeholder1</b:Tag>
    <b:SourceType>JournalArticle</b:SourceType>
    <b:Guid>{F3EDFFA3-6403-4030-9538-325EA7FBF3B9}</b:Guid>
    <b:Author>
      <b:Author>
        <b:Corporate>Asylum Access Malaysia</b:Corporate>
      </b:Author>
    </b:Author>
    <b:Title>INDEPENDENT SHADOW REPORT TO THE COMMITTEE ON THE CONVENTION ON THE ELIMINATION OF DISCRIMINATION AGAINST ALL WOMEN (CEDAW)</b:Title>
    <b:JournalName>Asylum Access Malaysia</b:JournalName>
    <b:Year>2018</b:Year>
    <b:RefOrder>4</b:RefOrder>
  </b:Source>
  <b:Source>
    <b:Tag>Woo05</b:Tag>
    <b:SourceType>JournalArticle</b:SourceType>
    <b:Guid>{33900EA3-7662-44D5-BC3A-861DDE0111A8}</b:Guid>
    <b:Author>
      <b:Author>
        <b:NameList>
          <b:Person>
            <b:Last>Woodbridge</b:Last>
            <b:First>J</b:First>
          </b:Person>
        </b:NameList>
      </b:Author>
    </b:Author>
    <b:Title>Sizing the unauthorised (illegal) migrant population in the United Kingdom in 2001</b:Title>
    <b:JournalName>Home Office Online Report 29/05</b:JournalName>
    <b:Year>2005</b:Year>
    <b:RefOrder>5</b:RefOrder>
  </b:Source>
  <b:Source>
    <b:Tag>UNH13</b:Tag>
    <b:SourceType>JournalArticle</b:SourceType>
    <b:Guid>{CC22E9D4-4A90-4177-9CBB-053F675F6592}</b:Guid>
    <b:Author>
      <b:Author>
        <b:Corporate>UNHCR</b:Corporate>
      </b:Author>
    </b:Author>
    <b:Title>PICUM Submission to the UN Committee on the Protection of the Rights of All Migrant Workers and Members of their Families</b:Title>
    <b:JournalName>The Platform for International Cooperation on Undocumented Migrants (PICUM) </b:JournalName>
    <b:Year>2013</b:Year>
    <b:RefOrder>6</b:RefOrder>
  </b:Source>
</b:Sourc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E51154B37B50340848CAF7CAACA2350" ma:contentTypeVersion="3" ma:contentTypeDescription="" ma:contentTypeScope="" ma:versionID="d58367cf9d1e3570e30c70b558e4b284">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000073169:Kenneth Simler:ksimler@worldbank.org;</DocAuthors>
    <Authors xmlns="b99a068c-3844-4a16-badd-77233eea0529">
      <UserInfo>
        <DisplayName>i:0#.w|wb\wb73169</DisplayName>
        <AccountId>1315</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2019-03-27T04:00:00+00:00</DocumentDate>
    <WBDocType xmlns="b99a068c-3844-4a16-badd-77233eea0529">Report</WBDocType>
    <SecurityClassification xmlns="b99a068c-3844-4a16-badd-77233eea0529">Public</SecurityClassification>
    <DeliverableID xmlns="b99a068c-3844-4a16-badd-77233eea0529">DLV0204722</DeliverableID>
    <ProjectID xmlns="b99a068c-3844-4a16-badd-77233eea0529">P165207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DE1E7464-1D41-44A3-8F7E-EC5AB7093DEF}">
  <ds:schemaRefs>
    <ds:schemaRef ds:uri="http://schemas.openxmlformats.org/officeDocument/2006/bibliography"/>
  </ds:schemaRefs>
</ds:datastoreItem>
</file>

<file path=customXml/itemProps2.xml><?xml version="1.0" encoding="utf-8"?>
<ds:datastoreItem xmlns:ds="http://schemas.openxmlformats.org/officeDocument/2006/customXml" ds:itemID="{23E71FFF-C6A3-4FAC-AF37-4DE54AF6A856}"/>
</file>

<file path=customXml/itemProps3.xml><?xml version="1.0" encoding="utf-8"?>
<ds:datastoreItem xmlns:ds="http://schemas.openxmlformats.org/officeDocument/2006/customXml" ds:itemID="{42F789A8-26F2-4725-8718-5470FC3C9D8A}"/>
</file>

<file path=customXml/itemProps4.xml><?xml version="1.0" encoding="utf-8"?>
<ds:datastoreItem xmlns:ds="http://schemas.openxmlformats.org/officeDocument/2006/customXml" ds:itemID="{4FC68493-46FE-4D89-9938-BF0F107AC2CC}"/>
</file>

<file path=customXml/itemProps5.xml><?xml version="1.0" encoding="utf-8"?>
<ds:datastoreItem xmlns:ds="http://schemas.openxmlformats.org/officeDocument/2006/customXml" ds:itemID="{410E6CB4-65AB-406A-972E-5B83DAB6BEB2}"/>
</file>

<file path=docProps/app.xml><?xml version="1.0" encoding="utf-8"?>
<Properties xmlns="http://schemas.openxmlformats.org/officeDocument/2006/extended-properties" xmlns:vt="http://schemas.openxmlformats.org/officeDocument/2006/docPropsVTypes">
  <Template>Normal.dotm</Template>
  <TotalTime>10</TotalTime>
  <Pages>62</Pages>
  <Words>18097</Words>
  <Characters>103155</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Malaysia- Estimating the Number of Foreign Workers</dc:title>
  <cp:lastModifiedBy>Kenneth Simler</cp:lastModifiedBy>
  <cp:revision>12</cp:revision>
  <dcterms:created xsi:type="dcterms:W3CDTF">2019-03-27T11:38:00Z</dcterms:created>
  <dcterms:modified xsi:type="dcterms:W3CDTF">2019-03-27T11:51:00Z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0x01010054E0FEF4951F9D49A6F48A35419983C7009E51154B37B50340848CAF7CAACA2350</vt:lpwstr>
  </property>
  <property fmtid="{D5CDD505-2E9C-101B-9397-08002B2CF9AE}" pid="5" name="RatedBy">
    <vt:lpwstr/>
  </property>
  <property fmtid="{D5CDD505-2E9C-101B-9397-08002B2CF9AE}" pid="7" name="LikedBy">
    <vt:lpwstr/>
  </property>
</Properties>
</file>